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2016-09-09 iki 2017-03-23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2016-01-15, i. k. 2016-01098</w:t>
      </w:r>
    </w:p>
    <w:p>
      <w:pPr>
        <w:jc w:val="both"/>
        <w:rPr>
          <w:rFonts w:ascii="Times New Roman" w:hAnsi="Times New Roman"/>
          <w:sz w:val="20"/>
        </w:rPr>
      </w:pPr>
    </w:p>
    <w:p>
      <w:pPr>
        <w:jc w:val="center"/>
        <w:rPr>
          <w:sz w:val="10"/>
          <w:szCs w:val="10"/>
        </w:rPr>
      </w:pPr>
      <w:r>
        <w:rPr>
          <w:rFonts w:eastAsia="Calibri"/>
          <w:color w:val="0000FF"/>
          <w:szCs w:val="22"/>
          <w:lang w:eastAsia="ar-SA"/>
        </w:rPr>
        <w:object w:dxaOrig="462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fillcolor="window">
            <v:imagedata r:id="rId12" o:title=""/>
          </v:shape>
          <o:OLEObject Type="Embed" ProgID="PBrush" ShapeID="_x0000_i1025" DrawAspect="Content" ObjectID="_0000000001" r:id="rId13"/>
        </w:object>
      </w:r>
    </w:p>
    <w:p>
      <w:pPr>
        <w:suppressAutoHyphens/>
        <w:jc w:val="center"/>
        <w:textAlignment w:val="center"/>
        <w:rPr>
          <w:rFonts w:eastAsia="Calibri"/>
          <w:b/>
          <w:szCs w:val="22"/>
          <w:lang w:eastAsia="ar-SA"/>
        </w:rPr>
      </w:pPr>
      <w:r>
        <w:rPr>
          <w:rFonts w:eastAsia="Calibri"/>
          <w:b/>
          <w:color w:val="000000"/>
          <w:szCs w:val="22"/>
          <w:lang w:eastAsia="ar-SA"/>
        </w:rPr>
        <w:t>LIETUVOS RESPUBLIKOS VIDAUS REIKALŲ MINISTRAS</w:t>
      </w:r>
    </w:p>
    <w:p>
      <w:pPr>
        <w:suppressAutoHyphens/>
        <w:jc w:val="center"/>
        <w:textAlignment w:val="center"/>
        <w:rPr>
          <w:rFonts w:eastAsia="Calibri"/>
          <w:b/>
          <w:color w:val="000000"/>
          <w:szCs w:val="22"/>
          <w:lang w:eastAsia="ar-SA"/>
        </w:rPr>
      </w:pPr>
    </w:p>
    <w:p>
      <w:pPr>
        <w:suppressAutoHyphens/>
        <w:jc w:val="center"/>
        <w:textAlignment w:val="center"/>
        <w:rPr>
          <w:rFonts w:eastAsia="Calibri"/>
          <w:b/>
          <w:color w:val="000000"/>
          <w:szCs w:val="22"/>
          <w:lang w:eastAsia="ar-SA"/>
        </w:rPr>
      </w:pPr>
      <w:r>
        <w:rPr>
          <w:rFonts w:eastAsia="Calibri"/>
          <w:b/>
          <w:color w:val="000000"/>
          <w:szCs w:val="22"/>
          <w:lang w:eastAsia="ar-SA"/>
        </w:rPr>
        <w:t>ĮSAKYMAS</w:t>
      </w:r>
    </w:p>
    <w:p>
      <w:pPr>
        <w:suppressAutoHyphens/>
        <w:jc w:val="center"/>
        <w:textAlignment w:val="center"/>
        <w:rPr>
          <w:rFonts w:eastAsia="Calibri"/>
          <w:b/>
          <w:szCs w:val="22"/>
          <w:lang w:eastAsia="ar-SA"/>
        </w:rPr>
      </w:pPr>
      <w:r>
        <w:rPr>
          <w:rFonts w:eastAsia="Calibri"/>
          <w:b/>
          <w:szCs w:val="22"/>
          <w:lang w:eastAsia="ar-SA"/>
        </w:rPr>
        <w:t>DĖL KAUNO MIESTO INTEGRUOTOS TERITORIJŲ VYSTYMO PROGRAMOS PATVIRTINIMO</w:t>
      </w:r>
    </w:p>
    <w:p>
      <w:pPr>
        <w:suppressAutoHyphens/>
        <w:spacing w:line="276" w:lineRule="auto"/>
        <w:ind w:firstLine="62"/>
        <w:jc w:val="center"/>
        <w:textAlignment w:val="center"/>
        <w:rPr>
          <w:rFonts w:eastAsia="Calibri"/>
          <w:b/>
          <w:szCs w:val="22"/>
          <w:lang w:eastAsia="ar-SA"/>
        </w:rPr>
      </w:pPr>
    </w:p>
    <w:p>
      <w:pPr>
        <w:suppressAutoHyphens/>
        <w:spacing w:line="276" w:lineRule="auto"/>
        <w:jc w:val="center"/>
        <w:textAlignment w:val="center"/>
        <w:rPr>
          <w:rFonts w:eastAsia="Calibri"/>
          <w:szCs w:val="22"/>
          <w:lang w:eastAsia="ar-SA"/>
        </w:rPr>
      </w:pPr>
      <w:r>
        <w:rPr>
          <w:rFonts w:eastAsia="Calibri"/>
          <w:color w:val="000000"/>
          <w:szCs w:val="22"/>
          <w:lang w:eastAsia="ar-SA"/>
        </w:rPr>
        <w:t>2016 m. sausio 15 d. Nr. 1V</w:t>
      </w:r>
      <w:r>
        <w:rPr>
          <w:rFonts w:eastAsia="Calibri"/>
          <w:szCs w:val="22"/>
        </w:rPr>
        <w:t>-32</w:t>
      </w:r>
    </w:p>
    <w:p>
      <w:pPr>
        <w:suppressAutoHyphens/>
        <w:spacing w:line="276" w:lineRule="auto"/>
        <w:jc w:val="center"/>
        <w:textAlignment w:val="center"/>
        <w:rPr>
          <w:rFonts w:eastAsia="Calibri"/>
          <w:color w:val="000000"/>
          <w:szCs w:val="22"/>
          <w:lang w:eastAsia="ar-SA"/>
        </w:rPr>
      </w:pPr>
      <w:r>
        <w:rPr>
          <w:rFonts w:eastAsia="Calibri"/>
          <w:color w:val="000000"/>
          <w:szCs w:val="22"/>
          <w:lang w:eastAsia="ar-SA"/>
        </w:rPr>
        <w:t>Vilnius</w:t>
      </w:r>
    </w:p>
    <w:p>
      <w:pPr>
        <w:suppressAutoHyphens/>
        <w:spacing w:line="276" w:lineRule="auto"/>
        <w:ind w:firstLine="709"/>
        <w:jc w:val="center"/>
        <w:textAlignment w:val="center"/>
        <w:rPr>
          <w:rFonts w:eastAsia="Calibri"/>
          <w:color w:val="000000"/>
          <w:szCs w:val="22"/>
          <w:lang w:eastAsia="ar-SA"/>
        </w:rPr>
      </w:pPr>
    </w:p>
    <w:p>
      <w:pPr>
        <w:suppressAutoHyphens/>
        <w:spacing w:line="276" w:lineRule="auto"/>
        <w:ind w:firstLine="709"/>
        <w:jc w:val="center"/>
        <w:textAlignment w:val="center"/>
        <w:rPr>
          <w:rFonts w:eastAsia="Calibri"/>
          <w:color w:val="000000"/>
          <w:szCs w:val="22"/>
          <w:lang w:eastAsia="ar-SA"/>
        </w:rPr>
      </w:pPr>
    </w:p>
    <w:p>
      <w:pPr>
        <w:tabs>
          <w:tab w:val="left" w:pos="284"/>
          <w:tab w:val="left" w:pos="426"/>
          <w:tab w:val="left" w:pos="851"/>
        </w:tabs>
        <w:suppressAutoHyphens/>
        <w:spacing w:line="360" w:lineRule="auto"/>
        <w:ind w:firstLine="709"/>
        <w:jc w:val="both"/>
        <w:rPr>
          <w:sz w:val="20"/>
        </w:rPr>
      </w:pPr>
      <w:r>
        <w:rPr>
          <w:rFonts w:eastAsia="Calibri"/>
          <w:szCs w:val="22"/>
          <w:lang w:eastAsia="ar-SA"/>
        </w:rPr>
        <w:t>Vadovaudamasis Atsakomybės ir funkcijų paskirstymo tarp institucijų, įgyvendinant 2014–2020 metų Europos Sąjungos struktūrinių fondų investicijų veiksmų programą, taisyklių, pavirtintų Lietuvos Respublikos Vyriausybės 2014 m. birželio 4 d. nutarimu Nr. 528 „Dėl Atsakomybės ir funkcijų paskirstymo tarp institucijų, įgyvendinant 2014–2020 metų Europos Sąjungos struktūrinių fondų investicijų veiksmų programą“, 7.8.7 papunkčiu,</w:t>
      </w:r>
    </w:p>
    <w:p>
      <w:pPr>
        <w:tabs>
          <w:tab w:val="left" w:pos="284"/>
          <w:tab w:val="left" w:pos="426"/>
          <w:tab w:val="left" w:pos="851"/>
        </w:tabs>
        <w:suppressAutoHyphens/>
        <w:spacing w:line="360" w:lineRule="auto"/>
        <w:ind w:firstLine="709"/>
        <w:jc w:val="both"/>
        <w:rPr>
          <w:rFonts w:eastAsia="Calibri"/>
          <w:szCs w:val="22"/>
          <w:lang w:eastAsia="ar-SA"/>
        </w:rPr>
      </w:pPr>
      <w:r>
        <w:rPr>
          <w:rFonts w:eastAsia="Calibri"/>
          <w:szCs w:val="22"/>
          <w:lang w:eastAsia="ar-SA"/>
        </w:rPr>
        <w:t>t v i r t i n u Kauno miesto integruotą teritorijų vystymo programą (pridedama).</w:t>
      </w:r>
    </w:p>
    <w:p>
      <w:pPr>
        <w:tabs>
          <w:tab w:val="left" w:pos="7371"/>
        </w:tabs>
        <w:suppressAutoHyphens/>
        <w:spacing w:line="276" w:lineRule="auto"/>
        <w:jc w:val="both"/>
      </w:pPr>
    </w:p>
    <w:p>
      <w:pPr>
        <w:tabs>
          <w:tab w:val="left" w:pos="7371"/>
        </w:tabs>
        <w:suppressAutoHyphens/>
        <w:spacing w:line="276" w:lineRule="auto"/>
        <w:jc w:val="both"/>
      </w:pPr>
    </w:p>
    <w:p>
      <w:pPr>
        <w:tabs>
          <w:tab w:val="left" w:pos="7371"/>
        </w:tabs>
        <w:suppressAutoHyphens/>
        <w:spacing w:line="276" w:lineRule="auto"/>
        <w:jc w:val="both"/>
      </w:pPr>
    </w:p>
    <w:p>
      <w:pPr>
        <w:tabs>
          <w:tab w:val="left" w:pos="7371"/>
        </w:tabs>
        <w:suppressAutoHyphens/>
        <w:spacing w:line="276" w:lineRule="auto"/>
        <w:jc w:val="both"/>
        <w:rPr>
          <w:rFonts w:eastAsia="Calibri"/>
          <w:color w:val="000000"/>
          <w:szCs w:val="22"/>
          <w:lang w:eastAsia="ar-SA"/>
        </w:rPr>
      </w:pPr>
      <w:r>
        <w:rPr>
          <w:rFonts w:eastAsia="Calibri"/>
          <w:color w:val="000000"/>
          <w:szCs w:val="22"/>
          <w:lang w:eastAsia="ar-SA"/>
        </w:rPr>
        <w:t>Vidaus reikalų ministras</w:t>
        <w:tab/>
        <w:t>Saulius Skvernelis</w:t>
      </w:r>
    </w:p>
    <w:p>
      <w:pPr>
        <w:tabs>
          <w:tab w:val="left" w:pos="5070"/>
          <w:tab w:val="left" w:pos="5366"/>
          <w:tab w:val="left" w:pos="6771"/>
          <w:tab w:val="left" w:pos="7363"/>
        </w:tabs>
        <w:ind w:firstLine="5670"/>
        <w:jc w:val="both"/>
      </w:pPr>
    </w:p>
    <w:p>
      <w:r>
        <w:br w:type="page"/>
      </w:r>
    </w:p>
    <w:p>
      <w:pPr>
        <w:tabs>
          <w:tab w:val="left" w:pos="5070"/>
          <w:tab w:val="left" w:pos="5366"/>
          <w:tab w:val="left" w:pos="6771"/>
          <w:tab w:val="left" w:pos="7363"/>
        </w:tabs>
        <w:ind w:firstLine="5670"/>
        <w:jc w:val="both"/>
        <w:rPr>
          <w:rFonts w:eastAsia="Calibri"/>
          <w:szCs w:val="22"/>
          <w:lang w:eastAsia="lt-LT"/>
        </w:rPr>
      </w:pPr>
      <w:r>
        <w:rPr>
          <w:rFonts w:eastAsia="Calibri"/>
          <w:szCs w:val="22"/>
          <w:lang w:eastAsia="lt-LT"/>
        </w:rPr>
        <w:t>PATVIRTINTA</w:t>
      </w:r>
    </w:p>
    <w:p>
      <w:pPr>
        <w:ind w:firstLine="5670"/>
        <w:jc w:val="both"/>
        <w:rPr>
          <w:rFonts w:eastAsia="Calibri"/>
          <w:szCs w:val="22"/>
          <w:lang w:eastAsia="lt-LT"/>
        </w:rPr>
      </w:pPr>
      <w:r>
        <w:rPr>
          <w:rFonts w:eastAsia="Calibri"/>
          <w:szCs w:val="22"/>
          <w:lang w:eastAsia="lt-LT"/>
        </w:rPr>
        <w:t xml:space="preserve">Lietuvos Respublikos vidaus reikalų </w:t>
      </w:r>
    </w:p>
    <w:p>
      <w:pPr>
        <w:ind w:firstLine="5670"/>
        <w:jc w:val="both"/>
        <w:rPr>
          <w:rFonts w:eastAsia="Calibri"/>
          <w:szCs w:val="22"/>
          <w:lang w:eastAsia="lt-LT"/>
        </w:rPr>
      </w:pPr>
      <w:r>
        <w:rPr>
          <w:rFonts w:eastAsia="Calibri"/>
          <w:szCs w:val="22"/>
          <w:lang w:eastAsia="lt-LT"/>
        </w:rPr>
        <w:t>ministro 2016 m. sausio 15 d.</w:t>
      </w:r>
    </w:p>
    <w:p>
      <w:pPr>
        <w:tabs>
          <w:tab w:val="left" w:pos="5070"/>
          <w:tab w:val="left" w:pos="5366"/>
          <w:tab w:val="left" w:pos="6771"/>
          <w:tab w:val="left" w:pos="7363"/>
        </w:tabs>
        <w:ind w:firstLine="5670"/>
        <w:jc w:val="both"/>
        <w:rPr>
          <w:rFonts w:eastAsia="Calibri"/>
          <w:szCs w:val="22"/>
          <w:lang w:eastAsia="lt-LT"/>
        </w:rPr>
      </w:pPr>
      <w:r>
        <w:rPr>
          <w:rFonts w:eastAsia="Calibri"/>
          <w:szCs w:val="22"/>
          <w:lang w:eastAsia="lt-LT"/>
        </w:rPr>
        <w:t>įsakymu Nr. 1V-32</w:t>
      </w:r>
    </w:p>
    <w:p>
      <w:pPr>
        <w:rPr>
          <w:sz w:val="20"/>
        </w:rPr>
      </w:pPr>
    </w:p>
    <w:p>
      <w:pPr>
        <w:keepNext/>
        <w:keepLines/>
        <w:spacing w:line="276" w:lineRule="auto"/>
        <w:ind w:firstLine="709"/>
        <w:jc w:val="center"/>
        <w:rPr>
          <w:b/>
          <w:bCs/>
          <w:caps/>
          <w:szCs w:val="28"/>
        </w:rPr>
      </w:pPr>
    </w:p>
    <w:p>
      <w:pPr>
        <w:rPr>
          <w:sz w:val="20"/>
        </w:rPr>
      </w:pPr>
    </w:p>
    <w:p>
      <w:pPr>
        <w:keepNext/>
        <w:keepLines/>
        <w:spacing w:line="276" w:lineRule="auto"/>
        <w:ind w:firstLine="709"/>
        <w:jc w:val="center"/>
        <w:rPr>
          <w:b/>
          <w:bCs/>
          <w:caps/>
          <w:szCs w:val="28"/>
        </w:rPr>
      </w:pPr>
      <w:r>
        <w:rPr>
          <w:b/>
          <w:bCs/>
          <w:caps/>
          <w:szCs w:val="28"/>
        </w:rPr>
        <w:t>kauno miesto integruota teritorijŲ vystymo programa</w:t>
      </w:r>
    </w:p>
    <w:p>
      <w:pPr>
        <w:rPr>
          <w:sz w:val="10"/>
          <w:szCs w:val="10"/>
        </w:rPr>
      </w:pPr>
    </w:p>
    <w:p>
      <w:pPr>
        <w:keepNext/>
        <w:keepLines/>
        <w:spacing w:line="276" w:lineRule="auto"/>
        <w:ind w:firstLine="709"/>
        <w:jc w:val="center"/>
        <w:outlineLvl w:val="1"/>
        <w:rPr>
          <w:b/>
          <w:bCs/>
          <w:caps/>
          <w:szCs w:val="26"/>
        </w:rPr>
      </w:pPr>
      <w:r>
        <w:rPr>
          <w:b/>
          <w:bCs/>
          <w:caps/>
          <w:szCs w:val="26"/>
        </w:rPr>
        <w:t>I</w:t>
      </w:r>
      <w:r>
        <w:rPr>
          <w:b/>
          <w:bCs/>
          <w:caps/>
          <w:szCs w:val="26"/>
        </w:rPr>
        <w:t xml:space="preserve"> skyrius</w:t>
      </w:r>
    </w:p>
    <w:p>
      <w:pPr>
        <w:rPr>
          <w:sz w:val="10"/>
          <w:szCs w:val="10"/>
        </w:rPr>
      </w:pPr>
    </w:p>
    <w:p>
      <w:pPr>
        <w:keepNext/>
        <w:keepLines/>
        <w:spacing w:line="276" w:lineRule="auto"/>
        <w:ind w:firstLine="709"/>
        <w:jc w:val="center"/>
        <w:outlineLvl w:val="1"/>
        <w:rPr>
          <w:b/>
          <w:bCs/>
          <w:caps/>
          <w:szCs w:val="26"/>
        </w:rPr>
      </w:pPr>
      <w:r>
        <w:rPr>
          <w:b/>
          <w:bCs/>
          <w:caps/>
          <w:szCs w:val="26"/>
        </w:rPr>
        <w:t>Bendrosios nuostatos</w:t>
      </w:r>
    </w:p>
    <w:p>
      <w:pPr>
        <w:rPr>
          <w:sz w:val="10"/>
          <w:szCs w:val="10"/>
        </w:rPr>
      </w:pPr>
    </w:p>
    <w:p>
      <w:pPr>
        <w:spacing w:line="276" w:lineRule="auto"/>
        <w:ind w:firstLine="709"/>
        <w:jc w:val="both"/>
        <w:rPr>
          <w:rFonts w:eastAsia="Calibri"/>
          <w:szCs w:val="22"/>
        </w:rPr>
      </w:pPr>
      <w:r>
        <w:rPr>
          <w:rFonts w:eastAsia="Calibri"/>
          <w:szCs w:val="22"/>
        </w:rPr>
        <w:t>1</w:t>
      </w:r>
      <w:r>
        <w:rPr>
          <w:rFonts w:eastAsia="Calibri"/>
          <w:szCs w:val="22"/>
        </w:rPr>
        <w:t>. Kauno miesto integruotoje teritorijų vystymo programoje (toliau – Kauno ITV programa) pateikiama Kauno ITV programos įgyvendinimo teritorijos situacijos analizė, vystymo tikslai, uždaviniai ir priemonės, programos veiksmų planas.</w:t>
      </w:r>
    </w:p>
    <w:p>
      <w:pPr>
        <w:spacing w:line="276" w:lineRule="auto"/>
        <w:ind w:firstLine="709"/>
        <w:jc w:val="both"/>
        <w:rPr>
          <w:rFonts w:eastAsia="Calibri"/>
          <w:szCs w:val="22"/>
        </w:rPr>
      </w:pPr>
      <w:r>
        <w:rPr>
          <w:rFonts w:eastAsia="Calibri"/>
          <w:szCs w:val="22"/>
        </w:rPr>
        <w:t>2</w:t>
      </w:r>
      <w:r>
        <w:rPr>
          <w:rFonts w:eastAsia="Calibri"/>
          <w:szCs w:val="22"/>
        </w:rPr>
        <w:t>. Kauno ITV programoje ir jos prieduose vartojami šie sutrumpinimai:</w:t>
      </w:r>
    </w:p>
    <w:p>
      <w:pPr>
        <w:spacing w:line="276" w:lineRule="auto"/>
        <w:ind w:firstLine="709"/>
        <w:jc w:val="both"/>
        <w:rPr>
          <w:rFonts w:eastAsia="Calibri"/>
          <w:szCs w:val="22"/>
        </w:rPr>
      </w:pPr>
      <w:r>
        <w:rPr>
          <w:rFonts w:eastAsia="Calibri"/>
          <w:szCs w:val="22"/>
        </w:rPr>
        <w:t>2.1</w:t>
      </w:r>
      <w:r>
        <w:rPr>
          <w:rFonts w:eastAsia="Calibri"/>
          <w:szCs w:val="22"/>
        </w:rPr>
        <w:t>. AM – Lietuvos Respublikos aplinkos apsaugos ministerija;</w:t>
      </w:r>
    </w:p>
    <w:p>
      <w:pPr>
        <w:spacing w:line="276" w:lineRule="auto"/>
        <w:ind w:firstLine="709"/>
        <w:jc w:val="both"/>
        <w:rPr>
          <w:rFonts w:eastAsia="Calibri"/>
          <w:szCs w:val="22"/>
        </w:rPr>
      </w:pPr>
      <w:r>
        <w:rPr>
          <w:rFonts w:eastAsia="Calibri"/>
          <w:szCs w:val="22"/>
        </w:rPr>
        <w:t>2.2</w:t>
      </w:r>
      <w:r>
        <w:rPr>
          <w:rFonts w:eastAsia="Calibri"/>
          <w:szCs w:val="22"/>
        </w:rPr>
        <w:t>. ES – Europos Sąjunga;</w:t>
      </w:r>
    </w:p>
    <w:p>
      <w:pPr>
        <w:spacing w:line="276" w:lineRule="auto"/>
        <w:ind w:firstLine="709"/>
        <w:jc w:val="both"/>
        <w:rPr>
          <w:rFonts w:eastAsia="Calibri"/>
          <w:szCs w:val="22"/>
        </w:rPr>
      </w:pPr>
      <w:r>
        <w:rPr>
          <w:rFonts w:eastAsia="Calibri"/>
          <w:szCs w:val="22"/>
        </w:rPr>
        <w:t>2.3</w:t>
      </w:r>
      <w:r>
        <w:rPr>
          <w:rFonts w:eastAsia="Calibri"/>
          <w:szCs w:val="22"/>
        </w:rPr>
        <w:t>. BVP – bendrasis vidaus produktas;</w:t>
      </w:r>
    </w:p>
    <w:p>
      <w:pPr>
        <w:spacing w:line="276" w:lineRule="auto"/>
        <w:ind w:firstLine="709"/>
        <w:jc w:val="both"/>
        <w:rPr>
          <w:rFonts w:eastAsia="Calibri"/>
          <w:szCs w:val="22"/>
        </w:rPr>
      </w:pPr>
      <w:r>
        <w:rPr>
          <w:rFonts w:eastAsia="Calibri"/>
          <w:szCs w:val="22"/>
        </w:rPr>
        <w:t>2.4</w:t>
      </w:r>
      <w:r>
        <w:rPr>
          <w:rFonts w:eastAsia="Calibri"/>
          <w:szCs w:val="22"/>
        </w:rPr>
        <w:t>. KM – Lietuvos Respublikos kultūros ministerija;</w:t>
      </w:r>
    </w:p>
    <w:p>
      <w:pPr>
        <w:spacing w:line="276" w:lineRule="auto"/>
        <w:ind w:firstLine="709"/>
        <w:jc w:val="both"/>
        <w:rPr>
          <w:rFonts w:eastAsia="Calibri"/>
          <w:szCs w:val="22"/>
        </w:rPr>
      </w:pPr>
      <w:r>
        <w:rPr>
          <w:rFonts w:eastAsia="Calibri"/>
          <w:szCs w:val="22"/>
        </w:rPr>
        <w:t>2.5</w:t>
      </w:r>
      <w:r>
        <w:rPr>
          <w:rFonts w:eastAsia="Calibri"/>
          <w:szCs w:val="22"/>
        </w:rPr>
        <w:t>. KMSA – Kauno miesto savivaldybės administracija;</w:t>
      </w:r>
    </w:p>
    <w:p>
      <w:pPr>
        <w:spacing w:line="276" w:lineRule="auto"/>
        <w:ind w:firstLine="709"/>
        <w:jc w:val="both"/>
        <w:rPr>
          <w:rFonts w:eastAsia="Calibri"/>
          <w:szCs w:val="22"/>
        </w:rPr>
      </w:pPr>
      <w:r>
        <w:rPr>
          <w:rFonts w:eastAsia="Calibri"/>
          <w:szCs w:val="22"/>
        </w:rPr>
        <w:t>2.6</w:t>
      </w:r>
      <w:r>
        <w:rPr>
          <w:rFonts w:eastAsia="Calibri"/>
          <w:szCs w:val="22"/>
        </w:rPr>
        <w:t>. NVO – nevyriausybinės organizacijos;</w:t>
      </w:r>
    </w:p>
    <w:p>
      <w:pPr>
        <w:spacing w:line="276" w:lineRule="auto"/>
        <w:ind w:firstLine="709"/>
        <w:jc w:val="both"/>
        <w:rPr>
          <w:rFonts w:eastAsia="Calibri"/>
          <w:szCs w:val="22"/>
        </w:rPr>
      </w:pPr>
      <w:r>
        <w:rPr>
          <w:rFonts w:eastAsia="Calibri"/>
          <w:szCs w:val="22"/>
        </w:rPr>
        <w:t>2.7</w:t>
      </w:r>
      <w:r>
        <w:rPr>
          <w:rFonts w:eastAsia="Calibri"/>
          <w:szCs w:val="22"/>
        </w:rPr>
        <w:t>. SADM – Lietuvos Respublikos socialinės apsaugos ir darbo ministerija;</w:t>
      </w:r>
    </w:p>
    <w:p>
      <w:pPr>
        <w:spacing w:line="276" w:lineRule="auto"/>
        <w:ind w:firstLine="709"/>
        <w:jc w:val="both"/>
        <w:rPr>
          <w:rFonts w:eastAsia="Calibri"/>
          <w:szCs w:val="22"/>
        </w:rPr>
      </w:pPr>
      <w:r>
        <w:rPr>
          <w:rFonts w:eastAsia="Calibri"/>
          <w:szCs w:val="22"/>
        </w:rPr>
        <w:t>2.8</w:t>
      </w:r>
      <w:r>
        <w:rPr>
          <w:rFonts w:eastAsia="Calibri"/>
          <w:szCs w:val="22"/>
        </w:rPr>
        <w:t>. SAM – Lietuvos Respublikos sveikatos apsaugos ministerija;</w:t>
      </w:r>
    </w:p>
    <w:p>
      <w:pPr>
        <w:spacing w:line="276" w:lineRule="auto"/>
        <w:ind w:firstLine="709"/>
        <w:jc w:val="both"/>
        <w:rPr>
          <w:rFonts w:eastAsia="Calibri"/>
          <w:szCs w:val="22"/>
        </w:rPr>
      </w:pPr>
      <w:r>
        <w:rPr>
          <w:rFonts w:eastAsia="Calibri"/>
          <w:szCs w:val="22"/>
        </w:rPr>
        <w:t>2.9</w:t>
      </w:r>
      <w:r>
        <w:rPr>
          <w:rFonts w:eastAsia="Calibri"/>
          <w:szCs w:val="22"/>
        </w:rPr>
        <w:t>. SM – Lietuvos Respublikos susisiekimo ministerija;</w:t>
      </w:r>
    </w:p>
    <w:p>
      <w:pPr>
        <w:spacing w:line="276" w:lineRule="auto"/>
        <w:ind w:firstLine="709"/>
        <w:jc w:val="both"/>
        <w:rPr>
          <w:rFonts w:eastAsia="Calibri"/>
          <w:szCs w:val="22"/>
        </w:rPr>
      </w:pPr>
      <w:r>
        <w:rPr>
          <w:rFonts w:eastAsia="Calibri"/>
          <w:szCs w:val="22"/>
        </w:rPr>
        <w:t>2.10</w:t>
      </w:r>
      <w:r>
        <w:rPr>
          <w:rFonts w:eastAsia="Calibri"/>
          <w:szCs w:val="22"/>
        </w:rPr>
        <w:t>. ŠMM – Lietuvos Respublikos švietimo ir mokslo ministerija;</w:t>
      </w:r>
    </w:p>
    <w:p>
      <w:pPr>
        <w:spacing w:line="276" w:lineRule="auto"/>
        <w:ind w:firstLine="709"/>
        <w:jc w:val="both"/>
        <w:rPr>
          <w:rFonts w:eastAsia="Calibri"/>
          <w:szCs w:val="22"/>
        </w:rPr>
      </w:pPr>
      <w:r>
        <w:rPr>
          <w:rFonts w:eastAsia="Calibri"/>
          <w:szCs w:val="22"/>
        </w:rPr>
        <w:t>2.11</w:t>
      </w:r>
      <w:r>
        <w:rPr>
          <w:rFonts w:eastAsia="Calibri"/>
          <w:szCs w:val="22"/>
        </w:rPr>
        <w:t>. VRM – Lietuvos Respublikos vidaus reikalų ministerija;</w:t>
      </w:r>
    </w:p>
    <w:p>
      <w:pPr>
        <w:spacing w:line="276" w:lineRule="auto"/>
        <w:ind w:firstLine="709"/>
        <w:jc w:val="both"/>
        <w:rPr>
          <w:rFonts w:eastAsia="Calibri"/>
          <w:szCs w:val="22"/>
        </w:rPr>
      </w:pPr>
      <w:r>
        <w:rPr>
          <w:rFonts w:eastAsia="Calibri"/>
          <w:szCs w:val="22"/>
        </w:rPr>
        <w:t>2.12</w:t>
      </w:r>
      <w:r>
        <w:rPr>
          <w:rFonts w:eastAsia="Calibri"/>
          <w:szCs w:val="22"/>
        </w:rPr>
        <w:t>. VšĮ – viešoji įstaiga;</w:t>
      </w:r>
    </w:p>
    <w:p>
      <w:pPr>
        <w:spacing w:line="276" w:lineRule="auto"/>
        <w:ind w:firstLine="709"/>
        <w:jc w:val="both"/>
        <w:rPr>
          <w:rFonts w:eastAsia="Calibri"/>
          <w:szCs w:val="22"/>
        </w:rPr>
      </w:pPr>
      <w:r>
        <w:rPr>
          <w:rFonts w:eastAsia="Calibri"/>
          <w:szCs w:val="22"/>
        </w:rPr>
        <w:t>2.13</w:t>
      </w:r>
      <w:r>
        <w:rPr>
          <w:rFonts w:eastAsia="Calibri"/>
          <w:szCs w:val="22"/>
        </w:rPr>
        <w:t xml:space="preserve">. VVG – vietos veiklos grupė. </w:t>
      </w:r>
    </w:p>
    <w:p>
      <w:pPr>
        <w:spacing w:line="276" w:lineRule="auto"/>
        <w:ind w:left="709"/>
        <w:jc w:val="both"/>
        <w:rPr>
          <w:rFonts w:eastAsia="Calibri"/>
          <w:szCs w:val="22"/>
        </w:rPr>
      </w:pPr>
    </w:p>
    <w:p>
      <w:pPr>
        <w:keepNext/>
        <w:keepLines/>
        <w:spacing w:line="276" w:lineRule="auto"/>
        <w:jc w:val="center"/>
        <w:outlineLvl w:val="1"/>
        <w:rPr>
          <w:b/>
          <w:bCs/>
          <w:caps/>
          <w:szCs w:val="26"/>
        </w:rPr>
      </w:pPr>
      <w:r>
        <w:rPr>
          <w:b/>
          <w:bCs/>
          <w:caps/>
          <w:szCs w:val="26"/>
        </w:rPr>
        <w:t>II</w:t>
      </w:r>
      <w:r>
        <w:rPr>
          <w:b/>
          <w:bCs/>
          <w:caps/>
          <w:szCs w:val="26"/>
        </w:rPr>
        <w:t xml:space="preserve"> skyrius</w:t>
      </w:r>
    </w:p>
    <w:p>
      <w:pPr>
        <w:keepNext/>
        <w:keepLines/>
        <w:spacing w:line="276" w:lineRule="auto"/>
        <w:jc w:val="center"/>
        <w:outlineLvl w:val="1"/>
        <w:rPr>
          <w:b/>
          <w:bCs/>
          <w:caps/>
          <w:szCs w:val="26"/>
        </w:rPr>
      </w:pPr>
      <w:r>
        <w:rPr>
          <w:b/>
          <w:bCs/>
          <w:caps/>
          <w:szCs w:val="26"/>
        </w:rPr>
        <w:t>Kauno itv programos įgyvendinimo teritorijOS situacijos analizė</w:t>
      </w:r>
    </w:p>
    <w:p>
      <w:pPr>
        <w:spacing w:line="276" w:lineRule="auto"/>
        <w:jc w:val="both"/>
        <w:rPr>
          <w:rFonts w:eastAsia="Calibri"/>
          <w:szCs w:val="22"/>
        </w:rPr>
      </w:pPr>
    </w:p>
    <w:p>
      <w:pPr>
        <w:spacing w:line="276" w:lineRule="auto"/>
        <w:ind w:firstLine="709"/>
        <w:jc w:val="both"/>
        <w:rPr>
          <w:rFonts w:eastAsia="Calibri"/>
          <w:szCs w:val="22"/>
        </w:rPr>
      </w:pPr>
      <w:r>
        <w:rPr>
          <w:rFonts w:eastAsia="Calibri"/>
          <w:szCs w:val="22"/>
        </w:rPr>
        <w:t>3</w:t>
      </w:r>
      <w:r>
        <w:rPr>
          <w:rFonts w:eastAsia="Calibri"/>
          <w:szCs w:val="22"/>
        </w:rPr>
        <w:t>. Rengiant Kauno ITV programą vadovaujamasi šių Kauno ITV programos įgyvendinimo teritorijai taikomų planavimo ir teritorijų planavimo dokumentų ir teisės aktų nuostatomis:</w:t>
      </w:r>
    </w:p>
    <w:p>
      <w:pPr>
        <w:spacing w:line="276" w:lineRule="auto"/>
        <w:ind w:firstLine="709"/>
        <w:jc w:val="both"/>
        <w:rPr>
          <w:rFonts w:eastAsia="Calibri"/>
          <w:szCs w:val="22"/>
        </w:rPr>
      </w:pPr>
      <w:r>
        <w:rPr>
          <w:rFonts w:eastAsia="Calibri"/>
          <w:szCs w:val="22"/>
        </w:rPr>
        <w:t>3.1</w:t>
      </w:r>
      <w:r>
        <w:rPr>
          <w:rFonts w:eastAsia="Calibri"/>
          <w:szCs w:val="22"/>
        </w:rPr>
        <w:t>. Lietuvos Respublikos partnerystės sutarties, patvirtintos 2014 m. birželio 20 d. Europos Komisijos sprendimu Nr. C(2014) 4234 (toliau – Partnerystės sutartis) 1.1 dalies „Teritorinė plėtra ir regioninė politika“, 3.1 dalies „Integruotas teritorinės plėtros požiūris“, 3.1.2 dalies „Integruotos teritorinės investicijos (ITI)“ nuostatomis;</w:t>
      </w:r>
    </w:p>
    <w:p>
      <w:pPr>
        <w:spacing w:line="276" w:lineRule="auto"/>
        <w:ind w:firstLine="709"/>
        <w:jc w:val="both"/>
        <w:rPr>
          <w:rFonts w:eastAsia="Calibri"/>
          <w:szCs w:val="22"/>
        </w:rPr>
      </w:pPr>
      <w:r>
        <w:rPr>
          <w:rFonts w:eastAsia="Calibri"/>
          <w:szCs w:val="22"/>
        </w:rPr>
        <w:t>3.2</w:t>
      </w:r>
      <w:r>
        <w:rPr>
          <w:rFonts w:eastAsia="Calibri"/>
          <w:szCs w:val="22"/>
        </w:rPr>
        <w:t>. 2014–2020 metų Europos Sąjungos fondų investicijų veiksmų programos, patvirtintos Europos Komisijos 2014 m. rugsėjo 8 d. sprendimu Nr. C(2014) 6397, 4 skirsnio „Integruotos teritorinės plėtros aprašymas“, 7 ir 8 prioritetų „Kokybiško užimtumo ir dalyvavimo darbo rinkoje skatinimas“ bei „Socialinės įtraukties didinimas ir kova su skurdu“ nuostatomis;</w:t>
      </w:r>
    </w:p>
    <w:p>
      <w:pPr>
        <w:spacing w:line="276" w:lineRule="auto"/>
        <w:ind w:firstLine="709"/>
        <w:jc w:val="both"/>
        <w:rPr>
          <w:rFonts w:eastAsia="Calibri"/>
          <w:szCs w:val="22"/>
        </w:rPr>
      </w:pPr>
      <w:r>
        <w:rPr>
          <w:rFonts w:eastAsia="Calibri"/>
          <w:szCs w:val="22"/>
        </w:rPr>
        <w:t>3.3</w:t>
      </w:r>
      <w:r>
        <w:rPr>
          <w:rFonts w:eastAsia="Calibri"/>
          <w:szCs w:val="22"/>
        </w:rPr>
        <w:t xml:space="preserve">.  Lietuvos Respublikos teritorijos bendruoju planu, patvirtintu Lietuvos Respublikos Seimo 2002 m. spalio 29 d. nutarimu Nr. IX-1154 „Dėl Lietuvos Respublikos teritorijos bendrojo plano“;</w:t>
      </w:r>
    </w:p>
    <w:p>
      <w:pPr>
        <w:spacing w:line="276" w:lineRule="auto"/>
        <w:ind w:firstLine="709"/>
        <w:jc w:val="both"/>
        <w:rPr>
          <w:rFonts w:eastAsia="Calibri"/>
          <w:szCs w:val="22"/>
        </w:rPr>
      </w:pPr>
      <w:r>
        <w:rPr>
          <w:rFonts w:eastAsia="Calibri"/>
          <w:szCs w:val="22"/>
        </w:rPr>
        <w:t>3.4</w:t>
      </w:r>
      <w:r>
        <w:rPr>
          <w:rFonts w:eastAsia="Calibri"/>
          <w:szCs w:val="22"/>
        </w:rPr>
        <w:t>. 2014–2020 metų nacionalinės pažangos programa, patvirtinta Lietuvos Respublikos Vyriausybės 2012 m. lapkričio 28 d. nutarimu Nr. 1482 „Dėl 2014–2020 metų nacionalinės pažangos programos patvirtinimo“;</w:t>
      </w:r>
    </w:p>
    <w:p>
      <w:pPr>
        <w:spacing w:line="276" w:lineRule="auto"/>
        <w:ind w:firstLine="709"/>
        <w:jc w:val="both"/>
        <w:rPr>
          <w:rFonts w:eastAsia="Calibri"/>
          <w:szCs w:val="22"/>
        </w:rPr>
      </w:pPr>
      <w:r>
        <w:rPr>
          <w:rFonts w:eastAsia="Calibri"/>
          <w:szCs w:val="22"/>
        </w:rPr>
        <w:t>3.5</w:t>
      </w:r>
      <w:r>
        <w:rPr>
          <w:rFonts w:eastAsia="Calibri"/>
          <w:szCs w:val="22"/>
        </w:rPr>
        <w:t>. 2014–2020 metų nacionalinės pažangos programos horizontaliojo prioriteto „Regioninė plėtra“ tarpinstitucinio veiklos plano, patvirtinto Lietuvos Respublikos Vyriausybės 2014 m. vasario 19 d. nutarimu Nr. 172 „Dėl 2014–2020 metų nacionalinės pažangos programos horizontaliojo prioriteto „Regioninė plėtra“ tarpinstitucinio veiklos plano patvirtinimo“, nuostatomis: tikslu –„didinti teritorinę sanglaudą regionuose“; uždaviniu – „spręsti tikslinėms teritorijoms (gyvenamosioms vietovėms) būdingas problemas, didinant konkurencingumą ir gyvenamosios vietos patrauklumą, skatinant ekonomikos augimą“;</w:t>
      </w:r>
    </w:p>
    <w:p>
      <w:pPr>
        <w:spacing w:line="276" w:lineRule="auto"/>
        <w:ind w:firstLine="709"/>
        <w:jc w:val="both"/>
        <w:rPr>
          <w:rFonts w:eastAsia="Calibri"/>
          <w:szCs w:val="22"/>
        </w:rPr>
      </w:pPr>
      <w:r>
        <w:rPr>
          <w:rFonts w:eastAsia="Calibri"/>
          <w:szCs w:val="22"/>
        </w:rPr>
        <w:t>3.6</w:t>
      </w:r>
      <w:r>
        <w:rPr>
          <w:rFonts w:eastAsia="Calibri"/>
          <w:szCs w:val="22"/>
        </w:rPr>
        <w:t>. Kauno apskrities teritorijos bendruoju (generaliniu) planu, patvirtintu Lietuvos Respublikos Vyriausybės 2009 m. birželio 3 d. nutarimu Nr. 672 „Dėl Kauno apskrities teritorijos bendrojo (generalinio) plano patvirtinimo“;</w:t>
      </w:r>
    </w:p>
    <w:p>
      <w:pPr>
        <w:spacing w:line="276" w:lineRule="auto"/>
        <w:ind w:firstLine="709"/>
        <w:jc w:val="both"/>
        <w:rPr>
          <w:rFonts w:eastAsia="Calibri"/>
          <w:szCs w:val="22"/>
        </w:rPr>
      </w:pPr>
      <w:r>
        <w:rPr>
          <w:rFonts w:eastAsia="Calibri"/>
          <w:szCs w:val="22"/>
        </w:rPr>
        <w:t>3.7</w:t>
      </w:r>
      <w:r>
        <w:rPr>
          <w:rFonts w:eastAsia="Calibri"/>
          <w:szCs w:val="22"/>
        </w:rPr>
        <w:t>. Integruotų teritorijų vystymo programų rengimo ir įgyvendinimo gairėmis, patvirtintomis Lietuvos Respublikos vidaus reikalų ministro 2014 m. liepos 11 d. įsakymu Nr. 1V-480 „Dėl Integruotų teritorijų vystymo programų rengimo ir įgyvendinimo gairių patvirtinimo“ (toliau – Integruotų teritorijų vystymo programų rengimo ir įgyvendinimo gairės);</w:t>
      </w:r>
    </w:p>
    <w:p>
      <w:pPr>
        <w:spacing w:line="276" w:lineRule="auto"/>
        <w:ind w:firstLine="709"/>
        <w:jc w:val="both"/>
        <w:rPr>
          <w:rFonts w:eastAsia="Calibri"/>
          <w:szCs w:val="22"/>
        </w:rPr>
      </w:pPr>
      <w:r>
        <w:rPr>
          <w:rFonts w:eastAsia="Calibri"/>
          <w:szCs w:val="22"/>
        </w:rPr>
        <w:t>3.8</w:t>
      </w:r>
      <w:r>
        <w:rPr>
          <w:rFonts w:eastAsia="Calibri"/>
          <w:szCs w:val="22"/>
        </w:rPr>
        <w:t>. Kauno miesto savivaldybės teritorijos bendruoju planu, patvirtintu Kauno miesto savivaldybės tarybos 2014 m. balandžio 10 d. sprendimu Nr. T-209 „Dėl Kauno miesto savivaldybės teritorijos bendrojo plano tvirtinimo“ (toliau – Kauno miesto bendrasis planas).</w:t>
      </w:r>
    </w:p>
    <w:p>
      <w:pPr>
        <w:spacing w:line="276" w:lineRule="auto"/>
        <w:ind w:firstLine="709"/>
        <w:jc w:val="both"/>
        <w:rPr>
          <w:rFonts w:eastAsia="Calibri"/>
          <w:szCs w:val="22"/>
        </w:rPr>
      </w:pPr>
      <w:r>
        <w:rPr>
          <w:rFonts w:eastAsia="Calibri"/>
          <w:szCs w:val="22"/>
        </w:rPr>
        <w:t>4</w:t>
      </w:r>
      <w:r>
        <w:rPr>
          <w:rFonts w:eastAsia="Calibri"/>
          <w:szCs w:val="22"/>
        </w:rPr>
        <w:t>. Socialinei, ekonominei, demografinei, aplinkos būklei ir šiltnamio efektą sukeliančių dujų išmetimams (klimato kaitai) Kauno mieste didžiausią įtaką daro šie veiksniai:</w:t>
      </w:r>
    </w:p>
    <w:p>
      <w:pPr>
        <w:spacing w:line="276" w:lineRule="auto"/>
        <w:ind w:firstLine="709"/>
        <w:jc w:val="both"/>
        <w:rPr>
          <w:rFonts w:eastAsia="Calibri"/>
          <w:szCs w:val="22"/>
        </w:rPr>
      </w:pPr>
      <w:r>
        <w:rPr>
          <w:rFonts w:eastAsia="Calibri"/>
          <w:szCs w:val="22"/>
        </w:rPr>
        <w:t>4.1</w:t>
      </w:r>
      <w:r>
        <w:rPr>
          <w:rFonts w:eastAsia="Calibri"/>
          <w:szCs w:val="22"/>
        </w:rPr>
        <w:t>. Neigiami ilgalaikiai gyventojų skaičiaus pokyčiai:</w:t>
      </w:r>
    </w:p>
    <w:p>
      <w:pPr>
        <w:spacing w:line="276" w:lineRule="auto"/>
        <w:ind w:firstLine="709"/>
        <w:jc w:val="both"/>
        <w:rPr>
          <w:rFonts w:eastAsia="Calibri"/>
          <w:szCs w:val="22"/>
        </w:rPr>
      </w:pPr>
      <w:r>
        <w:rPr>
          <w:rFonts w:eastAsia="Calibri"/>
          <w:szCs w:val="22"/>
        </w:rPr>
        <w:t>4.1.1</w:t>
      </w:r>
      <w:r>
        <w:rPr>
          <w:rFonts w:eastAsia="Calibri"/>
          <w:szCs w:val="22"/>
        </w:rPr>
        <w:t xml:space="preserve">.  Gyventojų skaičiaus mažėjimas būdingas visoms Vilniaus, Kauno, Klaipėdos, Šiaulių, Panevėžio (toliau – didieji miestai) savivaldybėms (žr. 1 pav.), iš kurių lėčiau negu vidutiniškai šalyje gyventojų skaičius mažėjo tik Vilniaus miesto savivaldybėje. Kaunas ir kiti Lietuvos miestai šiuo aspektu nėra unikalūs, nes po planinės ekonomikos žlugimo, formuojantis aukštesnei ir vidurinei visuomenės klasei, atsirandant galimybei įsigyti namą užmiestyje, augant automobilizacijos lygiui, sudėtingos fizinės, socialinės ir demografinės transformacijos pasireiškė visuose centrinės ir rytų Europos miestuose (vakarų Europos ar JAV miestai labiausiai su miestų tuštėjimo </w:t>
      </w:r>
      <w:r>
        <w:rPr>
          <w:rFonts w:eastAsia="Calibri"/>
          <w:i/>
          <w:szCs w:val="24"/>
        </w:rPr>
        <w:t xml:space="preserve">(angl. </w:t>
      </w:r>
      <w:r>
        <w:rPr>
          <w:rFonts w:eastAsia="Calibri"/>
          <w:bCs/>
          <w:i/>
          <w:szCs w:val="24"/>
          <w:shd w:val="clear" w:color="auto" w:fill="FFFFFF"/>
        </w:rPr>
        <w:t xml:space="preserve">Shrinking cities) </w:t>
      </w:r>
      <w:r>
        <w:rPr>
          <w:rFonts w:eastAsia="Calibri"/>
          <w:bCs/>
          <w:szCs w:val="24"/>
          <w:shd w:val="clear" w:color="auto" w:fill="FFFFFF"/>
        </w:rPr>
        <w:t>reiškiniu susidūrė anksčiau, jau po II-ojo pasaulinio karo). Visgi aktualiausi pokyčiai Kauno miesto ir kitų Lietuvos miestų demografinėje raidoje stebimi laikotarpiu nuo 2001 m. (kuomet pirmą kartą išsiskyrė Vilniaus ir kitų didžiųjų miestų demografinės raidos tendencijos, ženkliai išaugo tarptautinis gyventojų mobilumas, pasireiškė kritusio gimstamumo kaimo gyvenamosiose vietovėse pasekmės);</w:t>
      </w:r>
    </w:p>
    <w:p>
      <w:pPr>
        <w:spacing w:line="276" w:lineRule="auto"/>
        <w:ind w:firstLine="709"/>
        <w:jc w:val="both"/>
        <w:rPr>
          <w:rFonts w:eastAsia="Calibri"/>
          <w:szCs w:val="22"/>
        </w:rPr>
      </w:pPr>
      <w:r>
        <w:rPr>
          <w:rFonts w:eastAsia="Calibri"/>
          <w:szCs w:val="22"/>
        </w:rPr>
        <w:t>4.1.2</w:t>
      </w:r>
      <w:r>
        <w:rPr>
          <w:rFonts w:eastAsia="Calibri"/>
          <w:szCs w:val="22"/>
        </w:rPr>
        <w:t>. 2015 m. sausio 1 d. Kauno mieste gyveno 304 tūkst. gyventojų, arba 20,6 proc. mažiau, lyginant su 2001 m. Gyventojų skaičiaus 2001–2015 m. panašia apimtimi sumažėjo visuose didžiuosiuose miestuose, išskyrus Vilnių (nuo 19,2 proc. Klaipėdoje iki 22 proc. Šiauliuose); visų šių miestų gyventojų skaičiaus pokytis buvo didesnis už santykinį gyventojų skaičiaus pokytį atitinkamu laikotarpiu šalyje (16,2 proc.).</w:t>
      </w:r>
    </w:p>
    <w:p>
      <w:pPr>
        <w:rPr>
          <w:sz w:val="20"/>
        </w:rPr>
      </w:pPr>
    </w:p>
    <w:p>
      <w:pPr>
        <w:spacing w:line="276" w:lineRule="auto"/>
        <w:jc w:val="both"/>
        <w:rPr>
          <w:rFonts w:eastAsia="Calibri"/>
          <w:szCs w:val="22"/>
        </w:rPr>
      </w:pPr>
      <w:r>
        <w:rPr>
          <w:rFonts w:eastAsia="Calibri"/>
          <w:szCs w:val="22"/>
          <w:lang w:eastAsia="lt-LT"/>
        </w:rPr>
        <w:drawing>
          <wp:inline distT="0" distB="0" distL="0" distR="0">
            <wp:extent cx="6210300" cy="3952875"/>
            <wp:effectExtent l="0" t="0" r="0" b="9525"/>
            <wp:docPr id="14" name="Diagrama 14"/>
            <wp:cNvGraphicFramePr/>
            <a:graphic xmlns:a="http://schemas.openxmlformats.org/drawingml/2006/main">
              <a:graphicData uri="http://schemas.openxmlformats.org/drawingml/2006/chart">
                <c:chart xmlns:c="http://schemas.openxmlformats.org/drawingml/2006/chart" r:id="rId14"/>
              </a:graphicData>
            </a:graphic>
          </wp:inline>
        </w:drawing>
      </w:r>
    </w:p>
    <w:p>
      <w:pPr>
        <w:rPr>
          <w:sz w:val="20"/>
        </w:rPr>
      </w:pPr>
    </w:p>
    <w:p>
      <w:pPr>
        <w:spacing w:line="276" w:lineRule="auto"/>
        <w:ind w:right="191"/>
        <w:jc w:val="center"/>
        <w:rPr>
          <w:rFonts w:eastAsia="Calibri"/>
          <w:b/>
          <w:szCs w:val="22"/>
        </w:rPr>
      </w:pPr>
      <w:r>
        <w:rPr>
          <w:rFonts w:eastAsia="Calibri"/>
          <w:szCs w:val="22"/>
          <w:lang w:eastAsia="lt-LT"/>
        </w:rPr>
        <w:drawing>
          <wp:inline distT="0" distB="0" distL="0" distR="0">
            <wp:extent cx="6238875" cy="3143250"/>
            <wp:effectExtent l="0" t="0" r="9525" b="0"/>
            <wp:docPr id="15" name="Diagrama 15"/>
            <wp:cNvGraphicFramePr/>
            <a:graphic xmlns:a="http://schemas.openxmlformats.org/drawingml/2006/main">
              <a:graphicData uri="http://schemas.openxmlformats.org/drawingml/2006/chart">
                <c:chart xmlns:c="http://schemas.openxmlformats.org/drawingml/2006/chart" r:id="rId15"/>
              </a:graphicData>
            </a:graphic>
          </wp:inline>
        </w:drawing>
      </w:r>
    </w:p>
    <w:p>
      <w:pPr>
        <w:rPr>
          <w:sz w:val="20"/>
        </w:rPr>
      </w:pPr>
    </w:p>
    <w:p>
      <w:pPr>
        <w:spacing w:line="276" w:lineRule="auto"/>
        <w:ind w:firstLine="709"/>
        <w:jc w:val="center"/>
        <w:rPr>
          <w:rFonts w:eastAsia="Calibri"/>
          <w:b/>
          <w:szCs w:val="22"/>
        </w:rPr>
      </w:pPr>
      <w:r>
        <w:rPr>
          <w:rFonts w:eastAsia="Calibri"/>
          <w:b/>
          <w:szCs w:val="22"/>
        </w:rPr>
        <w:t>1 pav. Gyventojų skaičiaus kitimas miestuose nuo 1996 m. Šaltinis: Lietuvos statistikos departamentas</w:t>
      </w:r>
    </w:p>
    <w:p>
      <w:pPr>
        <w:rPr>
          <w:sz w:val="20"/>
        </w:rPr>
      </w:pPr>
    </w:p>
    <w:p>
      <w:pPr>
        <w:spacing w:line="276" w:lineRule="auto"/>
        <w:ind w:firstLine="709"/>
        <w:jc w:val="both"/>
        <w:rPr>
          <w:rFonts w:eastAsia="Calibri"/>
          <w:szCs w:val="22"/>
        </w:rPr>
      </w:pPr>
    </w:p>
    <w:p>
      <w:pPr>
        <w:rPr>
          <w:sz w:val="20"/>
        </w:rPr>
      </w:pPr>
    </w:p>
    <w:p>
      <w:pPr>
        <w:spacing w:line="276" w:lineRule="auto"/>
        <w:ind w:firstLine="709"/>
        <w:jc w:val="both"/>
        <w:rPr>
          <w:rFonts w:eastAsia="Calibri"/>
          <w:szCs w:val="22"/>
        </w:rPr>
      </w:pPr>
      <w:r>
        <w:rPr>
          <w:rFonts w:eastAsia="Calibri"/>
          <w:szCs w:val="22"/>
        </w:rPr>
        <w:t>4.1.3</w:t>
      </w:r>
      <w:r>
        <w:rPr>
          <w:rFonts w:eastAsia="Calibri"/>
          <w:szCs w:val="22"/>
        </w:rPr>
        <w:t>. Kauno miesto gyventojų skaičiaus mažėjimo tempas (žr. 1 pav.) 2011–2014 m. sulėtėjo daugiau kaip du kartus (lyginant su 2005–2010 m.) ir kiek priartėjo prie šalies tendencijos (gyventojų skaičiaus mažėjimas Kauno miesto savivaldybėje ir šalyje siekė atitinkamai 5,1 ir 4,4 proc.), o 2014 m. pasiekė žemiausią lygį per pastaruosius 15 metų – -0,9 proc. (šalyje – -0,8 proc.). Tai lėmė keletas priežasčių – nuslūgusi ekonominės recesijos sukelta užsienio emigracijos banga, suaktyvėjusi migracija į didžiuosius miestus ir jų priemiesčius iš likusios Lietuvos Respublikos teritorijos (2001 m. didžiuosius miestus ir žiedines savivaldybes atvykdavo 41 proc. keičiančių gyvenamąją vietą Lietuvos Respublikos gyventojų, 2011 m. – 48 proc., 2014 m. – 51 proc.), išaugęs bendras gyventojų mobilumas (2001 m. gyvenamąją vietą Lietuvoje keitė 1,1 proc., 2011 m. – 1,7 proc., 2014 m. – 2,1 proc. visų Lietuvos Respublikos gyventojų). 2011 m. Kauno miesto savivaldybė pirmą kartą per 2001–2015 m. laikotarpį turėjo (ir išlaikė vėlesniais metais) teigiamą neto vidaus migracijos su kitomis Lietuvos savivaldybėmis rodiklį (skaičiuojant be miesto-priemiesčio migracijos su Kauno rajono savivaldybe, žr. 3 pav.), taip pat pasireiškė didėjanti imigracija, daugiausiai grįžtamoji, anksčiau į užsienį išvykusių asmenų (į Kauno miestą, gerėjant ekonominei situacijai, 2011–2014 m. iš užsienio atvyko 8,4 tūkst. gyventojų (apie 2,7 proc. Kauno miesto gyventojų);</w:t>
      </w:r>
    </w:p>
    <w:p>
      <w:pPr>
        <w:rPr>
          <w:sz w:val="20"/>
        </w:rPr>
      </w:pPr>
    </w:p>
    <w:p>
      <w:pPr>
        <w:spacing w:line="276" w:lineRule="auto"/>
        <w:jc w:val="both"/>
        <w:rPr>
          <w:rFonts w:eastAsia="Calibri"/>
          <w:szCs w:val="22"/>
        </w:rPr>
      </w:pPr>
      <w:r>
        <w:rPr>
          <w:rFonts w:eastAsia="Calibri"/>
          <w:szCs w:val="22"/>
          <w:lang w:eastAsia="lt-LT"/>
        </w:rPr>
        <w:drawing>
          <wp:inline distT="0" distB="0" distL="0" distR="0">
            <wp:extent cx="6332220" cy="3346450"/>
            <wp:effectExtent l="0" t="0" r="11430" b="6350"/>
            <wp:docPr id="16" name="Diagrama 16"/>
            <wp:cNvGraphicFramePr/>
            <a:graphic xmlns:a="http://schemas.openxmlformats.org/drawingml/2006/main">
              <a:graphicData uri="http://schemas.openxmlformats.org/drawingml/2006/chart">
                <c:chart xmlns:c="http://schemas.openxmlformats.org/drawingml/2006/chart" r:id="rId16"/>
              </a:graphicData>
            </a:graphic>
          </wp:inline>
        </w:drawing>
      </w:r>
    </w:p>
    <w:p>
      <w:pPr>
        <w:rPr>
          <w:sz w:val="20"/>
        </w:rPr>
      </w:pPr>
    </w:p>
    <w:p>
      <w:pPr>
        <w:spacing w:line="276" w:lineRule="auto"/>
        <w:ind w:firstLine="709"/>
        <w:jc w:val="center"/>
        <w:rPr>
          <w:rFonts w:eastAsia="Calibri"/>
          <w:b/>
          <w:szCs w:val="22"/>
        </w:rPr>
      </w:pPr>
      <w:r>
        <w:rPr>
          <w:rFonts w:eastAsia="Calibri"/>
          <w:b/>
          <w:szCs w:val="22"/>
        </w:rPr>
        <w:t>2 pav. Gyventojų skaičiaus kitimas Kauno miesto savivaldybėje, pagrindiniai veiksniai (lyginant su gyventojų skaičiumi). Šaltinis: Lietuvos statistikos departamentas</w:t>
      </w:r>
    </w:p>
    <w:p>
      <w:pPr>
        <w:rPr>
          <w:sz w:val="20"/>
        </w:rPr>
      </w:pPr>
    </w:p>
    <w:p>
      <w:pPr>
        <w:spacing w:line="276" w:lineRule="auto"/>
        <w:ind w:firstLine="709"/>
        <w:jc w:val="both"/>
        <w:rPr>
          <w:rFonts w:eastAsia="Calibri"/>
          <w:szCs w:val="22"/>
        </w:rPr>
      </w:pPr>
      <w:r>
        <w:rPr>
          <w:rFonts w:eastAsia="Calibri"/>
          <w:szCs w:val="22"/>
        </w:rPr>
        <w:t>4.1.4</w:t>
      </w:r>
      <w:r>
        <w:rPr>
          <w:rFonts w:eastAsia="Calibri"/>
          <w:szCs w:val="22"/>
        </w:rPr>
        <w:t>. natūrali gyventojų kaita visą 2001–2014 m. laikotarpį Kauno miesto savivaldybėje yra pastovi (-0,2– -0,3 proc. gyventojų skaičiaus per metus), t. y. gimstamumas yra nepakankamas, kad užtikrinti teigiamą natūralios gyventojų skaičiaus kaitos lygį, tačiau lyginant su migracija, natūralios gyventojų skaičiaus kaitos poveikis buvo mažiau reikšmingas (žr. 2 pav.). Lemiantis gyventojų skaičiaus pokyčius veiksnys Kauno mieste yra migracija į užsienio valstybes (suaktyvėjusi 2005 m. ir 2010 m.) ir į kitas Lietuvos savivaldybes (iš esmės pastovi ar didėjanti visą 2001–2015 m. laikotarpį, daugiausiai dėl migracijos į žiedinę Kauno rajono savivaldybę); dėl migracijos Kauno miesto savivaldybė 2001–2015 m. prarasdavo nuo 3,5 iki 0,6 proc. gyventojų per metus (vidutiniškai – 1,4 proc.).</w:t>
      </w:r>
    </w:p>
    <w:p>
      <w:pPr>
        <w:rPr>
          <w:sz w:val="20"/>
        </w:rPr>
      </w:pPr>
    </w:p>
    <w:p>
      <w:pPr>
        <w:spacing w:line="276" w:lineRule="auto"/>
        <w:ind w:firstLine="709"/>
        <w:jc w:val="both"/>
        <w:rPr>
          <w:rFonts w:eastAsia="Calibri"/>
          <w:szCs w:val="22"/>
        </w:rPr>
      </w:pPr>
      <w:r>
        <w:rPr>
          <w:rFonts w:eastAsia="Calibri"/>
          <w:szCs w:val="22"/>
        </w:rPr>
        <w:t>4.2</w:t>
      </w:r>
      <w:r>
        <w:rPr>
          <w:rFonts w:eastAsia="Calibri"/>
          <w:szCs w:val="22"/>
        </w:rPr>
        <w:t>. Intensyvi urbanistinė plėtra ties Kauno miesto riba:</w:t>
      </w:r>
    </w:p>
    <w:p>
      <w:pPr>
        <w:rPr>
          <w:sz w:val="20"/>
        </w:rPr>
      </w:pPr>
    </w:p>
    <w:p>
      <w:pPr>
        <w:spacing w:line="276" w:lineRule="auto"/>
        <w:ind w:firstLine="709"/>
        <w:jc w:val="both"/>
        <w:rPr>
          <w:rFonts w:eastAsia="Calibri"/>
          <w:szCs w:val="22"/>
        </w:rPr>
      </w:pPr>
      <w:r>
        <w:rPr>
          <w:rFonts w:eastAsia="Calibri"/>
          <w:szCs w:val="22"/>
        </w:rPr>
        <w:t>4.2.1</w:t>
      </w:r>
      <w:r>
        <w:rPr>
          <w:rFonts w:eastAsia="Calibri"/>
          <w:szCs w:val="22"/>
        </w:rPr>
        <w:t>. nuo 2001 m. Kauno miesto savivaldybėje fiksuojami 2 trumpalaikiai emigracijos pikai – 2005 m. (supaprastėjus įsidarbinimo kitose ES valstybėse narėse) ir 2010 m. (dėl visai šaliai būdingo tarptautinės migracijos šuolio po 2009 m. finansinės krizės). Spartesnio gyventojų pajamų augimo laikotarpiais (2008 m., 2012–2014 m.), buvo pastebima intensyvesnio išsikėlimo į priemiestines teritorijas Kauno rajono savivaldybėje tendencija (žr. 3 pav.), todėl Kauno miesto gyventojų skaičių ir demografinę struktūrą pastebimai įtakojo urbanistinė plėtra priemiestinėse teritorijose;</w:t>
      </w:r>
    </w:p>
    <w:p>
      <w:pPr>
        <w:rPr>
          <w:sz w:val="20"/>
        </w:rPr>
      </w:pPr>
    </w:p>
    <w:p>
      <w:pPr>
        <w:spacing w:line="276" w:lineRule="auto"/>
        <w:jc w:val="both"/>
        <w:rPr>
          <w:rFonts w:eastAsia="Calibri"/>
          <w:szCs w:val="22"/>
        </w:rPr>
      </w:pPr>
      <w:r>
        <w:rPr>
          <w:rFonts w:eastAsia="Calibri"/>
          <w:szCs w:val="22"/>
          <w:lang w:eastAsia="lt-LT"/>
        </w:rPr>
        <w:drawing>
          <wp:inline distT="0" distB="0" distL="0" distR="0">
            <wp:extent cx="6334125" cy="5010150"/>
            <wp:effectExtent l="0" t="0" r="9525" b="0"/>
            <wp:docPr id="20" name="Diagrama 20"/>
            <wp:cNvGraphicFramePr/>
            <a:graphic xmlns:a="http://schemas.openxmlformats.org/drawingml/2006/main">
              <a:graphicData uri="http://schemas.openxmlformats.org/drawingml/2006/chart">
                <c:chart xmlns:c="http://schemas.openxmlformats.org/drawingml/2006/chart" r:id="rId17"/>
              </a:graphicData>
            </a:graphic>
          </wp:inline>
        </w:drawing>
      </w:r>
    </w:p>
    <w:p>
      <w:pPr>
        <w:rPr>
          <w:sz w:val="20"/>
        </w:rPr>
      </w:pPr>
    </w:p>
    <w:p>
      <w:pPr>
        <w:spacing w:line="276" w:lineRule="auto"/>
        <w:ind w:firstLine="709"/>
        <w:jc w:val="center"/>
        <w:rPr>
          <w:rFonts w:eastAsia="Calibri"/>
          <w:b/>
          <w:szCs w:val="22"/>
        </w:rPr>
      </w:pPr>
      <w:r>
        <w:rPr>
          <w:rFonts w:eastAsia="Calibri"/>
          <w:b/>
          <w:szCs w:val="22"/>
        </w:rPr>
        <w:t>3 pav. Gyventojų skaičiaus kitimas Kauno miesto savivaldybėje pagal priežastis (asmenys). Šaltinis: Lietuvos statistikos departamentas</w:t>
      </w:r>
    </w:p>
    <w:p>
      <w:pPr>
        <w:rPr>
          <w:sz w:val="20"/>
        </w:rPr>
      </w:pPr>
    </w:p>
    <w:p>
      <w:pPr>
        <w:spacing w:line="276" w:lineRule="auto"/>
        <w:ind w:firstLine="709"/>
        <w:jc w:val="both"/>
        <w:rPr>
          <w:rFonts w:eastAsia="Calibri"/>
          <w:szCs w:val="22"/>
        </w:rPr>
      </w:pPr>
      <w:r>
        <w:rPr>
          <w:rFonts w:eastAsia="Calibri"/>
          <w:szCs w:val="22"/>
        </w:rPr>
        <w:t>4.2.2</w:t>
      </w:r>
      <w:r>
        <w:rPr>
          <w:rFonts w:eastAsia="Calibri"/>
          <w:szCs w:val="22"/>
        </w:rPr>
        <w:t>. Kauno miesto (kaip ir kitų didžiųjų miestų) gyventojų išsikėlimo į užmiestį tendencijas galima įvertinti analizuojant keletą apie didžiuosius miestus ir gretimas savivaldybes pateikiamų rodiklių (neto migraciją, atvykusių gyventojų skaičių, gyventojų amžiaus struktūros pokyčius ir kt.) iš kurių bene tiksliausiai faktinės miesto plėtros į priemiestį mastą rodo bendras gyventojų skaičiaus pokytis priemiestinėje teritorijoje, naujų butų statyba ir agreguotas gyventojų skaičiaus kaitos rodiklis (naujai atvykusių gyventojų dalis bendrame gyventojų skaičiuje) aplink didžiuosius miestus išsidėsčiusiose savivaldybėse, kurių administracinėmis ribomis eina didžioji dalis vieno iš didžiųjų miestų administracinės ribos, t. y. Kauno, Klaipėdos, Panevėžio, Šiaulių ir Vilniaus rajonų savivaldybėse (toliau – žiedinės savivaldybės);</w:t>
      </w:r>
    </w:p>
    <w:p>
      <w:pPr>
        <w:rPr>
          <w:sz w:val="20"/>
        </w:rPr>
      </w:pPr>
    </w:p>
    <w:p>
      <w:pPr>
        <w:spacing w:line="276" w:lineRule="auto"/>
        <w:jc w:val="both"/>
        <w:rPr>
          <w:rFonts w:eastAsia="Calibri"/>
          <w:szCs w:val="22"/>
        </w:rPr>
      </w:pPr>
      <w:r>
        <w:rPr>
          <w:rFonts w:eastAsia="Calibri"/>
          <w:szCs w:val="22"/>
          <w:lang w:eastAsia="lt-LT"/>
        </w:rPr>
        <w:drawing>
          <wp:inline distT="0" distB="0" distL="0" distR="0">
            <wp:extent cx="6120130" cy="2675255"/>
            <wp:effectExtent l="0" t="0" r="13970" b="10795"/>
            <wp:docPr id="27" name="Diagrama 27"/>
            <wp:cNvGraphicFramePr/>
            <a:graphic xmlns:a="http://schemas.openxmlformats.org/drawingml/2006/main">
              <a:graphicData uri="http://schemas.openxmlformats.org/drawingml/2006/chart">
                <c:chart xmlns:c="http://schemas.openxmlformats.org/drawingml/2006/chart" r:id="rId18"/>
              </a:graphicData>
            </a:graphic>
          </wp:inline>
        </w:drawing>
      </w:r>
    </w:p>
    <w:p>
      <w:pPr>
        <w:rPr>
          <w:sz w:val="20"/>
        </w:rPr>
      </w:pPr>
    </w:p>
    <w:p>
      <w:pPr>
        <w:spacing w:line="276" w:lineRule="auto"/>
        <w:ind w:firstLine="709"/>
        <w:jc w:val="center"/>
        <w:rPr>
          <w:rFonts w:eastAsia="Calibri"/>
          <w:b/>
          <w:szCs w:val="22"/>
        </w:rPr>
      </w:pPr>
      <w:r>
        <w:rPr>
          <w:rFonts w:eastAsia="Calibri"/>
          <w:b/>
          <w:szCs w:val="22"/>
        </w:rPr>
        <w:t>4 pav. Gyventojų skaičiaus kaita miestuose ir žiedinėse savivaldybėse 2001–2014 m.</w:t>
      </w:r>
    </w:p>
    <w:p>
      <w:pPr>
        <w:rPr>
          <w:sz w:val="10"/>
          <w:szCs w:val="10"/>
        </w:rPr>
      </w:pPr>
    </w:p>
    <w:p>
      <w:pPr>
        <w:spacing w:line="276" w:lineRule="auto"/>
        <w:ind w:firstLine="709"/>
        <w:jc w:val="both"/>
        <w:rPr>
          <w:szCs w:val="24"/>
        </w:rPr>
      </w:pPr>
      <w:r>
        <w:rPr>
          <w:rFonts w:eastAsia="Calibri"/>
          <w:szCs w:val="24"/>
        </w:rPr>
        <w:t>4.2.3</w:t>
      </w:r>
      <w:r>
        <w:rPr>
          <w:rFonts w:eastAsia="Calibri"/>
          <w:szCs w:val="24"/>
        </w:rPr>
        <w:t>. n</w:t>
      </w:r>
      <w:r>
        <w:rPr>
          <w:szCs w:val="24"/>
        </w:rPr>
        <w:t>epaisant to, kad teigiama neto vidaus migracija būdinga visoms žiedinėms savivaldybėms (į jas atvyksta daugiau gyventojų, keičiančių gyvenamąją vietą šalies viduje, negu išvyksta), tik 3 iš šių savivaldybių bendras gyventojų skaičiaus pokytis buvo teigiamas. Didžiausias santykinis gyventojų skaičiaus pokytis (lyginant su atitinkamoje savivaldybėje 2001 m. gyvenusių asmenų skaičiumi, žr. 4 pav.) buvo Klaipėdos rajono savivaldybėje, kurioje gyventojų skaičius 2001–2014 m. padidėjo apie 6,7 tūkst., arba 14,4 proc., Kauno rajono savivaldybės gyventojų skaičius tuo pačiu laikotarpiu padidėjo 7 tūkst. arba 8,6 proc., Vilniaus rajono 7,1 tūkst. arba 8,1 proc.). Vertinant absoliutine išraiška, trijų miestų – Vilniaus, Kauno ir Klaipėdos miestų priemiestinės teritorijos buvo urbanizuojamos panašiu intensyvumu (gyventojų skaičiaus augimas siekė nuo 6,7 tūkst. iki 7,1 tūkst. asmenų).</w:t>
      </w:r>
      <w:r>
        <w:rPr>
          <w:rFonts w:eastAsia="Calibri"/>
          <w:color w:val="000000"/>
          <w:szCs w:val="24"/>
        </w:rPr>
        <w:t xml:space="preserve"> Intensyviai urbanizacijai Kauno miesto prieigose prielaidas sudaro Kauno rajono savivaldybėje istoriškai susiformavusi priemiesčių gyvenamoji sistema, dėl kurios netoli nuo Kauno miesto esančios gyvenamosios vietovės (pvz., Raudondvaris, Kulautuva, Domeikava, Ramučiai, Akademija, Ringaudai ir kt.) turi gerą susisiekimo ir inžinerinę infrastruktūrą, jų gyventojai be didesnių kliūčių gali naudotis ir Kauno mieste prieinamomis paslaugomis ir dirbti Kaune. Šiose vietovėse stebimas gyventojų skaičiaus augimas, jos tampa itin patrauklios gyventi Kauno mieste dirbantiems gyventojams ir dėl tos priežasties, kad Kauno miesto savivaldybės administracinėse ribose yra santykinai nedaug naujiems individualiems gyvenamiesiems namams statyti tinkamų teritorijų (administracinė Kauno miesto savivaldybės riba iš esmės eina ties kompaktiškai daugiabučiais gyvenamaisiais namais XX a. VI-IX dešimtmečiais užstatytų mikrorajonų riba);</w:t>
      </w:r>
    </w:p>
    <w:p>
      <w:pPr>
        <w:spacing w:line="276" w:lineRule="auto"/>
        <w:ind w:firstLine="709"/>
        <w:jc w:val="both"/>
        <w:rPr>
          <w:rFonts w:eastAsia="Calibri"/>
          <w:szCs w:val="22"/>
        </w:rPr>
      </w:pPr>
      <w:r>
        <w:rPr>
          <w:rFonts w:eastAsia="Calibri"/>
          <w:szCs w:val="22"/>
        </w:rPr>
        <w:t>4.2.4</w:t>
      </w:r>
      <w:r>
        <w:rPr>
          <w:rFonts w:eastAsia="Calibri"/>
          <w:szCs w:val="22"/>
        </w:rPr>
        <w:t>. 2001–2014 m. laikotarpiu vidutinis į Kauno rajono savivaldybę kasmet atvykstančių gyventojų skaičius siekė 3 tūkst. gyventojų per metus, arba vidutiniškai 3,6 proc. atitinkamų metų pradžioje savivaldybėje gyvenusių gyventojų skaičiaus (palyginimui, šalyje 2001–2014 m. šis rodiklis vidutiniškai siekė 2 proc.). Tai yra, gyventojų kaita aplink Kauno miestą vyksta beveik du kartus sparčiau, negu vidutiniškai šalyje. Tokiu tempu keičiantis Kauno rajono savivaldybės gyventojų sudėčiai, nuo 2001 m. naujai atvykusių gyventojų skaičius konservatyviu vertinimu (žr. 5 pav.) gali siekti iki 38 proc. visų Kauno rajono savivaldybės gyventojų (32,5 tūkst.), iš kurių beveik 16 tūkst. yra gyventojai, anksčiau gyvenę Kauno mieste (įvertinus skirtingas migracijos kryptis pasirenkančių gyventojų tikimybinį pasiskirstymą, potencialių migrantų grupės dydį, iš skirtingų Lietuvos teritorijų išvykstančių ir atvykstančių gyventojų skaičių, emigracijos į užsienį ar pakartotinės migracijos Lietuvoje arba grįžimo į buvusią gyvenamą vietą tikimybę ir mirtingumą skirtingose amžiaus grupėse ir kt. veiksnius);</w:t>
      </w:r>
    </w:p>
    <w:p>
      <w:pPr>
        <w:rPr>
          <w:sz w:val="20"/>
        </w:rPr>
      </w:pPr>
    </w:p>
    <w:p>
      <w:pPr>
        <w:spacing w:line="276" w:lineRule="auto"/>
        <w:ind w:firstLine="709"/>
        <w:jc w:val="both"/>
        <w:rPr>
          <w:rFonts w:eastAsia="Calibri"/>
          <w:szCs w:val="22"/>
        </w:rPr>
      </w:pPr>
    </w:p>
    <w:p>
      <w:pPr>
        <w:rPr>
          <w:sz w:val="20"/>
        </w:rPr>
      </w:pPr>
    </w:p>
    <w:p>
      <w:pPr>
        <w:spacing w:line="276" w:lineRule="auto"/>
        <w:jc w:val="both"/>
        <w:rPr>
          <w:rFonts w:eastAsia="Calibri"/>
          <w:szCs w:val="22"/>
        </w:rPr>
      </w:pPr>
      <w:r>
        <w:rPr>
          <w:rFonts w:eastAsia="Calibri"/>
          <w:szCs w:val="22"/>
          <w:lang w:eastAsia="lt-LT"/>
        </w:rPr>
        <w:drawing>
          <wp:inline distT="0" distB="0" distL="0" distR="0">
            <wp:extent cx="6120130" cy="3776980"/>
            <wp:effectExtent l="0" t="0" r="13970" b="13970"/>
            <wp:docPr id="18" name="Diagrama 18"/>
            <wp:cNvGraphicFramePr/>
            <a:graphic xmlns:a="http://schemas.openxmlformats.org/drawingml/2006/main">
              <a:graphicData uri="http://schemas.openxmlformats.org/drawingml/2006/chart">
                <c:chart xmlns:c="http://schemas.openxmlformats.org/drawingml/2006/chart" r:id="rId19"/>
              </a:graphicData>
            </a:graphic>
          </wp:inline>
        </w:drawing>
      </w:r>
    </w:p>
    <w:p>
      <w:pPr>
        <w:rPr>
          <w:sz w:val="20"/>
        </w:rPr>
      </w:pPr>
    </w:p>
    <w:p>
      <w:pPr>
        <w:spacing w:line="276" w:lineRule="auto"/>
        <w:ind w:firstLine="709"/>
        <w:jc w:val="center"/>
        <w:rPr>
          <w:rFonts w:eastAsia="Calibri"/>
          <w:b/>
          <w:szCs w:val="22"/>
        </w:rPr>
      </w:pPr>
      <w:r>
        <w:rPr>
          <w:rFonts w:eastAsia="Calibri"/>
          <w:b/>
          <w:szCs w:val="22"/>
        </w:rPr>
        <w:t>5 pav. Gyventojų kaita didžiuosiuose miestuose ir žiedinėse savivaldybėse (gyventojų grupės dalis gyventojų skaičiuje, 2015 m. sausio 1 d.)</w:t>
      </w:r>
    </w:p>
    <w:p>
      <w:pPr>
        <w:rPr>
          <w:sz w:val="10"/>
          <w:szCs w:val="10"/>
        </w:rPr>
      </w:pPr>
    </w:p>
    <w:p>
      <w:pPr>
        <w:spacing w:line="276" w:lineRule="auto"/>
        <w:ind w:firstLine="709"/>
        <w:jc w:val="both"/>
        <w:rPr>
          <w:rFonts w:eastAsia="Calibri"/>
          <w:szCs w:val="22"/>
        </w:rPr>
      </w:pPr>
      <w:r>
        <w:rPr>
          <w:rFonts w:eastAsia="Calibri"/>
          <w:szCs w:val="22"/>
        </w:rPr>
        <w:t>4.2.5</w:t>
      </w:r>
      <w:r>
        <w:rPr>
          <w:rFonts w:eastAsia="Calibri"/>
          <w:szCs w:val="22"/>
        </w:rPr>
        <w:t>. iš Kauno miesto į priemiestį 2001–2014 m. išvykusių gyventojų skaičius siekė apie 20 tūkst. (5,3 proc. Kauno miesto gyventojų) ir šis procesas jau įgavo ir aiškiai stebimus ekonominius padarinius ir neigiamus pokyčius gyventojų demografinėje struktūroje (demografinį senėjimą), pirmiausiai dėl to, kad į priemiestį paprastai išsikelia aukštesnes pajamas gaunantys gyventojai, jaunos šeimos su vaikais:</w:t>
      </w:r>
    </w:p>
    <w:p>
      <w:pPr>
        <w:spacing w:line="276" w:lineRule="auto"/>
        <w:ind w:firstLine="709"/>
        <w:jc w:val="both"/>
        <w:rPr>
          <w:rFonts w:eastAsia="Calibri"/>
          <w:szCs w:val="22"/>
        </w:rPr>
      </w:pPr>
      <w:r>
        <w:rPr>
          <w:rFonts w:eastAsia="Calibri"/>
          <w:szCs w:val="22"/>
        </w:rPr>
        <w:t>4.2.5.1</w:t>
      </w:r>
      <w:r>
        <w:rPr>
          <w:rFonts w:eastAsia="Calibri"/>
          <w:szCs w:val="22"/>
        </w:rPr>
        <w:t xml:space="preserve">.  iš miesto išsikraustančius gyventojus seka prekybos ir paslaugų įmonės, dažnai iškeliama ir gamybinė veikla – tai aiškiai iliustruoja darbo vietų skaičiaus Kauno rajono savivaldybėje veikiančiose įmonėse augimas, kuris 2011–2014 m. siekė 44,1 proc. (6,2 tūkst.) (kuomet Kauno mieste tuo pačiu laikotarpiu vos 3,1 proc. (3,8 tūkst.);</w:t>
      </w:r>
    </w:p>
    <w:p>
      <w:pPr>
        <w:spacing w:line="276" w:lineRule="auto"/>
        <w:ind w:firstLine="709"/>
        <w:jc w:val="both"/>
        <w:rPr>
          <w:rFonts w:eastAsia="Calibri"/>
          <w:szCs w:val="22"/>
        </w:rPr>
      </w:pPr>
      <w:r>
        <w:rPr>
          <w:rFonts w:eastAsia="Calibri"/>
          <w:szCs w:val="22"/>
        </w:rPr>
        <w:t>4.2.5.2</w:t>
      </w:r>
      <w:r>
        <w:rPr>
          <w:rFonts w:eastAsia="Calibri"/>
          <w:szCs w:val="22"/>
        </w:rPr>
        <w:t>. Kauno miesto savivaldybėje demografinės senatvės koeficientas (pagyvenusių asmenų ir vaikų santykis išreikštas procentine skale) 2006–2014 m. pablogėjo 36 punktais (nuo 103 2006 m. iki 139 2014 m.), t. y. gyventojų amžiaus struktūra pasikeitė nuo subalansuotos (kuomet pagyvenusių asmenų ir vaikų buvo beveik po lygiai) į gyventojų amžiaus struktūrą, neužtikrinančią teigiamos natūralios kaitos (pagyvenusių asmenų skaičius vaikų skaičių viršija 39 proc.). 2014 m. Kauno miesto savivaldybėje demografinės senatvės koeficientas ir šio rodiklio pokytis nuo 2006 m. buvo didesnis tiek lyginant su šalies rodikliu (126, pokytis 28 punktai), tiek su visų didžiųjų miestų, išskyrus Panevėžį (142, pokytis 48 punktai), rodikliais.</w:t>
      </w:r>
    </w:p>
    <w:p>
      <w:pPr>
        <w:spacing w:line="276" w:lineRule="auto"/>
        <w:ind w:firstLine="709"/>
        <w:jc w:val="both"/>
        <w:rPr>
          <w:rFonts w:eastAsia="Calibri"/>
          <w:szCs w:val="22"/>
        </w:rPr>
      </w:pPr>
      <w:r>
        <w:rPr>
          <w:rFonts w:eastAsia="Calibri"/>
          <w:szCs w:val="22"/>
        </w:rPr>
        <w:t>4.3</w:t>
      </w:r>
      <w:r>
        <w:rPr>
          <w:rFonts w:eastAsia="Calibri"/>
          <w:szCs w:val="22"/>
        </w:rPr>
        <w:t>. Gyventojų skaičiaus mažėjimas ir gyventojų amžiaus struktūros pokyčiai sukelia papildomas socialines ir sveikatos problemas: senstant populiacijai mažėja dirbančių žmonių, didėja sveikatos priežiūros ir socialinės globos paslaugų poreikis bei išlaidos sveikatos priežiūrai, nes didėja sergamumas, ypač lėtinėmis neinfekcinėmis ligomis. Kauno mieste ši tendencija fiksuojama jau ne pirmus metus. Lėtinės neinfekcinės ligos (širdies ir kraujagyslių ligos, diabetas, lėtinės plaučių ligos ir t.t.) yra dažniausia gyventojų mirties priežastis. Žmonės suserga neužkrečiamosiomis ligomis dėl genetinių, biologinių, aplinkos veiksnių, netinkamo gyvenimo būdo. Neracionali mityba, alkoholio vartojimas, stresas ir mažas fizinis aktyvumas per artimiausius dešimtmečius gali nulemti dar didesnį šių ligų augimo mastą:</w:t>
      </w:r>
    </w:p>
    <w:p>
      <w:pPr>
        <w:spacing w:line="276" w:lineRule="auto"/>
        <w:ind w:firstLine="709"/>
        <w:jc w:val="both"/>
        <w:rPr>
          <w:rFonts w:eastAsia="Calibri"/>
          <w:szCs w:val="22"/>
        </w:rPr>
      </w:pPr>
      <w:r>
        <w:rPr>
          <w:rFonts w:eastAsia="Calibri"/>
          <w:szCs w:val="22"/>
        </w:rPr>
        <w:t>4.3.1</w:t>
      </w:r>
      <w:r>
        <w:rPr>
          <w:rFonts w:eastAsia="Calibri"/>
          <w:szCs w:val="22"/>
        </w:rPr>
        <w:t>.</w:t>
        <w:tab/>
        <w:t xml:space="preserve">2013 m. užregistruotas didžiausias sergamumas kraujotakos sistemos ligomis Kauno mieste tarp vyresnių nei 65 m. amžiaus asmenų. Šis rodiklis, lyginant su 2012 m., išaugo daugiau nei dvigubai. Rodiklio augimas pastebimas ir kitose amžiaus grupėse. Didėja sergamumas psichikos ir elgesio sutrikimais Kauno mieste tiek vyresnių nei 65 m. amžiaus asmenų, tiek ir kitose  amžiaus grupėse. Stipriai išaugo sergamumas ir cukriniu diabetu: 2013 m. vyresnių nei 65 m. amžiaus grupėje užregistruota net 1 575 cukrinio diabeto atvejai, tenkantys 100 000 gyventojų, kuomet 2012 m. buvo užregistruota 811 cukrinio diabeto atvejų, tenkančių 100 000 gyventojų. Asmenų, kuriems užregistruota trauma, skaičius iki 2013 m. tendencingai didėjo, kur ypatingas didėjimas buvo pastebėtas 2013 m. Tarp Kauno miesto gyventojų didėja sergamumas kvėpavimo sistemos ligomis. Vyresnių nei 65 m. amžiaus grupėje šis rodiklis 2013 m. siekė 14 674 atvejus, tenkančius 100 000 gyventojų. Siekiant gerinti sergamumo rodiklius būtinos prevencinės priemonės, skatinančios žmonių savimonę ir sveiką senėjimą Kauno mieste;</w:t>
      </w:r>
    </w:p>
    <w:p>
      <w:pPr>
        <w:spacing w:line="276" w:lineRule="auto"/>
        <w:ind w:firstLine="709"/>
        <w:jc w:val="both"/>
        <w:rPr>
          <w:rFonts w:eastAsia="Calibri"/>
          <w:szCs w:val="22"/>
        </w:rPr>
      </w:pPr>
      <w:r>
        <w:rPr>
          <w:rFonts w:eastAsia="Calibri"/>
          <w:szCs w:val="22"/>
        </w:rPr>
        <w:t>4.3.2</w:t>
      </w:r>
      <w:r>
        <w:rPr>
          <w:rFonts w:eastAsia="Calibri"/>
          <w:szCs w:val="22"/>
        </w:rPr>
        <w:t>.</w:t>
        <w:tab/>
        <w:t>dėl neigiamų demografinių tendencijų, mažėjant gyventojų skaičiui ir didėjant virš 65 m. amžiaus gyventojų daliai, sparčiai didėja vyresnių nei 65 m. amžiaus pacientų dalis. Siekiant plėsti teikiamų paslaugų spektrą vyresnio amžiaus žmonėms, reikalingos patalpos ambulatorinės paliatyviosios pagalbos paslaugoms teikti konsultuojant ligonius ir jų artimuosius asmens sveikatos priežiūros įstaigose. Kasmet didėjant vyresnių asmenų daliai bendroje prisirašiusių pacientų struktūroje, VšĮ Kauno Kalniečių ir VšĮ Kauno centro poliklinikos susiduria su neįgalių ir vyresnio amžiaus asmenų nepasitenkinimu dėl apsunkinto fizinio sveikatos priežiūros paslaugų prieinamumo bei tikslinių grupių (turinčių negalią ir vyresnio amžiaus) asmenų apsilankymų pas šeimos gydytoją skaičiaus (tenkančio vienam gyventojui) ir prevencinių programų dalyvių aktyvumo mažėjimu. Dažnai poliklinikose sanitariniai higieniniai mazgai ir registratūros nepritaikytos specialiesiems neįgaliųjų asmenų poreikiams ir yra nepatogios laukiantiems pacientams, o pastatuose nebūna lifto ir jam tinkamų prievažų ir prieigų. Taip ribojamas fizinis sveikatos priežiūros paslaugų prieinamumas neįgaliesiems bei vyresnio amžiaus asmenims ir nesudaromos sąlygos funkciniam neįgaliojo asmens savarankiškumui (be lydinčio asmens). Siekiant užtikrinti VšĮ Kauno Kalniečių ir VšĮ Kauno centro poliklinikose teikiamų paslaugų spektrą vyresnio amžiaus žmonėms, būtinas išorinės ir vidinės aplinkos pritaikymas neįgaliesiems ir vyresnio amžiaus žmonėms (neįgaliųjų patekimo į polikliniką (aikštelių, šaligatvių, pandusų, dangos, bortelių, laiptų ir kt), registratūros, laukiamųjų, kabinetų, laiptinių, durų, tualetų, lifto pritaikymas vyresnio amžiaus ir žmonėms turintiems negalią).</w:t>
      </w:r>
    </w:p>
    <w:p>
      <w:pPr>
        <w:spacing w:line="276" w:lineRule="auto"/>
        <w:ind w:firstLine="709"/>
        <w:jc w:val="both"/>
        <w:rPr>
          <w:rFonts w:eastAsia="Calibri"/>
          <w:szCs w:val="22"/>
        </w:rPr>
      </w:pPr>
      <w:r>
        <w:rPr>
          <w:rFonts w:eastAsia="Calibri"/>
          <w:szCs w:val="22"/>
        </w:rPr>
        <w:t>4.4</w:t>
      </w:r>
      <w:r>
        <w:rPr>
          <w:rFonts w:eastAsia="Calibri"/>
          <w:szCs w:val="22"/>
        </w:rPr>
        <w:t>.</w:t>
        <w:tab/>
        <w:t>Kauno regiono makroekonominiai ir makrosocialiniai rodikliai, taip pat ir paties Kauno miesto įmonių dirbančiųjų struktūra lemia tai, kad išorinių veiksnių (šalies ir Kauno regiono mastu) formuojamos Kauno miesto raidos tendencijos be ženklių nukrypimų atkartoja bendrąsias šalies raidos tendencijas ir problemas (lėtai mažėjantį nedarbą, žemas pajamas ir to nulemtą ekonominę migraciją):</w:t>
      </w:r>
    </w:p>
    <w:p>
      <w:pPr>
        <w:spacing w:line="276" w:lineRule="auto"/>
        <w:ind w:firstLine="709"/>
        <w:jc w:val="both"/>
        <w:rPr>
          <w:rFonts w:eastAsia="Calibri"/>
          <w:szCs w:val="22"/>
        </w:rPr>
      </w:pPr>
      <w:r>
        <w:rPr>
          <w:rFonts w:eastAsia="Calibri"/>
          <w:szCs w:val="22"/>
        </w:rPr>
        <w:t>4.4.1</w:t>
      </w:r>
      <w:r>
        <w:rPr>
          <w:rFonts w:eastAsia="Calibri"/>
          <w:szCs w:val="22"/>
        </w:rPr>
        <w:t>.</w:t>
        <w:tab/>
        <w:t>Kauno regionas, kuriame išsidėstęs Kauno miestas, (lyginant su bendraisiais šalies rodikliais) pasižymi panašia į vyraujančią Lietuvoje ekonomine, socialine ir demografine struktūra – Kauno regiono BVP/gyv. 2014 m. siekė 98,7 proc. šalies vidurkio, BVP augimas 2011–2014 m. – 10,7 proc. (šalyje 10,8 proc.), užimtųjų ir darbingo amžiaus gyventojų santykis – 75,7 proc. (šalyje – 72,5 proc.), medianinis gyventojų amžius 2014 m. – 42 metai (lygus šalies rodikliui), įmonių dirbančiųjų struktūra (žr. 6 pav.) iš esmės atkartoja šalies įmonių dirbančiųjų struktūrą;</w:t>
      </w:r>
    </w:p>
    <w:p>
      <w:pPr>
        <w:spacing w:line="276" w:lineRule="auto"/>
        <w:ind w:firstLine="709"/>
        <w:jc w:val="both"/>
        <w:rPr>
          <w:rFonts w:eastAsia="Calibri"/>
          <w:szCs w:val="22"/>
        </w:rPr>
      </w:pPr>
      <w:r>
        <w:rPr>
          <w:rFonts w:eastAsia="Calibri"/>
          <w:szCs w:val="22"/>
        </w:rPr>
        <w:t>4.4.2</w:t>
      </w:r>
      <w:r>
        <w:rPr>
          <w:rFonts w:eastAsia="Calibri"/>
          <w:szCs w:val="22"/>
        </w:rPr>
        <w:t>.</w:t>
        <w:tab/>
        <w:t>artima vidutinei šalyje 2013 m. buvo ir Kauno miesto įmonių dirbančiųjų struktūra (žr. 7 pav.), įmonių dirbančiųjų dalis tradiciniuose ūkio sektoriuose pramonėje ir statyboje buvo beveik tokia pati kaip šalyje (atitinkamai 35 ir 34 proc.), šiuo aspektu Kauno miesto savivaldybė užėmė vidurinę poziciją tarp aiškiai vyraujančių prekybos ir paslaugų sektoriumi pasižyminčių Vilniaus miesto savivaldybės ir Klaipėdos miesto savivaldybės (kurioje didelę dalį išplėtotų paslaugų sudaro transporto ir saugojimo paslaugos) bei Šiaulių ir Panevėžio miestų savivaldybių, pasižyminčių vyraujančia tradicinės pramonės (apdirbamosios gamybos) veikla. Vienintelis ūkio sektorius, kuriame Kauno miesto savivaldybės rodiklis ženkliau išsiskyrė, buvo prekyba (29 proc. įmonių dirbančiųjų, šalyje vidutiniškai – 26 proc.);</w:t>
      </w:r>
    </w:p>
    <w:p>
      <w:pPr>
        <w:ind w:firstLine="709"/>
        <w:rPr>
          <w:rFonts w:eastAsia="Calibri"/>
          <w:szCs w:val="22"/>
        </w:rPr>
      </w:pPr>
      <w:r>
        <w:rPr>
          <w:rFonts w:eastAsia="Calibri"/>
          <w:szCs w:val="22"/>
        </w:rPr>
        <w:br w:type="page"/>
      </w:r>
    </w:p>
    <w:p>
      <w:pPr>
        <w:rPr>
          <w:sz w:val="20"/>
        </w:rPr>
      </w:pPr>
    </w:p>
    <w:p>
      <w:pPr>
        <w:spacing w:line="276" w:lineRule="auto"/>
        <w:jc w:val="both"/>
        <w:rPr>
          <w:rFonts w:eastAsia="Calibri"/>
          <w:szCs w:val="22"/>
        </w:rPr>
      </w:pPr>
      <w:r>
        <w:rPr>
          <w:rFonts w:eastAsia="Calibri"/>
          <w:szCs w:val="22"/>
          <w:lang w:eastAsia="lt-LT"/>
        </w:rPr>
        <w:drawing>
          <wp:inline distT="0" distB="0" distL="0" distR="0">
            <wp:extent cx="6076950" cy="2914650"/>
            <wp:effectExtent l="0" t="0" r="0" b="0"/>
            <wp:docPr id="1" name="Diagrama 1"/>
            <wp:cNvGraphicFramePr/>
            <a:graphic xmlns:a="http://schemas.openxmlformats.org/drawingml/2006/main">
              <a:graphicData uri="http://schemas.openxmlformats.org/drawingml/2006/chart">
                <c:chart xmlns:c="http://schemas.openxmlformats.org/drawingml/2006/chart" r:id="rId20"/>
              </a:graphicData>
            </a:graphic>
          </wp:inline>
        </w:drawing>
      </w:r>
    </w:p>
    <w:p>
      <w:pPr>
        <w:rPr>
          <w:sz w:val="20"/>
        </w:rPr>
      </w:pPr>
    </w:p>
    <w:p>
      <w:pPr>
        <w:spacing w:line="276" w:lineRule="auto"/>
        <w:ind w:firstLine="709"/>
        <w:jc w:val="center"/>
        <w:rPr>
          <w:rFonts w:eastAsia="Calibri"/>
          <w:b/>
          <w:szCs w:val="22"/>
        </w:rPr>
      </w:pPr>
      <w:r>
        <w:rPr>
          <w:rFonts w:eastAsia="Calibri"/>
          <w:b/>
          <w:szCs w:val="22"/>
        </w:rPr>
        <w:t>6 pav. Įmonių dirbančiųjų struktūra (proc.) Kauno regione ir Lietuvoje (2013 m.). Šaltinis: Lietuvos statistikos departamentas</w:t>
      </w:r>
    </w:p>
    <w:p>
      <w:pPr>
        <w:rPr>
          <w:sz w:val="20"/>
        </w:rPr>
      </w:pPr>
    </w:p>
    <w:p>
      <w:pPr>
        <w:spacing w:line="276" w:lineRule="auto"/>
        <w:jc w:val="center"/>
        <w:rPr>
          <w:rFonts w:eastAsia="Calibri"/>
          <w:b/>
          <w:szCs w:val="22"/>
        </w:rPr>
      </w:pPr>
      <w:r>
        <w:rPr>
          <w:rFonts w:eastAsia="Calibri"/>
          <w:szCs w:val="22"/>
          <w:lang w:eastAsia="lt-LT"/>
        </w:rPr>
        <w:drawing>
          <wp:inline distT="0" distB="0" distL="0" distR="0">
            <wp:extent cx="6086475" cy="3581400"/>
            <wp:effectExtent l="0" t="0" r="9525" b="0"/>
            <wp:docPr id="8" name="Diagrama 8"/>
            <wp:cNvGraphicFramePr/>
            <a:graphic xmlns:a="http://schemas.openxmlformats.org/drawingml/2006/main">
              <a:graphicData uri="http://schemas.openxmlformats.org/drawingml/2006/chart">
                <c:chart xmlns:c="http://schemas.openxmlformats.org/drawingml/2006/chart" r:id="rId21"/>
              </a:graphicData>
            </a:graphic>
          </wp:inline>
        </w:drawing>
      </w:r>
    </w:p>
    <w:p>
      <w:pPr>
        <w:rPr>
          <w:sz w:val="20"/>
        </w:rPr>
      </w:pPr>
    </w:p>
    <w:p>
      <w:pPr>
        <w:spacing w:line="276" w:lineRule="auto"/>
        <w:ind w:firstLine="709"/>
        <w:jc w:val="center"/>
        <w:rPr>
          <w:rFonts w:eastAsia="Calibri"/>
          <w:b/>
          <w:szCs w:val="22"/>
        </w:rPr>
      </w:pPr>
      <w:r>
        <w:rPr>
          <w:rFonts w:eastAsia="Calibri"/>
          <w:b/>
          <w:szCs w:val="22"/>
        </w:rPr>
        <w:t>7 pav. Įmonių dirbančiųjų struktūra (proc.) didžiuosiuose miestuose ir Lietuvoje (2013 m.). Šaltinis: Lietuvos statistikos departamentas</w:t>
      </w:r>
    </w:p>
    <w:p>
      <w:pPr>
        <w:rPr>
          <w:sz w:val="20"/>
        </w:rPr>
      </w:pPr>
    </w:p>
    <w:p>
      <w:pPr>
        <w:spacing w:line="276" w:lineRule="auto"/>
        <w:ind w:firstLine="709"/>
        <w:jc w:val="center"/>
        <w:rPr>
          <w:rFonts w:eastAsia="Calibri"/>
          <w:b/>
          <w:szCs w:val="22"/>
        </w:rPr>
      </w:pPr>
    </w:p>
    <w:p>
      <w:pPr>
        <w:rPr>
          <w:sz w:val="10"/>
          <w:szCs w:val="10"/>
        </w:rPr>
      </w:pPr>
    </w:p>
    <w:p>
      <w:pPr>
        <w:spacing w:line="276" w:lineRule="auto"/>
        <w:ind w:firstLine="709"/>
        <w:jc w:val="both"/>
        <w:rPr>
          <w:rFonts w:eastAsia="Calibri"/>
          <w:szCs w:val="22"/>
        </w:rPr>
      </w:pPr>
      <w:r>
        <w:rPr>
          <w:rFonts w:eastAsia="Calibri"/>
          <w:szCs w:val="22"/>
        </w:rPr>
        <w:t>4.4.3</w:t>
      </w:r>
      <w:r>
        <w:rPr>
          <w:rFonts w:eastAsia="Calibri"/>
          <w:szCs w:val="22"/>
        </w:rPr>
        <w:t>.</w:t>
        <w:tab/>
        <w:t xml:space="preserve"> 2009 m. ekonominis nuosmukis lėmė išaugusį nedarbo lygį visoje šalyje, bet šiuo aspektu Kauno miesto savivaldybė ypač neišsiskyrė – 2010 m. registruotų bedarbių ir darbingo amžiaus gyventojų santykis (toliau – registruotas nedarbas) Kauno miesto savivaldybėje buvo didžiausias per pastarąjį dešimtmetį ir pasiekė 13,9 proc. (Lietuvoje 15,9 proc.), o vėliau nuosekliai mažėjo – iki 8,2 proc. 2014 m. (Lietuvoje – 9,5 proc.). Registruoto nedarbo mažėjimo tempas 2011–2014 m. Kauno miesto savivaldybėje atitiko Lietuvos tendenciją (Kauno miesto savivaldybėje – 41 proc. Lietuvoje – 40 proc.), tačiau buvo lėtesnis negu kituose didžiuosiuose miestuose. 2010 m. registruotas nedarbas Kauno miesto savivaldybėje, lyginant su kitų didžiųjų miestų savivaldybėmis, buvo žemiausias (kartu su Šiaulių miesto savivaldybe), tačiau mažėjo lėčiausiai iš visų didžiųjų miestų savivaldybių, todėl jau 2012 m. Kauno miesto savivaldybės rodiklis buvo aukštesnis už Vilniaus, Klaipėdos ir Šiaulių miestų savivaldybių ir artėjo prie prasčiausio tarp didžiųjų miestų – Panevėžio miesto savivaldybės rodiklio;</w:t>
      </w:r>
    </w:p>
    <w:p>
      <w:pPr>
        <w:spacing w:line="276" w:lineRule="auto"/>
        <w:ind w:firstLine="709"/>
        <w:jc w:val="both"/>
        <w:rPr>
          <w:rFonts w:eastAsia="Calibri"/>
          <w:szCs w:val="22"/>
        </w:rPr>
      </w:pPr>
    </w:p>
    <w:p>
      <w:pPr>
        <w:spacing w:line="276" w:lineRule="auto"/>
        <w:jc w:val="both"/>
        <w:rPr>
          <w:rFonts w:eastAsia="Calibri"/>
          <w:szCs w:val="22"/>
        </w:rPr>
      </w:pPr>
      <w:r>
        <w:rPr>
          <w:rFonts w:eastAsia="Calibri"/>
          <w:szCs w:val="22"/>
          <w:lang w:eastAsia="lt-LT"/>
        </w:rPr>
        <w:drawing>
          <wp:inline distT="0" distB="0" distL="0" distR="0">
            <wp:extent cx="6332220" cy="3023235"/>
            <wp:effectExtent l="0" t="0" r="11430" b="5715"/>
            <wp:docPr id="7" name="Diagrama 7"/>
            <wp:cNvGraphicFramePr/>
            <a:graphic xmlns:a="http://schemas.openxmlformats.org/drawingml/2006/main">
              <a:graphicData uri="http://schemas.openxmlformats.org/drawingml/2006/chart">
                <c:chart xmlns:c="http://schemas.openxmlformats.org/drawingml/2006/chart" r:id="rId22"/>
              </a:graphicData>
            </a:graphic>
          </wp:inline>
        </w:drawing>
      </w:r>
    </w:p>
    <w:p>
      <w:pPr>
        <w:spacing w:line="276" w:lineRule="auto"/>
        <w:ind w:firstLine="709"/>
        <w:jc w:val="center"/>
        <w:rPr>
          <w:rFonts w:eastAsia="Calibri"/>
          <w:b/>
          <w:szCs w:val="22"/>
        </w:rPr>
      </w:pPr>
      <w:r>
        <w:rPr>
          <w:rFonts w:eastAsia="Calibri"/>
          <w:b/>
          <w:szCs w:val="22"/>
        </w:rPr>
        <w:t>8 pav. Registruotas nedarbas didžiuosiuose miestuose ir Lietuvoje. Šaltinis: Lietuvos statistikos departamentas, Lietuvos darbo birža</w:t>
      </w:r>
    </w:p>
    <w:p>
      <w:pPr>
        <w:spacing w:line="276" w:lineRule="auto"/>
        <w:ind w:firstLine="709"/>
        <w:jc w:val="both"/>
        <w:rPr>
          <w:rFonts w:eastAsia="Calibri"/>
          <w:szCs w:val="22"/>
        </w:rPr>
      </w:pPr>
      <w:r>
        <w:rPr>
          <w:rFonts w:eastAsia="Calibri"/>
          <w:szCs w:val="22"/>
        </w:rPr>
        <w:t>4.4.4</w:t>
      </w:r>
      <w:r>
        <w:rPr>
          <w:rFonts w:eastAsia="Calibri"/>
          <w:szCs w:val="22"/>
        </w:rPr>
        <w:t>.</w:t>
        <w:tab/>
        <w:t>prielaidų spartesniam nedarbo mažėjimui Kauno miesto savivaldybėje nesudarė lėtai augantis darbuotojų skaičius vietinėse įmonėse. Nors bendras registruotų bedarbių skaičius Kauno miesto savivaldybėje 2011–2014 m. sumažėjo 13,6 tūkst., darbuotojų skaičius veikiančiose įmonėse per tą patį laikotarpį padidėjo tik 3,8 tūkst., t. y. beveik 10 tūkst. ekonomiškai aktyvių gyventojų tiesiog išvyko į užsienį ar kitas Lietuvos savivaldybes (neįskaitant persikėlusių į Kauno rajono savivaldybę, tačiau likusių dirbti Kauno mieste), arba įsidarbino kitose savivaldybėse veikiančiose įmonėse. Darbuotojų skaičiaus veikiančiose įmonėse pokytis Kauno miesto savivaldybėje (3,1 proc.) buvo 2–3 kartus mažesnis lyginant tiek su kitais didžiaisiais miestais (jų rodikliai siekė nuo 6,3 proc. Panevėžio miesto savivaldybėje iki 11,6 proc. Vilniaus miesto savivaldybėje), tiek su bendru šalies rodikliu (8 proc.), tiek su kitų Kauno regiono savivaldybių rodikliu (11,8 proc.);</w:t>
      </w:r>
    </w:p>
    <w:p>
      <w:pPr>
        <w:spacing w:line="276" w:lineRule="auto"/>
        <w:ind w:firstLine="709"/>
        <w:jc w:val="both"/>
        <w:rPr>
          <w:rFonts w:eastAsia="Calibri"/>
          <w:szCs w:val="22"/>
        </w:rPr>
      </w:pPr>
      <w:r>
        <w:rPr>
          <w:rFonts w:eastAsia="Calibri"/>
          <w:szCs w:val="22"/>
        </w:rPr>
        <w:t>4.4.5</w:t>
      </w:r>
      <w:r>
        <w:rPr>
          <w:rFonts w:eastAsia="Calibri"/>
          <w:szCs w:val="22"/>
        </w:rPr>
        <w:t>.</w:t>
        <w:tab/>
        <w:t>darbo jėgos paklausa susijusi su ekonominiu ciklu (ekonomikos ciklo nulemtas visuminės paklausos ir pasiūlos augimas) ir nedarbo lygis ekonominio augimo sąlygomis yra esminiai darbo užmokesčio lygį ir pokyčius lemiantys veiksniai. T. y. didėjant visuminei paklausai, vidaus vartojimui ir (ar) eksportui ir mažėjant laisvos darbo jėgos kiekiui, didėja konkurencija tarp darbdavių ir tai lemia darbo užmokesčio augimą. Pastebima, kad Kauno miesto savivaldybėje mokamas bruto darbo užmokestis (679,8 Eur 2014 m.) iš esmės atitinka tą lygį, kurį būtų galima prognozuoti pagal Kauno regiono BVP/gyv. (abu rodikliai beveik lygūs šalies vidurkiui), o gana spartus bruto darbo užmokesčio didėjimas (15,6 proc. nuo 2011 iki 2014 m., antras geriausias rodiklis tarp didžiųjų miestų) gali būti paaiškintas mažėjančia darbo jėgos pasiūla dėl demografinių priežasčių;</w:t>
      </w:r>
    </w:p>
    <w:p>
      <w:pPr>
        <w:spacing w:line="276" w:lineRule="auto"/>
        <w:ind w:firstLine="709"/>
        <w:jc w:val="both"/>
        <w:rPr>
          <w:rFonts w:eastAsia="Calibri"/>
          <w:szCs w:val="22"/>
        </w:rPr>
      </w:pPr>
      <w:r>
        <w:rPr>
          <w:rFonts w:eastAsia="Calibri"/>
          <w:szCs w:val="22"/>
        </w:rPr>
        <w:t>4.4.6</w:t>
      </w:r>
      <w:r>
        <w:rPr>
          <w:rFonts w:eastAsia="Calibri"/>
          <w:szCs w:val="22"/>
        </w:rPr>
        <w:t>.</w:t>
        <w:tab/>
        <w:t>nepaisant gana spartaus darbo užmokesčio augimo pastaraisiais metais, bruto darbo užmokestis Kaune 2014 m. išliko pastebimai žemesnis negu Vilniuje ar Klaipėdoje (atitinkamai 17 ir 6 procentais), todėl, nors ir būdamas geografiniame Lietuvos centre, Kauno miestas neturi konkurencinio pranašumo pritraukiant darbo jėgą iš mažiau ekonomiškai išvystytų, aukšto nedarbo lygio teritorijų vakarinėje ar rytinėje Lietuvos dalyje. Vertinant neto vidaus migraciją kartu su aplink miestus išsidėsčiusiomis žiedinėmis savivaldybėmis (t. y. eliminavus miesto–priemiesčio migracijos srautus) pastebima, kad į Kauno miesto savivaldybę kartu su Kauno rajono savivaldybe iš kitų Lietuvos savivaldybių 2011–2014 m. atvyko 4 tūkst. gyventojų daugiau, negu išvyko. Tokį patį rodiklį turėjo Klaipėdos miesto savivaldybė kartu su Klaipėdos rajono savivaldybe, nepaisant beveik du kartus mažesnio gyventojų skaičiaus ir mažesnio aukštųjų mokyklų skaičiaus (Kauno miesto ir Kauno rajono savivaldybėse 2014 m. veikė 5 universitetai ir 6 kolegijos, Klaipėdos miesto savivaldybėje – 2 universitetai ir 4 kolegijos), Vilniaus miesto ir Vilniaus rajonų savivaldybių bendras neto vidaus migracijos rodiklis buvo net 4,5 karto aukštesnis (17,7 tūkst.). Prastesnius (neigiamus) neto vidaus migracijos rodiklius turėjo tik Šiauliai ir Panevėžys (su atitinkamomis žiedinėmis savivaldybėmis). Iš kitų savivaldybių atvykstantys gyventojai net iš dalies nekompensavo išvykstančių į užsienį Kauno miesto ir priemiesčių gyventojų skaičiaus, nes 2011–2014 m. bendra neto tarptautinė migracija Kauno miesto ir Kauno rajono savivaldybėje siekė –14,2 tūkst. gyventojų, vertinant absoliutine išraiška šis rodiklis buvo didžiausias tarp didžiųjų miestų (santykine išraiška, lyginant su gyventojų skaičiumi, šis rodiklis siekė -3,5 proc. visų gyventojų, panašius rodiklius turėjo ir Klaipėdos bei Šiaulių miestų savivaldybės, kartu su atitinkamomis žiedinėmis savivaldybėmis – -3,9 ir -3,8 proc., geresnius (nors ir dėl skirtingų priežasčių) – Vilniaus ir Panevėžio miestai kartu su atitinkamomis žiedinėmis savivaldybėmis – -2,1 ir -2,5 proc.).</w:t>
      </w:r>
    </w:p>
    <w:p>
      <w:pPr>
        <w:spacing w:line="276" w:lineRule="auto"/>
        <w:ind w:firstLine="709"/>
        <w:jc w:val="both"/>
        <w:rPr>
          <w:rFonts w:eastAsia="Calibri"/>
          <w:szCs w:val="22"/>
        </w:rPr>
      </w:pPr>
      <w:r>
        <w:rPr>
          <w:rFonts w:eastAsia="Calibri"/>
          <w:szCs w:val="22"/>
        </w:rPr>
        <w:t>4.5</w:t>
      </w:r>
      <w:r>
        <w:rPr>
          <w:rFonts w:eastAsia="Calibri"/>
          <w:szCs w:val="22"/>
        </w:rPr>
        <w:t>.</w:t>
        <w:tab/>
        <w:t>Aukštas verslumo ir užimtumo lygis:</w:t>
      </w:r>
    </w:p>
    <w:p>
      <w:pPr>
        <w:spacing w:line="276" w:lineRule="auto"/>
        <w:ind w:firstLine="709"/>
        <w:jc w:val="both"/>
        <w:rPr>
          <w:rFonts w:eastAsia="Calibri"/>
          <w:szCs w:val="22"/>
        </w:rPr>
      </w:pPr>
      <w:r>
        <w:rPr>
          <w:rFonts w:eastAsia="Calibri"/>
          <w:szCs w:val="22"/>
        </w:rPr>
        <w:t>4.5.1</w:t>
      </w:r>
      <w:r>
        <w:rPr>
          <w:rFonts w:eastAsia="Calibri"/>
          <w:szCs w:val="22"/>
        </w:rPr>
        <w:t>.</w:t>
        <w:tab/>
        <w:t>Kauno miesto savivaldybė 2015 m. pradžioje (kaip ir ankstesniais metais) pasižymėjo vienu didžiausių šalyje veikiančių įmonių skaičiumi, tiek absoliutiniu, tiek tenkančiu 1000 gyventojų (verslumo lygiu). 2015 m. pradžioje Kauno miesto savivaldybėje veikė 10,7 tūkst. įmonių (14 proc. visų Lietuvos įmonių), o veikiančių įmonių skaičius, tenkantis 1000 gyventojų siekė 35,5, tai buvo antras didžiausias rodiklis tarp didžiųjų miestų savivaldybių (po Vilniaus miesto savivaldybės, kurioje 1000 gyventojų teko 52,0 veikiančios įmonės), kiek žemesnis verslumo lygis buvo Klaipėdos miesto savivaldybėje (34,1); Šiaulių (27,5) ir Panevėžio (25,8) verslumo lygio rodikliai jau buvo ženkliai (atitinkamai 29 ir 38 procentais) žemesni. Lyginant su šalies rodikliu (26,2) Kauno miesto savivaldybėje verslumo lygis buvo aukštesnis 36 procentais;</w:t>
      </w:r>
    </w:p>
    <w:p>
      <w:pPr>
        <w:spacing w:line="276" w:lineRule="auto"/>
        <w:ind w:firstLine="709"/>
        <w:jc w:val="both"/>
        <w:rPr>
          <w:rFonts w:eastAsia="Calibri"/>
          <w:szCs w:val="22"/>
        </w:rPr>
      </w:pPr>
      <w:r>
        <w:rPr>
          <w:rFonts w:eastAsia="Calibri"/>
          <w:szCs w:val="22"/>
        </w:rPr>
        <w:t>4.5.2</w:t>
      </w:r>
      <w:r>
        <w:rPr>
          <w:rFonts w:eastAsia="Calibri"/>
          <w:szCs w:val="22"/>
        </w:rPr>
        <w:t>.</w:t>
        <w:tab/>
        <w:t xml:space="preserve">aukštas verslumo lygis (ir tai, kad dauguma Kauno miesto savivaldybėje, kaip ir kituose miestuose veikiančių įmonių yra darbo jėgai imlaus prekybos ar paslaugų sektoriaus) yra viena iš pagrindinių prielaidų, užtikrinančių aukštą užimtumo lygį Kauno miesto savivaldybėje. Kauno miesto savivaldybėje užimtųjų ir darbingo amžiaus gyventojų santykis (81,4 proc.), nepaisant gana lėtai mažėjančio registruoto nedarbo, buvo 8,9 proc. punkto aukštesnis už  šalies rodiklį (72,5 proc.), o tarp didžiųjų miestų geresnis rodiklis fiksuotas tik Klaipėdos miesto savivaldybėje (83,6 proc.). Išliekant registruoto nedarbo mažėjimo (o taip pat ir darbingo amžiaus gyventojų skaičiaus mažėjimo) tendencijai, Kauno miesto savivaldybė artimiausiais metais gali pasiekti optimalų užimtųjų ir darbingo amžiaus gyventojų santykį (iki 85–86 proc.), t. y. situaciją kuomet iš esmės visą likusią neužimtų gyventojų dalį lems vadinamasis „frikcinis“ nedarbas, kurį nuolat patiria 4-6 proc. darbingo amžiaus gyventojų (ši nedarbo rūšis egzistuoja nuolat, asmenims keičiant darbovietes, įsidarbinant absolventams, asmenims, atvykusiems iš kitų vietovių ir pan.), iki 10 proc. darbingo amžiaus gyventojų nedirbs ir neieškos darbo todėl, kad tam neturės objektyvaus poreikio (pvz. mokysis bendrojo lavinimo mokyklose, studijuos). Tačiau ir esant gerai užimtumo situacijai išliks santykinai nedidelės, tačiau gilią socialinę atskirtį patiriančios grupės (sergantys priklausomybės ligomis, buvę kaliniai, smurtą patiriantys asmenys ir kt.), kurių atžvilgiu kiekybinis darbo vietų pasiūlos didėjimas turi nedidelį poveikį.</w:t>
      </w:r>
    </w:p>
    <w:p>
      <w:pPr>
        <w:spacing w:line="276" w:lineRule="auto"/>
        <w:ind w:firstLine="709"/>
        <w:jc w:val="both"/>
        <w:rPr>
          <w:rFonts w:eastAsia="Calibri"/>
          <w:szCs w:val="22"/>
        </w:rPr>
      </w:pPr>
      <w:r>
        <w:rPr>
          <w:rFonts w:eastAsia="Calibri"/>
          <w:szCs w:val="22"/>
        </w:rPr>
        <w:t>4.6</w:t>
      </w:r>
      <w:r>
        <w:rPr>
          <w:rFonts w:eastAsia="Calibri"/>
          <w:szCs w:val="22"/>
        </w:rPr>
        <w:t>.</w:t>
        <w:tab/>
        <w:t>Nepakankamas investicinis patrauklumas:</w:t>
      </w:r>
    </w:p>
    <w:p>
      <w:pPr>
        <w:spacing w:line="276" w:lineRule="auto"/>
        <w:ind w:firstLine="709"/>
        <w:jc w:val="both"/>
        <w:rPr>
          <w:rFonts w:eastAsia="Calibri"/>
          <w:szCs w:val="22"/>
        </w:rPr>
      </w:pPr>
      <w:r>
        <w:rPr>
          <w:rFonts w:eastAsia="Calibri"/>
          <w:szCs w:val="22"/>
        </w:rPr>
        <w:t>4.6.1</w:t>
      </w:r>
      <w:r>
        <w:rPr>
          <w:rFonts w:eastAsia="Calibri"/>
          <w:szCs w:val="22"/>
        </w:rPr>
        <w:t>.</w:t>
        <w:tab/>
        <w:t>Kauno miesto savivaldybėje, kaip ir kitose didžiųjų miestų savivaldybėse (ir visoje šalyje) 2009–2010 m. laikotarpiu (ekonominės recesijos metu) pasireiškė ženklus materialinių investicijų kritimas; materialinių investicijų, tenkančių vienam gyventojui, apimtis Kauno miesto savivaldybėje sumažėjo 2,5 karto – nuo 2549 Eur 2008 m. iki 1010 Eur 2009 m. (absoliutine išraiška, nuo 860 iki 336 mln. Eur.), Lietuvoje per tą patį laikotarpį materialinės investicijos irgi sumažėjo, tačiau mažiau – vidutiniškai 1,8 karto. Spartesnį negu vidutiniškai šalyje materialinių investicijų kritimą Kauno miesto savivaldybėje galima paaiškinti tuo, kad ekonominio nuosmukio buvo ne tik pristabdytos įmonių investicijos, susijusios su gamybos ir paslaugų plėtra (dėl ekonominių sunkumų ar ekonominės padėties neapibrėžtumo), bet iš esmės sustojo ir nekilnojamojo turto vystymo projektai (panašios tendencijos pasireiškė ir Klaipėdos bei Vilniaus miestų savivaldybėse). 2010 m. materialinės investicijos Kauno miesto savivaldybėje, kitų didžiųjų miestų savivaldybėse ir visoje šalyje išliko stabiliai žemos (ženkliai nebekrito, tačiau ir nedidėjo). 2011 m. pasireiškė investicinių procesų suaktyvėjimas vykstant ekonominiam atsigavimui ir materialinės investicijos Kauno mieste nuosekliai didėjo iki 1850 Eur vienam gyventojui 2014 m. (absoliutine išraiška – apie 560 mln. Eur). Pastebėtina ir tai, kad iki 2014 m. nei Kauno miesto savivaldybės, nei kitų didžiųjų miestų savivaldybių ar bendras šalies materialinių investicijų rodiklis iki ekonominės recesijos buvusio lygio nepasiekė (iš esmės todėl, kad iki buvusios apimties neatsistatė investicijos, susijusios su nekilnojamojo turto operacijomis ir statyba, taip pat viešojo sektoriaus investicijos);</w:t>
      </w:r>
    </w:p>
    <w:p>
      <w:pPr>
        <w:spacing w:line="276" w:lineRule="auto"/>
        <w:ind w:firstLine="709"/>
        <w:jc w:val="both"/>
        <w:rPr>
          <w:rFonts w:eastAsia="Calibri"/>
          <w:szCs w:val="22"/>
        </w:rPr>
      </w:pPr>
      <w:r>
        <w:rPr>
          <w:rFonts w:eastAsia="Calibri"/>
          <w:szCs w:val="22"/>
        </w:rPr>
        <w:t>4.6.2</w:t>
      </w:r>
      <w:r>
        <w:rPr>
          <w:rFonts w:eastAsia="Calibri"/>
          <w:szCs w:val="22"/>
        </w:rPr>
        <w:t>.</w:t>
        <w:tab/>
        <w:t>pagal materialinių investicijų tenkančių vienam gyventojui apimtį Kauno miesto savivaldybė (kartu su Panevėžio ir Šiaulių miestų savivaldybėmis) priklausė savivaldybių grupei, kuriose materialinės investicijos, tenkančios vienam gyventojui buvo mažesnės už šalies vidurkį (2014 m. – 1908 Eur), tuo tarpu Vilniaus miesto ir Klaipėdos miesto savivaldybėse materialinės investicijos vienam gyventojui 2014 m. šalies vidurkį viršijo 77 ir 75 procentais. Vertinant materialinių investicijų struktūrą pagal ūkio sektorius (2013 m. rodiklius, žr. 9 pav.), pastebima, kad Kauno miesto savivaldybė pasižymėjo gana subalansuota (todėl tvaria) investicijų struktūra, nebuvo aiškiai vyraujančio sektoriaus, kaip pvz. Vilniaus miesto savivaldybės (nekilnojamojo turto operacijos), Klaipėdos miesto savivaldybės (transportas ir saugojimas) ar Panevėžio miesto savivaldybės (apdirbamoji gamyba) atvejais. Tačiau daugelyje sektorių, išskyrus didmeninę ir mažmeninę prekybą bei švietimo, sveikatos priežiūros ir kitą komunalinio ir socialinio aptarnavimo veiklą, investicijų vienam gyventojui apimtis buvo mažesnė negu kituose miestuose ar šalyje (žr. 10 pav.), t. y. daugiau nei kituose miestuose ir šalyje investuota į darbui imlius, tačiau nepasižyminčius sukuriama aukšta pridėtine verte ar mokamu aukštu darbo užmokesčiu sektorius;</w:t>
      </w:r>
    </w:p>
    <w:p>
      <w:pPr>
        <w:rPr>
          <w:rFonts w:eastAsia="Calibri"/>
          <w:szCs w:val="22"/>
        </w:rPr>
      </w:pPr>
      <w:r>
        <w:rPr>
          <w:rFonts w:eastAsia="Calibri"/>
          <w:szCs w:val="22"/>
          <w:lang w:eastAsia="lt-LT"/>
        </w:rPr>
        <w:drawing>
          <wp:inline distT="0" distB="0" distL="0" distR="0">
            <wp:extent cx="6296025" cy="5724525"/>
            <wp:effectExtent l="0" t="0" r="9525" b="9525"/>
            <wp:docPr id="13" name="Diagrama 13"/>
            <wp:cNvGraphicFramePr/>
            <a:graphic xmlns:a="http://schemas.openxmlformats.org/drawingml/2006/main">
              <a:graphicData uri="http://schemas.openxmlformats.org/drawingml/2006/chart">
                <c:chart xmlns:c="http://schemas.openxmlformats.org/drawingml/2006/chart" r:id="rId23"/>
              </a:graphicData>
            </a:graphic>
          </wp:inline>
        </w:drawing>
      </w:r>
    </w:p>
    <w:p>
      <w:pPr>
        <w:rPr>
          <w:sz w:val="20"/>
        </w:rPr>
      </w:pPr>
    </w:p>
    <w:p>
      <w:pPr>
        <w:spacing w:line="276" w:lineRule="auto"/>
        <w:ind w:firstLine="397"/>
        <w:jc w:val="center"/>
        <w:rPr>
          <w:rFonts w:eastAsia="Calibri"/>
          <w:b/>
          <w:szCs w:val="22"/>
        </w:rPr>
      </w:pPr>
      <w:r>
        <w:rPr>
          <w:rFonts w:eastAsia="Calibri"/>
          <w:b/>
          <w:szCs w:val="22"/>
        </w:rPr>
        <w:t>9 pav. Materialinių investicijų struktūra Kauno miesto savivaldybėje 2013 m. Šaltinis: Lietuvos statistikos departamentas</w:t>
      </w:r>
    </w:p>
    <w:p>
      <w:pPr>
        <w:rPr>
          <w:sz w:val="20"/>
        </w:rPr>
      </w:pPr>
    </w:p>
    <w:p>
      <w:pPr>
        <w:spacing w:line="276" w:lineRule="auto"/>
        <w:ind w:firstLine="397"/>
        <w:jc w:val="both"/>
        <w:rPr>
          <w:rFonts w:eastAsia="Calibri"/>
          <w:szCs w:val="22"/>
        </w:rPr>
      </w:pPr>
    </w:p>
    <w:p>
      <w:pPr>
        <w:rPr>
          <w:sz w:val="20"/>
        </w:rPr>
      </w:pPr>
    </w:p>
    <w:p>
      <w:pPr>
        <w:spacing w:line="276" w:lineRule="auto"/>
        <w:jc w:val="both"/>
        <w:rPr>
          <w:rFonts w:eastAsia="Calibri"/>
          <w:szCs w:val="22"/>
        </w:rPr>
      </w:pPr>
      <w:r>
        <w:rPr>
          <w:rFonts w:eastAsia="Calibri"/>
          <w:szCs w:val="22"/>
          <w:lang w:eastAsia="lt-LT"/>
        </w:rPr>
        <w:drawing>
          <wp:inline distT="0" distB="0" distL="0" distR="0">
            <wp:extent cx="6162675" cy="5943600"/>
            <wp:effectExtent l="0" t="0" r="9525" b="0"/>
            <wp:docPr id="10" name="Diagrama 10"/>
            <wp:cNvGraphicFramePr/>
            <a:graphic xmlns:a="http://schemas.openxmlformats.org/drawingml/2006/main">
              <a:graphicData uri="http://schemas.openxmlformats.org/drawingml/2006/chart">
                <c:chart xmlns:c="http://schemas.openxmlformats.org/drawingml/2006/chart" r:id="rId24"/>
              </a:graphicData>
            </a:graphic>
          </wp:inline>
        </w:drawing>
      </w:r>
    </w:p>
    <w:p>
      <w:pPr>
        <w:rPr>
          <w:sz w:val="20"/>
        </w:rPr>
      </w:pPr>
    </w:p>
    <w:p>
      <w:pPr>
        <w:spacing w:line="276" w:lineRule="auto"/>
        <w:ind w:firstLine="397"/>
        <w:jc w:val="center"/>
        <w:rPr>
          <w:rFonts w:eastAsia="Calibri"/>
          <w:b/>
          <w:szCs w:val="22"/>
        </w:rPr>
      </w:pPr>
      <w:r>
        <w:rPr>
          <w:rFonts w:eastAsia="Calibri"/>
          <w:b/>
          <w:szCs w:val="22"/>
        </w:rPr>
        <w:t>10 pav. Materialinės investicijos Kauno miesto savivaldybėje, palyginti su šalies ir kitų didžiųjų miestų rodikliais. Šaltinis: Lietuvos statistikos departamentas</w:t>
      </w:r>
    </w:p>
    <w:p>
      <w:pPr>
        <w:rPr>
          <w:sz w:val="20"/>
        </w:rPr>
      </w:pPr>
    </w:p>
    <w:p>
      <w:pPr>
        <w:spacing w:line="276" w:lineRule="auto"/>
        <w:ind w:firstLine="397"/>
        <w:jc w:val="both"/>
        <w:rPr>
          <w:rFonts w:eastAsia="Calibri"/>
          <w:szCs w:val="22"/>
        </w:rPr>
      </w:pPr>
    </w:p>
    <w:p>
      <w:pPr>
        <w:rPr>
          <w:sz w:val="10"/>
          <w:szCs w:val="10"/>
        </w:rPr>
      </w:pPr>
    </w:p>
    <w:p>
      <w:pPr>
        <w:spacing w:line="276" w:lineRule="auto"/>
        <w:ind w:firstLine="709"/>
        <w:jc w:val="both"/>
        <w:rPr>
          <w:rFonts w:eastAsia="Calibri"/>
          <w:szCs w:val="22"/>
        </w:rPr>
      </w:pPr>
      <w:r>
        <w:rPr>
          <w:rFonts w:eastAsia="Calibri"/>
          <w:szCs w:val="22"/>
        </w:rPr>
        <w:t>4.6.3</w:t>
      </w:r>
      <w:r>
        <w:rPr>
          <w:rFonts w:eastAsia="Calibri"/>
          <w:szCs w:val="22"/>
        </w:rPr>
        <w:t>.</w:t>
        <w:tab/>
        <w:t xml:space="preserve"> </w:t>
      </w:r>
      <w:r>
        <w:rPr>
          <w:rFonts w:eastAsia="Calibri"/>
          <w:szCs w:val="24"/>
        </w:rPr>
        <w:t>v</w:t>
      </w:r>
      <w:r>
        <w:rPr>
          <w:rFonts w:eastAsia="Calibri"/>
          <w:szCs w:val="22"/>
        </w:rPr>
        <w:t>ertinant tiesiogines užsienio investicijas (toliau – TUI), būtina atsižvelgti į tam tikrus šio rodiklio ypatumus –</w:t>
      </w:r>
      <w:r>
        <w:rPr>
          <w:rFonts w:eastAsia="Calibri"/>
          <w:szCs w:val="24"/>
        </w:rPr>
        <w:t xml:space="preserve"> TUI vienam gyventojui aukšta reikšmė (ir dideli svyravimai) būdingi mažoms savivaldybėms, kuriose veikia pavienės užsienio kapitalo įmonės (AB „ORLEN Lietuva“, </w:t>
      </w:r>
      <w:r>
        <w:rPr>
          <w:rFonts w:eastAsia="Calibri"/>
          <w:color w:val="000000"/>
          <w:szCs w:val="24"/>
          <w:shd w:val="clear" w:color="auto" w:fill="FAFAFA"/>
        </w:rPr>
        <w:t>UAB „IKEA Industry Lietuva“ ir pan.)</w:t>
      </w:r>
      <w:r>
        <w:rPr>
          <w:rFonts w:eastAsia="Calibri"/>
          <w:szCs w:val="24"/>
        </w:rPr>
        <w:t xml:space="preserve"> ir didesnė dalis visų TUI savivaldybėje yra vienos įmonės veiklos rezultatas (todėl iš šio rodiklio sunku daryti apibendrintas išvadas apie mažesnių savivaldybių ekonominę situaciją)</w:t>
      </w:r>
      <w:r>
        <w:rPr>
          <w:rFonts w:eastAsia="Calibri"/>
          <w:szCs w:val="22"/>
        </w:rPr>
        <w:t xml:space="preserve">; Vilniaus miesto savivaldybės rodikliai yra 3–4 kartus aukštesni už vidutinius šalyje dėl sostinės fenomeno </w:t>
      </w:r>
      <w:r>
        <w:rPr>
          <w:rFonts w:eastAsia="Calibri"/>
          <w:szCs w:val="24"/>
        </w:rPr>
        <w:t xml:space="preserve">(sostinėje yra susitelkusios pagrindinių užsienio kapitalo įmonių buveinės, kurių adresu paprastai įskaitomos vadinamosios „portfelinės“ investicijos, dukterinėms įmonėms suteikiamos paskolos ir pan.). Tačiau didieji miestai turi pakankamai diversifikuotą (nepriklausančią nuo vienos didelės įmonės) ekonominę struktūrą, pastovų TUI srautą, pagal kurį galima spręsti apie </w:t>
      </w:r>
      <w:r>
        <w:rPr>
          <w:rFonts w:eastAsia="Calibri"/>
          <w:szCs w:val="22"/>
        </w:rPr>
        <w:t>šių miestų konkurencingumą tarptautiniu mastu. Kauno miesto savivaldybė buvo antroji tarp didžiųjų miestų savivaldybių (taip pat ir tarp visų šalies savivaldybių) pagal absoliutinę atliekamų TUI apimtį (po Vilniaus miesto savivaldybės) ir trečioji tarp didžiųjų miestų savivaldybių (po Vilniaus ir Klaipėdos miestų savivaldybių) pagal TUI vienam gyventojui (šiose savivaldybėse vienam gyventojui 2014 m. teko atitinkamai 16 313 Eur ir 4 452 Eur TUI). 2014 m. Kauno miesto savivaldybėje atlikta 1007 mln. Eur TUI (3574 Eur vienam gyventojui), panašus šio rodiklio lygis išliko visą 2011–2014 m. laikotarpį, svyravo apie 1 mlrd. Eur ir siekė nuo 8 iki 10 proc. visų Lietuvoje atliekamų TUI (arba apie 25 proc. visų šalyje, be Vilniaus miesto savivaldybės, atliekamų TUI). Tai yra, Kauno miestą galima laikyti antru pagal svarbą Lietuvoje užsienio investicijų traukos centru (be Vilniaus, Kauno miestas pritraukia didžiausią dalį Lietuvoje atliekamų užsienio investicijų), tačiau taip pat galima pastebėti, kad Klaipėdos miestas, nepaisant mažesnio gyventojų skaičiaus, mažesnio absoliutinio įmonių skaičiaus ir panašaus verslumo lygio, užsienio investicijų pritraukia santykiniai daugiau (skaičiuojant vienam gyventojui), t. y. savo ekonominį potencialą konkuruojant tarptautiniu lygiu išnaudoja efektyviau. Lyginant su Šiauliais (966 Eur TUI vienam gyventojui) ir Panevėžiu (2486 Eur TUI vienam gyventojui), Kauno miesto TUI vienam gyventojui rodiklis buvo 3,7–1,4 karto aukštesnis.</w:t>
      </w:r>
    </w:p>
    <w:p>
      <w:pPr>
        <w:spacing w:line="276" w:lineRule="auto"/>
        <w:ind w:firstLine="709"/>
        <w:jc w:val="both"/>
        <w:rPr>
          <w:rFonts w:eastAsia="Calibri"/>
          <w:szCs w:val="22"/>
        </w:rPr>
      </w:pPr>
      <w:r>
        <w:rPr>
          <w:rFonts w:eastAsia="Calibri"/>
          <w:szCs w:val="22"/>
        </w:rPr>
        <w:t>5</w:t>
      </w:r>
      <w:r>
        <w:rPr>
          <w:rFonts w:eastAsia="Calibri"/>
          <w:szCs w:val="22"/>
        </w:rPr>
        <w:t>.</w:t>
        <w:tab/>
        <w:t>Esminiai aplinkos būklei ir šiltnamio efektą sukeliančių dujų išmetimams (klimato kaitai) darantys įtaką veiksniai Kauno mieste:</w:t>
      </w:r>
    </w:p>
    <w:p>
      <w:pPr>
        <w:spacing w:line="276" w:lineRule="auto"/>
        <w:ind w:firstLine="709"/>
        <w:jc w:val="both"/>
        <w:rPr>
          <w:rFonts w:eastAsia="Calibri"/>
          <w:szCs w:val="22"/>
        </w:rPr>
      </w:pPr>
      <w:r>
        <w:rPr>
          <w:rFonts w:eastAsia="Calibri"/>
          <w:szCs w:val="22"/>
        </w:rPr>
        <w:t>5.1</w:t>
      </w:r>
      <w:r>
        <w:rPr>
          <w:rFonts w:eastAsia="Calibri"/>
          <w:szCs w:val="22"/>
        </w:rPr>
        <w:t>.</w:t>
        <w:tab/>
        <w:t xml:space="preserve">ekonominės veiklos koncentracija Kauno mieste (Kaune veikiančios įmonės sudaro apie 70 proc. visų Kauno regiono įmonių) lemia ir gerą viso Kauno regiono užimtųjų ir darbingo amžiaus gyventojų santykį (2014 m. – 75,7 proc., antras geriausias rodiklis tarp dešimties Lietuvos regionų, po Klaipėdos regiono (78,8 proc.)). Visgi didelė įmonių koncentracija Kauno mieste ir daugiau kaip dvigubai besiskiriantis verslumo lygis, lyginant su likusia Kauno regiono dalimi (Kauno regione, skaičiuojant be Kauno miesto savivaldybės, 1000 gyventojų 2015 m. pradžioje teko tik 16,0 veikiančios įmonės, 2,2 karto mažiau, negu Kauno miesto savivaldybėje), kelia rimtas problemas, susijusias su transporto srautų suvaldymu, ir racionaliu darbo ir gyvenamųjų vietų išdėstymu, siekiant išvengti </w:t>
      </w:r>
      <w:r>
        <w:rPr>
          <w:rFonts w:eastAsia="Calibri"/>
          <w:color w:val="000000"/>
          <w:szCs w:val="22"/>
        </w:rPr>
        <w:t xml:space="preserve">ir šiltnamio efektą sukeliančių CO2 dujų, kietųjų dalelių ir kitų žmogui bei aplinkai kenksmingų cheminių junginių išmetimų. Apytiksliu įvertinimu, švytuoklinės migracijos mastas 2014 m. tarp Kauno miesto ir aplinkinių savivaldybių galėjo siekti apie 40 tūkst. dirbančiųjų (t. y. 80 tūkst. kelionių į darbą ir atgal), ir lemti apie 700-800 tūkst. tonų išmetamo CO2 per metus. </w:t>
      </w:r>
    </w:p>
    <w:p>
      <w:pPr>
        <w:spacing w:line="276" w:lineRule="auto"/>
        <w:ind w:firstLine="709"/>
        <w:jc w:val="both"/>
        <w:rPr>
          <w:rFonts w:eastAsia="Calibri"/>
          <w:szCs w:val="22"/>
        </w:rPr>
      </w:pPr>
      <w:r>
        <w:rPr>
          <w:rFonts w:eastAsia="Calibri"/>
          <w:szCs w:val="22"/>
        </w:rPr>
        <w:t>5.2</w:t>
      </w:r>
      <w:r>
        <w:rPr>
          <w:rFonts w:eastAsia="Calibri"/>
          <w:szCs w:val="22"/>
        </w:rPr>
        <w:t>.</w:t>
        <w:tab/>
        <w:t>Smarkiai išaugęs automobilizacijos lygis Kauno miestui kelia daug problemų, susijusių su išaugusių transporto srautų valdymu ir automobilių statymo vietų išdėstymu ir oro tarša:</w:t>
      </w:r>
    </w:p>
    <w:p>
      <w:pPr>
        <w:spacing w:line="276" w:lineRule="auto"/>
        <w:ind w:firstLine="709"/>
        <w:jc w:val="both"/>
        <w:rPr>
          <w:rFonts w:eastAsia="Calibri"/>
          <w:szCs w:val="22"/>
        </w:rPr>
      </w:pPr>
      <w:r>
        <w:rPr>
          <w:rFonts w:eastAsia="Calibri"/>
          <w:szCs w:val="22"/>
        </w:rPr>
        <w:t>5.2.1</w:t>
      </w:r>
      <w:r>
        <w:rPr>
          <w:rFonts w:eastAsia="Calibri"/>
          <w:szCs w:val="22"/>
        </w:rPr>
        <w:t>.</w:t>
        <w:tab/>
        <w:t xml:space="preserve"> Statistikos departamento duomenimis, 2009–2013 m. laikotarpiu individualių lengvųjų automobilių skaičius Kauno mieste išaugo 3,06 proc., o automobilizacijos lygis (tūkstančiui gyventojų tenkančių automobilių skaičius) – 11,4 proc., dėl to susiduriama ir su vis didėjančiu automobilių statymo vietų trūkumu, o didžiausias azoto oksido ir azoto dioksido taršos lygis Kauno mieste sutampa su rytiniu ir vakariniu transporto srautų piku. Tai rodo, jog autotransportas yra pagrindinis miesto oro teršėjas, jis lemia 80 proc. visos taršos. Labiausiai teršiamos Dainavos ir Centro seniūnijos, Taikos ir Savanorių prospektai ir jų prieigos;</w:t>
      </w:r>
    </w:p>
    <w:p>
      <w:pPr>
        <w:spacing w:line="276" w:lineRule="auto"/>
        <w:ind w:firstLine="709"/>
        <w:jc w:val="both"/>
        <w:rPr>
          <w:rFonts w:eastAsia="Calibri"/>
          <w:szCs w:val="22"/>
        </w:rPr>
      </w:pPr>
      <w:r>
        <w:rPr>
          <w:rFonts w:eastAsia="Calibri"/>
          <w:szCs w:val="22"/>
        </w:rPr>
        <w:t>5.2.2</w:t>
      </w:r>
      <w:r>
        <w:rPr>
          <w:rFonts w:eastAsia="Calibri"/>
          <w:szCs w:val="22"/>
        </w:rPr>
        <w:t>.</w:t>
        <w:tab/>
        <w:t xml:space="preserve"> 2013 m. vidutinė kietųjų dalelių (KD10) paros koncentracija Kauno mieste viršijo ribines vertes 26 dienas (2012 m. – 23 dienas, 2011 m. – 29 dienas, 2010 m. – 41 dieną). Tai mažiau nei leidžiama pagal Lietuvos ir ES teisės aktų reikalavimus (35 dienos). Didžiausia tarša KD10 2013 m. buvo pastebima Centro, Žaliakalnio, Dainavos seniūnijose. Mažiausia – Panemunės, Šančių, Šilainių seniūnijose;</w:t>
      </w:r>
    </w:p>
    <w:p>
      <w:pPr>
        <w:spacing w:line="276" w:lineRule="auto"/>
        <w:ind w:firstLine="709"/>
        <w:jc w:val="both"/>
        <w:rPr>
          <w:rFonts w:eastAsia="Calibri"/>
          <w:szCs w:val="22"/>
        </w:rPr>
      </w:pPr>
      <w:r>
        <w:rPr>
          <w:rFonts w:eastAsia="Calibri"/>
          <w:szCs w:val="22"/>
        </w:rPr>
        <w:t>5.2.3</w:t>
      </w:r>
      <w:r>
        <w:rPr>
          <w:rFonts w:eastAsia="Calibri"/>
          <w:szCs w:val="22"/>
        </w:rPr>
        <w:t>.</w:t>
        <w:tab/>
        <w:t xml:space="preserve">2009 m. atlikta analizė parodė, kad Kauno miesto savivaldybės teritorijoje visuomeniniu transportu ir lengvaisiais automobiliais vykdoma apie 84 proc. visų kelionių (57 proc. visuomeniniu transportu ir 27 proc. lengvaisiais automobiliais), o pėsčiomis gyventojai atlieka apie 16 proc. visų kelionių. Tai trumpos, viena miesto dalimi apribotos kelionės. Naujesnių tyrimų atlikta nėra, tačiau įvertinant tai, kad automobilizacijos lygis Kauno mieste 2009–2013 m. išaugo apie 11 proc., o vidutiniškai vienam gyventojui tenkančių kelionių visuomeniniu transportu skaičius išaugo 20 proc., galima daryti išvadą, kad didėja  visuomeninio transporto reikšmė. Pagrindinis visuomeninis vežėjas Kauno mieste yra UAB „Kauno autobusai“. Bendrovė aptarnauja 16 troleibusų maršrutų, kurių bendras ilgis siekia 374 km bei 32 autobusų maršrutus po Kauno miestą ir artimuosius priemiesčius, kurių bendras ilgis siekia 1 090 km. Kauno mieste įdiegtos visuomeninio miesto transporto valdymo ir apmokėjimo elektroninėmis priemonėmis už keleivių pervežimą bei visuomeninio transporto stebėjimo sistemos. Iš viso Kauno mieste per metus visuomeninis transportas 2013 m. pervežė 89 milijonus keleivių. Tai yra 297 kelionės vienam gyventojui per metus. </w:t>
      </w:r>
    </w:p>
    <w:p>
      <w:pPr>
        <w:spacing w:line="276" w:lineRule="auto"/>
        <w:ind w:firstLine="709"/>
        <w:jc w:val="both"/>
        <w:rPr>
          <w:rFonts w:eastAsia="Calibri"/>
          <w:szCs w:val="22"/>
        </w:rPr>
      </w:pPr>
      <w:r>
        <w:rPr>
          <w:rFonts w:eastAsia="Calibri"/>
          <w:szCs w:val="22"/>
        </w:rPr>
        <w:t>6</w:t>
      </w:r>
      <w:r>
        <w:rPr>
          <w:rFonts w:eastAsia="Calibri"/>
          <w:szCs w:val="22"/>
        </w:rPr>
        <w:t>.</w:t>
        <w:tab/>
        <w:t>Kauno miesto urbanistinio ir ekonominio vystymosi potencialas:</w:t>
      </w:r>
    </w:p>
    <w:p>
      <w:pPr>
        <w:spacing w:line="276" w:lineRule="auto"/>
        <w:ind w:firstLine="709"/>
        <w:jc w:val="both"/>
        <w:rPr>
          <w:rFonts w:eastAsia="Calibri"/>
          <w:szCs w:val="22"/>
        </w:rPr>
      </w:pPr>
      <w:r>
        <w:rPr>
          <w:rFonts w:eastAsia="Calibri"/>
          <w:szCs w:val="22"/>
        </w:rPr>
        <w:t>6.1</w:t>
      </w:r>
      <w:r>
        <w:rPr>
          <w:rFonts w:eastAsia="Calibri"/>
          <w:szCs w:val="22"/>
        </w:rPr>
        <w:t>.</w:t>
        <w:tab/>
        <w:t>Lietuvos bendrajame plane Kauno miestas priskiriamas I lygmens T kategorijos – valstybinio bei makroregioninio ir tarpvalstybinio lygmens centro sudėtinei daliai. Šis centras formuojamas jungiant Vilniaus ir Kauno potencialą (pagal šią rekomendaciją parengtas ir strateginis Vilniaus–Kauno dvimiesčio planas). Pilnavertei Kauno miesto integracijai į Europos urbanistinį karkasą ir miesto konkurencingumo, gyvenimo kokybės augimui būtini Europos lygmens išoriniai ryšiai.</w:t>
      </w:r>
    </w:p>
    <w:p>
      <w:pPr>
        <w:spacing w:line="276" w:lineRule="auto"/>
        <w:ind w:firstLine="709"/>
        <w:jc w:val="both"/>
        <w:rPr>
          <w:rFonts w:eastAsia="Calibri"/>
          <w:szCs w:val="22"/>
        </w:rPr>
      </w:pPr>
      <w:r>
        <w:rPr>
          <w:rFonts w:eastAsia="Calibri"/>
          <w:szCs w:val="22"/>
        </w:rPr>
        <w:t>6.2</w:t>
      </w:r>
      <w:r>
        <w:rPr>
          <w:rFonts w:eastAsia="Calibri"/>
          <w:szCs w:val="22"/>
        </w:rPr>
        <w:t>.</w:t>
        <w:tab/>
        <w:t>Kauno miestui būdingi šie teritoriniai-urbanistiniai privalumai:</w:t>
      </w:r>
    </w:p>
    <w:p>
      <w:pPr>
        <w:spacing w:line="276" w:lineRule="auto"/>
        <w:ind w:firstLine="709"/>
        <w:jc w:val="both"/>
        <w:rPr>
          <w:rFonts w:eastAsia="Calibri"/>
          <w:szCs w:val="22"/>
        </w:rPr>
      </w:pPr>
      <w:r>
        <w:rPr>
          <w:rFonts w:eastAsia="Calibri"/>
          <w:szCs w:val="22"/>
        </w:rPr>
        <w:t>6.2.1</w:t>
      </w:r>
      <w:r>
        <w:rPr>
          <w:rFonts w:eastAsia="Calibri"/>
          <w:szCs w:val="22"/>
        </w:rPr>
        <w:t>.</w:t>
        <w:tab/>
        <w:t>gera geografinė padėtis ir subalansuota urbanistinė struktūra. Kauno miestas yra Lietuvos geografiniame centre, apsuptas demografiškai ir struktūriškai subalansuotų apylinkių, be didesnių ekonominių ir socialinių kontrastų, netoli (100 km) sostinės Vilniaus, taip pat arti (apie 60 km) kitų apskričių centrų – Marijampolės, Alytaus – bei reikšmingų savivaldybių centrų – Jonavos, Kėdainių, Prienų (30–55 km);</w:t>
      </w:r>
    </w:p>
    <w:p>
      <w:pPr>
        <w:spacing w:line="276" w:lineRule="auto"/>
        <w:ind w:firstLine="709"/>
        <w:jc w:val="both"/>
        <w:rPr>
          <w:rFonts w:eastAsia="Calibri"/>
          <w:szCs w:val="22"/>
        </w:rPr>
      </w:pPr>
      <w:r>
        <w:rPr>
          <w:rFonts w:eastAsia="Calibri"/>
          <w:szCs w:val="22"/>
        </w:rPr>
        <w:t>6.2.2</w:t>
      </w:r>
      <w:r>
        <w:rPr>
          <w:rFonts w:eastAsia="Calibri"/>
          <w:szCs w:val="22"/>
        </w:rPr>
        <w:t>.</w:t>
        <w:tab/>
        <w:t xml:space="preserve">gerai išvystytas susisiekimas. Kauno miestas yra transeuropinio transporto tinklo (TEN-T)  I ir IXB koridorių, kelių E67 (Praha, Varšuva, Marijampolė, Kaunas, Panevėžys, Ryga, Talinas, Helsinkis</w:t>
      </w:r>
      <w:r>
        <w:rPr>
          <w:rFonts w:eastAsia="Calibri"/>
          <w:i/>
          <w:szCs w:val="22"/>
        </w:rPr>
        <w:t xml:space="preserve"> (</w:t>
      </w:r>
      <w:r>
        <w:rPr>
          <w:rFonts w:eastAsia="Calibri"/>
          <w:i/>
          <w:szCs w:val="24"/>
        </w:rPr>
        <w:t xml:space="preserve">Via Baltica)), </w:t>
      </w:r>
      <w:r>
        <w:rPr>
          <w:rFonts w:eastAsia="Calibri"/>
          <w:bCs/>
          <w:color w:val="252525"/>
          <w:szCs w:val="24"/>
          <w:shd w:val="clear" w:color="auto" w:fill="FFFFFF"/>
        </w:rPr>
        <w:t>E85 (nuo Klaipėdos per Lietuvą, Baltarusiją, Ukrainą, Rumuniją, Bulgariją iki Graikijos uosto Aleksandropolio, Lietuvos teritorijoje sutampantis su magistraliniais keliais A15 Vilnius-Lyda ir A1 Vilnius-Kaunas-Klaipėda) ir E262 (nuo Kauno per Daugpilį,</w:t>
      </w:r>
      <w:r>
        <w:rPr>
          <w:rFonts w:eastAsia="Calibri"/>
          <w:szCs w:val="22"/>
        </w:rPr>
        <w:t xml:space="preserve"> </w:t>
      </w:r>
      <w:r>
        <w:rPr>
          <w:rFonts w:eastAsia="Calibri"/>
          <w:bCs/>
          <w:color w:val="252525"/>
          <w:szCs w:val="24"/>
          <w:shd w:val="clear" w:color="auto" w:fill="FFFFFF"/>
        </w:rPr>
        <w:t>Rėzeknę iki Ostravos (Rusijoje)) sankirtoje</w:t>
      </w:r>
      <w:r>
        <w:rPr>
          <w:rFonts w:eastAsia="Calibri"/>
          <w:szCs w:val="24"/>
        </w:rPr>
        <w:t>.</w:t>
      </w:r>
      <w:r>
        <w:rPr>
          <w:rFonts w:eastAsia="Calibri"/>
          <w:szCs w:val="22"/>
        </w:rPr>
        <w:t xml:space="preserve"> Kauno mieste yra stambus geležinkelio mazgas, kurį netolimoje ateityje kirs europinės vėžės geležinkelis (</w:t>
      </w:r>
      <w:r>
        <w:rPr>
          <w:rFonts w:eastAsia="Calibri"/>
          <w:i/>
          <w:szCs w:val="22"/>
        </w:rPr>
        <w:t>Rail Baltica)</w:t>
      </w:r>
      <w:r>
        <w:rPr>
          <w:rFonts w:eastAsia="Calibri"/>
          <w:szCs w:val="22"/>
        </w:rPr>
        <w:t>. Greta Kauno miesto, Karmėlavoje veikia intensyviai vystomas antrasis pagal svarbą Lietuvos oro uostas. Kauno mieste yra visos galimybės turėti modernų upių uostą;</w:t>
      </w:r>
    </w:p>
    <w:p>
      <w:pPr>
        <w:spacing w:line="276" w:lineRule="auto"/>
        <w:ind w:firstLine="709"/>
        <w:jc w:val="both"/>
        <w:rPr>
          <w:rFonts w:eastAsia="Calibri"/>
          <w:szCs w:val="22"/>
        </w:rPr>
      </w:pPr>
      <w:r>
        <w:rPr>
          <w:rFonts w:eastAsia="Calibri"/>
          <w:szCs w:val="22"/>
        </w:rPr>
        <w:t>6.2.3</w:t>
      </w:r>
      <w:r>
        <w:rPr>
          <w:rFonts w:eastAsia="Calibri"/>
          <w:szCs w:val="22"/>
        </w:rPr>
        <w:t>.</w:t>
        <w:tab/>
        <w:t>dėl savo dydžio ir kultūrinių tradicijų Kauno miestas yra stambiausias kultūros ir sporto centras Kauno apskrityje ir visoje centrinėje Lietuvos dalyje, jame sukoncentruotos aukštojo mokslo įstaigos (skaičiuojant su Kauno prieigose esančiu Aleksandro Stulginskio universitetu – 5 universitetai), svarbiausi kultūros objektai – teatrai, muziejai, sporto, pramoginių renginių infrastruktūra.</w:t>
      </w:r>
    </w:p>
    <w:p>
      <w:pPr>
        <w:spacing w:line="276" w:lineRule="auto"/>
        <w:ind w:left="709"/>
        <w:jc w:val="both"/>
        <w:rPr>
          <w:rFonts w:eastAsia="Calibri"/>
          <w:szCs w:val="22"/>
        </w:rPr>
      </w:pPr>
      <w:r>
        <w:rPr>
          <w:rFonts w:eastAsia="Calibri"/>
          <w:szCs w:val="22"/>
          <w:lang w:eastAsia="lt-LT"/>
        </w:rPr>
        <w:drawing>
          <wp:inline distT="0" distB="0" distL="0" distR="0">
            <wp:extent cx="6332220" cy="4360915"/>
            <wp:effectExtent l="0" t="0" r="0" b="190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220" cy="4360915"/>
                    </a:xfrm>
                    <a:prstGeom prst="rect">
                      <a:avLst/>
                    </a:prstGeom>
                    <a:noFill/>
                    <a:ln>
                      <a:noFill/>
                    </a:ln>
                  </pic:spPr>
                </pic:pic>
              </a:graphicData>
            </a:graphic>
          </wp:inline>
        </w:drawing>
      </w:r>
    </w:p>
    <w:p>
      <w:pPr>
        <w:spacing w:line="276" w:lineRule="auto"/>
        <w:jc w:val="center"/>
        <w:rPr>
          <w:rFonts w:eastAsia="Calibri"/>
          <w:b/>
          <w:szCs w:val="22"/>
        </w:rPr>
      </w:pPr>
      <w:r>
        <w:rPr>
          <w:rFonts w:eastAsia="Calibri"/>
          <w:b/>
          <w:szCs w:val="22"/>
        </w:rPr>
        <w:t>11 pav. Kauno miesto seniūnijos ir miesto dalys</w:t>
      </w:r>
    </w:p>
    <w:p>
      <w:pPr>
        <w:spacing w:line="276" w:lineRule="auto"/>
        <w:ind w:firstLine="567"/>
        <w:jc w:val="both"/>
        <w:rPr>
          <w:rFonts w:eastAsia="Calibri"/>
          <w:szCs w:val="22"/>
        </w:rPr>
      </w:pPr>
      <w:r>
        <w:rPr>
          <w:rFonts w:eastAsia="Calibri"/>
          <w:szCs w:val="22"/>
        </w:rPr>
        <w:t>6.3</w:t>
      </w:r>
      <w:r>
        <w:rPr>
          <w:rFonts w:eastAsia="Calibri"/>
          <w:szCs w:val="22"/>
        </w:rPr>
        <w:t>.</w:t>
        <w:tab/>
        <w:t>Kauno miesto savivaldybės teritoriją sudaro 11 seniūnijų, kurios papildomai gali būti skaidomos į 32 struktūriškai ir geografiškai identifikuojamas miesto dalis (mikrorajonus, transportinius rajonus), kurios toliau įvardijamos pagal geografinį vietovardį (žr. 11 pav.). Rengiant Kauno miesto teritorijos bendrąjį planą atlikta erdvinė gyvenamųjų ir darbo vietų pasiskirstymo šiose Kauno miesto dalyse analizė (žr. 12 pav.) parodė, kad didžiausia gyvenamųjų vietų koncentracija buvo šiaurinėje miesto dalyje, o pagrindinės darbo vietos yra įsikūrusios Naujamiestyje, Naujasodyje, Dainavoje, Eiguliuose, Žaliakalnyje. Naujamiestyje koncentravosi daugiausia smulkių prekybos ir paslaugų įmonių, o Naujasodyje bei Dainavoje – daugiausiai pramonės įmonių. Teritorijoje apribotoje Nemuno dešiniuoju ir Neries kairiuoju krantais gyveno apie 65 % gyventojų ir buvo apie 74 % darbo vietų. Nemuno kairiajame krante gyveno 11 % Kauno miesto gyventojų ir buvo įkurta 8 % darbo vietų. Kauno miesto dalyje apribotoje Nemuno ir Neries dešiniaisiais krantais gyveno 24 % gyventojų ir buvo įkurta 18 % darbo vietų. Tokie skaičiai rodo, kad daugiau kaip pusė miesto vidaus transportinių ryšių atliekama nevažiuojant per miesto tiltus. Be to, atstumai tarp gyvenamųjų ir darbo vietų yra tokie, kad dalis miestiečių turi galimybę į darbą atvykti pėsčiomis arba dviračiu. Palankus veiksnys yra tas, kad didžioji dalis darbo vietų išdėstytos netoli nuo gyvenamųjų vietų, o tai mažina kelionės trukmę (ir poreikį naudotis automobiliu).</w:t>
      </w:r>
    </w:p>
    <w:p>
      <w:pPr>
        <w:keepNext/>
        <w:spacing w:line="276" w:lineRule="auto"/>
        <w:ind w:firstLine="567"/>
        <w:jc w:val="both"/>
        <w:rPr>
          <w:rFonts w:eastAsia="Calibri"/>
          <w:szCs w:val="22"/>
        </w:rPr>
      </w:pPr>
      <w:r>
        <w:rPr>
          <w:rFonts w:eastAsia="Calibri"/>
          <w:szCs w:val="22"/>
          <w:lang w:eastAsia="lt-LT"/>
        </w:rPr>
        <w:drawing>
          <wp:inline distT="0" distB="0" distL="0" distR="0">
            <wp:extent cx="6329045" cy="4262120"/>
            <wp:effectExtent l="0" t="0" r="0" b="508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045" cy="4262120"/>
                    </a:xfrm>
                    <a:prstGeom prst="rect">
                      <a:avLst/>
                    </a:prstGeom>
                    <a:noFill/>
                    <a:ln>
                      <a:noFill/>
                    </a:ln>
                  </pic:spPr>
                </pic:pic>
              </a:graphicData>
            </a:graphic>
          </wp:inline>
        </w:drawing>
      </w:r>
    </w:p>
    <w:p>
      <w:pPr>
        <w:spacing w:line="276" w:lineRule="auto"/>
        <w:ind w:firstLine="567"/>
        <w:jc w:val="center"/>
        <w:rPr>
          <w:rFonts w:eastAsia="Calibri"/>
          <w:b/>
          <w:bCs/>
          <w:szCs w:val="24"/>
        </w:rPr>
      </w:pPr>
      <w:r>
        <w:rPr>
          <w:rFonts w:eastAsia="Calibri"/>
          <w:b/>
          <w:bCs/>
          <w:szCs w:val="24"/>
        </w:rPr>
        <w:t>12 pav. Kauno miesto gyventojų ir darbo vietų pasiskirstymas pagal miesto dalis (transportinius rajonus). Šaltinis: Kauno miesto bendrasis planas</w:t>
      </w:r>
    </w:p>
    <w:p/>
    <w:p>
      <w:pPr>
        <w:spacing w:before="240" w:after="120" w:line="276" w:lineRule="auto"/>
        <w:ind w:firstLine="709"/>
        <w:jc w:val="both"/>
        <w:rPr>
          <w:rFonts w:eastAsia="Calibri"/>
          <w:szCs w:val="22"/>
        </w:rPr>
      </w:pPr>
      <w:r>
        <w:rPr>
          <w:rFonts w:eastAsia="Calibri"/>
          <w:szCs w:val="22"/>
        </w:rPr>
        <w:t>6.4</w:t>
      </w:r>
      <w:r>
        <w:rPr>
          <w:rFonts w:eastAsia="Calibri"/>
          <w:szCs w:val="22"/>
        </w:rPr>
        <w:t>.</w:t>
        <w:tab/>
        <w:t>Kauno miesto aplinką formuoja svarbūs gamtinio karkaso elementai – Nemuno ir Neries upių slėniai, apsupti šlaitų ir iš dalies į miesto teritoriją įsiterpusios Kauno marios. Kauno miesto teritorijoje yra dideli žalių masyvų plotai, kurie kartu su gretimais Kauno miesto apylinkių miškais sudaro gerą gamtinį foną, palaiko biologinę įvairovę, didina ekologinės kompensacijos lygį, švelnina urbanizacijos procesų poveikį aplinkai.</w:t>
      </w:r>
    </w:p>
    <w:p>
      <w:pPr>
        <w:spacing w:line="276" w:lineRule="auto"/>
        <w:ind w:firstLine="709"/>
        <w:jc w:val="both"/>
        <w:rPr>
          <w:rFonts w:eastAsia="Calibri"/>
          <w:szCs w:val="22"/>
        </w:rPr>
      </w:pPr>
      <w:r>
        <w:rPr>
          <w:rFonts w:eastAsia="Calibri"/>
          <w:szCs w:val="22"/>
        </w:rPr>
        <w:t>6.5</w:t>
      </w:r>
      <w:r>
        <w:rPr>
          <w:rFonts w:eastAsia="Calibri"/>
          <w:szCs w:val="22"/>
        </w:rPr>
        <w:t>.</w:t>
        <w:tab/>
        <w:t xml:space="preserve">Vertingi Kauno miesto urbanistinės aplinkos elementai –  Kauno miesto senamiestis, kuriame daug vertingų statinių (kultūros paveldo objektų), pasižymintis unikalia gatvių ir aikščių struktūra, Naujamiestis, Žaliakalnis, kuriuose yra vertingų tarpukario architektūros pastatų, gausu urbanistikos ir architektūros paminklų, Vilijampolėje išlikę Radvilų miestelio urbanistinės struktūros fragmentai, S. Dariaus ir S. Girėno aerodromas Aleksote, Žemuosiuose Šančiuose ir Panemunėje – kareivinių kompleksai, fortai. </w:t>
      </w:r>
    </w:p>
    <w:p>
      <w:pPr>
        <w:spacing w:line="276" w:lineRule="auto"/>
        <w:ind w:firstLine="567"/>
        <w:jc w:val="both"/>
        <w:rPr>
          <w:rFonts w:eastAsia="Calibri"/>
          <w:szCs w:val="22"/>
        </w:rPr>
      </w:pPr>
    </w:p>
    <w:p>
      <w:pPr>
        <w:spacing w:line="276" w:lineRule="auto"/>
        <w:jc w:val="both"/>
        <w:rPr>
          <w:rFonts w:eastAsia="Calibri"/>
          <w:szCs w:val="22"/>
        </w:rPr>
      </w:pPr>
      <w:r>
        <w:rPr>
          <w:rFonts w:eastAsia="Calibri"/>
          <w:szCs w:val="22"/>
          <w:lang w:eastAsia="lt-LT"/>
        </w:rPr>
        <w:drawing>
          <wp:inline distT="0" distB="0" distL="0" distR="0">
            <wp:extent cx="6334125" cy="3914047"/>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45178" cy="3920877"/>
                    </a:xfrm>
                    <a:prstGeom prst="rect">
                      <a:avLst/>
                    </a:prstGeom>
                  </pic:spPr>
                </pic:pic>
              </a:graphicData>
            </a:graphic>
          </wp:inline>
        </w:drawing>
      </w:r>
    </w:p>
    <w:p>
      <w:pPr>
        <w:spacing w:line="276" w:lineRule="auto"/>
        <w:ind w:left="397"/>
        <w:jc w:val="center"/>
        <w:rPr>
          <w:rFonts w:eastAsia="Calibri"/>
          <w:b/>
          <w:szCs w:val="22"/>
        </w:rPr>
      </w:pPr>
      <w:r>
        <w:rPr>
          <w:rFonts w:eastAsia="Calibri"/>
          <w:b/>
          <w:szCs w:val="22"/>
        </w:rPr>
        <w:t>13 pav. Saugomos gamtinės teritorijos ir kultūros paveldo objektai Kauno mieste. Šaltiniai: Kultūros paveldo departamentas prie Kultūros ministerijos, Nacionalinė saugomų teritorijų apsaugos tarnyba prie Aplinkos ministerijos, Nacionalinė žemės tarnyba prie Žemės ūkio ministerijos.</w:t>
      </w:r>
    </w:p>
    <w:p>
      <w:pPr>
        <w:spacing w:line="276" w:lineRule="auto"/>
        <w:ind w:left="397"/>
        <w:jc w:val="center"/>
        <w:rPr>
          <w:rFonts w:eastAsia="Calibri"/>
          <w:szCs w:val="22"/>
        </w:rPr>
      </w:pPr>
    </w:p>
    <w:p>
      <w:pPr>
        <w:spacing w:line="276" w:lineRule="auto"/>
        <w:ind w:firstLine="709"/>
        <w:jc w:val="both"/>
        <w:rPr>
          <w:rFonts w:eastAsia="Calibri"/>
          <w:szCs w:val="22"/>
        </w:rPr>
      </w:pPr>
      <w:r>
        <w:rPr>
          <w:rFonts w:eastAsia="Calibri"/>
          <w:szCs w:val="22"/>
        </w:rPr>
        <w:t>6.6</w:t>
      </w:r>
      <w:r>
        <w:rPr>
          <w:rFonts w:eastAsia="Calibri"/>
          <w:szCs w:val="22"/>
        </w:rPr>
        <w:t>.</w:t>
        <w:tab/>
        <w:t>Kauno miesto bendrajame plane išskiriamos teritorinės-urbanistinės problemos:</w:t>
      </w:r>
    </w:p>
    <w:p>
      <w:pPr>
        <w:spacing w:line="276" w:lineRule="auto"/>
        <w:ind w:firstLine="709"/>
        <w:jc w:val="both"/>
        <w:rPr>
          <w:rFonts w:eastAsia="Calibri"/>
          <w:szCs w:val="22"/>
        </w:rPr>
      </w:pPr>
      <w:r>
        <w:rPr>
          <w:rFonts w:eastAsia="Calibri"/>
          <w:szCs w:val="22"/>
        </w:rPr>
        <w:t>6.6.1</w:t>
      </w:r>
      <w:r>
        <w:rPr>
          <w:rFonts w:eastAsia="Calibri"/>
          <w:szCs w:val="22"/>
        </w:rPr>
        <w:t>.</w:t>
        <w:tab/>
        <w:t>Asimetrinė miesto konfigūracija. Kauno miestas nuo centrinės dalies buvo plėtojamas asimetriškai šiaurės rytų bei šiaurės vakarų kryptimis. Dėl to pailgėjo atstumai tarp centro, didžiųjų gyvenamųjų ir pramonės teritorijų, o kartu ir kelionių trukmė, padidėjo aplinkos tarša. Pietinė dalis, net arti centro, yra nepakankamai išplėtota. Tai didelis rezervas Kauno miestui plėtoti perspektyvia pietvakarių kryptimi, nors tam reikia labai daug lėšų tiltams, magistralinėms gatvėms ir inžineriniams tinklams statyti;</w:t>
      </w:r>
    </w:p>
    <w:p>
      <w:pPr>
        <w:spacing w:line="276" w:lineRule="auto"/>
        <w:ind w:firstLine="709"/>
        <w:jc w:val="both"/>
        <w:rPr>
          <w:rFonts w:eastAsia="Calibri"/>
          <w:szCs w:val="22"/>
        </w:rPr>
      </w:pPr>
      <w:r>
        <w:rPr>
          <w:rFonts w:eastAsia="Calibri"/>
          <w:szCs w:val="22"/>
        </w:rPr>
        <w:t>6.6.2</w:t>
      </w:r>
      <w:r>
        <w:rPr>
          <w:rFonts w:eastAsia="Calibri"/>
          <w:szCs w:val="22"/>
        </w:rPr>
        <w:t>.</w:t>
        <w:tab/>
        <w:t>netolygiai vystoma teritorija. Po 1996 m. įvykusio Kauno miesto savivaldybės teritorijos ribų pakeitimo Kauno miesto teritorija buvo suformuota neatsižvelgiant į susiklosčiusią situaciją bei kelių tinklą. Savivaldybės teritorijai buvo priskirtos teritorijos už apylankų, izoliuotos nuo miesto struktūros. Patogios plėtrai teritorijos apylankų ribose netapo miesto dalimi. Teritorijos konfigūracija miesto aplinkkelių atžvilgiu iškarpyta, joje sunku suformuoti optimalią urbanistinę struktūrą;</w:t>
      </w:r>
    </w:p>
    <w:p>
      <w:pPr>
        <w:spacing w:line="276" w:lineRule="auto"/>
        <w:ind w:firstLine="709"/>
        <w:jc w:val="both"/>
        <w:rPr>
          <w:rFonts w:eastAsia="Calibri"/>
          <w:szCs w:val="22"/>
        </w:rPr>
      </w:pPr>
      <w:r>
        <w:rPr>
          <w:rFonts w:eastAsia="Calibri"/>
          <w:szCs w:val="22"/>
        </w:rPr>
        <w:t>6.6.3</w:t>
      </w:r>
      <w:r>
        <w:rPr>
          <w:rFonts w:eastAsia="Calibri"/>
          <w:szCs w:val="22"/>
        </w:rPr>
        <w:t>.</w:t>
        <w:tab/>
        <w:t>pernelyg didelė funkcinė diferenciacija. Kauno mieste susiformavo stambios teritorijos su viena vyraujančia paskirtimi – gyvenamosios (daugiabutės ir sodybinės), pramoninės teritorijos. Nepakankamai subalansuota darboviečių, būstų, poilsio zonų struktūra visose Kauno miesto dalyse didina švytuoklinę migraciją;</w:t>
      </w:r>
    </w:p>
    <w:p>
      <w:pPr>
        <w:spacing w:line="276" w:lineRule="auto"/>
        <w:ind w:firstLine="709"/>
        <w:jc w:val="both"/>
        <w:rPr>
          <w:rFonts w:eastAsia="Calibri"/>
          <w:szCs w:val="22"/>
        </w:rPr>
      </w:pPr>
      <w:r>
        <w:rPr>
          <w:rFonts w:eastAsia="Calibri"/>
          <w:szCs w:val="22"/>
        </w:rPr>
        <w:t>6.6.4</w:t>
      </w:r>
      <w:r>
        <w:rPr>
          <w:rFonts w:eastAsia="Calibri"/>
          <w:szCs w:val="22"/>
        </w:rPr>
        <w:t>.</w:t>
        <w:tab/>
        <w:t>Kauno miesto gamtinė aplinka yra didelė miesto vertybė, tačiau jos elementai – Nemunas ir Neris, mažieji upeliai, jų slėniai – sukelia daug sunkumų plėtojant miesto infrastruktūrą: reikalingi 300–400 m ilgio tiltai, iškasos gatvėms ties šlaitais įrengti (kurios, savo ruožtu, naikina vertingą griovų ir slėnių aplinką). T. y. darbo vietų išdėstymas arčiau gyvenamųjų vietų (mažinant judėjimo abipus Nemuno ir Neries poreikį) ir didesnė funkcinė teritorijų diversifikacija Kauno miesto atveju yra labiau ekologines, o ne socialines problemas sprendžiantis uždavinys (įvertinus aukštą Kauno miesto savivaldybės gyventojų užimtumo lygį).</w:t>
      </w:r>
    </w:p>
    <w:p>
      <w:pPr>
        <w:spacing w:line="276" w:lineRule="auto"/>
        <w:ind w:firstLine="709"/>
        <w:jc w:val="both"/>
        <w:rPr>
          <w:rFonts w:eastAsia="Calibri"/>
          <w:szCs w:val="22"/>
        </w:rPr>
      </w:pPr>
      <w:r>
        <w:rPr>
          <w:rFonts w:eastAsia="Calibri"/>
          <w:szCs w:val="22"/>
        </w:rPr>
        <w:t>6.7</w:t>
      </w:r>
      <w:r>
        <w:rPr>
          <w:rFonts w:eastAsia="Calibri"/>
          <w:szCs w:val="22"/>
        </w:rPr>
        <w:t>.</w:t>
        <w:tab/>
        <w:t xml:space="preserve">Viešąsias paslaugas gyventojams teikiančių įstaigų koncentracija: </w:t>
      </w:r>
    </w:p>
    <w:p>
      <w:pPr>
        <w:spacing w:line="276" w:lineRule="auto"/>
        <w:ind w:firstLine="709"/>
        <w:jc w:val="both"/>
        <w:rPr>
          <w:rFonts w:eastAsia="Calibri"/>
          <w:szCs w:val="22"/>
        </w:rPr>
      </w:pPr>
      <w:r>
        <w:rPr>
          <w:rFonts w:eastAsia="Calibri"/>
          <w:szCs w:val="22"/>
        </w:rPr>
        <w:t>6.7.1</w:t>
      </w:r>
      <w:r>
        <w:rPr>
          <w:rFonts w:eastAsia="Calibri"/>
          <w:szCs w:val="22"/>
        </w:rPr>
        <w:t>.</w:t>
        <w:tab/>
        <w:t xml:space="preserve">socialines paslaugas teikiančios organizacijos išsidėsčiusios įvairiose Kauno miesto seniūnijose ir jų dalyse. Didžiausia jų koncentracija yra natūraliai susidariusi Centro, Žaliakalnio, Eigulių, Gričiupio, Šančių ir Šilainių seniūnijose (miesto branduolio teritorijoje, nesunkiai pasiekiamoje iš kitų miesto dalių ir tankiai užstatytose daugiabučiais namais „miegamųjų“ rajonų teritorijose). Miesto  centrinėje dalyje koncentruojasi aukštojo mokslo įstaigos ir profesinės mokyklos bei jų padaliniai. Beveik visos aukštojo mokslo įstaigos turi po keletą, ar keliolika skirtingo ploto sklypų įvairiose miesto dalyse, o iš aukštųjų mokyklų didžiausią teritoriją užima Vytauto didžiojo universitetas, kuriam priklauso botanikos sodas Fredoje. Yra ir kompleksinių teritorijų, kuriose jau susiformavę akademiniai miesteliai: Lietuvos sporto universiteto teritorija Žaliakalnyje ir Kauno technologijos universiteto teritorija Gričiupyje. Kaip atskira mokslo teritorija išskiriama šiaurės rytinėje Dainavos dalyje esanti teritorija, kurioje yra įsikūrę keli Kauno kolegijos fakultetai bei 5 profesinės mokyklos. Mažiausiai ugdymo ir įvairias socialines paslaugas teikiančių įstaigų yra periferinėse Kauno miesto dalyse, kuriose ir gyventojų skaičius mažesnis;</w:t>
      </w:r>
    </w:p>
    <w:p>
      <w:pPr>
        <w:spacing w:line="276" w:lineRule="auto"/>
        <w:ind w:firstLine="709"/>
        <w:jc w:val="both"/>
        <w:rPr>
          <w:rFonts w:eastAsia="Calibri"/>
          <w:szCs w:val="22"/>
        </w:rPr>
      </w:pPr>
      <w:r>
        <w:rPr>
          <w:rFonts w:eastAsia="Calibri"/>
          <w:szCs w:val="22"/>
        </w:rPr>
        <w:t>6.7.2</w:t>
      </w:r>
      <w:r>
        <w:rPr>
          <w:rFonts w:eastAsia="Calibri"/>
          <w:szCs w:val="22"/>
        </w:rPr>
        <w:t>.</w:t>
        <w:tab/>
        <w:t xml:space="preserve">Kauno miesto savivaldybės teritorijoje yra 43 pirminės asmens sveikatos priežiūros paslaugas teikiančios įstaigos (toliau - pirminės sveikatos priežiūros įstaigos), iš kurių: 5 – savivaldybės, 1 valstybės ir 37 privačios. Prie šių pirminės sveikatos priežiūros įstaigų 2014 m. buvo prisirašę 380 543 pacientai, iš kurių 304 012 yra Kauno miesto savivaldybės gyventojai ir 76 531 – kitų savivaldybių gyventojas. Prie 5 savivaldybės pirminės sveikatos priežiūros įstaigų yra prisirašę 204 729 pacientai, prie valstybės pirminės sveikatos priežiūros įstaigos 13 766 pacientai, prie privačių pirminės sveikatos priežiūros įstaigų – 162 048 pacientai. 5 savivaldybės pirminės sveikatos priežiūros įstaigos yra įsikūrusios Dainavos, Šančių, Šilainių, Centro, Eigulių seniūnijose. </w:t>
      </w:r>
    </w:p>
    <w:p>
      <w:pPr>
        <w:spacing w:line="276" w:lineRule="auto"/>
        <w:ind w:firstLine="709"/>
        <w:jc w:val="both"/>
        <w:rPr>
          <w:rFonts w:eastAsia="Calibri"/>
          <w:szCs w:val="22"/>
        </w:rPr>
      </w:pPr>
      <w:r>
        <w:rPr>
          <w:rFonts w:eastAsia="Calibri"/>
          <w:szCs w:val="22"/>
        </w:rPr>
        <w:t>6.8</w:t>
      </w:r>
      <w:r>
        <w:rPr>
          <w:rFonts w:eastAsia="Calibri"/>
          <w:szCs w:val="22"/>
        </w:rPr>
        <w:t>.</w:t>
        <w:tab/>
        <w:t xml:space="preserve">Socialinių, demografinių, aplinkos ir klimato kaitos problemų teritorinių židinių (probleminių teritorijų) nustatymas: </w:t>
      </w:r>
    </w:p>
    <w:p>
      <w:pPr>
        <w:spacing w:line="276" w:lineRule="auto"/>
        <w:ind w:firstLine="709"/>
        <w:jc w:val="both"/>
        <w:rPr>
          <w:rFonts w:eastAsia="Calibri"/>
          <w:szCs w:val="22"/>
        </w:rPr>
      </w:pPr>
      <w:r>
        <w:rPr>
          <w:rFonts w:eastAsia="Calibri"/>
          <w:szCs w:val="22"/>
        </w:rPr>
        <w:t>6.8.1</w:t>
      </w:r>
      <w:r>
        <w:rPr>
          <w:rFonts w:eastAsia="Calibri"/>
          <w:szCs w:val="22"/>
        </w:rPr>
        <w:t>.</w:t>
        <w:tab/>
        <w:t>gyventojų pasiskirstymas pagal amžių atskirose Kauno miesto dalyse atitinka tam tikras miesto gyventojų vidinės migracijos tendencijas – dažniausiai keičianti gyvenamą vietą yra 16–30 m. amžiaus gyventojų grupė (dažnai – šeimos su vaikais), mažiausiai mobili – pensinio amžiaus gyventojų grupė; keičiant gyvenamą vietą mieste dažniau migruojama į naujai urbanizuojamas teritorijas, vėliausiai statytas Kauno miesto dalis (t. y. kartojasi migracijos į priemiestį tendencija, su ta išimtimi, kad nėra išvykstama už Kauno miesto administracinių ribų);</w:t>
      </w:r>
    </w:p>
    <w:p>
      <w:pPr>
        <w:spacing w:line="276" w:lineRule="auto"/>
        <w:ind w:firstLine="709"/>
        <w:jc w:val="both"/>
        <w:rPr>
          <w:rFonts w:eastAsia="Calibri"/>
          <w:szCs w:val="22"/>
        </w:rPr>
      </w:pPr>
      <w:r>
        <w:rPr>
          <w:rFonts w:eastAsia="Calibri"/>
          <w:szCs w:val="22"/>
        </w:rPr>
        <w:t>6.8.2</w:t>
      </w:r>
      <w:r>
        <w:rPr>
          <w:rFonts w:eastAsia="Calibri"/>
          <w:szCs w:val="22"/>
        </w:rPr>
        <w:t>.</w:t>
        <w:tab/>
        <w:t xml:space="preserve">gyvenamųjų namų teritorijų Kauno mieste būklė, priklausomai nuo miesto dalies bei vietinių bendruomenių iniciatyvų, yra įvairi, t. y. atskirose dalyse yra ir geros ir blogos būklės gyvenamųjų teritorijų, tačiau dažniausiai naujausiuose miesto namų kvartaluose pastatų būklė bei jų aplinkos būklė yra gera, o blogiausia būklė yra senosiose miesto dalyse: Vilijampolėje, dalyje Žaliakalnio seniūnijos, Žemuosiuose Šančiuose. Sovietinės statybos „miegamuosiuose“ rajonuose didžiausia problema yra nusidėvėjusios gyvenamųjų namų inžinerinės sistemos, nesandarios stambiaplokščių daugiabučių gyvenamųjų namų siūlės, susidėvėję aplinkos elementai. Daugelyje Kauno miesto vietų susiduriama su automobilių statymo problema, namų kiemuose susidėvėjusiomis takų, aikštelių dangomis, blogos būklės želdiniais. Atitinkamai patrauklesnėmis tampa miesto dalys, iš kurių nesunkiai pasiekiama pagrindinė socialinė infrastruktūra (mokyklos, darželiai, pirminės sveikatos priežiūros įstaigos), tačiau galima individualių namų statyba, nėra didelio gyventojų tankumo (atitinkamai, mažesni transporto srautai ir švaresnė gamtinė aplinka), o pačios teritorijos yra urbanizuotos santykinai neseniai (t. y. infrastruktūra nėra spėjusi pasenti ir nusidėvėti). Todėl gana intensyviai urbanizuojamos tokios miesto dalys kaip Birutė, Freda, Kazliškiai (Aleksoto seniūnija), Vaišvydava, Panemunė, Rokai, Vičiūnai (Panemunės seniūnija), visa Šilainių seniūnija, Lampėdžiai (Vilijampolės seniūnija), tuo tarpu Kauno miesto centrinėje dalyje esančiose seniūnijose ar dalyse stebimas ne tik gyventojų skaičiaus mažėjimas, bet ir tai, kad jose dažniau pasilieka vyresni gyventojai (t. y. teritorijos sparčiai demografiškai sensta); </w:t>
      </w:r>
    </w:p>
    <w:p>
      <w:pPr>
        <w:spacing w:line="276" w:lineRule="auto"/>
        <w:ind w:firstLine="709"/>
        <w:jc w:val="both"/>
        <w:rPr>
          <w:rFonts w:eastAsia="Calibri"/>
          <w:szCs w:val="22"/>
        </w:rPr>
      </w:pPr>
      <w:r>
        <w:rPr>
          <w:rFonts w:eastAsia="Calibri"/>
          <w:szCs w:val="22"/>
        </w:rPr>
        <w:t>6.8.3</w:t>
      </w:r>
      <w:r>
        <w:rPr>
          <w:rFonts w:eastAsia="Calibri"/>
          <w:szCs w:val="22"/>
        </w:rPr>
        <w:t>.</w:t>
        <w:tab/>
        <w:t>ypač nepalankus demografinės senatvės koeficientas (65 m. amžiaus ir vyresnių gyventojų ir vaikų iki 15 m. amžiaus) santykis, vertinant pagal 2011 m. visuotinio gyventojų ir būstų surašymo informaciją, nustatytas iš esmės visose miesto centrinės dalies seniūnijose – Centro, Dainavos ir Gričiupio – 180–181; Vilijampolės, Žaliakalnio – 144–156; mažesnis už Kauno miesto vidutinį koeficientą (2011 m. surašymo metu – 134), tačiau didesnis už 100 demografinės senatvės koeficientas buvo seniūnijose, kurių didelę dalį užėmė intensyviau urbanizuojami miesto pakraščiai – Aleksoto, Eigulių, Panemunės, Petrašiūnų, Šančių seniūnijose (110–127), vienintelėje Šilainių seniūnijoje demografinės senatvės koeficientas siekė 70 (ši teritorija pradėta užstatyti apie 1980-uosius metus, todėl daugelis gyventojų nespėjo pasiekti vyresnio amžiaus – pagyvenusių asmenų dalis siekė tik 10,8 proc.);</w:t>
      </w:r>
    </w:p>
    <w:p>
      <w:pPr>
        <w:spacing w:line="276" w:lineRule="auto"/>
        <w:ind w:firstLine="709"/>
        <w:jc w:val="both"/>
        <w:rPr>
          <w:rFonts w:eastAsia="Calibri"/>
          <w:szCs w:val="22"/>
        </w:rPr>
      </w:pPr>
      <w:r>
        <w:rPr>
          <w:rFonts w:eastAsia="Calibri"/>
          <w:szCs w:val="22"/>
        </w:rPr>
        <w:t>6.8.4</w:t>
      </w:r>
      <w:r>
        <w:rPr>
          <w:rFonts w:eastAsia="Calibri"/>
          <w:szCs w:val="22"/>
        </w:rPr>
        <w:t>.</w:t>
        <w:tab/>
        <w:t>Žaliakalnio ir (ypač) Centro seniūnijos išsiskyrė tuo aspektu, kad nepaisant aukšto demografinės senatvės koeficiento (nulemto mažo skaičiaus vaikų ir didelio skaičiaus pagyvenusių asmenų), joms buvo būdinga didelė jaunų gyventojų (15–29 m.) dalis – atitinkamai 21,8 ir 28 proc. (žr. 14 pav.). Tai yra, istoriniai gyvenamieji rajonai miesto centre yra patrauklūs jaunimui dėl netoliese esančių aukštųjų mokyklų, kultūrinio gyvenimo įvairovės, gerų laisvalaikio praleidimo galimybių ir kitų priežasčių, tačiau baigus studijas, sukūrus šeimą, sulaukus vaikų, iš miesto centro išsikeliama;</w:t>
      </w:r>
    </w:p>
    <w:p>
      <w:pPr>
        <w:rPr>
          <w:sz w:val="20"/>
        </w:rPr>
      </w:pPr>
    </w:p>
    <w:p>
      <w:pPr>
        <w:spacing w:line="276" w:lineRule="auto"/>
        <w:jc w:val="both"/>
        <w:rPr>
          <w:rFonts w:eastAsia="Calibri"/>
          <w:szCs w:val="22"/>
        </w:rPr>
      </w:pPr>
      <w:r>
        <w:rPr>
          <w:rFonts w:eastAsia="Calibri"/>
          <w:szCs w:val="22"/>
          <w:lang w:eastAsia="lt-LT"/>
        </w:rPr>
        <w:drawing>
          <wp:inline distT="0" distB="0" distL="0" distR="0">
            <wp:extent cx="6353175" cy="4229100"/>
            <wp:effectExtent l="0" t="0" r="9525" b="0"/>
            <wp:docPr id="3" name="Diagrama 3"/>
            <wp:cNvGraphicFramePr/>
            <a:graphic xmlns:a="http://schemas.openxmlformats.org/drawingml/2006/main">
              <a:graphicData uri="http://schemas.openxmlformats.org/drawingml/2006/chart">
                <c:chart xmlns:c="http://schemas.openxmlformats.org/drawingml/2006/chart" r:id="rId28"/>
              </a:graphicData>
            </a:graphic>
          </wp:inline>
        </w:drawing>
      </w:r>
    </w:p>
    <w:p>
      <w:pPr>
        <w:rPr>
          <w:sz w:val="20"/>
        </w:rPr>
      </w:pPr>
    </w:p>
    <w:p>
      <w:pPr>
        <w:spacing w:line="276" w:lineRule="auto"/>
        <w:ind w:firstLine="709"/>
        <w:jc w:val="center"/>
        <w:rPr>
          <w:rFonts w:eastAsia="Calibri"/>
          <w:b/>
          <w:szCs w:val="22"/>
        </w:rPr>
      </w:pPr>
      <w:r>
        <w:rPr>
          <w:rFonts w:eastAsia="Calibri"/>
          <w:b/>
          <w:szCs w:val="22"/>
        </w:rPr>
        <w:t>14 pav. Gyventojų amžiaus grupės Kauno miesto seniūnijose. Šaltinis: Lietuvos statistikos departamentas (2011 m. visuotinis gyventojų ir būstų surašymas)</w:t>
      </w:r>
    </w:p>
    <w:p>
      <w:pPr>
        <w:rPr>
          <w:sz w:val="20"/>
        </w:rPr>
      </w:pPr>
    </w:p>
    <w:p>
      <w:pPr>
        <w:spacing w:line="276" w:lineRule="auto"/>
        <w:ind w:firstLine="709"/>
        <w:jc w:val="both"/>
        <w:rPr>
          <w:rFonts w:eastAsia="Calibri"/>
          <w:szCs w:val="22"/>
        </w:rPr>
      </w:pPr>
      <w:r>
        <w:rPr>
          <w:rFonts w:eastAsia="Calibri"/>
          <w:szCs w:val="22"/>
        </w:rPr>
        <w:t>6.8.5</w:t>
      </w:r>
      <w:r>
        <w:rPr>
          <w:rFonts w:eastAsia="Calibri"/>
          <w:szCs w:val="22"/>
        </w:rPr>
        <w:t>.</w:t>
        <w:tab/>
        <w:t>Kauno mieste iš mobilių taršos šaltinių į atmosferą išmetama dvigubai daugiau oro teršalų nei iš stacionarių taršos šaltinių. Kauno miesto bendrojo plano duomenimis, oras yra labiausiai užterštas Žaliakalnyje, Senamiestyje, Naujamiestyje, Kalniečiuose, Dainavoje, Eiguliuose bei Vilijampolėje, o mažiausias užterštas periferinėse miesto dalyse – Panemunėje, Vičiūnuose, Rokuose, Birutėje, Kazliškiuose, Romainiuose, Linkuvoje. Kaune didžiausios teršiančios įmonės yra išsidėsčiusios Petrašiūnuose, Naujasodyje, Palemone, Rokuose ir Aleksote, tačiau šios miesto dalys nepasižymi didžiausia oro tarša, o tai reiškia, kad oro tarša mieste yra labiau įtakojama ne stacionarių taršos šaltinių, bet mobilių taršos šaltinių;</w:t>
      </w:r>
    </w:p>
    <w:p>
      <w:pPr>
        <w:rPr>
          <w:sz w:val="20"/>
        </w:rPr>
      </w:pPr>
    </w:p>
    <w:p>
      <w:pPr>
        <w:spacing w:line="276" w:lineRule="auto"/>
        <w:ind w:firstLine="709"/>
        <w:jc w:val="both"/>
        <w:rPr>
          <w:rFonts w:eastAsia="Calibri"/>
          <w:szCs w:val="22"/>
        </w:rPr>
      </w:pPr>
      <w:r>
        <w:rPr>
          <w:rFonts w:eastAsia="Calibri"/>
          <w:szCs w:val="22"/>
        </w:rPr>
        <w:t>6.8.6</w:t>
      </w:r>
      <w:r>
        <w:rPr>
          <w:rFonts w:eastAsia="Calibri"/>
          <w:szCs w:val="22"/>
        </w:rPr>
        <w:t>.</w:t>
        <w:tab/>
        <w:t xml:space="preserve">Kauno miesto bendrajame plane nustatyta, kad dirvožemiai labiausiai užteršti įvairių pramonės šakų bei transporto koncentracijos zonose. Didžiausios sunkiųjų metalų koncentracijos yra fiksuojamos pramonės įmonių kiemuose, poligonuose, garažų masyvų teritorijose, buvusiose karinėse teritorijose, buitinių atliekų šiukšlynų teritorijose, gatvių ir šalikelių dirvožemyje, geležinkelio stoties teritorijoje. Didelės sunkiųjų metalų koncentracijos bei jų sankaupos yra didžiausios technogeninės apkrovos Kauno miesto dalyse: Vilijampolėje, Šančiuose, Naujamiestyje, Petrašiūnuose, Aleksote. Kauno miesto dirvožemis labiausiai yra užterštas švinu, cinku bei variu. </w:t>
      </w:r>
    </w:p>
    <w:p>
      <w:pPr>
        <w:rPr>
          <w:sz w:val="20"/>
        </w:rPr>
      </w:pPr>
    </w:p>
    <w:p>
      <w:pPr>
        <w:keepNext/>
        <w:spacing w:line="276" w:lineRule="auto"/>
        <w:jc w:val="both"/>
        <w:rPr>
          <w:rFonts w:eastAsia="Calibri"/>
          <w:szCs w:val="22"/>
        </w:rPr>
      </w:pPr>
      <w:r>
        <w:rPr>
          <w:rFonts w:eastAsia="Calibri"/>
          <w:szCs w:val="22"/>
          <w:lang w:eastAsia="lt-LT"/>
        </w:rPr>
        <w:drawing>
          <wp:inline distT="0" distB="0" distL="0" distR="0">
            <wp:extent cx="6329045" cy="396748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9045" cy="3967480"/>
                    </a:xfrm>
                    <a:prstGeom prst="rect">
                      <a:avLst/>
                    </a:prstGeom>
                    <a:noFill/>
                    <a:ln>
                      <a:noFill/>
                    </a:ln>
                  </pic:spPr>
                </pic:pic>
              </a:graphicData>
            </a:graphic>
          </wp:inline>
        </w:drawing>
      </w:r>
    </w:p>
    <w:p>
      <w:pPr>
        <w:rPr>
          <w:sz w:val="10"/>
          <w:szCs w:val="10"/>
        </w:rPr>
      </w:pPr>
    </w:p>
    <w:p>
      <w:pPr>
        <w:ind w:firstLine="397"/>
        <w:jc w:val="center"/>
        <w:rPr>
          <w:rFonts w:eastAsia="Calibri"/>
          <w:b/>
          <w:bCs/>
          <w:szCs w:val="24"/>
        </w:rPr>
      </w:pPr>
      <w:r>
        <w:rPr>
          <w:rFonts w:eastAsia="Calibri"/>
          <w:b/>
          <w:bCs/>
          <w:szCs w:val="24"/>
        </w:rPr>
        <w:t>15 pav. Dirvožemio užterštumas Kauno mieste. Šaltinis: Kauno miesto bendrasis planas</w:t>
      </w:r>
    </w:p>
    <w:p>
      <w:pPr>
        <w:rPr>
          <w:sz w:val="20"/>
        </w:rPr>
      </w:pPr>
    </w:p>
    <w:p>
      <w:pPr>
        <w:spacing w:line="276" w:lineRule="auto"/>
        <w:ind w:firstLine="709"/>
        <w:jc w:val="both"/>
        <w:rPr>
          <w:rFonts w:eastAsia="Calibri"/>
          <w:szCs w:val="22"/>
        </w:rPr>
      </w:pPr>
      <w:r>
        <w:rPr>
          <w:rFonts w:eastAsia="Calibri"/>
          <w:szCs w:val="22"/>
        </w:rPr>
        <w:t>6.9</w:t>
      </w:r>
      <w:r>
        <w:rPr>
          <w:rFonts w:eastAsia="Calibri"/>
          <w:szCs w:val="22"/>
        </w:rPr>
        <w:t>.</w:t>
        <w:tab/>
        <w:t xml:space="preserve"> Didžiausias triukšmas fiksuojamas intensyvaus eismo gatvėse bei sankryžose. Svarbiais triukšmo sklaidos šaltiniais laikytini ir geležinkeliai bei kiti lokaliniai šaltiniai, tokie kaip ventiliatoriai ir transformatoriai. Tam tikrose Kauno miesto zonose (žr. 16 pav.) vidutinis paros triukšmo lygis viršija leistinas ribas (65 dBA) ir tampa pavojingu gyventojų sveikatai. Šiuo metu Kauno mieste pastebimas automobilizacijos lygio didėjimas, todėl ateityje triukšmo problema taps vis aktualesne, todėl mieste suformuotos tyliosios gamtos zonos: Kleboniškis (Kleboniškio miško parkas), Ąžuolynas, Vičiūnai (Panemunės šilas), Kalniečių parkas, Lampėdžių miško parkas, Romainių miškas. Tyliosios aglomeracijos zonos Kauno mieste apima Kazliškius, Sargėnus, didžiąją dalį Panemunės, dalį Fredos ir Birutės, Vaišvydavą, Žaliakalnio dalį tarp Savanorių prospekto, Jonavos, Žemaičių, K. Petrausko Utenos ir Nuokalnės gatvių.</w:t>
      </w:r>
    </w:p>
    <w:p>
      <w:pPr>
        <w:rPr>
          <w:sz w:val="20"/>
        </w:rPr>
      </w:pPr>
    </w:p>
    <w:p>
      <w:pPr>
        <w:spacing w:line="276" w:lineRule="auto"/>
        <w:jc w:val="both"/>
        <w:rPr>
          <w:rFonts w:eastAsia="Calibri"/>
          <w:szCs w:val="22"/>
        </w:rPr>
      </w:pPr>
      <w:r>
        <w:rPr>
          <w:rFonts w:eastAsia="Calibri"/>
          <w:szCs w:val="22"/>
          <w:lang w:eastAsia="lt-LT"/>
        </w:rPr>
        <w:drawing>
          <wp:inline distT="0" distB="0" distL="0" distR="0">
            <wp:extent cx="6333490" cy="395224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3490" cy="3952240"/>
                    </a:xfrm>
                    <a:prstGeom prst="rect">
                      <a:avLst/>
                    </a:prstGeom>
                    <a:noFill/>
                  </pic:spPr>
                </pic:pic>
              </a:graphicData>
            </a:graphic>
          </wp:inline>
        </w:drawing>
      </w:r>
    </w:p>
    <w:p>
      <w:pPr>
        <w:rPr>
          <w:sz w:val="10"/>
          <w:szCs w:val="10"/>
        </w:rPr>
      </w:pPr>
    </w:p>
    <w:p>
      <w:pPr>
        <w:ind w:firstLine="397"/>
        <w:jc w:val="center"/>
        <w:rPr>
          <w:rFonts w:eastAsia="Calibri"/>
          <w:b/>
          <w:bCs/>
          <w:szCs w:val="24"/>
        </w:rPr>
      </w:pPr>
      <w:r>
        <w:rPr>
          <w:rFonts w:eastAsia="Calibri"/>
          <w:b/>
          <w:bCs/>
          <w:szCs w:val="24"/>
        </w:rPr>
        <w:t>16 pav. Triukšmo sklaida ir tyliosios zonos Kauno mieste. Šaltinis: Kauno miesto bendrasis planas</w:t>
      </w:r>
    </w:p>
    <w:p>
      <w:pPr>
        <w:spacing w:line="276" w:lineRule="auto"/>
        <w:ind w:firstLine="709"/>
        <w:jc w:val="both"/>
        <w:rPr>
          <w:rFonts w:eastAsia="Calibri"/>
          <w:szCs w:val="22"/>
        </w:rPr>
      </w:pPr>
      <w:r>
        <w:rPr>
          <w:rFonts w:eastAsia="Calibri"/>
          <w:szCs w:val="22"/>
        </w:rPr>
        <w:t>7</w:t>
      </w:r>
      <w:r>
        <w:rPr>
          <w:rFonts w:eastAsia="Calibri"/>
          <w:szCs w:val="22"/>
        </w:rPr>
        <w:t>.</w:t>
        <w:tab/>
        <w:t>Tikslinių teritorijų pasirinkimo kriterijai ir pasirinkimo pagrindimas:</w:t>
      </w:r>
    </w:p>
    <w:p>
      <w:pPr>
        <w:spacing w:line="276" w:lineRule="auto"/>
        <w:ind w:firstLine="709"/>
        <w:jc w:val="both"/>
        <w:rPr>
          <w:rFonts w:eastAsia="Calibri"/>
          <w:szCs w:val="22"/>
        </w:rPr>
      </w:pPr>
      <w:r>
        <w:rPr>
          <w:rFonts w:eastAsia="Calibri"/>
          <w:szCs w:val="22"/>
        </w:rPr>
        <w:t>7.1</w:t>
      </w:r>
      <w:r>
        <w:rPr>
          <w:rFonts w:eastAsia="Calibri"/>
          <w:szCs w:val="22"/>
        </w:rPr>
        <w:t>.</w:t>
        <w:tab/>
        <w:t>siekiant nustatyti tikslines teritorijas buvo atliktas Kauno miesto bendrojo plano stebėsenos rezultatų įvertinimas. Tikslinės teritorijos atrinktos pagal socialines ir infrastruktūros būklės problemas, viešųjų institucijų, rekreacinių zonų ir viešųjų erdvių koncentraciją, ekonominį potencialą ir patvirtintos Kauno miesto savivaldybės tarybos 2015 m. rugsėjo 8 d. sprendimu Nr. T-470 „Dėl pritarimo 2014–2020 metų Kauno miesto integruotos teritorijos vystymo programos projektui“:</w:t>
      </w:r>
    </w:p>
    <w:p>
      <w:pPr>
        <w:spacing w:line="276" w:lineRule="auto"/>
        <w:ind w:firstLine="709"/>
        <w:jc w:val="both"/>
        <w:rPr>
          <w:rFonts w:eastAsia="Calibri"/>
          <w:szCs w:val="22"/>
        </w:rPr>
      </w:pPr>
      <w:r>
        <w:rPr>
          <w:rFonts w:eastAsia="Calibri"/>
          <w:szCs w:val="22"/>
        </w:rPr>
        <w:t>7.1.1</w:t>
      </w:r>
      <w:r>
        <w:rPr>
          <w:rFonts w:eastAsia="Calibri"/>
          <w:szCs w:val="22"/>
        </w:rPr>
        <w:t>.</w:t>
        <w:tab/>
        <w:t>Aleksoto tikslinė teritorija apima Aleksoto seniūniją ir dalį Centro seniūnijos – Nemuno salą, (toliau – Aleksoto tikslinė teritorija) ir išsiskiria kaip verslo, mokslo, kultūros ir rekreacijos centras, patogus gyvenamasis rajonas, komercinių objektų vieta. Aleksoto tikslinė teritorija apima pietvakarinę Kauno miesto dalį kairiajame Nemuno krante. Ją sudaro Aleksotas, Freda, Kazliškiai, Marvelė, Birutė ir Nemuno sala:</w:t>
      </w:r>
    </w:p>
    <w:p>
      <w:pPr>
        <w:spacing w:line="276" w:lineRule="auto"/>
        <w:ind w:firstLine="709"/>
        <w:jc w:val="both"/>
        <w:rPr>
          <w:rFonts w:eastAsia="Calibri"/>
          <w:szCs w:val="22"/>
        </w:rPr>
      </w:pPr>
      <w:r>
        <w:rPr>
          <w:rFonts w:eastAsia="Calibri"/>
          <w:szCs w:val="22"/>
        </w:rPr>
        <w:t>7.1.1.1</w:t>
      </w:r>
      <w:r>
        <w:rPr>
          <w:rFonts w:eastAsia="Calibri"/>
          <w:szCs w:val="22"/>
        </w:rPr>
        <w:t>.</w:t>
        <w:tab/>
        <w:t xml:space="preserve"> Aleksoto tikslinės teritorijos plotas – 24,76 kv. km., kuriame įsikūrę 20 300 gyventojų. Gyventojų tankumas Aleksoto tikslinėje teritorijoje 2,3 karto mažesnis už Kauno miesto gyventojų tankumą;</w:t>
      </w:r>
    </w:p>
    <w:p>
      <w:pPr>
        <w:spacing w:line="276" w:lineRule="auto"/>
        <w:ind w:firstLine="709"/>
        <w:jc w:val="both"/>
        <w:rPr>
          <w:rFonts w:eastAsia="Calibri"/>
          <w:szCs w:val="22"/>
        </w:rPr>
      </w:pPr>
      <w:r>
        <w:rPr>
          <w:rFonts w:eastAsia="Calibri"/>
          <w:szCs w:val="22"/>
        </w:rPr>
        <w:t>7.1.1.2</w:t>
      </w:r>
      <w:r>
        <w:rPr>
          <w:rFonts w:eastAsia="Calibri"/>
          <w:szCs w:val="22"/>
        </w:rPr>
        <w:t>.</w:t>
        <w:tab/>
        <w:t xml:space="preserve"> Aleksoto tikslinė teritorija išsiskiria rekreacinėmis erdvėmis ir viešųjų paslaugų infrastruktūra, gausu kultūrinių-rekreacinių teritorijų (VDU Kauno botanikos sodas, Naugardiškių, Antakalnio parkai, Aleksoto funikulierius, apžvalgos aikštelė), komercinių teritorijų (Aleksoto turgavietė, prekybos centrai ir sandėliai), švietimo įstaigų (Muzikos akademija, Divizijos generolo S. Raštikio Lietuvos kariuomenės mokykla, 1 gimnazija, 1 progimnazija, 1 pradinė mokykla, 4 vaikų darželiai-lopšeliai), 3 pirminės sveikatos priežiūros centrai, 4 V. Kudirkos bibliotekos filialai, katalikų Šv. Kazimiero bažnyčia. Aleksoto tikslinėje teritorijoje veikia mokslo technologijų parkas „Technopolis“, kurio dalininkai yra Kauno miesto savivaldybė, Kauno technologijos universitetas ir Kauno pramonės prekybos ir amatų rūmai. Nemažą Aleksoto tikslinės teritorijos dalį užima pramoninės teritorijos (tačiau dalis jų – apleistos), yra 2 veikiantys aerodromai. Teritorijoje yra žydų kapinės H. ir O. Minkovskių g., Seniavos kapinės, rusų karo belaisvių, Fredos bei senosios Aleksoto kapinaitės;</w:t>
      </w:r>
    </w:p>
    <w:p>
      <w:pPr>
        <w:spacing w:line="276" w:lineRule="auto"/>
        <w:ind w:firstLine="709"/>
        <w:jc w:val="both"/>
        <w:rPr>
          <w:rFonts w:eastAsia="Calibri"/>
          <w:szCs w:val="22"/>
        </w:rPr>
      </w:pPr>
      <w:r>
        <w:rPr>
          <w:rFonts w:eastAsia="Calibri"/>
          <w:szCs w:val="22"/>
        </w:rPr>
        <w:t>7.1.1.3</w:t>
      </w:r>
      <w:r>
        <w:rPr>
          <w:rFonts w:eastAsia="Calibri"/>
          <w:szCs w:val="22"/>
        </w:rPr>
        <w:t>.</w:t>
        <w:tab/>
        <w:t xml:space="preserve"> Aleksoto tikslinėje teritorijoje 2014 m. buvo 4 031 gyvenamasis namas, iš kurių 213 daugiabučiai. Svarbiausia Aleksoto inžinerinė problema – didelė dalis namų (1 329) neprijungtų prie centralizuoto vandentiekio ir nuotekų tinklų. Gatvių ilgis Aleksote siekia 148,7 km, ir sudaro 18,3 % Kauno miesto gatvių tinklo ilgio, iš kurių su asfalto danga tik 72,2 km arba 48,6 % šios tikslinės teritorijos gatvių ilgio. Bazinė infrastruktūra išvystyta nepakankamai, o esama stipriai susidėvėjusi ir neatitinka šių dienų reikalavimų: trūksta automobilių stovėjimo aikštelių, prasta gatvių ir pėsčiųjų takų būklė, nepakankamai sutvarkytos viešosios erdvės. Neišvystytas viešasis transportas, todėl sunku patekti į J. Dobkevičiaus progimnaziją, pasiekti Tirkiliškių mokyklą – darželį, Tirkiliškių lopšelį – darželį, pirminės sveikatos priežiūros centrą „Sveikatos ratas“ (Tirkiliškių g.). Marvelė nesujungta jokiu transportu su Aleksoto centru, šaligatviai įrengti tik 5-iose gatvėse, visai nėra dviračių takų;</w:t>
      </w:r>
    </w:p>
    <w:p>
      <w:pPr>
        <w:spacing w:line="276" w:lineRule="auto"/>
        <w:ind w:firstLine="709"/>
        <w:jc w:val="both"/>
        <w:rPr>
          <w:rFonts w:eastAsia="Calibri"/>
          <w:szCs w:val="22"/>
        </w:rPr>
      </w:pPr>
      <w:r>
        <w:rPr>
          <w:rFonts w:eastAsia="Calibri"/>
          <w:szCs w:val="22"/>
        </w:rPr>
        <w:t>7.1.1.4</w:t>
      </w:r>
      <w:r>
        <w:rPr>
          <w:rFonts w:eastAsia="Calibri"/>
          <w:szCs w:val="22"/>
        </w:rPr>
        <w:t>.</w:t>
        <w:tab/>
        <w:t xml:space="preserve"> Aleksoto tikslinėje teritorijoje esančiose bendrojo lavinimosi mokyklose 2013–2014 m. mokėsi 1 018 vaikai, iš kurių pasitikrino sveikatą 970 (95,28 proc. visų vaikų). Iš visų pasitikrinusiųjų – 393 vaikams nustatyti regos sutrikimai (40,52 proc. visų pasitikrinusiųjų) iš jų: miopija – 122 vaikams (12,6 proc.), astigmatizmas –  72 vaikams (7,4 proc.). Aleksoto seniūnijos bendrojo lavinimo mokyklose mokosi 404 14-18 m. (8-12 klasių) vaikai, iš jų 361 yra pasitikrinę sveikatą (89,36 proc. visų  besimokančių 14-18 m. vaikų). Iš visų pasitikrinusiųjų – 18 nustatytas antsvoris ar nutukimas (5 proc.), 64 – kraujotakos sistemos sutrikimai (17,73 proc.), 15 – nervų sistemos sutrikimai (4,2 proc.). Siekiant mažinti vaikų sergamumą, Aleksoto tikslinėje teritorijoje numatytos prevencinės priemonės, skatinančios sveiką gyvensenos būdą ir didinančios fizinį vaikų aktyvumą.</w:t>
      </w:r>
    </w:p>
    <w:p>
      <w:pPr>
        <w:spacing w:line="276" w:lineRule="auto"/>
        <w:ind w:firstLine="709"/>
        <w:jc w:val="both"/>
        <w:rPr>
          <w:rFonts w:eastAsia="Calibri"/>
          <w:szCs w:val="22"/>
        </w:rPr>
      </w:pPr>
      <w:r>
        <w:rPr>
          <w:rFonts w:eastAsia="Calibri"/>
          <w:szCs w:val="22"/>
        </w:rPr>
        <w:t>7.1.2</w:t>
      </w:r>
      <w:r>
        <w:rPr>
          <w:rFonts w:eastAsia="Calibri"/>
          <w:szCs w:val="22"/>
        </w:rPr>
        <w:t>.</w:t>
        <w:tab/>
        <w:t xml:space="preserve">Žaliakalnio tikslinė teritorija apima Žaliakalnio seniūniją (toliau – Žaliakalnio tikslinė teritorija) ir pasižymi įvairia funkcine struktūra: prie pagrindinių gatvių (Savanorių prospekto ir kt.) – polifunkcinė, kita dalis monofunkcinė. Didelė dalis užstatyta mažaaukščiais gyvenamaisiais namais, dalis teritorijos yra rekreacinė, nedidelė dalis – karinės ir pramoninės teritorijos: </w:t>
      </w:r>
    </w:p>
    <w:p>
      <w:pPr>
        <w:spacing w:line="276" w:lineRule="auto"/>
        <w:ind w:firstLine="709"/>
        <w:jc w:val="both"/>
        <w:rPr>
          <w:rFonts w:eastAsia="Calibri"/>
          <w:szCs w:val="22"/>
        </w:rPr>
      </w:pPr>
      <w:r>
        <w:rPr>
          <w:rFonts w:eastAsia="Calibri"/>
          <w:szCs w:val="22"/>
        </w:rPr>
        <w:t>7.1.2.1</w:t>
      </w:r>
      <w:r>
        <w:rPr>
          <w:rFonts w:eastAsia="Calibri"/>
          <w:szCs w:val="22"/>
        </w:rPr>
        <w:t>.</w:t>
        <w:tab/>
        <w:t>Žaliakalnio tikslinės teritorijos plotas – 7,35 kv. km., kuriame įsikūrę 24 996 gyventojai. Gyventojų tankumas Žaliakalnio tikslinėje teritorijoje 1,8 karto didesnis už Kauno miesto gyventojų tankumą;</w:t>
      </w:r>
    </w:p>
    <w:p>
      <w:pPr>
        <w:spacing w:line="276" w:lineRule="auto"/>
        <w:ind w:firstLine="709"/>
        <w:jc w:val="both"/>
        <w:rPr>
          <w:rFonts w:eastAsia="Calibri"/>
          <w:szCs w:val="22"/>
        </w:rPr>
      </w:pPr>
      <w:r>
        <w:rPr>
          <w:rFonts w:eastAsia="Calibri"/>
          <w:szCs w:val="22"/>
        </w:rPr>
        <w:t>7.1.2.2</w:t>
      </w:r>
      <w:r>
        <w:rPr>
          <w:rFonts w:eastAsia="Calibri"/>
          <w:szCs w:val="22"/>
        </w:rPr>
        <w:t>.</w:t>
        <w:tab/>
        <w:t xml:space="preserve"> Žaliakalnio tikslinėje teritorijoje yra gausu miesto, regiono ir valstybės svarbos esamų ir plėtotinų sporto, kultūros ir rekreacinių viešųjų erdvių ir teritorijų, tai S. Dariaus ir S. Girėno stadiono ir sporto halės erdvė, P. Vileišio aikštė su ledo arena, futbolo ir lengvosios atletikos maniežų erdvė, Kristaus Prisikėlimo šventovės aikštė, Kauko laiptų baseino zona, Sporto gatvė, Ąžuolyno parkas, kuriam suteiktas NATURA 2000 teritorijos statusas dėl jame besiveisiančio Niūriaspalvio auksavabalio </w:t>
      </w:r>
      <w:r>
        <w:rPr>
          <w:rFonts w:eastAsia="Calibri"/>
          <w:i/>
          <w:szCs w:val="22"/>
        </w:rPr>
        <w:t>(Osmoderma eremita)</w:t>
      </w:r>
      <w:r>
        <w:rPr>
          <w:rFonts w:eastAsia="Calibri"/>
          <w:szCs w:val="22"/>
        </w:rPr>
        <w:t xml:space="preserve">. Teritorija išsiskiria buvusiomis pramoninės ir karinėmis erdvėmis, turinčiomis konversijos potencialą, tai buvusi metalo apdirbimo gamykla „Koordinatė“ prie Savanorių prospekto (reikalinga konversija), buvusi radijo gamyklos „Banga“ teritorija (šiandien įvykdyta dalinė konversija), karinė teritorija prie Radvilėnų  plento (reikalinga konversija). Žaliakalnio tikslinėje teritorijoje yra Lietuvos sporto universitetas, 1 gimnazija, 2 vidurinės, 1 pagrindinė ir 2 pradinės mokyklos, 1 darželis-mokykla, 4 papildomo ugdymo įstaigos, 11 ikimokyklinio ugdymo įstaigų, Kauno Kristaus Prisikėlimo bažnyčia, cerkvė, policijos nuovada, NVO būstinės, turgavietė, Žaliakalnio sveikatos priežiūros centras, Lietuvos sveikatos mokslų universiteto ligoninė VšĮ Kauno klinikos, 2 pašto skyriai. Žaliakalnį kerta svarbi miesto magistralinė trasa – Savanorių prospektas (pereinantis į magistralinį kelią A1, taigi ir TEN-T tinklo koridorius), taip pat svarbios Parodos, K. Petrausko gatvės, Vydūno alėja, Radvilėnų plentas. Žaliakalnį su miesto centru jungia 10 laiptų bei funikulierius;</w:t>
      </w:r>
    </w:p>
    <w:p>
      <w:pPr>
        <w:spacing w:line="276" w:lineRule="auto"/>
        <w:ind w:firstLine="709"/>
        <w:jc w:val="both"/>
        <w:rPr>
          <w:rFonts w:eastAsia="Calibri"/>
          <w:szCs w:val="22"/>
        </w:rPr>
      </w:pPr>
      <w:r>
        <w:rPr>
          <w:rFonts w:eastAsia="Calibri"/>
          <w:szCs w:val="22"/>
        </w:rPr>
        <w:t>7.1.2.3</w:t>
      </w:r>
      <w:r>
        <w:rPr>
          <w:rFonts w:eastAsia="Calibri"/>
          <w:szCs w:val="22"/>
        </w:rPr>
        <w:t>.</w:t>
        <w:tab/>
        <w:t xml:space="preserve"> pagal gyventojų tankumą ir teritorijos svarbą Žaliakalnio tikslinės teritorijos bazinė infrastruktūra išvystyta nepakankamai, esama infrastruktūra susidėvėjusi ir neatitinka šių dienų reikalavimų. Žaliakalnio tikslinėje teritorijoje yra 160 gatvių, kurių ilgis – 81,3 km. Gatvių tinklas tankus, tačiau didžioji dalis gatvių siauros, nepritaikytos didesniems eismo srautams. Trūksta automobilių stovėjimo aikštelių, prasta kiemų, gatvių ir pėsčiųjų takų būklė, neįrengtos arba nepakankamai sutvarkytos viešosios erdvės. Žaliakalnis išsiskiria dideliu oro užterštumu, nes šioje teritorijoje vyksta dideli tranzitinio transporto srautai nepritaikytose gatvėse, ne visoje teritorijoje įrengta lietaus ir buitinių nuotekų sistema, todėl teršiamas gruntas bei paviršiniai ir gruntiniai vandenys;</w:t>
      </w:r>
    </w:p>
    <w:p>
      <w:pPr>
        <w:spacing w:line="276" w:lineRule="auto"/>
        <w:ind w:firstLine="709"/>
        <w:jc w:val="both"/>
        <w:rPr>
          <w:rFonts w:eastAsia="Calibri"/>
          <w:szCs w:val="22"/>
        </w:rPr>
      </w:pPr>
      <w:r>
        <w:rPr>
          <w:rFonts w:eastAsia="Calibri"/>
          <w:szCs w:val="22"/>
        </w:rPr>
        <w:t>7.1.2.4</w:t>
      </w:r>
      <w:r>
        <w:rPr>
          <w:rFonts w:eastAsia="Calibri"/>
          <w:szCs w:val="22"/>
        </w:rPr>
        <w:t>.</w:t>
        <w:tab/>
        <w:t xml:space="preserve"> Žaliakalnio tikslinėje teritorijoje esančiose bendrojo lavinimo mokyklose 2013–2014 m. mokėsi 3 106 vaikai, iš kurių pasitikrino sveikatą 3094 vaikai (99,61 proc. visų vaikų). Iš visų pasitikrinusiųjų – 1469 vaikams nustatyti regos sutrikimai (47,48 proc. visų pasitikrinusiųjų) iš jų: miopija – 572 vaikams (18,49 proc. visų pasitikrinusiųjų), astigmatizmas – 205 vaikams (6,63 proc. visų pasitikrinusiųjų);</w:t>
      </w:r>
    </w:p>
    <w:p>
      <w:pPr>
        <w:spacing w:line="276" w:lineRule="auto"/>
        <w:ind w:firstLine="709"/>
        <w:jc w:val="both"/>
        <w:rPr>
          <w:rFonts w:eastAsia="Calibri"/>
          <w:szCs w:val="22"/>
        </w:rPr>
      </w:pPr>
      <w:r>
        <w:rPr>
          <w:rFonts w:eastAsia="Calibri"/>
          <w:szCs w:val="22"/>
        </w:rPr>
        <w:t>7.1.2.5</w:t>
      </w:r>
      <w:r>
        <w:rPr>
          <w:rFonts w:eastAsia="Calibri"/>
          <w:szCs w:val="22"/>
        </w:rPr>
        <w:t>.</w:t>
        <w:tab/>
        <w:t xml:space="preserve"> Žaliakalnio tikslinėje teritorijoje esančiose bendrojo lavinimo mokyklose 2013–2014 m. mokėsi 1 386 14–18 m. (8–12 klasių) vaikai, iš jų 1 374 yra pasitikrinę sveikatą. Iš visų pasitikrinusiųjų – 45 nustatytas antsvoris ar nutukimas (3,28 proc.), 156 – kraujotakos sistemos sutrikimai (11,35 proc.), 40 – nervų sistemos sutrikimai (2,9 proc.). Siekiant mažinti vaikų sergamumą, Žaliakalnio tikslinėje teritorijoje būtinos prevencinės priemonės, skatinančios sveiką gyvensenos būdą ir didinančios fizinį vaikų aktyvumą.</w:t>
      </w:r>
    </w:p>
    <w:p>
      <w:pPr>
        <w:rPr>
          <w:sz w:val="20"/>
        </w:rPr>
      </w:pPr>
    </w:p>
    <w:p>
      <w:pPr>
        <w:spacing w:line="276" w:lineRule="auto"/>
        <w:ind w:firstLine="709"/>
        <w:jc w:val="both"/>
        <w:rPr>
          <w:rFonts w:eastAsia="Calibri"/>
          <w:szCs w:val="22"/>
        </w:rPr>
      </w:pPr>
      <w:r>
        <w:rPr>
          <w:rFonts w:eastAsia="Calibri"/>
          <w:szCs w:val="22"/>
        </w:rPr>
        <w:t>8</w:t>
      </w:r>
      <w:r>
        <w:rPr>
          <w:rFonts w:eastAsia="Calibri"/>
          <w:szCs w:val="22"/>
        </w:rPr>
        <w:t>.</w:t>
        <w:tab/>
        <w:t>Kauno ITV programos įgyvendinimui susieta teritorija, patvirtinta Kauno miesto savivaldybės tarybos 2015 m. rugsėjo 8 d. sprendimu Nr. T-470 „Dėl pritarimo 2014–2020 metų Kauno miesto integruotos teritorijos vystymo programos projektui“ (žr. 17 pav.), įvertinus šiuos teritorijų funkcinius ryšius:</w:t>
      </w:r>
    </w:p>
    <w:p>
      <w:pPr>
        <w:rPr>
          <w:sz w:val="20"/>
        </w:rPr>
      </w:pPr>
    </w:p>
    <w:p>
      <w:pPr>
        <w:spacing w:line="276" w:lineRule="auto"/>
        <w:ind w:firstLine="709"/>
        <w:jc w:val="both"/>
        <w:rPr>
          <w:rFonts w:eastAsia="Calibri"/>
          <w:szCs w:val="22"/>
        </w:rPr>
      </w:pPr>
      <w:r>
        <w:rPr>
          <w:rFonts w:eastAsia="Calibri"/>
          <w:szCs w:val="22"/>
        </w:rPr>
        <w:t>8.1</w:t>
      </w:r>
      <w:r>
        <w:rPr>
          <w:rFonts w:eastAsia="Calibri"/>
          <w:szCs w:val="22"/>
        </w:rPr>
        <w:t>.</w:t>
        <w:tab/>
        <w:t>Aleksotas ir Žaliakalnis – nedidelio aukštingumo masyvų žiedas, pasižymintis tankiu smulkių gatvių tinklu, bei supantis Kauno miesto istorines dalis – Senamiestį ir Naujamiestį. Žaliakalnis ir Aleksotas formuoja savotišką ratą aplink Kauno miesto centro branduolį ir šiuo požiūriu užtikrina Kauno miesto centro pilnavertį funkcionavimą. Šios miesto dalys pasižymi bendrais funkciniais prioritetais, jose tikslinga vystyti mišrią gyvenamąją ir verslo zonas, greta gyvenamosios funkcijos vystyti įvairią komercinę bei paslaugų veiklą. Šios teritorijos išsiskiria rekreacinių zonų ir viešųjų erdvių koncentracija, bei ekonominiu potencialu, tačiau dėl aplinkui esančių gyvenamųjų kvartalų šiose teritorijose galima tik labai ribota pramonės veikla, todėl ateityje tikėtina šiose zonose esančių pramonės zonų konversija į komercinės ar visuomeninės paskirties teritorijas. Aleksotą ir Žaliakalnį su greta esančiomis teritorijomis sieja bendra transporto sistema, kultūros, rekreacijos ir sporto objektų, aptarnaujančių Kauno miesto svečius ir gyventojus tinklas.</w:t>
      </w:r>
    </w:p>
    <w:p>
      <w:pPr>
        <w:rPr>
          <w:sz w:val="20"/>
        </w:rPr>
      </w:pPr>
    </w:p>
    <w:p>
      <w:pPr>
        <w:spacing w:line="276" w:lineRule="auto"/>
        <w:ind w:firstLine="709"/>
        <w:jc w:val="both"/>
        <w:rPr>
          <w:rFonts w:eastAsia="Calibri"/>
          <w:szCs w:val="22"/>
        </w:rPr>
      </w:pPr>
      <w:r>
        <w:rPr>
          <w:rFonts w:eastAsia="Calibri"/>
          <w:szCs w:val="22"/>
        </w:rPr>
        <w:t>8.2</w:t>
      </w:r>
      <w:r>
        <w:rPr>
          <w:rFonts w:eastAsia="Calibri"/>
          <w:szCs w:val="22"/>
        </w:rPr>
        <w:t>.</w:t>
        <w:tab/>
        <w:t>Kauno miesto tikslinėse teritorijose pagerėjusi susisiekimo infrastruktūra pagerins periferinių rajonų susisiekimą su Kauno miesto centru. Susietoje teritorijoje vykdomų projektų rezultatus pajaus tikslinių teritorijų gyventojai, o jos efektyvumas priklausys nuo tikslinių teritorijų vystymo, todėl susieta teritorija laikoma su tikslinėmis teritorijomis besiribojanti zona, kuriai būdingi funkciniai ryšiai ir tos pačios infrastruktūros naudojimas su Žaliakalniu ir Aleksotu. Susietos teritorijos plotas siekia 32,18 kv. km, joje gyvena daugiau nei 200 tūkst. Kauno miesto gyventojų.</w:t>
      </w:r>
    </w:p>
    <w:p>
      <w:pPr>
        <w:rPr>
          <w:sz w:val="20"/>
        </w:rPr>
      </w:pPr>
    </w:p>
    <w:p>
      <w:pPr>
        <w:keepNext/>
        <w:spacing w:line="276" w:lineRule="auto"/>
        <w:jc w:val="right"/>
        <w:rPr>
          <w:rFonts w:eastAsia="Calibri"/>
          <w:szCs w:val="22"/>
        </w:rPr>
      </w:pPr>
      <w:r>
        <w:rPr>
          <w:rFonts w:eastAsia="Calibri"/>
          <w:szCs w:val="22"/>
          <w:lang w:eastAsia="lt-LT"/>
        </w:rPr>
        <w:drawing>
          <wp:inline distT="0" distB="0" distL="0" distR="0">
            <wp:extent cx="6599555" cy="46513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9555" cy="4651375"/>
                    </a:xfrm>
                    <a:prstGeom prst="rect">
                      <a:avLst/>
                    </a:prstGeom>
                    <a:noFill/>
                    <a:ln>
                      <a:noFill/>
                    </a:ln>
                  </pic:spPr>
                </pic:pic>
              </a:graphicData>
            </a:graphic>
          </wp:inline>
        </w:drawing>
      </w:r>
    </w:p>
    <w:p>
      <w:pPr>
        <w:rPr>
          <w:sz w:val="10"/>
          <w:szCs w:val="10"/>
        </w:rPr>
      </w:pPr>
    </w:p>
    <w:p>
      <w:pPr>
        <w:ind w:firstLine="397"/>
        <w:jc w:val="center"/>
        <w:rPr>
          <w:rFonts w:eastAsia="Calibri"/>
          <w:b/>
          <w:bCs/>
          <w:szCs w:val="24"/>
        </w:rPr>
      </w:pPr>
      <w:r>
        <w:rPr>
          <w:rFonts w:eastAsia="Calibri"/>
          <w:b/>
          <w:bCs/>
          <w:szCs w:val="24"/>
        </w:rPr>
        <w:t xml:space="preserve">17 pav. Kauno ITV programos tikslinės ir susieta teritorijos </w:t>
      </w:r>
    </w:p>
    <w:p>
      <w:pPr>
        <w:rPr>
          <w:sz w:val="20"/>
        </w:rPr>
      </w:pPr>
    </w:p>
    <w:p>
      <w:pPr>
        <w:spacing w:line="276" w:lineRule="auto"/>
        <w:ind w:firstLine="709"/>
        <w:jc w:val="both"/>
        <w:rPr>
          <w:rFonts w:eastAsia="Calibri"/>
          <w:szCs w:val="22"/>
        </w:rPr>
      </w:pPr>
      <w:r>
        <w:rPr>
          <w:rFonts w:eastAsia="Calibri"/>
          <w:szCs w:val="22"/>
        </w:rPr>
        <w:t>9</w:t>
      </w:r>
      <w:r>
        <w:rPr>
          <w:rFonts w:eastAsia="Calibri"/>
          <w:szCs w:val="22"/>
        </w:rPr>
        <w:t>.</w:t>
        <w:tab/>
        <w:t>Vystymosi tendencijos ir problemos, į kurias atsižvelgus formuluojami tikslinių teritorijų ir su jomis susietos teritorijos vystymo tikslai ir uždaviniai, nurodomos 1 priede dėstomoje Stiprybių, silpnybių, galimybių ir grėsmių lentelėje.</w:t>
      </w:r>
    </w:p>
    <w:p>
      <w:pPr>
        <w:rPr>
          <w:sz w:val="20"/>
        </w:rPr>
      </w:pPr>
    </w:p>
    <w:p>
      <w:pPr>
        <w:keepNext/>
        <w:keepLines/>
        <w:spacing w:line="276" w:lineRule="auto"/>
        <w:ind w:firstLine="397"/>
        <w:jc w:val="center"/>
        <w:rPr>
          <w:b/>
          <w:bCs/>
          <w:caps/>
          <w:szCs w:val="28"/>
        </w:rPr>
      </w:pPr>
      <w:r>
        <w:rPr>
          <w:b/>
          <w:bCs/>
          <w:caps/>
          <w:szCs w:val="28"/>
        </w:rPr>
        <w:t>III</w:t>
      </w:r>
      <w:r>
        <w:rPr>
          <w:b/>
          <w:bCs/>
          <w:caps/>
          <w:szCs w:val="28"/>
        </w:rPr>
        <w:t xml:space="preserve"> skyrius</w:t>
      </w:r>
    </w:p>
    <w:p>
      <w:pPr>
        <w:keepNext/>
        <w:keepLines/>
        <w:spacing w:line="276" w:lineRule="auto"/>
        <w:ind w:firstLine="397"/>
        <w:jc w:val="center"/>
        <w:outlineLvl w:val="1"/>
        <w:rPr>
          <w:b/>
          <w:bCs/>
          <w:caps/>
          <w:szCs w:val="26"/>
        </w:rPr>
      </w:pPr>
      <w:r>
        <w:rPr>
          <w:b/>
          <w:bCs/>
          <w:caps/>
          <w:szCs w:val="26"/>
        </w:rPr>
        <w:t>Baigiamosios nuostatos</w:t>
      </w:r>
    </w:p>
    <w:p>
      <w:pPr>
        <w:rPr>
          <w:sz w:val="20"/>
        </w:rPr>
      </w:pPr>
    </w:p>
    <w:p>
      <w:pPr>
        <w:spacing w:line="276" w:lineRule="auto"/>
        <w:ind w:firstLine="397"/>
        <w:jc w:val="both"/>
        <w:rPr>
          <w:rFonts w:eastAsia="Calibri"/>
          <w:szCs w:val="22"/>
        </w:rPr>
      </w:pPr>
    </w:p>
    <w:p>
      <w:pPr>
        <w:rPr>
          <w:sz w:val="20"/>
        </w:rPr>
      </w:pPr>
    </w:p>
    <w:p>
      <w:pPr>
        <w:spacing w:line="276" w:lineRule="auto"/>
        <w:ind w:firstLine="709"/>
        <w:jc w:val="both"/>
        <w:rPr>
          <w:rFonts w:eastAsia="Calibri"/>
          <w:szCs w:val="22"/>
        </w:rPr>
      </w:pPr>
      <w:r>
        <w:rPr>
          <w:rFonts w:eastAsia="Calibri"/>
          <w:szCs w:val="22"/>
        </w:rPr>
        <w:t>10</w:t>
      </w:r>
      <w:r>
        <w:rPr>
          <w:rFonts w:eastAsia="Calibri"/>
          <w:szCs w:val="22"/>
        </w:rPr>
        <w:t>.</w:t>
        <w:tab/>
        <w:t>Kauno ITV programos įgyvendinimo teritorijos vystymo tikslai, uždaviniai ir priemonės dėstomi Kauno ITV programos 2 priede, Kauno ITV programos veiksmų planas dėstomas Kauno ITV programos 3 priede.</w:t>
      </w:r>
    </w:p>
    <w:p>
      <w:pPr>
        <w:rPr>
          <w:sz w:val="20"/>
        </w:rPr>
      </w:pPr>
    </w:p>
    <w:p>
      <w:pPr>
        <w:spacing w:line="276" w:lineRule="auto"/>
        <w:ind w:firstLine="709"/>
        <w:jc w:val="both"/>
        <w:rPr>
          <w:rFonts w:eastAsia="Calibri"/>
          <w:szCs w:val="22"/>
        </w:rPr>
      </w:pPr>
      <w:r>
        <w:rPr>
          <w:rFonts w:eastAsia="Calibri"/>
          <w:szCs w:val="22"/>
        </w:rPr>
        <w:t>11</w:t>
      </w:r>
      <w:r>
        <w:rPr>
          <w:rFonts w:eastAsia="Calibri"/>
          <w:szCs w:val="22"/>
        </w:rPr>
        <w:t>.</w:t>
        <w:tab/>
        <w:t>Kauno ITV programa įgyvendinama Integruotų teritorijų vystymo programų rengimo ir įgyvendinimo gairių nustatyta tvarka.</w:t>
      </w:r>
    </w:p>
    <w:p>
      <w:pPr>
        <w:rPr>
          <w:sz w:val="10"/>
          <w:szCs w:val="10"/>
        </w:rPr>
      </w:pPr>
    </w:p>
    <w:p>
      <w:pPr>
        <w:jc w:val="center"/>
        <w:rPr>
          <w:color w:val="000000"/>
          <w:sz w:val="22"/>
          <w:szCs w:val="22"/>
          <w:lang w:eastAsia="lt-LT"/>
        </w:rPr>
      </w:pPr>
      <w:r>
        <w:rPr>
          <w:color w:val="000000"/>
          <w:sz w:val="22"/>
          <w:szCs w:val="22"/>
          <w:lang w:eastAsia="lt-LT"/>
        </w:rPr>
        <w:t>_________________________</w:t>
      </w:r>
    </w:p>
    <w:p>
      <w:pPr>
        <w:jc w:val="center"/>
        <w:rPr>
          <w:color w:val="000000"/>
          <w:sz w:val="22"/>
          <w:szCs w:val="22"/>
          <w:lang w:eastAsia="lt-LT"/>
        </w:rPr>
      </w:pPr>
    </w:p>
    <w:p>
      <w:pPr>
        <w:jc w:val="center"/>
        <w:rPr>
          <w:color w:val="000000"/>
          <w:sz w:val="22"/>
          <w:szCs w:val="22"/>
          <w:lang w:eastAsia="lt-LT"/>
        </w:rPr>
        <w:sectPr>
          <w:headerReference w:type="even" r:id="rId32"/>
          <w:headerReference w:type="default" r:id="rId33"/>
          <w:footerReference w:type="even" r:id="rId34"/>
          <w:footerReference w:type="default" r:id="rId35"/>
          <w:headerReference w:type="first" r:id="rId36"/>
          <w:footerReference w:type="first" r:id="rId37"/>
          <w:pgSz w:w="12240" w:h="15840"/>
          <w:pgMar w:top="1701" w:right="567" w:bottom="1134" w:left="1701" w:header="568" w:footer="709" w:gutter="0"/>
          <w:pgNumType w:start="1"/>
          <w:cols w:space="708"/>
          <w:titlePg/>
          <w:docGrid w:linePitch="360"/>
        </w:sectPr>
      </w:pPr>
    </w:p>
    <w:p>
      <w:pPr>
        <w:spacing w:line="276" w:lineRule="auto"/>
        <w:ind w:left="8931"/>
        <w:rPr>
          <w:sz w:val="20"/>
        </w:rPr>
      </w:pPr>
      <w:r>
        <w:rPr>
          <w:rFonts w:eastAsia="Calibri"/>
          <w:sz w:val="22"/>
          <w:szCs w:val="22"/>
        </w:rPr>
        <w:t>2014–2020 metų Kauno miesto integruotos teritorijų vystymo programos</w:t>
      </w:r>
    </w:p>
    <w:p>
      <w:pPr>
        <w:spacing w:line="276" w:lineRule="auto"/>
        <w:ind w:left="8931"/>
        <w:rPr>
          <w:rFonts w:eastAsia="Calibri"/>
          <w:sz w:val="22"/>
          <w:szCs w:val="22"/>
        </w:rPr>
      </w:pPr>
      <w:r>
        <w:rPr>
          <w:rFonts w:eastAsia="Calibri"/>
          <w:sz w:val="22"/>
          <w:szCs w:val="22"/>
        </w:rPr>
        <w:t>1 priedas</w:t>
      </w:r>
    </w:p>
    <w:p>
      <w:pPr>
        <w:tabs>
          <w:tab w:val="left" w:pos="513"/>
          <w:tab w:val="left" w:pos="5778"/>
          <w:tab w:val="left" w:pos="7778"/>
          <w:tab w:val="left" w:pos="10178"/>
        </w:tabs>
        <w:ind w:left="93"/>
        <w:rPr>
          <w:color w:val="000000"/>
          <w:sz w:val="18"/>
          <w:szCs w:val="18"/>
          <w:lang w:eastAsia="lt-LT"/>
        </w:rPr>
      </w:pPr>
    </w:p>
    <w:tbl>
      <w:tblPr>
        <w:tblW w:w="14005" w:type="dxa"/>
        <w:tblInd w:w="93" w:type="dxa"/>
        <w:tblLook w:val="04A0" w:firstRow="1" w:lastRow="0" w:firstColumn="1" w:lastColumn="0" w:noHBand="0" w:noVBand="1"/>
      </w:tblPr>
      <w:tblGrid>
        <w:gridCol w:w="420"/>
        <w:gridCol w:w="5265"/>
        <w:gridCol w:w="2000"/>
        <w:gridCol w:w="2400"/>
        <w:gridCol w:w="3920"/>
      </w:tblGrid>
      <w:tr>
        <w:trPr>
          <w:cantSplit/>
          <w:trHeight w:val="283"/>
        </w:trPr>
        <w:tc>
          <w:tcPr>
            <w:tcW w:w="420" w:type="dxa"/>
            <w:tcBorders>
              <w:top w:val="nil"/>
              <w:left w:val="nil"/>
              <w:bottom w:val="nil"/>
              <w:right w:val="nil"/>
            </w:tcBorders>
            <w:shd w:val="clear" w:color="auto" w:fill="auto"/>
            <w:noWrap/>
            <w:vAlign w:val="bottom"/>
            <w:hideMark/>
          </w:tcPr>
          <w:p>
            <w:pPr>
              <w:rPr>
                <w:color w:val="000000"/>
                <w:sz w:val="22"/>
                <w:szCs w:val="22"/>
                <w:lang w:eastAsia="lt-LT"/>
              </w:rPr>
            </w:pPr>
          </w:p>
        </w:tc>
        <w:tc>
          <w:tcPr>
            <w:tcW w:w="13585" w:type="dxa"/>
            <w:gridSpan w:val="4"/>
            <w:tcBorders>
              <w:top w:val="nil"/>
              <w:left w:val="nil"/>
              <w:bottom w:val="nil"/>
              <w:right w:val="nil"/>
            </w:tcBorders>
            <w:shd w:val="clear" w:color="auto" w:fill="auto"/>
            <w:noWrap/>
            <w:vAlign w:val="bottom"/>
            <w:hideMark/>
          </w:tcPr>
          <w:p>
            <w:pPr>
              <w:jc w:val="center"/>
              <w:rPr>
                <w:b/>
                <w:bCs/>
                <w:color w:val="000000"/>
                <w:sz w:val="22"/>
                <w:szCs w:val="22"/>
                <w:lang w:eastAsia="lt-LT"/>
              </w:rPr>
            </w:pPr>
            <w:r>
              <w:rPr>
                <w:b/>
                <w:bCs/>
                <w:color w:val="000000"/>
                <w:sz w:val="22"/>
                <w:szCs w:val="22"/>
                <w:lang w:eastAsia="lt-LT"/>
              </w:rPr>
              <w:t>STIPRYBIŲ, SIPLNYBIŲ, GALIMYBIŲ IR GRĖSMIŲ LENTELĖ</w:t>
            </w:r>
          </w:p>
        </w:tc>
      </w:tr>
      <w:tr>
        <w:trPr>
          <w:cantSplit/>
          <w:trHeight w:val="283"/>
        </w:trPr>
        <w:tc>
          <w:tcPr>
            <w:tcW w:w="420" w:type="dxa"/>
            <w:tcBorders>
              <w:top w:val="nil"/>
              <w:left w:val="nil"/>
              <w:bottom w:val="nil"/>
              <w:right w:val="nil"/>
            </w:tcBorders>
            <w:shd w:val="clear" w:color="auto" w:fill="auto"/>
            <w:noWrap/>
            <w:vAlign w:val="bottom"/>
            <w:hideMark/>
          </w:tcPr>
          <w:p>
            <w:pPr>
              <w:rPr>
                <w:color w:val="000000"/>
                <w:sz w:val="22"/>
                <w:szCs w:val="22"/>
                <w:lang w:eastAsia="lt-LT"/>
              </w:rPr>
            </w:pPr>
          </w:p>
        </w:tc>
        <w:tc>
          <w:tcPr>
            <w:tcW w:w="5265" w:type="dxa"/>
            <w:tcBorders>
              <w:top w:val="nil"/>
              <w:left w:val="nil"/>
              <w:bottom w:val="nil"/>
              <w:right w:val="nil"/>
            </w:tcBorders>
            <w:shd w:val="clear" w:color="auto" w:fill="auto"/>
            <w:noWrap/>
            <w:vAlign w:val="bottom"/>
            <w:hideMark/>
          </w:tcPr>
          <w:p>
            <w:pPr>
              <w:rPr>
                <w:color w:val="000000"/>
                <w:sz w:val="22"/>
                <w:szCs w:val="22"/>
                <w:lang w:eastAsia="lt-LT"/>
              </w:rPr>
            </w:pPr>
          </w:p>
        </w:tc>
        <w:tc>
          <w:tcPr>
            <w:tcW w:w="2000" w:type="dxa"/>
            <w:tcBorders>
              <w:top w:val="nil"/>
              <w:left w:val="nil"/>
              <w:bottom w:val="nil"/>
              <w:right w:val="nil"/>
            </w:tcBorders>
            <w:shd w:val="clear" w:color="auto" w:fill="auto"/>
            <w:noWrap/>
            <w:vAlign w:val="bottom"/>
            <w:hideMark/>
          </w:tcPr>
          <w:p>
            <w:pPr>
              <w:rPr>
                <w:color w:val="000000"/>
                <w:sz w:val="22"/>
                <w:szCs w:val="22"/>
                <w:lang w:eastAsia="lt-LT"/>
              </w:rPr>
            </w:pPr>
          </w:p>
        </w:tc>
        <w:tc>
          <w:tcPr>
            <w:tcW w:w="2400" w:type="dxa"/>
            <w:tcBorders>
              <w:top w:val="nil"/>
              <w:left w:val="nil"/>
              <w:bottom w:val="nil"/>
              <w:right w:val="nil"/>
            </w:tcBorders>
            <w:shd w:val="clear" w:color="auto" w:fill="auto"/>
            <w:noWrap/>
            <w:vAlign w:val="bottom"/>
            <w:hideMark/>
          </w:tcPr>
          <w:p>
            <w:pPr>
              <w:rPr>
                <w:color w:val="000000"/>
                <w:sz w:val="22"/>
                <w:szCs w:val="22"/>
                <w:lang w:eastAsia="lt-LT"/>
              </w:rPr>
            </w:pPr>
          </w:p>
        </w:tc>
        <w:tc>
          <w:tcPr>
            <w:tcW w:w="3920" w:type="dxa"/>
            <w:tcBorders>
              <w:top w:val="nil"/>
              <w:left w:val="nil"/>
              <w:bottom w:val="nil"/>
              <w:right w:val="nil"/>
            </w:tcBorders>
            <w:shd w:val="clear" w:color="auto" w:fill="auto"/>
            <w:noWrap/>
            <w:vAlign w:val="bottom"/>
            <w:hideMark/>
          </w:tcPr>
          <w:p>
            <w:pPr>
              <w:rPr>
                <w:color w:val="000000"/>
                <w:sz w:val="22"/>
                <w:szCs w:val="22"/>
                <w:lang w:eastAsia="lt-LT"/>
              </w:rPr>
            </w:pPr>
          </w:p>
        </w:tc>
      </w:tr>
      <w:tr>
        <w:trPr>
          <w:cantSplit/>
          <w:trHeight w:val="283"/>
        </w:trPr>
        <w:tc>
          <w:tcPr>
            <w:tcW w:w="5685" w:type="dxa"/>
            <w:gridSpan w:val="2"/>
            <w:tcBorders>
              <w:top w:val="single" w:sz="4" w:space="0" w:color="auto"/>
              <w:left w:val="single" w:sz="4" w:space="0" w:color="auto"/>
              <w:bottom w:val="nil"/>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Stiprybės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 w:val="22"/>
                <w:szCs w:val="22"/>
                <w:lang w:eastAsia="lt-LT"/>
              </w:rPr>
            </w:pPr>
            <w:r>
              <w:rPr>
                <w:color w:val="000000"/>
                <w:sz w:val="22"/>
                <w:szCs w:val="22"/>
                <w:lang w:eastAsia="lt-LT"/>
              </w:rPr>
              <w:t>Aktualumo įvertinimas</w:t>
            </w:r>
          </w:p>
        </w:tc>
        <w:tc>
          <w:tcPr>
            <w:tcW w:w="6320" w:type="dxa"/>
            <w:gridSpan w:val="2"/>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Suteiktą informaciją pagrindžianti informacija, prielaidos</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1.</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Kauno miestas įsikūręs ypatingai patogioje geografinėje vietoje, kur susikerta sausumos, oro ir upių keliai bei išplėtota miesto išorės ir vidaus transporto infrastruktūra</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 xml:space="preserve">Kauno miestas dėl nedidelių atstumų ir strategiškai patogios padėties aukštos kategorijos tarptautinių kelių ir geležinkelių atžvilgiu yra gerai integruotas ne tik į bendrą Lietuvos susisiekimo sistemą, bet ir į tarptautinį transporto koridorių tinklą. </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2.</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Aleksoto ir Žaliakalnio viešosios erdvės išsiskiria rekreaciniais objektais, kurie pritraukia didelę dalį lankytojų</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 xml:space="preserve">Aleksoto ir Žaliakalnio tikslinėse teritorijose yra: Aleksoto funikulierius  ir apžvalgos aikštelė, VDU Kauno botanikos sodas, S. Dariaus ir S. Girėno aerodromas, Kauno tvirtovės statiniai, Lengvosios atletikos maniežas, Dariaus ir Girėno sporto kompleksas su sporto hale, Futbolo  maniežas ir aikštė su dirbtine danga, „Ąžuolyno“ teniso kortai, žiemos sporto mokykla „Baltų ainiai“ (ledo arena), Kauko laiptų baseino zona, Sporto gatvė, Ąžuolyno parkas.</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3.</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Aleksoto tikslinėje teritorijoje susiformavusios apleistos teritorijos, turinčios urbanistinį potencialą</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4</w:t>
            </w:r>
          </w:p>
        </w:tc>
        <w:tc>
          <w:tcPr>
            <w:tcW w:w="6320" w:type="dxa"/>
            <w:gridSpan w:val="2"/>
            <w:tcBorders>
              <w:top w:val="single" w:sz="4" w:space="0" w:color="auto"/>
              <w:left w:val="nil"/>
              <w:bottom w:val="single" w:sz="4" w:space="0" w:color="auto"/>
              <w:right w:val="single" w:sz="4" w:space="0" w:color="auto"/>
            </w:tcBorders>
            <w:shd w:val="clear" w:color="auto" w:fill="auto"/>
            <w:vAlign w:val="bottom"/>
            <w:hideMark/>
          </w:tcPr>
          <w:p>
            <w:pPr>
              <w:jc w:val="both"/>
              <w:rPr>
                <w:color w:val="000000"/>
                <w:szCs w:val="24"/>
                <w:lang w:eastAsia="lt-LT"/>
              </w:rPr>
            </w:pPr>
            <w:r>
              <w:rPr>
                <w:color w:val="000000"/>
                <w:szCs w:val="24"/>
                <w:lang w:eastAsia="lt-LT"/>
              </w:rPr>
              <w:t>Aleksote yra buvusių pramoninių zonų, kurios patrauklios investuotojams: Julijanavos g. 1 buvusių Mėsos kombinato valymo įrenginių, buvusi Mėsos kombinato teritorija, Aviacijos gamyklos teritorija. </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 w:val="22"/>
                <w:szCs w:val="22"/>
                <w:lang w:eastAsia="lt-LT"/>
              </w:rPr>
            </w:pPr>
            <w:r>
              <w:rPr>
                <w:color w:val="000000"/>
                <w:sz w:val="22"/>
                <w:szCs w:val="22"/>
                <w:lang w:eastAsia="lt-LT"/>
              </w:rPr>
              <w:t>4.</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Aukštas verslumo lygis</w:t>
            </w:r>
          </w:p>
        </w:tc>
        <w:tc>
          <w:tcPr>
            <w:tcW w:w="2000" w:type="dxa"/>
            <w:tcBorders>
              <w:top w:val="single" w:sz="4" w:space="0" w:color="auto"/>
              <w:left w:val="nil"/>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3</w:t>
            </w:r>
          </w:p>
        </w:tc>
        <w:tc>
          <w:tcPr>
            <w:tcW w:w="6320" w:type="dxa"/>
            <w:gridSpan w:val="2"/>
            <w:tcBorders>
              <w:top w:val="single" w:sz="4" w:space="0" w:color="auto"/>
              <w:left w:val="nil"/>
              <w:bottom w:val="single" w:sz="4" w:space="0" w:color="auto"/>
              <w:right w:val="single" w:sz="4" w:space="0" w:color="auto"/>
            </w:tcBorders>
            <w:shd w:val="clear" w:color="auto" w:fill="auto"/>
            <w:vAlign w:val="bottom"/>
          </w:tcPr>
          <w:p>
            <w:pPr>
              <w:jc w:val="both"/>
              <w:rPr>
                <w:color w:val="000000"/>
                <w:szCs w:val="24"/>
                <w:lang w:eastAsia="lt-LT"/>
              </w:rPr>
            </w:pPr>
            <w:r>
              <w:rPr>
                <w:szCs w:val="24"/>
              </w:rPr>
              <w:t xml:space="preserve">Kauno miesto savivaldybė 2015 m. pradžioje (kaip ir ankstesniais metais) pasižymėjo vienu didžiausių šalyje veikiančių įmonių skaičiumi, tiek absoliutiniu, tiek tenkančiu 1000 gyventojų (verslumo lygiu). 2015 m. pradžioje Kauno miesto savivaldybėje veikė 10,7 tūkst. įmonių (14 proc. visų Lietuvos įmonių), o veikiančių įmonių skaičius, tenkantis 1000 gyventojų siekė 35,5, tai buvo antras didžiausias rodiklis tarp didžiųjų miestų savivaldybių (po Vilniaus miesto savivaldybės, kurioje 1000 gyventojų teko 52,0 veikiančios įmonės). </w:t>
            </w:r>
          </w:p>
        </w:tc>
      </w:tr>
      <w:tr>
        <w:trPr>
          <w:cantSplit/>
          <w:trHeight w:val="283"/>
        </w:trPr>
        <w:tc>
          <w:tcPr>
            <w:tcW w:w="420" w:type="dxa"/>
            <w:tcBorders>
              <w:top w:val="single" w:sz="4" w:space="0" w:color="auto"/>
              <w:left w:val="nil"/>
              <w:bottom w:val="single" w:sz="4" w:space="0" w:color="auto"/>
            </w:tcBorders>
            <w:shd w:val="clear" w:color="auto" w:fill="auto"/>
            <w:noWrap/>
            <w:vAlign w:val="center"/>
            <w:hideMark/>
          </w:tcPr>
          <w:p>
            <w:pPr>
              <w:jc w:val="center"/>
              <w:rPr>
                <w:color w:val="000000"/>
                <w:sz w:val="22"/>
                <w:szCs w:val="22"/>
                <w:lang w:eastAsia="lt-LT"/>
              </w:rPr>
            </w:pPr>
          </w:p>
        </w:tc>
        <w:tc>
          <w:tcPr>
            <w:tcW w:w="5265" w:type="dxa"/>
            <w:tcBorders>
              <w:top w:val="single" w:sz="4" w:space="0" w:color="auto"/>
              <w:bottom w:val="single" w:sz="4" w:space="0" w:color="auto"/>
            </w:tcBorders>
            <w:shd w:val="clear" w:color="auto" w:fill="auto"/>
            <w:vAlign w:val="center"/>
            <w:hideMark/>
          </w:tcPr>
          <w:p>
            <w:pPr>
              <w:rPr>
                <w:color w:val="000000"/>
                <w:szCs w:val="24"/>
                <w:lang w:eastAsia="lt-LT"/>
              </w:rPr>
            </w:pPr>
          </w:p>
        </w:tc>
        <w:tc>
          <w:tcPr>
            <w:tcW w:w="2000" w:type="dxa"/>
            <w:tcBorders>
              <w:top w:val="single" w:sz="4" w:space="0" w:color="auto"/>
              <w:bottom w:val="single" w:sz="4" w:space="0" w:color="auto"/>
            </w:tcBorders>
            <w:shd w:val="clear" w:color="auto" w:fill="auto"/>
            <w:vAlign w:val="center"/>
            <w:hideMark/>
          </w:tcPr>
          <w:p>
            <w:pPr>
              <w:jc w:val="center"/>
              <w:rPr>
                <w:color w:val="000000"/>
                <w:szCs w:val="24"/>
                <w:lang w:eastAsia="lt-LT"/>
              </w:rPr>
            </w:pPr>
          </w:p>
        </w:tc>
        <w:tc>
          <w:tcPr>
            <w:tcW w:w="2400" w:type="dxa"/>
            <w:tcBorders>
              <w:top w:val="single" w:sz="4" w:space="0" w:color="auto"/>
              <w:bottom w:val="single" w:sz="4" w:space="0" w:color="auto"/>
            </w:tcBorders>
            <w:shd w:val="clear" w:color="auto" w:fill="auto"/>
            <w:vAlign w:val="bottom"/>
            <w:hideMark/>
          </w:tcPr>
          <w:p>
            <w:pPr>
              <w:jc w:val="center"/>
              <w:rPr>
                <w:color w:val="000000"/>
                <w:szCs w:val="24"/>
                <w:lang w:eastAsia="lt-LT"/>
              </w:rPr>
            </w:pPr>
          </w:p>
        </w:tc>
        <w:tc>
          <w:tcPr>
            <w:tcW w:w="3920" w:type="dxa"/>
            <w:tcBorders>
              <w:top w:val="single" w:sz="4" w:space="0" w:color="auto"/>
              <w:bottom w:val="single" w:sz="4" w:space="0" w:color="auto"/>
            </w:tcBorders>
            <w:shd w:val="clear" w:color="auto" w:fill="auto"/>
            <w:vAlign w:val="bottom"/>
            <w:hideMark/>
          </w:tcPr>
          <w:p>
            <w:pPr>
              <w:jc w:val="center"/>
              <w:rPr>
                <w:color w:val="000000"/>
                <w:szCs w:val="24"/>
                <w:lang w:eastAsia="lt-LT"/>
              </w:rPr>
            </w:pPr>
          </w:p>
        </w:tc>
      </w:tr>
      <w:tr>
        <w:trPr>
          <w:cantSplit/>
          <w:trHeight w:val="283"/>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Cs w:val="24"/>
                <w:lang w:eastAsia="lt-LT"/>
              </w:rPr>
            </w:pPr>
            <w:r>
              <w:rPr>
                <w:color w:val="000000"/>
                <w:szCs w:val="24"/>
                <w:lang w:eastAsia="lt-LT"/>
              </w:rPr>
              <w:t>Silpnybės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Aktualumo įvertinimas</w:t>
            </w:r>
          </w:p>
        </w:tc>
        <w:tc>
          <w:tcPr>
            <w:tcW w:w="6320" w:type="dxa"/>
            <w:gridSpan w:val="2"/>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szCs w:val="24"/>
                <w:lang w:eastAsia="lt-LT"/>
              </w:rPr>
            </w:pPr>
            <w:r>
              <w:rPr>
                <w:color w:val="000000"/>
                <w:szCs w:val="24"/>
                <w:lang w:eastAsia="lt-LT"/>
              </w:rPr>
              <w:t>Suteiktą informaciją pagrindžianti informacija, prielaidos</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1.</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rFonts w:eastAsia="Calibri"/>
                <w:szCs w:val="24"/>
              </w:rPr>
              <w:t xml:space="preserve">Prasta gyvenamųjų rajonų aplinkos kokybė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 xml:space="preserve">Socialinių, kultūrinių, rekreacinių objektų tinklas mieste gana tankus, tačiau esami objektai prastos būklės. </w:t>
            </w:r>
            <w:r>
              <w:rPr>
                <w:rFonts w:eastAsia="Calibri"/>
                <w:szCs w:val="24"/>
              </w:rPr>
              <w:t xml:space="preserve">Didelė dalis miestiečių, siekdami susitvarkyti gyvenamąją aplinką pagal savo poreikius bei gyventi mažiau triukšmingoje ir užterštoje aplinkoje, tačiau dažnai neįvertinę miesto infrastruktūros stokos </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2.</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Kauno mieste pasireiškia neigiamos demografinės tendencijos, susijusios su natūralia gyventojų kaita ir didele miesto gyventojų migracija</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Kauno mieste pastebimos neigiamos demografinės tendencijos, kurios pasireiškia ir tikslinėse teritorijose. 2001–2014 m. Kauno mieste gyventojų skaičius sumažėjo penktadaliu (20,6 proc.). Gyventojų skaičiaus mažėjimas sukelia kompleksines problemas aplinkosauginiu aspektu (didėja atstumai tarp gyvenamųjų ir darbo vietų, judėjimas tampa mažiau racionalus), socialiniu ir demografiniu aspektu (didėja skirtingų amžiaus ir socialiniu grupių segregacija teritoriniu principu – formuojasi prestižiniai rajonai ir socialiniai „getai“ tuštėjančiose miestų dalyse)</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3.</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Tiesioginės užsienio ir materialinės investicijos, tenkančios vienam gyventojui, Kauno mieste ženkliai nusileidžia Vilniaus ir Klaipėdos miestams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Vilniaus ir Klaipėdos miestų savivaldybių TUI vienam gyventojui 2014 m. siekė atitinkamai – 16 313 Eur ir 4 452 Eur, Kauno miesto savivaldybėje – 3 574 Eur; pagal materialinių investicijų tenkančių vienam gyventojui apimtį Kauno miesto savivaldybė (kartu su Panevėžio ir Šiaulių miestų savivaldybėmis) priklausė savivaldybių grupei, kuriose materialinės investicijos, tenkančios vienam gyventojui (2014 m. – 1850 Eur) buvo mažesnės už šalies vidurkį (2014 m. – 1908 Eur). Vilniaus ir Klaipėdos miestų savivaldybėse materialinių investicijų buvo atliekama 75–77 proc. daugiau.</w:t>
            </w:r>
          </w:p>
        </w:tc>
      </w:tr>
      <w:tr>
        <w:trPr>
          <w:cantSplit/>
          <w:trHeight w:val="283"/>
        </w:trPr>
        <w:tc>
          <w:tcPr>
            <w:tcW w:w="420" w:type="dxa"/>
            <w:tcBorders>
              <w:top w:val="single" w:sz="4" w:space="0" w:color="auto"/>
              <w:left w:val="nil"/>
              <w:bottom w:val="single" w:sz="4" w:space="0" w:color="auto"/>
            </w:tcBorders>
            <w:shd w:val="clear" w:color="auto" w:fill="auto"/>
            <w:noWrap/>
            <w:vAlign w:val="bottom"/>
            <w:hideMark/>
          </w:tcPr>
          <w:p>
            <w:pPr>
              <w:rPr>
                <w:color w:val="000000"/>
                <w:sz w:val="22"/>
                <w:szCs w:val="22"/>
                <w:lang w:eastAsia="lt-LT"/>
              </w:rPr>
            </w:pPr>
          </w:p>
        </w:tc>
        <w:tc>
          <w:tcPr>
            <w:tcW w:w="5265" w:type="dxa"/>
            <w:tcBorders>
              <w:top w:val="single" w:sz="4" w:space="0" w:color="auto"/>
              <w:bottom w:val="single" w:sz="4" w:space="0" w:color="auto"/>
            </w:tcBorders>
            <w:shd w:val="clear" w:color="auto" w:fill="auto"/>
            <w:noWrap/>
            <w:vAlign w:val="bottom"/>
            <w:hideMark/>
          </w:tcPr>
          <w:p>
            <w:pPr>
              <w:rPr>
                <w:color w:val="000000"/>
                <w:szCs w:val="24"/>
                <w:lang w:eastAsia="lt-LT"/>
              </w:rPr>
            </w:pPr>
          </w:p>
        </w:tc>
        <w:tc>
          <w:tcPr>
            <w:tcW w:w="2000" w:type="dxa"/>
            <w:tcBorders>
              <w:top w:val="single" w:sz="4" w:space="0" w:color="auto"/>
              <w:bottom w:val="single" w:sz="4" w:space="0" w:color="auto"/>
            </w:tcBorders>
            <w:shd w:val="clear" w:color="auto" w:fill="auto"/>
            <w:noWrap/>
            <w:vAlign w:val="bottom"/>
            <w:hideMark/>
          </w:tcPr>
          <w:p>
            <w:pPr>
              <w:rPr>
                <w:color w:val="000000"/>
                <w:szCs w:val="24"/>
                <w:lang w:eastAsia="lt-LT"/>
              </w:rPr>
            </w:pPr>
          </w:p>
        </w:tc>
        <w:tc>
          <w:tcPr>
            <w:tcW w:w="2400" w:type="dxa"/>
            <w:tcBorders>
              <w:top w:val="single" w:sz="4" w:space="0" w:color="auto"/>
              <w:bottom w:val="single" w:sz="4" w:space="0" w:color="auto"/>
            </w:tcBorders>
            <w:shd w:val="clear" w:color="auto" w:fill="auto"/>
            <w:noWrap/>
            <w:vAlign w:val="bottom"/>
            <w:hideMark/>
          </w:tcPr>
          <w:p>
            <w:pPr>
              <w:rPr>
                <w:color w:val="000000"/>
                <w:szCs w:val="24"/>
                <w:lang w:eastAsia="lt-LT"/>
              </w:rPr>
            </w:pPr>
          </w:p>
        </w:tc>
        <w:tc>
          <w:tcPr>
            <w:tcW w:w="3920" w:type="dxa"/>
            <w:tcBorders>
              <w:top w:val="single" w:sz="4" w:space="0" w:color="auto"/>
              <w:bottom w:val="single" w:sz="4" w:space="0" w:color="auto"/>
            </w:tcBorders>
            <w:shd w:val="clear" w:color="auto" w:fill="auto"/>
            <w:noWrap/>
            <w:vAlign w:val="bottom"/>
            <w:hideMark/>
          </w:tcPr>
          <w:p>
            <w:pPr>
              <w:rPr>
                <w:color w:val="000000"/>
                <w:szCs w:val="24"/>
                <w:lang w:eastAsia="lt-LT"/>
              </w:rPr>
            </w:pPr>
          </w:p>
        </w:tc>
      </w:tr>
      <w:tr>
        <w:trPr>
          <w:cantSplit/>
          <w:trHeight w:val="283"/>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Cs w:val="24"/>
                <w:lang w:eastAsia="lt-LT"/>
              </w:rPr>
            </w:pPr>
            <w:r>
              <w:rPr>
                <w:color w:val="000000"/>
                <w:szCs w:val="24"/>
                <w:lang w:eastAsia="lt-LT"/>
              </w:rPr>
              <w:t>Galimybės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Aktualumo įvertinimas</w:t>
            </w:r>
          </w:p>
        </w:tc>
        <w:tc>
          <w:tcPr>
            <w:tcW w:w="6320" w:type="dxa"/>
            <w:gridSpan w:val="2"/>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szCs w:val="24"/>
                <w:lang w:eastAsia="lt-LT"/>
              </w:rPr>
            </w:pPr>
            <w:r>
              <w:rPr>
                <w:color w:val="000000"/>
                <w:szCs w:val="24"/>
                <w:lang w:eastAsia="lt-LT"/>
              </w:rPr>
              <w:t>Suteiktą informaciją pagrindžianti informacija, prielaidos</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both"/>
              <w:rPr>
                <w:color w:val="000000"/>
                <w:sz w:val="22"/>
                <w:szCs w:val="22"/>
                <w:lang w:eastAsia="lt-LT"/>
              </w:rPr>
            </w:pPr>
            <w:r>
              <w:rPr>
                <w:color w:val="000000"/>
                <w:sz w:val="22"/>
                <w:szCs w:val="22"/>
                <w:lang w:eastAsia="lt-LT"/>
              </w:rPr>
              <w:t>1.</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Verslo steigimą ir veiklą reglamentuojančių teisės aktų supaprastinimas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 xml:space="preserve">Pagal Pasaulio banko vertinimo metodikoje numatytus kriterijus, sąlygos pradėti verslą tarp trijų Baltijos šalių 2013 metais prasčiausiai vertinamos Lietuvoje. Pagal šį kriterijų, Lietuva užėmė tik 107 vietą. 2015 metų vertinimų metu pagal šį rodiklį Lietuva užėmė 11 vietą. Tokį Lietuvos pakilimą lėmė procedūrų vykdymo laiko ir piniginių sąnaudų pokytis, siekiant pradėti verslą. </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both"/>
              <w:rPr>
                <w:color w:val="000000"/>
                <w:sz w:val="22"/>
                <w:szCs w:val="22"/>
                <w:lang w:eastAsia="lt-LT"/>
              </w:rPr>
            </w:pPr>
            <w:r>
              <w:rPr>
                <w:color w:val="000000"/>
                <w:sz w:val="22"/>
                <w:szCs w:val="22"/>
                <w:lang w:eastAsia="lt-LT"/>
              </w:rPr>
              <w:t>2.</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Augantis aukštojo mokslo poreikis ir ilgėjanti vidutinė gyventojų mokymosi trukmė</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 xml:space="preserve">Žinių ir įgūdžių, kurios įgyjamos mokykloje ar universitete, neužtenka visam gyvenimui. Siekiant prisitaikyti prie besikeičiančios aplinkos ir naujų technologijų atsiranda poreikis nuolat gilinti žinias ir tęsti mokslus toliau.  </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both"/>
              <w:rPr>
                <w:color w:val="000000"/>
                <w:sz w:val="22"/>
                <w:szCs w:val="22"/>
                <w:lang w:eastAsia="lt-LT"/>
              </w:rPr>
            </w:pPr>
            <w:r>
              <w:rPr>
                <w:color w:val="000000"/>
                <w:sz w:val="22"/>
                <w:szCs w:val="22"/>
                <w:lang w:eastAsia="lt-LT"/>
              </w:rPr>
              <w:t>3.</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Tarptautinė Lietuvos transporto sistemos reikšmė pasireiškia stabiliu transporto srautų augimu</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3</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Lietuvoje kasmet didėja transporto sektoriaus įtaka ekonomikai, kurios geografinė padėtis ir išvystyta transporto infrastruktūra lemia transporto sektoriaus augimą. </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both"/>
              <w:rPr>
                <w:color w:val="000000"/>
                <w:sz w:val="22"/>
                <w:szCs w:val="22"/>
                <w:lang w:eastAsia="lt-LT"/>
              </w:rPr>
            </w:pPr>
            <w:r>
              <w:rPr>
                <w:color w:val="000000"/>
                <w:sz w:val="22"/>
                <w:szCs w:val="22"/>
                <w:lang w:eastAsia="lt-LT"/>
              </w:rPr>
              <w:t>4.</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Besikeičianti Europos ekonominė situacija, paskatins išvykusių Lietuvos gyventojų grįžimą</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3</w:t>
            </w:r>
          </w:p>
        </w:tc>
        <w:tc>
          <w:tcPr>
            <w:tcW w:w="6320"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 xml:space="preserve">Europos ekonominio augimo sulėtėjimas, tikėtina, lems emigracijos proceso mažėjimą, o kartu ir išvykusių asmenų grįžimą. </w:t>
            </w:r>
          </w:p>
        </w:tc>
      </w:tr>
      <w:tr>
        <w:trPr>
          <w:cantSplit/>
          <w:trHeight w:val="70"/>
        </w:trPr>
        <w:tc>
          <w:tcPr>
            <w:tcW w:w="420" w:type="dxa"/>
            <w:tcBorders>
              <w:top w:val="single" w:sz="4" w:space="0" w:color="auto"/>
              <w:left w:val="nil"/>
              <w:bottom w:val="single" w:sz="4" w:space="0" w:color="auto"/>
            </w:tcBorders>
            <w:shd w:val="clear" w:color="auto" w:fill="auto"/>
            <w:noWrap/>
            <w:vAlign w:val="bottom"/>
            <w:hideMark/>
          </w:tcPr>
          <w:p>
            <w:pPr>
              <w:rPr>
                <w:color w:val="000000"/>
                <w:sz w:val="22"/>
                <w:szCs w:val="22"/>
                <w:lang w:eastAsia="lt-LT"/>
              </w:rPr>
            </w:pPr>
          </w:p>
        </w:tc>
        <w:tc>
          <w:tcPr>
            <w:tcW w:w="5265" w:type="dxa"/>
            <w:tcBorders>
              <w:top w:val="single" w:sz="4" w:space="0" w:color="auto"/>
              <w:bottom w:val="single" w:sz="4" w:space="0" w:color="auto"/>
            </w:tcBorders>
            <w:shd w:val="clear" w:color="auto" w:fill="auto"/>
            <w:noWrap/>
            <w:vAlign w:val="bottom"/>
            <w:hideMark/>
          </w:tcPr>
          <w:p>
            <w:pPr>
              <w:rPr>
                <w:color w:val="000000"/>
                <w:szCs w:val="24"/>
                <w:lang w:eastAsia="lt-LT"/>
              </w:rPr>
            </w:pPr>
          </w:p>
        </w:tc>
        <w:tc>
          <w:tcPr>
            <w:tcW w:w="2000" w:type="dxa"/>
            <w:tcBorders>
              <w:top w:val="single" w:sz="4" w:space="0" w:color="auto"/>
              <w:bottom w:val="single" w:sz="4" w:space="0" w:color="auto"/>
            </w:tcBorders>
            <w:shd w:val="clear" w:color="auto" w:fill="auto"/>
            <w:noWrap/>
            <w:vAlign w:val="bottom"/>
            <w:hideMark/>
          </w:tcPr>
          <w:p>
            <w:pPr>
              <w:rPr>
                <w:color w:val="000000"/>
                <w:szCs w:val="24"/>
                <w:lang w:eastAsia="lt-LT"/>
              </w:rPr>
            </w:pPr>
          </w:p>
        </w:tc>
        <w:tc>
          <w:tcPr>
            <w:tcW w:w="2400" w:type="dxa"/>
            <w:tcBorders>
              <w:top w:val="single" w:sz="4" w:space="0" w:color="auto"/>
              <w:bottom w:val="single" w:sz="4" w:space="0" w:color="auto"/>
            </w:tcBorders>
            <w:shd w:val="clear" w:color="auto" w:fill="auto"/>
            <w:noWrap/>
            <w:vAlign w:val="bottom"/>
            <w:hideMark/>
          </w:tcPr>
          <w:p>
            <w:pPr>
              <w:rPr>
                <w:color w:val="000000"/>
                <w:szCs w:val="24"/>
                <w:lang w:eastAsia="lt-LT"/>
              </w:rPr>
            </w:pPr>
          </w:p>
        </w:tc>
        <w:tc>
          <w:tcPr>
            <w:tcW w:w="3920" w:type="dxa"/>
            <w:tcBorders>
              <w:top w:val="single" w:sz="4" w:space="0" w:color="auto"/>
              <w:bottom w:val="single" w:sz="4" w:space="0" w:color="auto"/>
            </w:tcBorders>
            <w:shd w:val="clear" w:color="auto" w:fill="auto"/>
            <w:noWrap/>
            <w:vAlign w:val="bottom"/>
            <w:hideMark/>
          </w:tcPr>
          <w:p>
            <w:pPr>
              <w:rPr>
                <w:color w:val="000000"/>
                <w:szCs w:val="24"/>
                <w:lang w:eastAsia="lt-LT"/>
              </w:rPr>
            </w:pPr>
          </w:p>
        </w:tc>
      </w:tr>
      <w:tr>
        <w:trPr>
          <w:cantSplit/>
          <w:trHeight w:val="283"/>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szCs w:val="24"/>
                <w:lang w:eastAsia="lt-LT"/>
              </w:rPr>
            </w:pPr>
            <w:r>
              <w:rPr>
                <w:color w:val="000000"/>
                <w:szCs w:val="24"/>
                <w:lang w:eastAsia="lt-LT"/>
              </w:rPr>
              <w:t>Grėsmės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Aktualumo įvertinimas</w:t>
            </w:r>
          </w:p>
        </w:tc>
        <w:tc>
          <w:tcPr>
            <w:tcW w:w="6320" w:type="dxa"/>
            <w:gridSpan w:val="2"/>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szCs w:val="24"/>
                <w:lang w:eastAsia="lt-LT"/>
              </w:rPr>
            </w:pPr>
            <w:r>
              <w:rPr>
                <w:color w:val="000000"/>
                <w:szCs w:val="24"/>
                <w:lang w:eastAsia="lt-LT"/>
              </w:rPr>
              <w:t>Suteiktą informaciją pagrindžianti informacija, prielaidos</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both"/>
              <w:rPr>
                <w:color w:val="000000"/>
                <w:sz w:val="22"/>
                <w:szCs w:val="22"/>
                <w:lang w:eastAsia="lt-LT"/>
              </w:rPr>
            </w:pPr>
            <w:r>
              <w:rPr>
                <w:color w:val="000000"/>
                <w:sz w:val="22"/>
                <w:szCs w:val="22"/>
                <w:lang w:eastAsia="lt-LT"/>
              </w:rPr>
              <w:t>1.</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Lėtas šalies ekonominis augimas ar galima ekonominė stagnacija</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5</w:t>
            </w:r>
          </w:p>
        </w:tc>
        <w:tc>
          <w:tcPr>
            <w:tcW w:w="6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Lietuvos ekonomikos išorės aplinka yra pablogėjusi. Neatslūgstant Rusijos ir Ukrainos konfliktui, vis prasčiau vertinamos Rusijos ir su ja glaudžiais ekonominiais ryšiais susijusių valstybių ūkio raidos perspektyvos. Euro zonos ekonomiką neigiamai veikia Graikijos skolų krizė. </w:t>
            </w:r>
          </w:p>
        </w:tc>
      </w:tr>
      <w:tr>
        <w:trPr>
          <w:cantSplit/>
          <w:trHeight w:val="283"/>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both"/>
              <w:rPr>
                <w:color w:val="000000"/>
                <w:sz w:val="22"/>
                <w:szCs w:val="22"/>
                <w:lang w:eastAsia="lt-LT"/>
              </w:rPr>
            </w:pPr>
            <w:r>
              <w:rPr>
                <w:color w:val="000000"/>
                <w:sz w:val="22"/>
                <w:szCs w:val="22"/>
                <w:lang w:eastAsia="lt-LT"/>
              </w:rPr>
              <w:t>2.</w:t>
            </w:r>
          </w:p>
        </w:tc>
        <w:tc>
          <w:tcPr>
            <w:tcW w:w="526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color w:val="000000"/>
                <w:szCs w:val="24"/>
                <w:lang w:eastAsia="lt-LT"/>
              </w:rPr>
            </w:pPr>
            <w:r>
              <w:rPr>
                <w:color w:val="000000"/>
                <w:szCs w:val="24"/>
                <w:lang w:eastAsia="lt-LT"/>
              </w:rPr>
              <w:t>Visuomenės senėjimas pasireiškia visose pasaulio šalyse, o labiausiai – besivystančiose valstybėse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4</w:t>
            </w:r>
          </w:p>
        </w:tc>
        <w:tc>
          <w:tcPr>
            <w:tcW w:w="6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both"/>
              <w:rPr>
                <w:color w:val="000000"/>
                <w:szCs w:val="24"/>
                <w:lang w:eastAsia="lt-LT"/>
              </w:rPr>
            </w:pPr>
            <w:r>
              <w:rPr>
                <w:color w:val="000000"/>
                <w:szCs w:val="24"/>
                <w:lang w:eastAsia="lt-LT"/>
              </w:rPr>
              <w:t>Senėjimas pasireiškia visose pasaulio šalyse dėl ilgėjančios gyvenimo trukmės ir mažėjančio gimstamumo, o pastaruoju metu visuomenės senėjimas ryškiausiai pasireiškia besivystančiose valstybėse, nes gimstamumas sparčiai mažėti ėmė vėliau nei išsivysčiusiose šalyse. Ši tendencija gali neigiamai veikti atvykstančių į Kauno miestą studijuoti asmenų skaičių.</w:t>
            </w:r>
          </w:p>
        </w:tc>
      </w:tr>
    </w:tbl>
    <w:p>
      <w:pPr>
        <w:spacing w:line="276" w:lineRule="auto"/>
        <w:jc w:val="center"/>
        <w:rPr>
          <w:rFonts w:eastAsia="Calibri"/>
          <w:szCs w:val="22"/>
        </w:rPr>
      </w:pPr>
      <w:r>
        <w:rPr>
          <w:rFonts w:eastAsia="Calibri"/>
          <w:szCs w:val="22"/>
        </w:rPr>
        <w:t>_____________________</w:t>
      </w:r>
    </w:p>
    <w:p>
      <w:pPr>
        <w:spacing w:line="276" w:lineRule="auto"/>
        <w:jc w:val="center"/>
        <w:rPr>
          <w:rFonts w:eastAsia="Calibri"/>
          <w:szCs w:val="22"/>
        </w:rPr>
      </w:pPr>
    </w:p>
    <w:p>
      <w:pPr>
        <w:rPr>
          <w:rFonts w:cs="Arial"/>
          <w:szCs w:val="24"/>
          <w:lang w:eastAsia="lt-LT"/>
        </w:rPr>
      </w:pPr>
    </w:p>
    <w:p>
      <w:pPr>
        <w:rPr>
          <w:rFonts w:eastAsia="Calibri"/>
        </w:rPr>
      </w:pPr>
      <w:r>
        <w:rPr>
          <w:rFonts w:eastAsia="Calibri"/>
        </w:rPr>
        <w:br w:type="page"/>
      </w:r>
    </w:p>
    <w:p>
      <w:pPr>
        <w:ind w:left="9360" w:firstLine="720"/>
        <w:rPr>
          <w:rFonts w:eastAsia="Calibri"/>
        </w:rPr>
      </w:pPr>
      <w:r>
        <w:rPr>
          <w:rFonts w:eastAsia="Calibri"/>
        </w:rPr>
        <w:t xml:space="preserve">2014–2020 metų Kauno miesto integruotos </w:t>
      </w:r>
    </w:p>
    <w:p>
      <w:pPr>
        <w:ind w:left="9360" w:firstLine="720"/>
        <w:rPr>
          <w:rFonts w:eastAsia="Calibri"/>
        </w:rPr>
      </w:pPr>
      <w:r>
        <w:rPr>
          <w:rFonts w:eastAsia="Calibri"/>
        </w:rPr>
        <w:t>teritorijų vystymo programos</w:t>
      </w:r>
    </w:p>
    <w:p>
      <w:pPr>
        <w:ind w:left="9360" w:firstLine="720"/>
        <w:rPr>
          <w:rFonts w:eastAsia="Calibri"/>
        </w:rPr>
      </w:pPr>
      <w:r>
        <w:rPr>
          <w:rFonts w:eastAsia="Calibri"/>
        </w:rPr>
        <w:t>2 priedas</w:t>
      </w:r>
    </w:p>
    <w:p>
      <w:pPr>
        <w:jc w:val="center"/>
        <w:rPr>
          <w:rFonts w:eastAsia="Calibri"/>
          <w:szCs w:val="24"/>
          <w:lang w:eastAsia="lt-LT"/>
        </w:rPr>
      </w:pPr>
    </w:p>
    <w:p>
      <w:pPr>
        <w:jc w:val="center"/>
        <w:rPr>
          <w:b/>
          <w:bCs/>
          <w:color w:val="000000"/>
          <w:szCs w:val="24"/>
          <w:u w:val="single"/>
          <w:lang w:eastAsia="lt-LT"/>
        </w:rPr>
      </w:pPr>
      <w:r>
        <w:rPr>
          <w:b/>
          <w:bCs/>
          <w:color w:val="000000"/>
          <w:szCs w:val="24"/>
          <w:u w:val="single"/>
          <w:lang w:eastAsia="lt-LT"/>
        </w:rPr>
        <w:t>KAUNO MIESTO INTEGRUOTOS TERITORIJŲ VYSTYMO PROGRAMOS ĮGYVENDINIMO TERITORIJOS VYSTYMO TIKSLAI, UŽDAVINIAI IR PRIEMONĖS</w:t>
      </w:r>
    </w:p>
    <w:p>
      <w:pPr>
        <w:tabs>
          <w:tab w:val="left" w:pos="9146"/>
        </w:tabs>
        <w:jc w:val="center"/>
        <w:rPr>
          <w:color w:val="000000"/>
          <w:szCs w:val="24"/>
          <w:lang w:eastAsia="lt-LT"/>
        </w:rPr>
      </w:pPr>
    </w:p>
    <w:tbl>
      <w:tblPr>
        <w:tblW w:w="5107" w:type="pct"/>
        <w:tblLayout w:type="fixed"/>
        <w:tblCellMar>
          <w:left w:w="115" w:type="dxa"/>
          <w:right w:w="115" w:type="dxa"/>
        </w:tblCellMar>
        <w:tblLook w:val="04A0" w:firstRow="1" w:lastRow="0" w:firstColumn="1" w:lastColumn="0" w:noHBand="0" w:noVBand="1"/>
      </w:tblPr>
      <w:tblGrid>
        <w:gridCol w:w="716"/>
        <w:gridCol w:w="175"/>
        <w:gridCol w:w="440"/>
        <w:gridCol w:w="252"/>
        <w:gridCol w:w="490"/>
        <w:gridCol w:w="487"/>
        <w:gridCol w:w="301"/>
        <w:gridCol w:w="301"/>
        <w:gridCol w:w="250"/>
        <w:gridCol w:w="221"/>
        <w:gridCol w:w="29"/>
        <w:gridCol w:w="1004"/>
        <w:gridCol w:w="1028"/>
        <w:gridCol w:w="1025"/>
        <w:gridCol w:w="144"/>
        <w:gridCol w:w="1015"/>
        <w:gridCol w:w="1136"/>
        <w:gridCol w:w="1015"/>
        <w:gridCol w:w="163"/>
        <w:gridCol w:w="847"/>
        <w:gridCol w:w="252"/>
        <w:gridCol w:w="758"/>
        <w:gridCol w:w="322"/>
        <w:gridCol w:w="1147"/>
      </w:tblGrid>
      <w:tr>
        <w:trPr>
          <w:trHeight w:val="240"/>
        </w:trPr>
        <w:tc>
          <w:tcPr>
            <w:tcW w:w="4454" w:type="pct"/>
            <w:gridSpan w:val="2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 Tikslas: Sumažinti neigiamas demografines tendencijas Kauno miesto tikslinėse teritorijose, gerinant gyvenamąją aplinką</w:t>
            </w:r>
          </w:p>
        </w:tc>
        <w:tc>
          <w:tcPr>
            <w:tcW w:w="546" w:type="pct"/>
            <w:gridSpan w:val="2"/>
            <w:tcBorders>
              <w:top w:val="nil"/>
              <w:left w:val="nil"/>
              <w:bottom w:val="nil"/>
              <w:right w:val="nil"/>
            </w:tcBorders>
            <w:shd w:val="clear" w:color="auto" w:fill="auto"/>
            <w:vAlign w:val="center"/>
          </w:tcPr>
          <w:p>
            <w:pPr>
              <w:rPr>
                <w:color w:val="000000"/>
                <w:szCs w:val="24"/>
                <w:lang w:eastAsia="lt-LT"/>
              </w:rPr>
            </w:pPr>
          </w:p>
        </w:tc>
      </w:tr>
      <w:tr>
        <w:trPr>
          <w:trHeight w:val="255"/>
        </w:trPr>
        <w:tc>
          <w:tcPr>
            <w:tcW w:w="266"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911" w:type="pct"/>
            <w:gridSpan w:val="7"/>
            <w:tcBorders>
              <w:top w:val="nil"/>
              <w:left w:val="nil"/>
              <w:bottom w:val="single" w:sz="4" w:space="0" w:color="auto"/>
              <w:right w:val="nil"/>
            </w:tcBorders>
            <w:shd w:val="clear" w:color="auto" w:fill="auto"/>
            <w:noWrap/>
            <w:vAlign w:val="bottom"/>
          </w:tcPr>
          <w:p>
            <w:pPr>
              <w:rPr>
                <w:color w:val="000000"/>
                <w:szCs w:val="24"/>
                <w:lang w:eastAsia="lt-LT"/>
              </w:rPr>
            </w:pPr>
          </w:p>
        </w:tc>
        <w:tc>
          <w:tcPr>
            <w:tcW w:w="84"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84"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8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34"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76"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2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751"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375"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546" w:type="pct"/>
            <w:gridSpan w:val="2"/>
            <w:tcBorders>
              <w:top w:val="nil"/>
              <w:left w:val="nil"/>
              <w:bottom w:val="single" w:sz="4" w:space="0" w:color="auto"/>
              <w:right w:val="nil"/>
            </w:tcBorders>
            <w:shd w:val="clear" w:color="auto" w:fill="auto"/>
            <w:vAlign w:val="center"/>
          </w:tcPr>
          <w:p>
            <w:pPr>
              <w:rPr>
                <w:color w:val="000000"/>
                <w:szCs w:val="24"/>
                <w:lang w:eastAsia="lt-LT"/>
              </w:rPr>
            </w:pPr>
          </w:p>
        </w:tc>
      </w:tr>
      <w:tr>
        <w:trPr>
          <w:trHeight w:val="480"/>
        </w:trPr>
        <w:tc>
          <w:tcPr>
            <w:tcW w:w="5000" w:type="pct"/>
            <w:gridSpan w:val="24"/>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1. Programos tikslas suformuotas atsižvelgiant į stiprybių, silpnybių, galimybių ir grėsmių (toliau – SSGG) analizės metu identifikuotus didžiausią įtaką Žaliakalnio ir Aleksoto tikslinėms teritorijoms darančius veiksnius. Suformuotas tikslas leidžia išnaudoti šias stiprybes ir galimybes:</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Aukštas verslumo lygis</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Verslo steigimą ir veiklą reglamentuojančių teisės aktų supaprastinimas</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Augantis aukštojo mokslo poreikis ir ilgėjanti vidutinė gyventojų mokymosi trukmė.</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Tikslas suformuotas siekiant mažinti identifikuotų silpnybių ir grėsmių įtaką:</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Prasta gyvenamųjų rajonų aplinkos kokybė</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Kauno mieste pasireiškia neigiamos demografinės tendencijos, susijusios su natūralia gyventojų kaita ir didele miesto gyventojų migracija</w:t>
            </w:r>
          </w:p>
        </w:tc>
      </w:tr>
      <w:tr>
        <w:trPr>
          <w:trHeight w:val="240"/>
        </w:trPr>
        <w:tc>
          <w:tcPr>
            <w:tcW w:w="5000" w:type="pct"/>
            <w:gridSpan w:val="24"/>
            <w:tcBorders>
              <w:top w:val="nil"/>
              <w:left w:val="single" w:sz="4" w:space="0" w:color="auto"/>
              <w:bottom w:val="single" w:sz="4" w:space="0" w:color="auto"/>
              <w:right w:val="single" w:sz="4" w:space="0" w:color="auto"/>
            </w:tcBorders>
            <w:shd w:val="clear" w:color="auto" w:fill="auto"/>
            <w:vAlign w:val="center"/>
          </w:tcPr>
          <w:p>
            <w:pPr>
              <w:rPr>
                <w:i/>
                <w:iCs/>
                <w:color w:val="000000"/>
                <w:szCs w:val="24"/>
                <w:lang w:eastAsia="lt-LT"/>
              </w:rPr>
            </w:pPr>
            <w:r>
              <w:rPr>
                <w:i/>
                <w:iCs/>
                <w:color w:val="000000"/>
                <w:szCs w:val="24"/>
                <w:lang w:eastAsia="lt-LT"/>
              </w:rPr>
              <w:t>Lėtas šalies ekonominis augimas ar galima ekonominė stagnacija.</w:t>
            </w:r>
          </w:p>
        </w:tc>
      </w:tr>
      <w:tr>
        <w:trPr>
          <w:trHeight w:val="255"/>
        </w:trPr>
        <w:tc>
          <w:tcPr>
            <w:tcW w:w="266" w:type="pct"/>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911" w:type="pct"/>
            <w:gridSpan w:val="7"/>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84" w:type="pct"/>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84" w:type="pct"/>
            <w:gridSpan w:val="2"/>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381" w:type="pct"/>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434" w:type="pct"/>
            <w:gridSpan w:val="2"/>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376" w:type="pct"/>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421" w:type="pct"/>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751" w:type="pct"/>
            <w:gridSpan w:val="3"/>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375" w:type="pct"/>
            <w:gridSpan w:val="2"/>
            <w:tcBorders>
              <w:top w:val="single" w:sz="4" w:space="0" w:color="auto"/>
              <w:left w:val="nil"/>
              <w:bottom w:val="single" w:sz="4" w:space="0" w:color="auto"/>
              <w:right w:val="nil"/>
            </w:tcBorders>
            <w:shd w:val="clear" w:color="auto" w:fill="auto"/>
            <w:noWrap/>
            <w:vAlign w:val="bottom"/>
          </w:tcPr>
          <w:p>
            <w:pPr>
              <w:rPr>
                <w:color w:val="000000"/>
                <w:szCs w:val="24"/>
                <w:lang w:eastAsia="lt-LT"/>
              </w:rPr>
            </w:pPr>
          </w:p>
        </w:tc>
        <w:tc>
          <w:tcPr>
            <w:tcW w:w="546" w:type="pct"/>
            <w:gridSpan w:val="2"/>
            <w:tcBorders>
              <w:top w:val="single" w:sz="4" w:space="0" w:color="auto"/>
              <w:left w:val="nil"/>
              <w:bottom w:val="single" w:sz="4" w:space="0" w:color="auto"/>
              <w:right w:val="nil"/>
            </w:tcBorders>
            <w:shd w:val="clear" w:color="auto" w:fill="auto"/>
            <w:vAlign w:val="center"/>
          </w:tcPr>
          <w:p>
            <w:pPr>
              <w:rPr>
                <w:color w:val="000000"/>
                <w:szCs w:val="24"/>
                <w:lang w:eastAsia="lt-LT"/>
              </w:rPr>
            </w:pPr>
          </w:p>
        </w:tc>
      </w:tr>
      <w:tr>
        <w:trPr>
          <w:trHeight w:val="240"/>
        </w:trPr>
        <w:tc>
          <w:tcPr>
            <w:tcW w:w="5000" w:type="pct"/>
            <w:gridSpan w:val="24"/>
            <w:tcBorders>
              <w:top w:val="single" w:sz="4" w:space="0" w:color="auto"/>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2. Įvertinti šie alternatyvūs tikslai:</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Sumažinti neigiamas demografines tendencijas Kauno miesto tikslinėse teritorijose, gerinant gyvenamąją aplinką.</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Mažinti gyventojų emigraciją, kuriant naujas darbo vietas.</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color w:val="000000"/>
                <w:szCs w:val="24"/>
                <w:lang w:eastAsia="lt-LT"/>
              </w:rPr>
            </w:pPr>
          </w:p>
        </w:tc>
      </w:tr>
      <w:tr>
        <w:trPr>
          <w:trHeight w:val="255"/>
        </w:trPr>
        <w:tc>
          <w:tcPr>
            <w:tcW w:w="5000" w:type="pct"/>
            <w:gridSpan w:val="24"/>
            <w:tcBorders>
              <w:top w:val="nil"/>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Daugiakriterinės analizės metodu buvo atrinkta tikslo alternatyva „Sumažinti neigiamas demografines tendencijas Kauno miesto tikslinėse teritorijose, gerinant gyvenamąją aplinką“, kuri surinko aukštesnį įvertinimą.</w:t>
            </w:r>
          </w:p>
        </w:tc>
      </w:tr>
      <w:tr>
        <w:trPr>
          <w:trHeight w:val="255"/>
        </w:trPr>
        <w:tc>
          <w:tcPr>
            <w:tcW w:w="266"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911" w:type="pct"/>
            <w:gridSpan w:val="7"/>
            <w:tcBorders>
              <w:top w:val="single" w:sz="4" w:space="0" w:color="auto"/>
              <w:left w:val="nil"/>
              <w:bottom w:val="single" w:sz="8" w:space="0" w:color="auto"/>
              <w:right w:val="nil"/>
            </w:tcBorders>
            <w:shd w:val="clear" w:color="auto" w:fill="auto"/>
            <w:noWrap/>
            <w:vAlign w:val="bottom"/>
          </w:tcPr>
          <w:p>
            <w:pPr>
              <w:rPr>
                <w:color w:val="000000"/>
                <w:szCs w:val="24"/>
                <w:lang w:eastAsia="lt-LT"/>
              </w:rPr>
            </w:pPr>
          </w:p>
        </w:tc>
        <w:tc>
          <w:tcPr>
            <w:tcW w:w="84"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84"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7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8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34"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76"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2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751" w:type="pct"/>
            <w:gridSpan w:val="3"/>
            <w:tcBorders>
              <w:top w:val="single" w:sz="4" w:space="0" w:color="auto"/>
              <w:left w:val="nil"/>
              <w:bottom w:val="single" w:sz="8" w:space="0" w:color="auto"/>
              <w:right w:val="nil"/>
            </w:tcBorders>
            <w:shd w:val="clear" w:color="auto" w:fill="auto"/>
            <w:noWrap/>
            <w:vAlign w:val="bottom"/>
          </w:tcPr>
          <w:p>
            <w:pPr>
              <w:rPr>
                <w:color w:val="000000"/>
                <w:szCs w:val="24"/>
                <w:lang w:eastAsia="lt-LT"/>
              </w:rPr>
            </w:pPr>
          </w:p>
        </w:tc>
        <w:tc>
          <w:tcPr>
            <w:tcW w:w="375"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546" w:type="pct"/>
            <w:gridSpan w:val="2"/>
            <w:tcBorders>
              <w:top w:val="single" w:sz="4" w:space="0" w:color="auto"/>
              <w:left w:val="nil"/>
              <w:bottom w:val="nil"/>
              <w:right w:val="nil"/>
            </w:tcBorders>
            <w:shd w:val="clear" w:color="auto" w:fill="auto"/>
            <w:vAlign w:val="center"/>
          </w:tcPr>
          <w:p>
            <w:pPr>
              <w:rPr>
                <w:color w:val="000000"/>
                <w:szCs w:val="24"/>
                <w:lang w:eastAsia="lt-LT"/>
              </w:rPr>
            </w:pPr>
          </w:p>
        </w:tc>
      </w:tr>
      <w:tr>
        <w:trPr>
          <w:trHeight w:val="240"/>
        </w:trPr>
        <w:tc>
          <w:tcPr>
            <w:tcW w:w="5000" w:type="pct"/>
            <w:gridSpan w:val="24"/>
            <w:tcBorders>
              <w:top w:val="single" w:sz="8" w:space="0" w:color="auto"/>
              <w:left w:val="single" w:sz="8" w:space="0" w:color="auto"/>
              <w:bottom w:val="nil"/>
              <w:right w:val="single" w:sz="8" w:space="0" w:color="000000"/>
            </w:tcBorders>
            <w:shd w:val="clear" w:color="auto" w:fill="auto"/>
            <w:vAlign w:val="center"/>
          </w:tcPr>
          <w:p>
            <w:pPr>
              <w:rPr>
                <w:i/>
                <w:iCs/>
                <w:color w:val="000000"/>
                <w:szCs w:val="24"/>
                <w:lang w:eastAsia="lt-LT"/>
              </w:rPr>
            </w:pPr>
            <w:r>
              <w:rPr>
                <w:i/>
                <w:iCs/>
                <w:color w:val="000000"/>
                <w:szCs w:val="24"/>
                <w:lang w:eastAsia="lt-LT"/>
              </w:rPr>
              <w:t xml:space="preserve">3. Tikslui priskirtas efekto rodiklis: </w:t>
            </w:r>
          </w:p>
        </w:tc>
      </w:tr>
      <w:tr>
        <w:trPr>
          <w:trHeight w:val="255"/>
        </w:trPr>
        <w:tc>
          <w:tcPr>
            <w:tcW w:w="5000" w:type="pct"/>
            <w:gridSpan w:val="24"/>
            <w:tcBorders>
              <w:top w:val="nil"/>
              <w:left w:val="single" w:sz="8" w:space="0" w:color="auto"/>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Gyventojų skaičiaus pokytis Kauno mieste, proc. Siekiama reikšmė 2023 metais – 0,2 proc.</w:t>
            </w:r>
          </w:p>
        </w:tc>
      </w:tr>
      <w:tr>
        <w:trPr>
          <w:trHeight w:val="240"/>
        </w:trPr>
        <w:tc>
          <w:tcPr>
            <w:tcW w:w="266" w:type="pct"/>
            <w:tcBorders>
              <w:top w:val="nil"/>
              <w:left w:val="nil"/>
              <w:bottom w:val="nil"/>
              <w:right w:val="nil"/>
            </w:tcBorders>
            <w:shd w:val="clear" w:color="auto" w:fill="auto"/>
            <w:noWrap/>
            <w:vAlign w:val="bottom"/>
          </w:tcPr>
          <w:p>
            <w:pPr>
              <w:rPr>
                <w:color w:val="000000"/>
                <w:szCs w:val="24"/>
                <w:lang w:eastAsia="lt-LT"/>
              </w:rPr>
            </w:pPr>
          </w:p>
        </w:tc>
        <w:tc>
          <w:tcPr>
            <w:tcW w:w="911" w:type="pct"/>
            <w:gridSpan w:val="7"/>
            <w:tcBorders>
              <w:top w:val="single" w:sz="8" w:space="0" w:color="auto"/>
              <w:left w:val="nil"/>
              <w:bottom w:val="nil"/>
              <w:right w:val="nil"/>
            </w:tcBorders>
            <w:shd w:val="clear" w:color="auto" w:fill="auto"/>
            <w:noWrap/>
            <w:vAlign w:val="bottom"/>
          </w:tcPr>
          <w:p>
            <w:pPr>
              <w:rPr>
                <w:color w:val="000000"/>
                <w:szCs w:val="24"/>
                <w:lang w:eastAsia="lt-LT"/>
              </w:rPr>
            </w:pPr>
          </w:p>
        </w:tc>
        <w:tc>
          <w:tcPr>
            <w:tcW w:w="84" w:type="pct"/>
            <w:tcBorders>
              <w:top w:val="nil"/>
              <w:left w:val="nil"/>
              <w:bottom w:val="nil"/>
              <w:right w:val="nil"/>
            </w:tcBorders>
            <w:shd w:val="clear" w:color="auto" w:fill="auto"/>
            <w:noWrap/>
            <w:vAlign w:val="bottom"/>
          </w:tcPr>
          <w:p>
            <w:pPr>
              <w:rPr>
                <w:color w:val="000000"/>
                <w:szCs w:val="24"/>
                <w:lang w:eastAsia="lt-LT"/>
              </w:rPr>
            </w:pPr>
          </w:p>
        </w:tc>
        <w:tc>
          <w:tcPr>
            <w:tcW w:w="84" w:type="pct"/>
            <w:gridSpan w:val="2"/>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81" w:type="pct"/>
            <w:tcBorders>
              <w:top w:val="nil"/>
              <w:left w:val="nil"/>
              <w:bottom w:val="nil"/>
              <w:right w:val="nil"/>
            </w:tcBorders>
            <w:shd w:val="clear" w:color="auto" w:fill="auto"/>
            <w:noWrap/>
            <w:vAlign w:val="bottom"/>
          </w:tcPr>
          <w:p>
            <w:pPr>
              <w:rPr>
                <w:color w:val="000000"/>
                <w:szCs w:val="24"/>
                <w:lang w:eastAsia="lt-LT"/>
              </w:rPr>
            </w:pPr>
          </w:p>
        </w:tc>
        <w:tc>
          <w:tcPr>
            <w:tcW w:w="434" w:type="pct"/>
            <w:gridSpan w:val="2"/>
            <w:tcBorders>
              <w:top w:val="nil"/>
              <w:left w:val="nil"/>
              <w:bottom w:val="nil"/>
              <w:right w:val="nil"/>
            </w:tcBorders>
            <w:shd w:val="clear" w:color="auto" w:fill="auto"/>
            <w:noWrap/>
            <w:vAlign w:val="bottom"/>
          </w:tcPr>
          <w:p>
            <w:pPr>
              <w:rPr>
                <w:color w:val="000000"/>
                <w:szCs w:val="24"/>
                <w:lang w:eastAsia="lt-LT"/>
              </w:rPr>
            </w:pPr>
          </w:p>
        </w:tc>
        <w:tc>
          <w:tcPr>
            <w:tcW w:w="376" w:type="pct"/>
            <w:tcBorders>
              <w:top w:val="nil"/>
              <w:left w:val="nil"/>
              <w:bottom w:val="nil"/>
              <w:right w:val="nil"/>
            </w:tcBorders>
            <w:shd w:val="clear" w:color="auto" w:fill="auto"/>
            <w:noWrap/>
            <w:vAlign w:val="bottom"/>
          </w:tcPr>
          <w:p>
            <w:pPr>
              <w:rPr>
                <w:color w:val="000000"/>
                <w:szCs w:val="24"/>
                <w:lang w:eastAsia="lt-LT"/>
              </w:rPr>
            </w:pPr>
          </w:p>
        </w:tc>
        <w:tc>
          <w:tcPr>
            <w:tcW w:w="421" w:type="pct"/>
            <w:tcBorders>
              <w:top w:val="nil"/>
              <w:left w:val="nil"/>
              <w:bottom w:val="nil"/>
              <w:right w:val="nil"/>
            </w:tcBorders>
            <w:shd w:val="clear" w:color="auto" w:fill="auto"/>
            <w:noWrap/>
            <w:vAlign w:val="bottom"/>
          </w:tcPr>
          <w:p>
            <w:pPr>
              <w:rPr>
                <w:color w:val="000000"/>
                <w:szCs w:val="24"/>
                <w:lang w:eastAsia="lt-LT"/>
              </w:rPr>
            </w:pPr>
          </w:p>
        </w:tc>
        <w:tc>
          <w:tcPr>
            <w:tcW w:w="751"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75" w:type="pct"/>
            <w:gridSpan w:val="2"/>
            <w:tcBorders>
              <w:top w:val="nil"/>
              <w:left w:val="nil"/>
              <w:bottom w:val="nil"/>
              <w:right w:val="nil"/>
            </w:tcBorders>
            <w:shd w:val="clear" w:color="auto" w:fill="auto"/>
            <w:noWrap/>
            <w:vAlign w:val="bottom"/>
          </w:tcPr>
          <w:p>
            <w:pPr>
              <w:rPr>
                <w:color w:val="000000"/>
                <w:szCs w:val="24"/>
                <w:lang w:eastAsia="lt-LT"/>
              </w:rPr>
            </w:pPr>
          </w:p>
        </w:tc>
        <w:tc>
          <w:tcPr>
            <w:tcW w:w="546" w:type="pct"/>
            <w:gridSpan w:val="2"/>
            <w:tcBorders>
              <w:top w:val="nil"/>
              <w:left w:val="nil"/>
              <w:bottom w:val="nil"/>
              <w:right w:val="nil"/>
            </w:tcBorders>
            <w:shd w:val="clear" w:color="auto" w:fill="auto"/>
            <w:vAlign w:val="center"/>
          </w:tcPr>
          <w:p>
            <w:pPr>
              <w:rPr>
                <w:color w:val="000000"/>
                <w:szCs w:val="24"/>
                <w:lang w:eastAsia="lt-LT"/>
              </w:rPr>
            </w:pPr>
          </w:p>
        </w:tc>
      </w:tr>
      <w:tr>
        <w:trPr>
          <w:trHeight w:val="240"/>
        </w:trPr>
        <w:tc>
          <w:tcPr>
            <w:tcW w:w="1177" w:type="pct"/>
            <w:gridSpan w:val="8"/>
            <w:tcBorders>
              <w:top w:val="nil"/>
              <w:left w:val="nil"/>
              <w:bottom w:val="nil"/>
              <w:right w:val="nil"/>
            </w:tcBorders>
            <w:shd w:val="clear" w:color="auto" w:fill="auto"/>
            <w:noWrap/>
            <w:vAlign w:val="center"/>
          </w:tcPr>
          <w:p>
            <w:pPr>
              <w:rPr>
                <w:color w:val="000000"/>
                <w:szCs w:val="24"/>
                <w:lang w:eastAsia="lt-LT"/>
              </w:rPr>
            </w:pPr>
            <w:r>
              <w:rPr>
                <w:b/>
                <w:bCs/>
                <w:color w:val="000000"/>
                <w:szCs w:val="24"/>
                <w:u w:val="single"/>
                <w:lang w:eastAsia="lt-LT"/>
              </w:rPr>
              <w:t>Programos efektas:</w:t>
            </w:r>
          </w:p>
        </w:tc>
        <w:tc>
          <w:tcPr>
            <w:tcW w:w="84" w:type="pct"/>
            <w:tcBorders>
              <w:top w:val="nil"/>
              <w:left w:val="nil"/>
              <w:bottom w:val="nil"/>
              <w:right w:val="nil"/>
            </w:tcBorders>
            <w:shd w:val="clear" w:color="auto" w:fill="auto"/>
            <w:noWrap/>
            <w:vAlign w:val="bottom"/>
          </w:tcPr>
          <w:p>
            <w:pPr>
              <w:rPr>
                <w:color w:val="000000"/>
                <w:szCs w:val="24"/>
                <w:lang w:eastAsia="lt-LT"/>
              </w:rPr>
            </w:pPr>
          </w:p>
        </w:tc>
        <w:tc>
          <w:tcPr>
            <w:tcW w:w="84" w:type="pct"/>
            <w:gridSpan w:val="2"/>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81" w:type="pct"/>
            <w:tcBorders>
              <w:top w:val="nil"/>
              <w:left w:val="nil"/>
              <w:bottom w:val="nil"/>
              <w:right w:val="nil"/>
            </w:tcBorders>
            <w:shd w:val="clear" w:color="auto" w:fill="auto"/>
            <w:noWrap/>
            <w:vAlign w:val="bottom"/>
          </w:tcPr>
          <w:p>
            <w:pPr>
              <w:rPr>
                <w:color w:val="000000"/>
                <w:szCs w:val="24"/>
                <w:lang w:eastAsia="lt-LT"/>
              </w:rPr>
            </w:pPr>
          </w:p>
        </w:tc>
        <w:tc>
          <w:tcPr>
            <w:tcW w:w="434" w:type="pct"/>
            <w:gridSpan w:val="2"/>
            <w:tcBorders>
              <w:top w:val="nil"/>
              <w:left w:val="nil"/>
              <w:bottom w:val="nil"/>
              <w:right w:val="nil"/>
            </w:tcBorders>
            <w:shd w:val="clear" w:color="auto" w:fill="auto"/>
            <w:noWrap/>
            <w:vAlign w:val="bottom"/>
          </w:tcPr>
          <w:p>
            <w:pPr>
              <w:rPr>
                <w:color w:val="000000"/>
                <w:szCs w:val="24"/>
                <w:lang w:eastAsia="lt-LT"/>
              </w:rPr>
            </w:pPr>
          </w:p>
        </w:tc>
        <w:tc>
          <w:tcPr>
            <w:tcW w:w="376" w:type="pct"/>
            <w:tcBorders>
              <w:top w:val="nil"/>
              <w:left w:val="nil"/>
              <w:bottom w:val="nil"/>
              <w:right w:val="nil"/>
            </w:tcBorders>
            <w:shd w:val="clear" w:color="auto" w:fill="auto"/>
            <w:noWrap/>
            <w:vAlign w:val="bottom"/>
          </w:tcPr>
          <w:p>
            <w:pPr>
              <w:rPr>
                <w:color w:val="000000"/>
                <w:szCs w:val="24"/>
                <w:lang w:eastAsia="lt-LT"/>
              </w:rPr>
            </w:pPr>
          </w:p>
        </w:tc>
        <w:tc>
          <w:tcPr>
            <w:tcW w:w="421" w:type="pct"/>
            <w:tcBorders>
              <w:top w:val="nil"/>
              <w:left w:val="nil"/>
              <w:bottom w:val="nil"/>
              <w:right w:val="nil"/>
            </w:tcBorders>
            <w:shd w:val="clear" w:color="auto" w:fill="auto"/>
            <w:noWrap/>
            <w:vAlign w:val="bottom"/>
          </w:tcPr>
          <w:p>
            <w:pPr>
              <w:rPr>
                <w:color w:val="000000"/>
                <w:szCs w:val="24"/>
                <w:lang w:eastAsia="lt-LT"/>
              </w:rPr>
            </w:pPr>
          </w:p>
        </w:tc>
        <w:tc>
          <w:tcPr>
            <w:tcW w:w="751" w:type="pct"/>
            <w:gridSpan w:val="3"/>
            <w:tcBorders>
              <w:top w:val="nil"/>
              <w:left w:val="nil"/>
              <w:bottom w:val="nil"/>
              <w:right w:val="nil"/>
            </w:tcBorders>
            <w:shd w:val="clear" w:color="auto" w:fill="auto"/>
            <w:noWrap/>
            <w:vAlign w:val="bottom"/>
          </w:tcPr>
          <w:p>
            <w:pPr>
              <w:rPr>
                <w:color w:val="000000"/>
                <w:szCs w:val="24"/>
                <w:lang w:eastAsia="lt-LT"/>
              </w:rPr>
            </w:pPr>
          </w:p>
        </w:tc>
        <w:tc>
          <w:tcPr>
            <w:tcW w:w="375" w:type="pct"/>
            <w:gridSpan w:val="2"/>
            <w:tcBorders>
              <w:top w:val="nil"/>
              <w:left w:val="nil"/>
              <w:bottom w:val="nil"/>
              <w:right w:val="nil"/>
            </w:tcBorders>
            <w:shd w:val="clear" w:color="auto" w:fill="auto"/>
            <w:noWrap/>
            <w:vAlign w:val="bottom"/>
          </w:tcPr>
          <w:p>
            <w:pPr>
              <w:rPr>
                <w:color w:val="000000"/>
                <w:szCs w:val="24"/>
                <w:lang w:eastAsia="lt-LT"/>
              </w:rPr>
            </w:pPr>
          </w:p>
        </w:tc>
        <w:tc>
          <w:tcPr>
            <w:tcW w:w="546" w:type="pct"/>
            <w:gridSpan w:val="2"/>
            <w:tcBorders>
              <w:top w:val="nil"/>
              <w:left w:val="nil"/>
              <w:bottom w:val="nil"/>
              <w:right w:val="nil"/>
            </w:tcBorders>
            <w:shd w:val="clear" w:color="auto" w:fill="auto"/>
            <w:vAlign w:val="center"/>
          </w:tcPr>
          <w:p>
            <w:pPr>
              <w:rPr>
                <w:color w:val="000000"/>
                <w:szCs w:val="24"/>
                <w:lang w:eastAsia="lt-LT"/>
              </w:rPr>
            </w:pPr>
          </w:p>
        </w:tc>
      </w:tr>
      <w:tr>
        <w:trPr>
          <w:trHeight w:val="315"/>
        </w:trPr>
        <w:tc>
          <w:tcPr>
            <w:tcW w:w="106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pPr>
              <w:jc w:val="center"/>
              <w:rPr>
                <w:i/>
                <w:iCs/>
                <w:color w:val="000000"/>
                <w:szCs w:val="24"/>
                <w:lang w:eastAsia="lt-LT"/>
              </w:rPr>
            </w:pPr>
            <w:r>
              <w:rPr>
                <w:i/>
                <w:iCs/>
                <w:color w:val="000000"/>
                <w:szCs w:val="24"/>
                <w:lang w:eastAsia="lt-LT"/>
              </w:rPr>
              <w:t>Efekto rodiklio pavadinimas, matavimo vienetai</w:t>
            </w:r>
          </w:p>
        </w:tc>
        <w:tc>
          <w:tcPr>
            <w:tcW w:w="651" w:type="pct"/>
            <w:gridSpan w:val="5"/>
            <w:tcBorders>
              <w:top w:val="single" w:sz="8" w:space="0" w:color="auto"/>
              <w:left w:val="single" w:sz="4" w:space="0" w:color="auto"/>
              <w:bottom w:val="single" w:sz="4" w:space="0" w:color="auto"/>
              <w:right w:val="single" w:sz="8" w:space="0" w:color="000000"/>
            </w:tcBorders>
            <w:shd w:val="clear" w:color="auto" w:fill="auto"/>
            <w:noWrap/>
            <w:vAlign w:val="center"/>
          </w:tcPr>
          <w:p>
            <w:pPr>
              <w:jc w:val="center"/>
              <w:rPr>
                <w:i/>
                <w:iCs/>
                <w:color w:val="000000"/>
                <w:szCs w:val="24"/>
                <w:lang w:eastAsia="lt-LT"/>
              </w:rPr>
            </w:pPr>
            <w:r>
              <w:rPr>
                <w:i/>
                <w:iCs/>
                <w:color w:val="000000"/>
                <w:szCs w:val="24"/>
                <w:lang w:eastAsia="lt-LT"/>
              </w:rPr>
              <w:t>Pradinė reikšmė (2013 m.)</w:t>
            </w:r>
          </w:p>
        </w:tc>
        <w:tc>
          <w:tcPr>
            <w:tcW w:w="1612" w:type="pct"/>
            <w:gridSpan w:val="5"/>
            <w:tcBorders>
              <w:top w:val="single" w:sz="8" w:space="0" w:color="auto"/>
              <w:left w:val="nil"/>
              <w:bottom w:val="single" w:sz="4" w:space="0" w:color="auto"/>
              <w:right w:val="single" w:sz="8" w:space="0" w:color="000000"/>
            </w:tcBorders>
            <w:shd w:val="clear" w:color="auto" w:fill="auto"/>
            <w:noWrap/>
            <w:vAlign w:val="center"/>
          </w:tcPr>
          <w:p>
            <w:pPr>
              <w:jc w:val="center"/>
              <w:rPr>
                <w:i/>
                <w:iCs/>
                <w:color w:val="000000"/>
                <w:szCs w:val="24"/>
                <w:lang w:eastAsia="lt-LT"/>
              </w:rPr>
            </w:pPr>
            <w:r>
              <w:rPr>
                <w:i/>
                <w:iCs/>
                <w:color w:val="000000"/>
                <w:szCs w:val="24"/>
                <w:lang w:eastAsia="lt-LT"/>
              </w:rPr>
              <w:t>Siekiama reikšmė (2020 m.)</w:t>
            </w:r>
          </w:p>
        </w:tc>
        <w:tc>
          <w:tcPr>
            <w:tcW w:w="1672" w:type="pct"/>
            <w:gridSpan w:val="7"/>
            <w:tcBorders>
              <w:top w:val="single" w:sz="8" w:space="0" w:color="auto"/>
              <w:left w:val="nil"/>
              <w:bottom w:val="single" w:sz="4" w:space="0" w:color="auto"/>
              <w:right w:val="single" w:sz="8" w:space="0" w:color="000000"/>
            </w:tcBorders>
            <w:shd w:val="clear" w:color="auto" w:fill="auto"/>
            <w:noWrap/>
            <w:vAlign w:val="center"/>
          </w:tcPr>
          <w:p>
            <w:pPr>
              <w:jc w:val="center"/>
              <w:rPr>
                <w:i/>
                <w:iCs/>
                <w:color w:val="000000"/>
                <w:szCs w:val="24"/>
                <w:lang w:eastAsia="lt-LT"/>
              </w:rPr>
            </w:pPr>
            <w:r>
              <w:rPr>
                <w:i/>
                <w:iCs/>
                <w:color w:val="000000"/>
                <w:szCs w:val="24"/>
                <w:lang w:eastAsia="lt-LT"/>
              </w:rPr>
              <w:t>Siekiama reikšmė (2023 m.)</w:t>
            </w:r>
          </w:p>
        </w:tc>
      </w:tr>
      <w:tr>
        <w:trPr>
          <w:trHeight w:val="31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1-E</w:t>
            </w:r>
          </w:p>
        </w:tc>
        <w:tc>
          <w:tcPr>
            <w:tcW w:w="7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Gyventojų skaičiaus pokytis Kauno mieste, proc. </w:t>
            </w:r>
          </w:p>
        </w:tc>
        <w:tc>
          <w:tcPr>
            <w:tcW w:w="65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-1,60%</w:t>
            </w:r>
          </w:p>
        </w:tc>
        <w:tc>
          <w:tcPr>
            <w:tcW w:w="161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-0,40 %</w:t>
            </w:r>
          </w:p>
        </w:tc>
        <w:tc>
          <w:tcPr>
            <w:tcW w:w="1672"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0,20 %</w:t>
            </w:r>
          </w:p>
        </w:tc>
      </w:tr>
      <w:tr>
        <w:trPr>
          <w:trHeight w:val="240"/>
        </w:trPr>
        <w:tc>
          <w:tcPr>
            <w:tcW w:w="266"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24" w:type="pct"/>
            <w:gridSpan w:val="3"/>
            <w:tcBorders>
              <w:top w:val="single" w:sz="4" w:space="0" w:color="auto"/>
              <w:left w:val="nil"/>
              <w:bottom w:val="nil"/>
              <w:right w:val="nil"/>
            </w:tcBorders>
            <w:shd w:val="clear" w:color="auto" w:fill="auto"/>
            <w:noWrap/>
            <w:vAlign w:val="bottom"/>
          </w:tcPr>
          <w:p>
            <w:pPr>
              <w:rPr>
                <w:color w:val="000000"/>
                <w:szCs w:val="24"/>
                <w:lang w:eastAsia="lt-LT"/>
              </w:rPr>
            </w:pPr>
          </w:p>
        </w:tc>
        <w:tc>
          <w:tcPr>
            <w:tcW w:w="182"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293"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112"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84"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84"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7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8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34"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76"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2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76"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750" w:type="pct"/>
            <w:gridSpan w:val="4"/>
            <w:tcBorders>
              <w:top w:val="single" w:sz="4" w:space="0" w:color="auto"/>
              <w:left w:val="nil"/>
              <w:bottom w:val="nil"/>
              <w:right w:val="nil"/>
            </w:tcBorders>
            <w:shd w:val="clear" w:color="auto" w:fill="auto"/>
            <w:noWrap/>
            <w:vAlign w:val="bottom"/>
          </w:tcPr>
          <w:p>
            <w:pPr>
              <w:rPr>
                <w:color w:val="000000"/>
                <w:szCs w:val="24"/>
                <w:lang w:eastAsia="lt-LT"/>
              </w:rPr>
            </w:pPr>
          </w:p>
        </w:tc>
        <w:tc>
          <w:tcPr>
            <w:tcW w:w="546"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r>
      <w:tr>
        <w:trPr>
          <w:trHeight w:val="240"/>
        </w:trPr>
        <w:tc>
          <w:tcPr>
            <w:tcW w:w="5000" w:type="pct"/>
            <w:gridSpan w:val="24"/>
            <w:tcBorders>
              <w:top w:val="nil"/>
              <w:left w:val="nil"/>
              <w:bottom w:val="nil"/>
              <w:right w:val="nil"/>
            </w:tcBorders>
            <w:shd w:val="clear" w:color="auto" w:fill="auto"/>
            <w:noWrap/>
            <w:vAlign w:val="center"/>
          </w:tcPr>
          <w:p>
            <w:pPr>
              <w:rPr>
                <w:color w:val="000000"/>
                <w:szCs w:val="24"/>
                <w:lang w:eastAsia="lt-LT"/>
              </w:rPr>
            </w:pPr>
            <w:r>
              <w:rPr>
                <w:b/>
                <w:bCs/>
                <w:color w:val="000000"/>
                <w:szCs w:val="24"/>
                <w:u w:val="single"/>
                <w:lang w:eastAsia="lt-LT"/>
              </w:rPr>
              <w:t>Programos rezultatai:</w:t>
            </w:r>
          </w:p>
        </w:tc>
      </w:tr>
      <w:tr>
        <w:trPr>
          <w:trHeight w:val="315"/>
        </w:trPr>
        <w:tc>
          <w:tcPr>
            <w:tcW w:w="106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pPr>
              <w:jc w:val="center"/>
              <w:rPr>
                <w:i/>
                <w:iCs/>
                <w:color w:val="000000"/>
                <w:szCs w:val="24"/>
                <w:lang w:eastAsia="lt-LT"/>
              </w:rPr>
            </w:pPr>
            <w:r>
              <w:rPr>
                <w:i/>
                <w:iCs/>
                <w:color w:val="000000"/>
                <w:szCs w:val="24"/>
                <w:lang w:eastAsia="lt-LT"/>
              </w:rPr>
              <w:t>Rezultato rodiklio pavadinimas, matavimo vienetai</w:t>
            </w:r>
          </w:p>
        </w:tc>
        <w:tc>
          <w:tcPr>
            <w:tcW w:w="651" w:type="pct"/>
            <w:gridSpan w:val="5"/>
            <w:tcBorders>
              <w:top w:val="single" w:sz="8" w:space="0" w:color="auto"/>
              <w:left w:val="single" w:sz="4" w:space="0" w:color="auto"/>
              <w:bottom w:val="single" w:sz="4" w:space="0" w:color="auto"/>
              <w:right w:val="single" w:sz="8" w:space="0" w:color="000000"/>
            </w:tcBorders>
            <w:shd w:val="clear" w:color="auto" w:fill="auto"/>
            <w:noWrap/>
            <w:vAlign w:val="center"/>
          </w:tcPr>
          <w:p>
            <w:pPr>
              <w:jc w:val="center"/>
              <w:rPr>
                <w:i/>
                <w:iCs/>
                <w:color w:val="000000"/>
                <w:szCs w:val="24"/>
                <w:lang w:eastAsia="lt-LT"/>
              </w:rPr>
            </w:pPr>
            <w:r>
              <w:rPr>
                <w:i/>
                <w:iCs/>
                <w:color w:val="000000"/>
                <w:szCs w:val="24"/>
                <w:lang w:eastAsia="lt-LT"/>
              </w:rPr>
              <w:t>Pradinė reikšmė (2013 m.)</w:t>
            </w:r>
          </w:p>
        </w:tc>
        <w:tc>
          <w:tcPr>
            <w:tcW w:w="1612" w:type="pct"/>
            <w:gridSpan w:val="5"/>
            <w:tcBorders>
              <w:top w:val="single" w:sz="8" w:space="0" w:color="auto"/>
              <w:left w:val="nil"/>
              <w:bottom w:val="single" w:sz="4" w:space="0" w:color="auto"/>
              <w:right w:val="single" w:sz="8" w:space="0" w:color="000000"/>
            </w:tcBorders>
            <w:shd w:val="clear" w:color="auto" w:fill="auto"/>
            <w:noWrap/>
            <w:vAlign w:val="center"/>
          </w:tcPr>
          <w:p>
            <w:pPr>
              <w:jc w:val="center"/>
              <w:rPr>
                <w:i/>
                <w:iCs/>
                <w:color w:val="000000"/>
                <w:szCs w:val="24"/>
                <w:lang w:eastAsia="lt-LT"/>
              </w:rPr>
            </w:pPr>
            <w:r>
              <w:rPr>
                <w:i/>
                <w:iCs/>
                <w:color w:val="000000"/>
                <w:szCs w:val="24"/>
                <w:lang w:eastAsia="lt-LT"/>
              </w:rPr>
              <w:t>Siekiama reikšmė (2020 m.)</w:t>
            </w:r>
          </w:p>
        </w:tc>
        <w:tc>
          <w:tcPr>
            <w:tcW w:w="1672" w:type="pct"/>
            <w:gridSpan w:val="7"/>
            <w:tcBorders>
              <w:top w:val="single" w:sz="8" w:space="0" w:color="auto"/>
              <w:left w:val="nil"/>
              <w:bottom w:val="single" w:sz="4" w:space="0" w:color="auto"/>
              <w:right w:val="single" w:sz="8" w:space="0" w:color="000000"/>
            </w:tcBorders>
            <w:shd w:val="clear" w:color="auto" w:fill="auto"/>
            <w:noWrap/>
            <w:vAlign w:val="center"/>
          </w:tcPr>
          <w:p>
            <w:pPr>
              <w:jc w:val="center"/>
              <w:rPr>
                <w:i/>
                <w:iCs/>
                <w:color w:val="000000"/>
                <w:szCs w:val="24"/>
                <w:lang w:eastAsia="lt-LT"/>
              </w:rPr>
            </w:pPr>
            <w:r>
              <w:rPr>
                <w:i/>
                <w:iCs/>
                <w:color w:val="000000"/>
                <w:szCs w:val="24"/>
                <w:lang w:eastAsia="lt-LT"/>
              </w:rPr>
              <w:t>Siekiama reikšmė (2023 m.)</w:t>
            </w:r>
          </w:p>
        </w:tc>
      </w:tr>
      <w:tr>
        <w:trPr>
          <w:trHeight w:val="55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1-R-1</w:t>
            </w:r>
          </w:p>
        </w:tc>
        <w:tc>
          <w:tcPr>
            <w:tcW w:w="7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Įmonių skaičius, tenkantis 1000 gyventojų, vnt.</w:t>
            </w:r>
          </w:p>
        </w:tc>
        <w:tc>
          <w:tcPr>
            <w:tcW w:w="65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32</w:t>
            </w:r>
          </w:p>
        </w:tc>
        <w:tc>
          <w:tcPr>
            <w:tcW w:w="161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35</w:t>
            </w:r>
          </w:p>
        </w:tc>
        <w:tc>
          <w:tcPr>
            <w:tcW w:w="1672"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36,5</w:t>
            </w:r>
          </w:p>
        </w:tc>
      </w:tr>
      <w:tr>
        <w:trPr>
          <w:trHeight w:val="31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1-R-2</w:t>
            </w:r>
          </w:p>
        </w:tc>
        <w:tc>
          <w:tcPr>
            <w:tcW w:w="7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Išvykusių gyventojų skaičius, asm.</w:t>
            </w:r>
          </w:p>
        </w:tc>
        <w:tc>
          <w:tcPr>
            <w:tcW w:w="65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8 960</w:t>
            </w:r>
          </w:p>
        </w:tc>
        <w:tc>
          <w:tcPr>
            <w:tcW w:w="161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7 700</w:t>
            </w:r>
          </w:p>
        </w:tc>
        <w:tc>
          <w:tcPr>
            <w:tcW w:w="1672"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7 100</w:t>
            </w:r>
          </w:p>
        </w:tc>
      </w:tr>
      <w:tr>
        <w:trPr>
          <w:trHeight w:val="25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1-R-3</w:t>
            </w:r>
          </w:p>
        </w:tc>
        <w:tc>
          <w:tcPr>
            <w:tcW w:w="7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Vidutinės disponuojamos namų ūkio pajamos, Eur</w:t>
            </w:r>
          </w:p>
        </w:tc>
        <w:tc>
          <w:tcPr>
            <w:tcW w:w="65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806,88</w:t>
            </w:r>
          </w:p>
        </w:tc>
        <w:tc>
          <w:tcPr>
            <w:tcW w:w="161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897,82</w:t>
            </w:r>
          </w:p>
        </w:tc>
        <w:tc>
          <w:tcPr>
            <w:tcW w:w="1672"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941,27</w:t>
            </w:r>
          </w:p>
        </w:tc>
      </w:tr>
      <w:tr>
        <w:trPr>
          <w:trHeight w:val="25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1-R-4</w:t>
            </w:r>
          </w:p>
        </w:tc>
        <w:tc>
          <w:tcPr>
            <w:tcW w:w="7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Kietųjų dalelių vidutinės paros koncentracijos pokytis, proc.</w:t>
            </w:r>
          </w:p>
        </w:tc>
        <w:tc>
          <w:tcPr>
            <w:tcW w:w="65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3,80%</w:t>
            </w:r>
          </w:p>
        </w:tc>
        <w:tc>
          <w:tcPr>
            <w:tcW w:w="161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0,01%</w:t>
            </w:r>
          </w:p>
        </w:tc>
        <w:tc>
          <w:tcPr>
            <w:tcW w:w="1672"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-1,50%</w:t>
            </w:r>
          </w:p>
        </w:tc>
      </w:tr>
      <w:tr>
        <w:trPr>
          <w:trHeight w:val="240"/>
        </w:trPr>
        <w:tc>
          <w:tcPr>
            <w:tcW w:w="266"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911" w:type="pct"/>
            <w:gridSpan w:val="7"/>
            <w:tcBorders>
              <w:top w:val="single" w:sz="4" w:space="0" w:color="auto"/>
              <w:left w:val="nil"/>
              <w:bottom w:val="nil"/>
              <w:right w:val="nil"/>
            </w:tcBorders>
            <w:shd w:val="clear" w:color="auto" w:fill="auto"/>
            <w:noWrap/>
            <w:vAlign w:val="bottom"/>
          </w:tcPr>
          <w:p>
            <w:pPr>
              <w:rPr>
                <w:color w:val="000000"/>
                <w:szCs w:val="24"/>
                <w:lang w:eastAsia="lt-LT"/>
              </w:rPr>
            </w:pPr>
          </w:p>
        </w:tc>
        <w:tc>
          <w:tcPr>
            <w:tcW w:w="84"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84"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7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8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34"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76"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2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751" w:type="pct"/>
            <w:gridSpan w:val="3"/>
            <w:tcBorders>
              <w:top w:val="single" w:sz="4" w:space="0" w:color="auto"/>
              <w:left w:val="nil"/>
              <w:bottom w:val="nil"/>
              <w:right w:val="nil"/>
            </w:tcBorders>
            <w:shd w:val="clear" w:color="auto" w:fill="auto"/>
            <w:noWrap/>
            <w:vAlign w:val="bottom"/>
          </w:tcPr>
          <w:p>
            <w:pPr>
              <w:rPr>
                <w:color w:val="000000"/>
                <w:szCs w:val="24"/>
                <w:lang w:eastAsia="lt-LT"/>
              </w:rPr>
            </w:pPr>
          </w:p>
        </w:tc>
        <w:tc>
          <w:tcPr>
            <w:tcW w:w="375"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546" w:type="pct"/>
            <w:gridSpan w:val="2"/>
            <w:tcBorders>
              <w:top w:val="single" w:sz="4" w:space="0" w:color="auto"/>
              <w:left w:val="nil"/>
              <w:bottom w:val="nil"/>
              <w:right w:val="nil"/>
            </w:tcBorders>
            <w:shd w:val="clear" w:color="auto" w:fill="auto"/>
            <w:vAlign w:val="center"/>
          </w:tcPr>
          <w:p>
            <w:pPr>
              <w:rPr>
                <w:color w:val="000000"/>
                <w:szCs w:val="24"/>
                <w:lang w:eastAsia="lt-LT"/>
              </w:rPr>
            </w:pPr>
          </w:p>
        </w:tc>
      </w:tr>
      <w:tr>
        <w:trPr>
          <w:trHeight w:val="240"/>
        </w:trPr>
        <w:tc>
          <w:tcPr>
            <w:tcW w:w="5000" w:type="pct"/>
            <w:gridSpan w:val="24"/>
            <w:tcBorders>
              <w:top w:val="nil"/>
              <w:left w:val="nil"/>
              <w:bottom w:val="nil"/>
              <w:right w:val="nil"/>
            </w:tcBorders>
            <w:shd w:val="clear" w:color="auto" w:fill="auto"/>
            <w:noWrap/>
            <w:vAlign w:val="center"/>
          </w:tcPr>
          <w:p>
            <w:pPr>
              <w:rPr>
                <w:color w:val="000000"/>
                <w:szCs w:val="24"/>
                <w:lang w:eastAsia="lt-LT"/>
              </w:rPr>
            </w:pPr>
            <w:r>
              <w:rPr>
                <w:b/>
                <w:bCs/>
                <w:color w:val="000000"/>
                <w:szCs w:val="24"/>
                <w:u w:val="single"/>
                <w:lang w:eastAsia="lt-LT"/>
              </w:rPr>
              <w:t>Programos efekto ir rezultatų pasiekimo grafikas</w:t>
            </w:r>
          </w:p>
        </w:tc>
      </w:tr>
      <w:tr>
        <w:trPr>
          <w:trHeight w:val="255"/>
        </w:trPr>
        <w:tc>
          <w:tcPr>
            <w:tcW w:w="266" w:type="pct"/>
            <w:tcBorders>
              <w:top w:val="nil"/>
              <w:left w:val="nil"/>
              <w:bottom w:val="nil"/>
              <w:right w:val="nil"/>
            </w:tcBorders>
            <w:shd w:val="clear" w:color="auto" w:fill="auto"/>
            <w:noWrap/>
            <w:vAlign w:val="bottom"/>
          </w:tcPr>
          <w:p>
            <w:pPr>
              <w:rPr>
                <w:color w:val="000000"/>
                <w:szCs w:val="24"/>
                <w:lang w:eastAsia="lt-LT"/>
              </w:rPr>
            </w:pPr>
          </w:p>
        </w:tc>
        <w:tc>
          <w:tcPr>
            <w:tcW w:w="911" w:type="pct"/>
            <w:gridSpan w:val="7"/>
            <w:tcBorders>
              <w:top w:val="nil"/>
              <w:left w:val="nil"/>
              <w:bottom w:val="single" w:sz="8" w:space="0" w:color="auto"/>
              <w:right w:val="nil"/>
            </w:tcBorders>
            <w:shd w:val="clear" w:color="auto" w:fill="auto"/>
            <w:noWrap/>
            <w:vAlign w:val="bottom"/>
          </w:tcPr>
          <w:p>
            <w:pPr>
              <w:rPr>
                <w:color w:val="000000"/>
                <w:szCs w:val="24"/>
                <w:lang w:eastAsia="lt-LT"/>
              </w:rPr>
            </w:pPr>
          </w:p>
        </w:tc>
        <w:tc>
          <w:tcPr>
            <w:tcW w:w="84" w:type="pct"/>
            <w:tcBorders>
              <w:top w:val="nil"/>
              <w:left w:val="nil"/>
              <w:bottom w:val="nil"/>
              <w:right w:val="nil"/>
            </w:tcBorders>
            <w:shd w:val="clear" w:color="auto" w:fill="auto"/>
            <w:noWrap/>
            <w:vAlign w:val="bottom"/>
          </w:tcPr>
          <w:p>
            <w:pPr>
              <w:rPr>
                <w:color w:val="000000"/>
                <w:szCs w:val="24"/>
                <w:lang w:eastAsia="lt-LT"/>
              </w:rPr>
            </w:pPr>
          </w:p>
        </w:tc>
        <w:tc>
          <w:tcPr>
            <w:tcW w:w="84" w:type="pct"/>
            <w:gridSpan w:val="2"/>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81" w:type="pct"/>
            <w:tcBorders>
              <w:top w:val="nil"/>
              <w:left w:val="nil"/>
              <w:bottom w:val="nil"/>
              <w:right w:val="nil"/>
            </w:tcBorders>
            <w:shd w:val="clear" w:color="auto" w:fill="auto"/>
            <w:noWrap/>
            <w:vAlign w:val="bottom"/>
          </w:tcPr>
          <w:p>
            <w:pPr>
              <w:rPr>
                <w:color w:val="000000"/>
                <w:szCs w:val="24"/>
                <w:lang w:eastAsia="lt-LT"/>
              </w:rPr>
            </w:pPr>
          </w:p>
        </w:tc>
        <w:tc>
          <w:tcPr>
            <w:tcW w:w="434" w:type="pct"/>
            <w:gridSpan w:val="2"/>
            <w:tcBorders>
              <w:top w:val="nil"/>
              <w:left w:val="nil"/>
              <w:bottom w:val="nil"/>
              <w:right w:val="nil"/>
            </w:tcBorders>
            <w:shd w:val="clear" w:color="auto" w:fill="auto"/>
            <w:noWrap/>
            <w:vAlign w:val="bottom"/>
          </w:tcPr>
          <w:p>
            <w:pPr>
              <w:rPr>
                <w:color w:val="000000"/>
                <w:szCs w:val="24"/>
                <w:lang w:eastAsia="lt-LT"/>
              </w:rPr>
            </w:pPr>
          </w:p>
        </w:tc>
        <w:tc>
          <w:tcPr>
            <w:tcW w:w="376" w:type="pct"/>
            <w:tcBorders>
              <w:top w:val="nil"/>
              <w:left w:val="nil"/>
              <w:bottom w:val="nil"/>
              <w:right w:val="nil"/>
            </w:tcBorders>
            <w:shd w:val="clear" w:color="auto" w:fill="auto"/>
            <w:noWrap/>
            <w:vAlign w:val="bottom"/>
          </w:tcPr>
          <w:p>
            <w:pPr>
              <w:rPr>
                <w:color w:val="000000"/>
                <w:szCs w:val="24"/>
                <w:lang w:eastAsia="lt-LT"/>
              </w:rPr>
            </w:pPr>
          </w:p>
        </w:tc>
        <w:tc>
          <w:tcPr>
            <w:tcW w:w="421" w:type="pct"/>
            <w:tcBorders>
              <w:top w:val="nil"/>
              <w:left w:val="nil"/>
              <w:bottom w:val="nil"/>
              <w:right w:val="nil"/>
            </w:tcBorders>
            <w:shd w:val="clear" w:color="auto" w:fill="auto"/>
            <w:noWrap/>
            <w:vAlign w:val="bottom"/>
          </w:tcPr>
          <w:p>
            <w:pPr>
              <w:rPr>
                <w:color w:val="000000"/>
                <w:szCs w:val="24"/>
                <w:lang w:eastAsia="lt-LT"/>
              </w:rPr>
            </w:pPr>
          </w:p>
        </w:tc>
        <w:tc>
          <w:tcPr>
            <w:tcW w:w="751"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75" w:type="pct"/>
            <w:gridSpan w:val="2"/>
            <w:tcBorders>
              <w:top w:val="nil"/>
              <w:left w:val="nil"/>
              <w:bottom w:val="nil"/>
              <w:right w:val="nil"/>
            </w:tcBorders>
            <w:shd w:val="clear" w:color="auto" w:fill="auto"/>
            <w:noWrap/>
            <w:vAlign w:val="bottom"/>
          </w:tcPr>
          <w:p>
            <w:pPr>
              <w:rPr>
                <w:color w:val="000000"/>
                <w:szCs w:val="24"/>
                <w:lang w:eastAsia="lt-LT"/>
              </w:rPr>
            </w:pPr>
          </w:p>
        </w:tc>
        <w:tc>
          <w:tcPr>
            <w:tcW w:w="546" w:type="pct"/>
            <w:gridSpan w:val="2"/>
            <w:tcBorders>
              <w:top w:val="nil"/>
              <w:left w:val="nil"/>
              <w:bottom w:val="nil"/>
              <w:right w:val="nil"/>
            </w:tcBorders>
            <w:shd w:val="clear" w:color="auto" w:fill="auto"/>
            <w:vAlign w:val="center"/>
          </w:tcPr>
          <w:p>
            <w:pPr>
              <w:rPr>
                <w:color w:val="000000"/>
                <w:szCs w:val="24"/>
                <w:lang w:eastAsia="lt-LT"/>
              </w:rPr>
            </w:pPr>
          </w:p>
        </w:tc>
      </w:tr>
      <w:tr>
        <w:trPr>
          <w:trHeight w:val="315"/>
        </w:trPr>
        <w:tc>
          <w:tcPr>
            <w:tcW w:w="952"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i/>
                <w:iCs/>
                <w:color w:val="000000"/>
                <w:szCs w:val="24"/>
                <w:lang w:eastAsia="lt-LT"/>
              </w:rPr>
            </w:pPr>
            <w:r>
              <w:rPr>
                <w:i/>
                <w:iCs/>
                <w:color w:val="000000"/>
                <w:szCs w:val="24"/>
                <w:lang w:eastAsia="lt-LT"/>
              </w:rPr>
              <w:t>Rodiklio pavadinimas, matavimo vienetai</w:t>
            </w:r>
          </w:p>
        </w:tc>
        <w:tc>
          <w:tcPr>
            <w:tcW w:w="4048" w:type="pct"/>
            <w:gridSpan w:val="18"/>
            <w:tcBorders>
              <w:top w:val="single" w:sz="8" w:space="0" w:color="auto"/>
              <w:left w:val="nil"/>
              <w:bottom w:val="single" w:sz="8" w:space="0" w:color="auto"/>
              <w:right w:val="single" w:sz="8" w:space="0" w:color="000000"/>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Siekiama reikšmė</w:t>
            </w:r>
          </w:p>
        </w:tc>
      </w:tr>
      <w:tr>
        <w:trPr>
          <w:trHeight w:val="315"/>
        </w:trPr>
        <w:tc>
          <w:tcPr>
            <w:tcW w:w="952" w:type="pct"/>
            <w:gridSpan w:val="6"/>
            <w:vMerge/>
            <w:tcBorders>
              <w:top w:val="single" w:sz="8" w:space="0" w:color="auto"/>
              <w:left w:val="single" w:sz="8" w:space="0" w:color="auto"/>
              <w:bottom w:val="single" w:sz="4" w:space="0" w:color="auto"/>
              <w:right w:val="single" w:sz="8" w:space="0" w:color="000000"/>
            </w:tcBorders>
            <w:shd w:val="clear" w:color="auto" w:fill="auto"/>
            <w:vAlign w:val="center"/>
          </w:tcPr>
          <w:p>
            <w:pPr>
              <w:rPr>
                <w:i/>
                <w:iCs/>
                <w:color w:val="000000"/>
                <w:szCs w:val="24"/>
                <w:lang w:eastAsia="lt-LT"/>
              </w:rPr>
            </w:pPr>
          </w:p>
        </w:tc>
        <w:tc>
          <w:tcPr>
            <w:tcW w:w="382" w:type="pct"/>
            <w:gridSpan w:val="4"/>
            <w:tcBorders>
              <w:top w:val="nil"/>
              <w:left w:val="nil"/>
              <w:bottom w:val="single" w:sz="4" w:space="0" w:color="auto"/>
              <w:right w:val="single" w:sz="8"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2014 m.</w:t>
            </w:r>
          </w:p>
        </w:tc>
        <w:tc>
          <w:tcPr>
            <w:tcW w:w="382"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2015 m.</w:t>
            </w:r>
          </w:p>
        </w:tc>
        <w:tc>
          <w:tcPr>
            <w:tcW w:w="381"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2016 m.</w:t>
            </w:r>
          </w:p>
        </w:tc>
        <w:tc>
          <w:tcPr>
            <w:tcW w:w="434"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2017 m.</w:t>
            </w:r>
          </w:p>
        </w:tc>
        <w:tc>
          <w:tcPr>
            <w:tcW w:w="376"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2018 m.</w:t>
            </w:r>
          </w:p>
        </w:tc>
        <w:tc>
          <w:tcPr>
            <w:tcW w:w="421"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2019 m.</w:t>
            </w:r>
          </w:p>
        </w:tc>
        <w:tc>
          <w:tcPr>
            <w:tcW w:w="376"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2020 m.</w:t>
            </w:r>
          </w:p>
        </w:tc>
        <w:tc>
          <w:tcPr>
            <w:tcW w:w="375"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2021 m.</w:t>
            </w:r>
          </w:p>
        </w:tc>
        <w:tc>
          <w:tcPr>
            <w:tcW w:w="375" w:type="pct"/>
            <w:gridSpan w:val="2"/>
            <w:tcBorders>
              <w:top w:val="nil"/>
              <w:left w:val="nil"/>
              <w:bottom w:val="single" w:sz="4" w:space="0" w:color="auto"/>
              <w:right w:val="single" w:sz="8"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2022 m.</w:t>
            </w:r>
          </w:p>
        </w:tc>
        <w:tc>
          <w:tcPr>
            <w:tcW w:w="546"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2023 m.</w:t>
            </w:r>
          </w:p>
        </w:tc>
      </w:tr>
      <w:tr>
        <w:trPr>
          <w:trHeight w:val="31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1-E</w:t>
            </w:r>
          </w:p>
        </w:tc>
        <w:tc>
          <w:tcPr>
            <w:tcW w:w="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 xml:space="preserve">Gyventojų skaičiaus pokytis, proc. </w:t>
            </w:r>
          </w:p>
        </w:tc>
        <w:tc>
          <w:tcPr>
            <w:tcW w:w="3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4"/>
                <w:lang w:eastAsia="lt-LT"/>
              </w:rPr>
            </w:pPr>
            <w:r>
              <w:rPr>
                <w:color w:val="000000"/>
                <w:szCs w:val="24"/>
                <w:lang w:eastAsia="lt-LT"/>
              </w:rPr>
              <w:t>-1,60 %</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-1,40 %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-1,20 %</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-1,00 %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-0,80 %</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-0,60 %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-0,40 %</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-0,20 %</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0,00 %</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0,20 %</w:t>
            </w:r>
          </w:p>
        </w:tc>
      </w:tr>
      <w:tr>
        <w:trPr>
          <w:trHeight w:val="25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1-R-1</w:t>
            </w:r>
          </w:p>
        </w:tc>
        <w:tc>
          <w:tcPr>
            <w:tcW w:w="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Įmonių skaičius, tenkantis 1000 gyventojų, vnt.</w:t>
            </w:r>
          </w:p>
        </w:tc>
        <w:tc>
          <w:tcPr>
            <w:tcW w:w="38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32</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32,5</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33</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33,5</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34</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34,5</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35</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35,5</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36</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36,5</w:t>
            </w:r>
          </w:p>
        </w:tc>
      </w:tr>
      <w:tr>
        <w:trPr>
          <w:trHeight w:val="25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1-R-2</w:t>
            </w:r>
          </w:p>
        </w:tc>
        <w:tc>
          <w:tcPr>
            <w:tcW w:w="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Išvykusių gyventojų skaičius, asm.</w:t>
            </w:r>
          </w:p>
        </w:tc>
        <w:tc>
          <w:tcPr>
            <w:tcW w:w="3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4"/>
                <w:lang w:eastAsia="lt-LT"/>
              </w:rPr>
            </w:pPr>
            <w:r>
              <w:rPr>
                <w:color w:val="000000"/>
                <w:szCs w:val="24"/>
                <w:lang w:eastAsia="lt-LT"/>
              </w:rPr>
              <w:t>8 900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8 700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8 500</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8 300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8 100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7 900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7 700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7 500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7 300</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7 100</w:t>
            </w:r>
          </w:p>
        </w:tc>
      </w:tr>
      <w:tr>
        <w:trPr>
          <w:trHeight w:val="25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1-R-3</w:t>
            </w:r>
          </w:p>
        </w:tc>
        <w:tc>
          <w:tcPr>
            <w:tcW w:w="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Vidutinės disponuojamos namų ūkio pajamos, Eur</w:t>
            </w:r>
          </w:p>
        </w:tc>
        <w:tc>
          <w:tcPr>
            <w:tcW w:w="3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4"/>
                <w:lang w:eastAsia="lt-LT"/>
              </w:rPr>
            </w:pPr>
            <w:r>
              <w:rPr>
                <w:color w:val="000000"/>
                <w:szCs w:val="24"/>
                <w:lang w:eastAsia="lt-LT"/>
              </w:rPr>
              <w:t>811,00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825,00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840,00</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854,00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869,00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883,00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898,00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912,00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927,00</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941,00</w:t>
            </w:r>
          </w:p>
        </w:tc>
      </w:tr>
      <w:tr>
        <w:trPr>
          <w:trHeight w:val="255"/>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1-R-4</w:t>
            </w:r>
          </w:p>
        </w:tc>
        <w:tc>
          <w:tcPr>
            <w:tcW w:w="68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Kietųjų dalelių vidutinės paros koncentracijos metinis pokytis, proc.</w:t>
            </w:r>
          </w:p>
        </w:tc>
        <w:tc>
          <w:tcPr>
            <w:tcW w:w="3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4"/>
                <w:lang w:eastAsia="lt-LT"/>
              </w:rPr>
            </w:pPr>
            <w:r>
              <w:rPr>
                <w:color w:val="000000"/>
                <w:szCs w:val="24"/>
                <w:lang w:eastAsia="lt-LT"/>
              </w:rPr>
              <w:t>3,00 %</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2,50 %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2,00 %</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1,50 %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1,00 %</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0,50 %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0,01 %</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-0,50 %</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-1,00 %</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-1,50 %</w:t>
            </w:r>
          </w:p>
        </w:tc>
      </w:tr>
      <w:tr>
        <w:trPr>
          <w:trHeight w:val="240"/>
        </w:trPr>
        <w:tc>
          <w:tcPr>
            <w:tcW w:w="266" w:type="pct"/>
            <w:tcBorders>
              <w:top w:val="single" w:sz="4" w:space="0" w:color="auto"/>
              <w:left w:val="nil"/>
              <w:right w:val="nil"/>
            </w:tcBorders>
            <w:shd w:val="clear" w:color="auto" w:fill="auto"/>
            <w:noWrap/>
            <w:vAlign w:val="bottom"/>
          </w:tcPr>
          <w:p>
            <w:pPr>
              <w:rPr>
                <w:color w:val="000000"/>
                <w:szCs w:val="24"/>
                <w:lang w:eastAsia="lt-LT"/>
              </w:rPr>
            </w:pPr>
          </w:p>
        </w:tc>
        <w:tc>
          <w:tcPr>
            <w:tcW w:w="911" w:type="pct"/>
            <w:gridSpan w:val="7"/>
            <w:tcBorders>
              <w:top w:val="single" w:sz="4" w:space="0" w:color="auto"/>
              <w:left w:val="nil"/>
              <w:right w:val="nil"/>
            </w:tcBorders>
            <w:shd w:val="clear" w:color="auto" w:fill="auto"/>
            <w:noWrap/>
            <w:vAlign w:val="bottom"/>
          </w:tcPr>
          <w:p>
            <w:pPr>
              <w:rPr>
                <w:color w:val="000000"/>
                <w:szCs w:val="24"/>
                <w:lang w:eastAsia="lt-LT"/>
              </w:rPr>
            </w:pPr>
          </w:p>
        </w:tc>
        <w:tc>
          <w:tcPr>
            <w:tcW w:w="84" w:type="pct"/>
            <w:tcBorders>
              <w:top w:val="single" w:sz="4" w:space="0" w:color="auto"/>
              <w:left w:val="nil"/>
              <w:right w:val="nil"/>
            </w:tcBorders>
            <w:shd w:val="clear" w:color="auto" w:fill="auto"/>
            <w:noWrap/>
            <w:vAlign w:val="bottom"/>
          </w:tcPr>
          <w:p>
            <w:pPr>
              <w:rPr>
                <w:color w:val="000000"/>
                <w:szCs w:val="24"/>
                <w:lang w:eastAsia="lt-LT"/>
              </w:rPr>
            </w:pPr>
          </w:p>
        </w:tc>
        <w:tc>
          <w:tcPr>
            <w:tcW w:w="84" w:type="pct"/>
            <w:gridSpan w:val="2"/>
            <w:tcBorders>
              <w:top w:val="single" w:sz="4" w:space="0" w:color="auto"/>
              <w:left w:val="nil"/>
              <w:right w:val="nil"/>
            </w:tcBorders>
            <w:shd w:val="clear" w:color="auto" w:fill="auto"/>
            <w:noWrap/>
            <w:vAlign w:val="bottom"/>
          </w:tcPr>
          <w:p>
            <w:pPr>
              <w:rPr>
                <w:color w:val="000000"/>
                <w:szCs w:val="24"/>
                <w:lang w:eastAsia="lt-LT"/>
              </w:rPr>
            </w:pPr>
          </w:p>
        </w:tc>
        <w:tc>
          <w:tcPr>
            <w:tcW w:w="371" w:type="pct"/>
            <w:tcBorders>
              <w:top w:val="single" w:sz="4" w:space="0" w:color="auto"/>
              <w:left w:val="nil"/>
              <w:right w:val="nil"/>
            </w:tcBorders>
            <w:shd w:val="clear" w:color="auto" w:fill="auto"/>
            <w:noWrap/>
            <w:vAlign w:val="bottom"/>
          </w:tcPr>
          <w:p>
            <w:pPr>
              <w:rPr>
                <w:color w:val="000000"/>
                <w:szCs w:val="24"/>
                <w:lang w:eastAsia="lt-LT"/>
              </w:rPr>
            </w:pPr>
          </w:p>
        </w:tc>
        <w:tc>
          <w:tcPr>
            <w:tcW w:w="381" w:type="pct"/>
            <w:tcBorders>
              <w:top w:val="single" w:sz="4" w:space="0" w:color="auto"/>
              <w:left w:val="nil"/>
              <w:right w:val="nil"/>
            </w:tcBorders>
            <w:shd w:val="clear" w:color="auto" w:fill="auto"/>
            <w:noWrap/>
            <w:vAlign w:val="bottom"/>
          </w:tcPr>
          <w:p>
            <w:pPr>
              <w:rPr>
                <w:color w:val="000000"/>
                <w:szCs w:val="24"/>
                <w:lang w:eastAsia="lt-LT"/>
              </w:rPr>
            </w:pPr>
          </w:p>
        </w:tc>
        <w:tc>
          <w:tcPr>
            <w:tcW w:w="434" w:type="pct"/>
            <w:gridSpan w:val="2"/>
            <w:tcBorders>
              <w:top w:val="single" w:sz="4" w:space="0" w:color="auto"/>
              <w:left w:val="nil"/>
              <w:right w:val="nil"/>
            </w:tcBorders>
            <w:shd w:val="clear" w:color="auto" w:fill="auto"/>
            <w:noWrap/>
            <w:vAlign w:val="bottom"/>
          </w:tcPr>
          <w:p>
            <w:pPr>
              <w:rPr>
                <w:color w:val="000000"/>
                <w:szCs w:val="24"/>
                <w:lang w:eastAsia="lt-LT"/>
              </w:rPr>
            </w:pPr>
          </w:p>
        </w:tc>
        <w:tc>
          <w:tcPr>
            <w:tcW w:w="376" w:type="pct"/>
            <w:tcBorders>
              <w:top w:val="single" w:sz="4" w:space="0" w:color="auto"/>
              <w:left w:val="nil"/>
              <w:right w:val="nil"/>
            </w:tcBorders>
            <w:shd w:val="clear" w:color="auto" w:fill="auto"/>
            <w:noWrap/>
            <w:vAlign w:val="bottom"/>
          </w:tcPr>
          <w:p>
            <w:pPr>
              <w:rPr>
                <w:color w:val="000000"/>
                <w:szCs w:val="24"/>
                <w:lang w:eastAsia="lt-LT"/>
              </w:rPr>
            </w:pPr>
          </w:p>
        </w:tc>
        <w:tc>
          <w:tcPr>
            <w:tcW w:w="421" w:type="pct"/>
            <w:tcBorders>
              <w:top w:val="single" w:sz="4" w:space="0" w:color="auto"/>
              <w:left w:val="nil"/>
              <w:right w:val="nil"/>
            </w:tcBorders>
            <w:shd w:val="clear" w:color="auto" w:fill="auto"/>
            <w:noWrap/>
            <w:vAlign w:val="bottom"/>
          </w:tcPr>
          <w:p>
            <w:pPr>
              <w:rPr>
                <w:color w:val="000000"/>
                <w:szCs w:val="24"/>
                <w:lang w:eastAsia="lt-LT"/>
              </w:rPr>
            </w:pPr>
          </w:p>
        </w:tc>
        <w:tc>
          <w:tcPr>
            <w:tcW w:w="751" w:type="pct"/>
            <w:gridSpan w:val="3"/>
            <w:tcBorders>
              <w:top w:val="single" w:sz="4" w:space="0" w:color="auto"/>
              <w:left w:val="nil"/>
              <w:right w:val="nil"/>
            </w:tcBorders>
            <w:shd w:val="clear" w:color="auto" w:fill="auto"/>
            <w:noWrap/>
            <w:vAlign w:val="bottom"/>
          </w:tcPr>
          <w:p>
            <w:pPr>
              <w:rPr>
                <w:color w:val="000000"/>
                <w:szCs w:val="24"/>
                <w:lang w:eastAsia="lt-LT"/>
              </w:rPr>
            </w:pPr>
          </w:p>
        </w:tc>
        <w:tc>
          <w:tcPr>
            <w:tcW w:w="375" w:type="pct"/>
            <w:gridSpan w:val="2"/>
            <w:tcBorders>
              <w:top w:val="single" w:sz="4" w:space="0" w:color="auto"/>
              <w:left w:val="nil"/>
              <w:right w:val="nil"/>
            </w:tcBorders>
            <w:shd w:val="clear" w:color="auto" w:fill="auto"/>
            <w:noWrap/>
            <w:vAlign w:val="bottom"/>
          </w:tcPr>
          <w:p>
            <w:pPr>
              <w:rPr>
                <w:color w:val="000000"/>
                <w:szCs w:val="24"/>
                <w:lang w:eastAsia="lt-LT"/>
              </w:rPr>
            </w:pPr>
          </w:p>
        </w:tc>
        <w:tc>
          <w:tcPr>
            <w:tcW w:w="546" w:type="pct"/>
            <w:gridSpan w:val="2"/>
            <w:tcBorders>
              <w:top w:val="single" w:sz="4" w:space="0" w:color="auto"/>
              <w:left w:val="nil"/>
              <w:right w:val="nil"/>
            </w:tcBorders>
            <w:shd w:val="clear" w:color="auto" w:fill="auto"/>
            <w:vAlign w:val="center"/>
          </w:tcPr>
          <w:p>
            <w:pPr>
              <w:rPr>
                <w:color w:val="000000"/>
                <w:szCs w:val="24"/>
                <w:lang w:eastAsia="lt-LT"/>
              </w:rPr>
            </w:pPr>
          </w:p>
        </w:tc>
      </w:tr>
      <w:tr>
        <w:trPr>
          <w:trHeight w:val="240"/>
        </w:trPr>
        <w:tc>
          <w:tcPr>
            <w:tcW w:w="4574" w:type="pct"/>
            <w:gridSpan w:val="2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1.1. Uždavinys: Sudaryti sąlygas naujų darbo vietų kūrimui, kuriant naujus ir stiprinant esamus traukos centrus tikslinėse teritorijose</w:t>
            </w:r>
          </w:p>
        </w:tc>
        <w:tc>
          <w:tcPr>
            <w:tcW w:w="426" w:type="pct"/>
            <w:tcBorders>
              <w:top w:val="nil"/>
              <w:left w:val="nil"/>
              <w:bottom w:val="nil"/>
              <w:right w:val="nil"/>
            </w:tcBorders>
            <w:shd w:val="clear" w:color="auto" w:fill="auto"/>
            <w:vAlign w:val="center"/>
          </w:tcPr>
          <w:p>
            <w:pPr>
              <w:rPr>
                <w:color w:val="000000"/>
                <w:szCs w:val="24"/>
                <w:lang w:eastAsia="lt-LT"/>
              </w:rPr>
            </w:pPr>
          </w:p>
        </w:tc>
      </w:tr>
      <w:tr>
        <w:trPr>
          <w:trHeight w:val="255"/>
        </w:trPr>
        <w:tc>
          <w:tcPr>
            <w:tcW w:w="332"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164"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57"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382" w:type="pct"/>
            <w:gridSpan w:val="4"/>
            <w:tcBorders>
              <w:top w:val="nil"/>
              <w:left w:val="nil"/>
              <w:bottom w:val="single" w:sz="4" w:space="0" w:color="auto"/>
              <w:right w:val="nil"/>
            </w:tcBorders>
            <w:shd w:val="clear" w:color="auto" w:fill="auto"/>
            <w:noWrap/>
            <w:vAlign w:val="bottom"/>
          </w:tcPr>
          <w:p>
            <w:pPr>
              <w:rPr>
                <w:color w:val="000000"/>
                <w:szCs w:val="24"/>
                <w:lang w:eastAsia="lt-LT"/>
              </w:rPr>
            </w:pPr>
          </w:p>
        </w:tc>
        <w:tc>
          <w:tcPr>
            <w:tcW w:w="382"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8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80"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30"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42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845" w:type="pct"/>
            <w:gridSpan w:val="4"/>
            <w:tcBorders>
              <w:top w:val="nil"/>
              <w:left w:val="nil"/>
              <w:bottom w:val="single" w:sz="4" w:space="0" w:color="auto"/>
              <w:right w:val="nil"/>
            </w:tcBorders>
            <w:shd w:val="clear" w:color="auto" w:fill="auto"/>
            <w:noWrap/>
            <w:vAlign w:val="bottom"/>
          </w:tcPr>
          <w:p>
            <w:pPr>
              <w:rPr>
                <w:color w:val="000000"/>
                <w:szCs w:val="24"/>
                <w:lang w:eastAsia="lt-LT"/>
              </w:rPr>
            </w:pPr>
          </w:p>
        </w:tc>
        <w:tc>
          <w:tcPr>
            <w:tcW w:w="401"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426" w:type="pct"/>
            <w:tcBorders>
              <w:top w:val="nil"/>
              <w:left w:val="nil"/>
              <w:bottom w:val="single" w:sz="4" w:space="0" w:color="auto"/>
              <w:right w:val="nil"/>
            </w:tcBorders>
            <w:shd w:val="clear" w:color="auto" w:fill="auto"/>
            <w:vAlign w:val="center"/>
          </w:tcPr>
          <w:p>
            <w:pPr>
              <w:rPr>
                <w:color w:val="000000"/>
                <w:szCs w:val="24"/>
                <w:lang w:eastAsia="lt-LT"/>
              </w:rPr>
            </w:pPr>
          </w:p>
        </w:tc>
      </w:tr>
      <w:tr>
        <w:trPr>
          <w:trHeight w:val="240"/>
        </w:trPr>
        <w:tc>
          <w:tcPr>
            <w:tcW w:w="5000" w:type="pct"/>
            <w:gridSpan w:val="24"/>
            <w:tcBorders>
              <w:top w:val="single" w:sz="4" w:space="0" w:color="auto"/>
              <w:left w:val="single" w:sz="4" w:space="0" w:color="auto"/>
              <w:bottom w:val="nil"/>
              <w:right w:val="single" w:sz="4" w:space="0" w:color="auto"/>
            </w:tcBorders>
            <w:shd w:val="clear" w:color="auto" w:fill="auto"/>
            <w:vAlign w:val="center"/>
          </w:tcPr>
          <w:p>
            <w:pPr>
              <w:jc w:val="both"/>
              <w:rPr>
                <w:i/>
                <w:iCs/>
                <w:color w:val="000000"/>
                <w:szCs w:val="24"/>
                <w:lang w:eastAsia="lt-LT"/>
              </w:rPr>
            </w:pPr>
            <w:r>
              <w:rPr>
                <w:i/>
                <w:iCs/>
                <w:color w:val="000000"/>
                <w:szCs w:val="24"/>
                <w:lang w:eastAsia="lt-LT"/>
              </w:rPr>
              <w:t>1. Paaiškinimas, kaip formuluojant uždavinį buvo naudojami SSGG analizės rezultatai (nurodomi konkrečių SSGG lentelėje įvardytų veiksnių strateginiai ryšiai).</w:t>
            </w:r>
          </w:p>
        </w:tc>
      </w:tr>
      <w:tr>
        <w:trPr>
          <w:trHeight w:val="480"/>
        </w:trPr>
        <w:tc>
          <w:tcPr>
            <w:tcW w:w="5000" w:type="pct"/>
            <w:gridSpan w:val="24"/>
            <w:tcBorders>
              <w:top w:val="nil"/>
              <w:left w:val="single" w:sz="4" w:space="0" w:color="auto"/>
              <w:bottom w:val="nil"/>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Tikslo 1 uždavinys suformuotas atsižvelgiant į SSGG analizėje identifikuotą stiprybę - </w:t>
            </w:r>
            <w:r>
              <w:rPr>
                <w:i/>
                <w:color w:val="000000"/>
                <w:szCs w:val="24"/>
                <w:lang w:eastAsia="lt-LT"/>
              </w:rPr>
              <w:t>aukštą verslumo lygį.</w:t>
            </w:r>
            <w:r>
              <w:rPr>
                <w:color w:val="000000"/>
                <w:szCs w:val="24"/>
                <w:lang w:eastAsia="lt-LT"/>
              </w:rPr>
              <w:t xml:space="preserve"> Uždavinio įgyvendinimas leis pasinaudoti identifikuota galimybe: </w:t>
            </w:r>
            <w:r>
              <w:rPr>
                <w:i/>
                <w:color w:val="000000"/>
                <w:szCs w:val="24"/>
                <w:lang w:eastAsia="lt-LT"/>
              </w:rPr>
              <w:t>verslo steigimą ir veiklą reglamentuojančių teisės aktų supaprastinimu.</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color w:val="000000"/>
                <w:szCs w:val="24"/>
                <w:lang w:eastAsia="lt-LT"/>
              </w:rPr>
              <w:t>2. Uždavinio alternatyvų vertinimo metu svarstyti alternatyvūs uždaviniai:</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color w:val="000000"/>
                <w:szCs w:val="24"/>
                <w:lang w:eastAsia="lt-LT"/>
              </w:rPr>
            </w:pPr>
            <w:r>
              <w:rPr>
                <w:i/>
                <w:iCs/>
                <w:color w:val="000000"/>
                <w:szCs w:val="24"/>
                <w:lang w:eastAsia="lt-LT"/>
              </w:rPr>
              <w:t>Didinti gyventojų užimtumą Kauno mieste, aktualizuojant kultūros paveldą.</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Kurti naujas darbo vietas, vykdant apleistų teritorijų konversiją.</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Sudaryti sąlygas naujų darbo vietų kūrimui, kuriant naujus ir stiprinant esamus traukos centrus tikslinėse teritorijose.</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jc w:val="both"/>
              <w:rPr>
                <w:i/>
                <w:iCs/>
                <w:color w:val="000000"/>
                <w:szCs w:val="24"/>
                <w:lang w:eastAsia="lt-LT"/>
              </w:rPr>
            </w:pPr>
            <w:r>
              <w:rPr>
                <w:color w:val="000000"/>
                <w:szCs w:val="24"/>
                <w:lang w:eastAsia="lt-LT"/>
              </w:rPr>
              <w:t>Daugiakriterinės analizės metodu buvo atrinkta uždavinio alternatyva „Sudaryti sąlygas naujų darbo vietų kūrimui, formuojant naujus ir stiprinant esamus traukos centrus tikslinėse teritorijose“</w:t>
            </w:r>
          </w:p>
        </w:tc>
      </w:tr>
      <w:tr>
        <w:trPr>
          <w:trHeight w:val="240"/>
        </w:trPr>
        <w:tc>
          <w:tcPr>
            <w:tcW w:w="5000" w:type="pct"/>
            <w:gridSpan w:val="24"/>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3. Uždaviniui priskirtas programos rezultatas:</w:t>
            </w:r>
          </w:p>
        </w:tc>
      </w:tr>
      <w:tr>
        <w:trPr>
          <w:trHeight w:val="255"/>
        </w:trPr>
        <w:tc>
          <w:tcPr>
            <w:tcW w:w="5000" w:type="pct"/>
            <w:gridSpan w:val="24"/>
            <w:tcBorders>
              <w:top w:val="nil"/>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Įmonių skaičius, tenkantis 1 000 gyventojų, vnt. Siekiama reikšmė 2023 m. – 36,5 vnt.</w:t>
            </w:r>
          </w:p>
        </w:tc>
      </w:tr>
      <w:tr>
        <w:trPr>
          <w:trHeight w:val="240"/>
        </w:trPr>
        <w:tc>
          <w:tcPr>
            <w:tcW w:w="332"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164"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57" w:type="pct"/>
            <w:gridSpan w:val="3"/>
            <w:tcBorders>
              <w:top w:val="single" w:sz="4" w:space="0" w:color="auto"/>
              <w:left w:val="nil"/>
              <w:bottom w:val="nil"/>
              <w:right w:val="nil"/>
            </w:tcBorders>
            <w:shd w:val="clear" w:color="auto" w:fill="auto"/>
            <w:noWrap/>
            <w:vAlign w:val="bottom"/>
          </w:tcPr>
          <w:p>
            <w:pPr>
              <w:rPr>
                <w:color w:val="000000"/>
                <w:szCs w:val="24"/>
                <w:lang w:eastAsia="lt-LT"/>
              </w:rPr>
            </w:pPr>
          </w:p>
        </w:tc>
        <w:tc>
          <w:tcPr>
            <w:tcW w:w="382" w:type="pct"/>
            <w:gridSpan w:val="4"/>
            <w:tcBorders>
              <w:top w:val="single" w:sz="4" w:space="0" w:color="auto"/>
              <w:left w:val="nil"/>
              <w:bottom w:val="nil"/>
              <w:right w:val="nil"/>
            </w:tcBorders>
            <w:shd w:val="clear" w:color="auto" w:fill="auto"/>
            <w:noWrap/>
            <w:vAlign w:val="bottom"/>
          </w:tcPr>
          <w:p>
            <w:pPr>
              <w:rPr>
                <w:color w:val="000000"/>
                <w:szCs w:val="24"/>
                <w:lang w:eastAsia="lt-LT"/>
              </w:rPr>
            </w:pPr>
          </w:p>
        </w:tc>
        <w:tc>
          <w:tcPr>
            <w:tcW w:w="382"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8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80"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30"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421"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845" w:type="pct"/>
            <w:gridSpan w:val="4"/>
            <w:tcBorders>
              <w:top w:val="single" w:sz="4" w:space="0" w:color="auto"/>
              <w:left w:val="nil"/>
              <w:bottom w:val="nil"/>
              <w:right w:val="nil"/>
            </w:tcBorders>
            <w:shd w:val="clear" w:color="auto" w:fill="auto"/>
            <w:noWrap/>
            <w:vAlign w:val="bottom"/>
          </w:tcPr>
          <w:p>
            <w:pPr>
              <w:rPr>
                <w:color w:val="000000"/>
                <w:szCs w:val="24"/>
                <w:lang w:eastAsia="lt-LT"/>
              </w:rPr>
            </w:pPr>
          </w:p>
        </w:tc>
        <w:tc>
          <w:tcPr>
            <w:tcW w:w="401"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426" w:type="pct"/>
            <w:tcBorders>
              <w:top w:val="single" w:sz="4" w:space="0" w:color="auto"/>
              <w:left w:val="nil"/>
              <w:bottom w:val="nil"/>
              <w:right w:val="nil"/>
            </w:tcBorders>
            <w:shd w:val="clear" w:color="auto" w:fill="auto"/>
            <w:vAlign w:val="center"/>
          </w:tcPr>
          <w:p>
            <w:pPr>
              <w:rPr>
                <w:color w:val="000000"/>
                <w:szCs w:val="24"/>
                <w:lang w:eastAsia="lt-LT"/>
              </w:rPr>
            </w:pPr>
          </w:p>
        </w:tc>
      </w:tr>
      <w:tr>
        <w:trPr>
          <w:trHeight w:val="240"/>
        </w:trPr>
        <w:tc>
          <w:tcPr>
            <w:tcW w:w="5000" w:type="pct"/>
            <w:gridSpan w:val="24"/>
            <w:tcBorders>
              <w:top w:val="nil"/>
              <w:left w:val="nil"/>
              <w:bottom w:val="nil"/>
              <w:right w:val="nil"/>
            </w:tcBorders>
            <w:shd w:val="clear" w:color="auto" w:fill="auto"/>
            <w:noWrap/>
            <w:vAlign w:val="center"/>
          </w:tcPr>
          <w:p>
            <w:pPr>
              <w:rPr>
                <w:color w:val="000000"/>
                <w:szCs w:val="24"/>
                <w:lang w:eastAsia="lt-LT"/>
              </w:rPr>
            </w:pPr>
            <w:r>
              <w:rPr>
                <w:b/>
                <w:bCs/>
                <w:color w:val="000000"/>
                <w:szCs w:val="24"/>
                <w:u w:val="single"/>
                <w:lang w:eastAsia="lt-LT"/>
              </w:rPr>
              <w:t>Produktų sukūrimo grafikas (kaupiamuoju būdu):</w:t>
            </w:r>
          </w:p>
        </w:tc>
      </w:tr>
      <w:tr>
        <w:trPr>
          <w:trHeight w:val="255"/>
        </w:trPr>
        <w:tc>
          <w:tcPr>
            <w:tcW w:w="332"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164"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57"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381" w:type="pct"/>
            <w:gridSpan w:val="4"/>
            <w:tcBorders>
              <w:top w:val="nil"/>
              <w:left w:val="nil"/>
              <w:bottom w:val="single" w:sz="4" w:space="0" w:color="auto"/>
              <w:right w:val="nil"/>
            </w:tcBorders>
            <w:shd w:val="clear" w:color="auto" w:fill="auto"/>
            <w:noWrap/>
            <w:vAlign w:val="bottom"/>
          </w:tcPr>
          <w:p>
            <w:pPr>
              <w:rPr>
                <w:color w:val="000000"/>
                <w:szCs w:val="24"/>
                <w:lang w:eastAsia="lt-LT"/>
              </w:rPr>
            </w:pPr>
          </w:p>
        </w:tc>
        <w:tc>
          <w:tcPr>
            <w:tcW w:w="382"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8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80"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30"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42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845" w:type="pct"/>
            <w:gridSpan w:val="4"/>
            <w:tcBorders>
              <w:top w:val="nil"/>
              <w:left w:val="nil"/>
              <w:bottom w:val="single" w:sz="4" w:space="0" w:color="auto"/>
              <w:right w:val="nil"/>
            </w:tcBorders>
            <w:shd w:val="clear" w:color="auto" w:fill="auto"/>
            <w:noWrap/>
            <w:vAlign w:val="bottom"/>
          </w:tcPr>
          <w:p>
            <w:pPr>
              <w:rPr>
                <w:color w:val="000000"/>
                <w:szCs w:val="24"/>
                <w:lang w:eastAsia="lt-LT"/>
              </w:rPr>
            </w:pPr>
          </w:p>
        </w:tc>
        <w:tc>
          <w:tcPr>
            <w:tcW w:w="401"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426" w:type="pct"/>
            <w:tcBorders>
              <w:top w:val="nil"/>
              <w:left w:val="nil"/>
              <w:bottom w:val="single" w:sz="4" w:space="0" w:color="auto"/>
              <w:right w:val="nil"/>
            </w:tcBorders>
            <w:shd w:val="clear" w:color="auto" w:fill="auto"/>
            <w:vAlign w:val="center"/>
          </w:tcPr>
          <w:p>
            <w:pPr>
              <w:rPr>
                <w:color w:val="000000"/>
                <w:szCs w:val="24"/>
                <w:lang w:eastAsia="lt-LT"/>
              </w:rPr>
            </w:pPr>
          </w:p>
        </w:tc>
      </w:tr>
      <w:tr>
        <w:trPr>
          <w:trHeight w:val="435"/>
        </w:trPr>
        <w:tc>
          <w:tcPr>
            <w:tcW w:w="953" w:type="pct"/>
            <w:gridSpan w:val="6"/>
            <w:vMerge w:val="restart"/>
            <w:tcBorders>
              <w:top w:val="single" w:sz="4" w:space="0" w:color="auto"/>
              <w:left w:val="single" w:sz="4" w:space="0" w:color="auto"/>
              <w:bottom w:val="single" w:sz="8" w:space="0" w:color="000000"/>
              <w:right w:val="single" w:sz="8" w:space="0" w:color="000000"/>
            </w:tcBorders>
            <w:shd w:val="clear" w:color="auto" w:fill="auto"/>
            <w:vAlign w:val="center"/>
          </w:tcPr>
          <w:p>
            <w:pPr>
              <w:jc w:val="center"/>
              <w:rPr>
                <w:i/>
                <w:iCs/>
                <w:color w:val="000000"/>
                <w:szCs w:val="24"/>
                <w:lang w:eastAsia="lt-LT"/>
              </w:rPr>
            </w:pPr>
            <w:r>
              <w:rPr>
                <w:i/>
                <w:iCs/>
                <w:color w:val="000000"/>
                <w:szCs w:val="24"/>
                <w:lang w:eastAsia="lt-LT"/>
              </w:rPr>
              <w:t>Rodiklio pavadinimas, matavimo vienetai</w:t>
            </w:r>
          </w:p>
        </w:tc>
        <w:tc>
          <w:tcPr>
            <w:tcW w:w="4047" w:type="pct"/>
            <w:gridSpan w:val="18"/>
            <w:tcBorders>
              <w:top w:val="single" w:sz="4" w:space="0" w:color="auto"/>
              <w:left w:val="nil"/>
              <w:bottom w:val="single" w:sz="8"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Siekiama reikšmė</w:t>
            </w:r>
          </w:p>
        </w:tc>
      </w:tr>
      <w:tr>
        <w:trPr>
          <w:trHeight w:val="255"/>
        </w:trPr>
        <w:tc>
          <w:tcPr>
            <w:tcW w:w="953" w:type="pct"/>
            <w:gridSpan w:val="6"/>
            <w:vMerge/>
            <w:tcBorders>
              <w:top w:val="single" w:sz="8" w:space="0" w:color="auto"/>
              <w:left w:val="single" w:sz="4" w:space="0" w:color="auto"/>
              <w:bottom w:val="single" w:sz="4" w:space="0" w:color="auto"/>
              <w:right w:val="single" w:sz="8" w:space="0" w:color="000000"/>
            </w:tcBorders>
            <w:shd w:val="clear" w:color="auto" w:fill="auto"/>
            <w:vAlign w:val="center"/>
          </w:tcPr>
          <w:p>
            <w:pPr>
              <w:rPr>
                <w:i/>
                <w:iCs/>
                <w:color w:val="000000"/>
                <w:szCs w:val="24"/>
                <w:lang w:eastAsia="lt-LT"/>
              </w:rPr>
            </w:pPr>
          </w:p>
        </w:tc>
        <w:tc>
          <w:tcPr>
            <w:tcW w:w="381" w:type="pct"/>
            <w:gridSpan w:val="4"/>
            <w:tcBorders>
              <w:top w:val="nil"/>
              <w:left w:val="nil"/>
              <w:bottom w:val="single" w:sz="4" w:space="0" w:color="auto"/>
              <w:right w:val="single" w:sz="8"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2014 m.</w:t>
            </w:r>
          </w:p>
        </w:tc>
        <w:tc>
          <w:tcPr>
            <w:tcW w:w="382"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2015 m.</w:t>
            </w:r>
          </w:p>
        </w:tc>
        <w:tc>
          <w:tcPr>
            <w:tcW w:w="381"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2016 m.</w:t>
            </w:r>
          </w:p>
        </w:tc>
        <w:tc>
          <w:tcPr>
            <w:tcW w:w="380"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2017 m.</w:t>
            </w:r>
          </w:p>
        </w:tc>
        <w:tc>
          <w:tcPr>
            <w:tcW w:w="430"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2018 m.</w:t>
            </w:r>
          </w:p>
        </w:tc>
        <w:tc>
          <w:tcPr>
            <w:tcW w:w="421"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2019 m.</w:t>
            </w:r>
          </w:p>
        </w:tc>
        <w:tc>
          <w:tcPr>
            <w:tcW w:w="437"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2020 m.</w:t>
            </w:r>
          </w:p>
        </w:tc>
        <w:tc>
          <w:tcPr>
            <w:tcW w:w="408" w:type="pct"/>
            <w:gridSpan w:val="2"/>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2021 m.</w:t>
            </w:r>
          </w:p>
        </w:tc>
        <w:tc>
          <w:tcPr>
            <w:tcW w:w="401" w:type="pct"/>
            <w:gridSpan w:val="2"/>
            <w:tcBorders>
              <w:top w:val="nil"/>
              <w:left w:val="nil"/>
              <w:bottom w:val="single" w:sz="4" w:space="0" w:color="auto"/>
              <w:right w:val="single" w:sz="8"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2022 m.</w:t>
            </w:r>
          </w:p>
        </w:tc>
        <w:tc>
          <w:tcPr>
            <w:tcW w:w="426" w:type="pct"/>
            <w:tcBorders>
              <w:top w:val="nil"/>
              <w:left w:val="nil"/>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2023 m.</w:t>
            </w:r>
          </w:p>
        </w:tc>
      </w:tr>
      <w:tr>
        <w:trPr>
          <w:trHeight w:val="255"/>
        </w:trPr>
        <w:tc>
          <w:tcPr>
            <w:tcW w:w="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1-1-P-1</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Sukurtos arba atnaujintos atviros erdvės miestų vietovėse, m</w:t>
            </w:r>
            <w:r>
              <w:rPr>
                <w:color w:val="000000"/>
                <w:szCs w:val="24"/>
                <w:vertAlign w:val="superscript"/>
                <w:lang w:eastAsia="lt-LT"/>
              </w:rPr>
              <w:t>2</w:t>
            </w:r>
          </w:p>
        </w:tc>
        <w:tc>
          <w:tcPr>
            <w:tcW w:w="3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824 200</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1 224 200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1 254 200</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1 530 029</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1 530 029</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1 530 029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1 530 029</w:t>
            </w:r>
          </w:p>
        </w:tc>
      </w:tr>
      <w:tr>
        <w:trPr>
          <w:trHeight w:val="255"/>
        </w:trPr>
        <w:tc>
          <w:tcPr>
            <w:tcW w:w="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1-1-P-2</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Pastatyti arba atnaujinti viešieji arba komerciniai pastatai miestų vietovėse, m</w:t>
            </w:r>
            <w:r>
              <w:rPr>
                <w:color w:val="000000"/>
                <w:szCs w:val="24"/>
                <w:vertAlign w:val="superscript"/>
                <w:lang w:eastAsia="lt-LT"/>
              </w:rPr>
              <w:t>2</w:t>
            </w:r>
          </w:p>
        </w:tc>
        <w:tc>
          <w:tcPr>
            <w:tcW w:w="3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2 039</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16 765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16 765</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16 765</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16 765</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16 765</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16 765</w:t>
            </w:r>
          </w:p>
        </w:tc>
      </w:tr>
      <w:tr>
        <w:trPr>
          <w:trHeight w:val="480"/>
        </w:trPr>
        <w:tc>
          <w:tcPr>
            <w:tcW w:w="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1-1-P-3</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Sutvarkyti, įrengti ir pritaikyti lankymui gamtos ir kultūros paveldo objektai ir teritorijos, vnt.</w:t>
            </w:r>
          </w:p>
        </w:tc>
        <w:tc>
          <w:tcPr>
            <w:tcW w:w="3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w:t>
            </w:r>
          </w:p>
        </w:tc>
      </w:tr>
      <w:tr>
        <w:trPr>
          <w:trHeight w:val="480"/>
        </w:trPr>
        <w:tc>
          <w:tcPr>
            <w:tcW w:w="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1-1-P-4</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Modernizuoti kultūros infrastruktūros objektai, vnt.</w:t>
            </w:r>
          </w:p>
        </w:tc>
        <w:tc>
          <w:tcPr>
            <w:tcW w:w="3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w:t>
            </w:r>
          </w:p>
        </w:tc>
      </w:tr>
      <w:tr>
        <w:trPr>
          <w:trHeight w:val="780"/>
        </w:trPr>
        <w:tc>
          <w:tcPr>
            <w:tcW w:w="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1-1-P-5</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Tikslinių grupių asmenys, kurie dalyvavo informavimo, švietimo ir mokymo renginiuose bei sveikatos raštingumą didinančiose veiklose, asm.</w:t>
            </w:r>
          </w:p>
        </w:tc>
        <w:tc>
          <w:tcPr>
            <w:tcW w:w="3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1 000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2 000</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3 000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4 000</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5 339</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5 339</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5 339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5 339</w:t>
            </w:r>
          </w:p>
        </w:tc>
      </w:tr>
      <w:tr>
        <w:trPr>
          <w:trHeight w:val="255"/>
        </w:trPr>
        <w:tc>
          <w:tcPr>
            <w:tcW w:w="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1-1-P-6</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Metinis pirminės energijos suvartojimo viešuosiuose pastatuose sumažėjimas, kWh/per metus</w:t>
            </w:r>
          </w:p>
        </w:tc>
        <w:tc>
          <w:tcPr>
            <w:tcW w:w="3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0</w:t>
            </w:r>
          </w:p>
        </w:tc>
        <w:tc>
          <w:tcPr>
            <w:tcW w:w="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520 680</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520 680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520 680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520 680</w:t>
            </w:r>
          </w:p>
        </w:tc>
      </w:tr>
    </w:tbl>
    <w:p>
      <w:pPr>
        <w:ind w:firstLine="720"/>
        <w:rPr>
          <w:szCs w:val="24"/>
          <w:lang w:eastAsia="lt-LT"/>
        </w:rPr>
      </w:pPr>
    </w:p>
    <w:tbl>
      <w:tblPr>
        <w:tblW w:w="5109" w:type="pct"/>
        <w:tblLayout w:type="fixed"/>
        <w:tblCellMar>
          <w:left w:w="115" w:type="dxa"/>
          <w:right w:w="115" w:type="dxa"/>
        </w:tblCellMar>
        <w:tblLook w:val="04A0" w:firstRow="1" w:lastRow="0" w:firstColumn="1" w:lastColumn="0" w:noHBand="0" w:noVBand="1"/>
      </w:tblPr>
      <w:tblGrid>
        <w:gridCol w:w="3733"/>
        <w:gridCol w:w="1820"/>
        <w:gridCol w:w="1658"/>
        <w:gridCol w:w="1674"/>
        <w:gridCol w:w="4639"/>
      </w:tblGrid>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b/>
                <w:bCs/>
                <w:color w:val="000000"/>
                <w:szCs w:val="24"/>
                <w:lang w:eastAsia="lt-LT"/>
              </w:rPr>
            </w:pPr>
            <w:r>
              <w:rPr>
                <w:b/>
                <w:bCs/>
                <w:color w:val="000000"/>
                <w:szCs w:val="24"/>
                <w:lang w:eastAsia="lt-LT"/>
              </w:rPr>
              <w:t>Uždavinio įgyvendinimo priemonės:</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Lėšų poreikis (iš viso) tūkst. Eur</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jų viešosios lėšos, tūkst. Eur</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jų ES lėšos, tūkst. Eur</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Sukuriamas produktas (produkto rodiklio pavadinimas, matavimo vienetai, kiekybinė reikšmė)</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i/>
                <w:color w:val="000000"/>
                <w:szCs w:val="24"/>
                <w:lang w:eastAsia="lt-LT"/>
              </w:rPr>
            </w:pPr>
            <w:r>
              <w:rPr>
                <w:i/>
                <w:color w:val="000000"/>
                <w:szCs w:val="24"/>
                <w:lang w:eastAsia="lt-LT"/>
              </w:rPr>
              <w:t>1.1.1.(v) Viešųjų materialinių ir (ar) nematerialinių investicijų (ES, valstybės, savivaldybių biudžetų ir kitų viešųjų lėšų) lėšomis numatomos įgyvendinti priemonės (kurios programos veiksmų plane bus detalizuotos iki veiksmų):</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 Buvusios Aviacijos gamyklos teritorijos konversija įrengiant viešąsias erdves, pritaikant ją visuomenės poreikiams ir privačių investicijų pritraukimui</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4 250</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350 000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1.1.1.2. Teritorijos, apribotos Nemuno upės kairiojo kranto ir H. ir O. Minkovskių g., kompleksinis vystymas įrengiant krantinę, šaligatvius, apšvietimą, pėsčiųjų ir dviračių takus, parkavimo aikšteles, želdynus ir mažosios architektūros įrenginius (plėtojant viešąsias erdves) bei kitos infrastruktūros įrengimas pritaikant teritoriją privačių investicijų pritraukimui</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3 500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3 500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2 975</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30 000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1.1.1.3. Kauno sporto halės išvystymas į daugiafunkcį centrą visuomenės poreikiams </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4 250</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Pastatyti arba atnaujinti viešieji arba komerciniai pastatai miestų vietovėse – 5 726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1.1.1.4. Nemuno salos išvystymas į multifunkcinį sveikatinimo ir kultūros kompleksą pritaikant jį visuomenės poreikiams, įrengiant krantines ir prieplauką, kitą infrastruktūrą, skatinančią privačių investicijų pritraukimą</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4 250</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200 000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1.1.1.5. Marvelės upės slėnio sutvarkymas, panaudojant teritorijos gamtinio karkaso ypatumus, siekiant netradicinių erdvių pritaikymo kultūros ir kitoms reikmėms (planuojama sutvarkyti Marvelės upelio slėnį, įrengti viešųjų erdvių infrastruktūrą, mažosios architektūros elementus, pritaikant teritoriją visuomenės poreikiams)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145</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145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123</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20 000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1.1.1.6. Apžvalgos aikštelės Aleksote rekonstravimas, siekiant pritraukti privačias investicijas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1 049</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1 049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892</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10 000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1.1.1.7. Šv. Arkangelo Mykolo (Soboro) bažnyčios pritaikymas kultūrinei, turistinei ir socialinei edukacinei veiklai</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3 026</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3 026</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1 022</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Sutvarkyti, įrengti ir pritaikyti lankymui gamtos ir kultūros paveldo objektai ir teritorijos – 1 vnt.</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1.1.1.8. Teritorijos prie daugiafunkcio S. Dariaus ir S. Girėno sveikatinimo, kultūros ir užimtumo centro, Lietuvos Sporto Universiteto ir Sporto halės sutvarkymas, sutvarkant aikštę ir pritaikant ją renginiams bei visuomenės poreikiams, įrengiant pėsčiųjų takus ir želdinius, rekonstruojant apšvietimą, automobilių stovėjimo aikšteles prie Ąžuolyno gatvės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4 250</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75 829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1.1.1.9. Daugiafunkcio S. Dariaus ir S. Girėno sveikatinimo, kultūros ir užimtumo centro įkūrimas panaudojant ir pritaikant S. Dariaus ir S. Girėno stadiono infrastruktūrą</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5 000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4 250</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Pastatyti arba atnaujinti viešieji arba komerciniai pastatai miestų vietovėse – 9 000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1.1.1.10. Kauno miesto paauglių fizinio aktyvumo skatinimo programa </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14</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12</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2</w:t>
            </w:r>
            <w:r>
              <w:rPr>
                <w:color w:val="000000"/>
                <w:szCs w:val="24"/>
                <w:lang w:val="en-US" w:eastAsia="lt-LT"/>
              </w:rPr>
              <w:t> </w:t>
            </w:r>
            <w:r>
              <w:rPr>
                <w:color w:val="000000"/>
                <w:szCs w:val="24"/>
                <w:lang w:eastAsia="lt-LT"/>
              </w:rPr>
              <w:t>335 asm.</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1.1.1.11. Kauno miesto senjorų sveikos mitybos ir sveiko judesio lavinimo programa</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14</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12</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3 004 asm.</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1.1.1.12. Kompleksiškas Kauko laiptų prie Aukštaičių gatvės zonos sutvarkymas, paruošiant naujų dekoratyvinės dailės akcentų vietas, įrengiant mažosios architektūros formas, atnaujinant dekoratyvinį baseiną ir šaligatvių dangas, sutvarkant želdinius, rekonstruojant teritorijos apšvietimo ir stebėjimo sistemas, lietaus nuotekų sistemą</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680</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20 000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1.1.1.13. Kompleksiškas Ąžuolyno parke esančios infrastuktūros sutvarkymas, pritaikant ją visuomenės poreikiams (pėsčiųjų, bėgimo takų, apšvietimo įrengimas, želdinių tvarkymas), rekonstruojant Dainų slėnio teritorijos infrastruktūrą, siekiant šias erdves pritaikyti kultūros, poilsio ir rekreacijos reikmėms </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3 476</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 xml:space="preserve">3 476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 xml:space="preserve">2 954 </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Sukurtos arba atnaujintos atviros erdvės miestų vietovėse – 824 200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1.1.1.14. Pastato esančio Aleksote, Europos pr. 105A konversija į daugiafunkcinį centrą, įrengiant ir pritaikant jį visuomenės poreikiams ir sukuriant bendruomenės traukos centrą, skatinantį tolesnį teritorijos vystymą bei privačių investicijų pritraukimą</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 xml:space="preserve">1 500 </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1 500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1 275</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Pastatyti arba atnaujinti viešieji arba komerciniai pastatai miestų vietovėse – 2 039 m</w:t>
            </w:r>
            <w:r>
              <w:rPr>
                <w:color w:val="000000"/>
                <w:szCs w:val="24"/>
                <w:vertAlign w:val="superscript"/>
                <w:lang w:eastAsia="lt-LT"/>
              </w:rPr>
              <w:t>2</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1.1.1.15. Lietuvos zoologijos sodo modernizavimas </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11 585</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11 585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9 847</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Sutvarkyti, įrengti ir pritaikyti lankymui gamtos ir kultūros paveldo objektai ir teritorijos – 1 vnt.</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1.1.1.16. Kauno kino centro „Romuva“ kultūros paveldo aktualizavimas, jį įveiklinant, optimizuojant ir keliant paslaugų kokybę</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2 626</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2 626</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1 022</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Sutvarkyti, įrengti ir pritaikyti lankymui gamtos ir kultūros paveldo objektai ir teritorijos – 1 vnt.</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1.1.1.17. VšĮ „Girstučio“ kultūros ir sporto centro (Kovo 11-osios g. 26 Kaune) kultūrinei veiklai naudojamos dalies rekonstravimas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 xml:space="preserve">1 792 </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 xml:space="preserve">1 792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1 523</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Modernizuoti kultūros infrastruktūros </w:t>
            </w:r>
          </w:p>
          <w:p>
            <w:pPr>
              <w:jc w:val="center"/>
              <w:rPr>
                <w:color w:val="000000"/>
                <w:szCs w:val="24"/>
                <w:lang w:eastAsia="lt-LT"/>
              </w:rPr>
            </w:pPr>
            <w:r>
              <w:rPr>
                <w:color w:val="000000"/>
                <w:szCs w:val="24"/>
                <w:lang w:eastAsia="lt-LT"/>
              </w:rPr>
              <w:t>objektai – 1 vnt.</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1.1.1.18. Nacionalinio M. K Čiurlionio muziejaus padalinio – M. Žilinsko dailės galerijos modernizavimas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4 923</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4 923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4 185</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Modernizuoti kultūros infrastruktūros </w:t>
            </w:r>
          </w:p>
          <w:p>
            <w:pPr>
              <w:jc w:val="center"/>
              <w:rPr>
                <w:color w:val="000000"/>
                <w:szCs w:val="24"/>
                <w:lang w:eastAsia="lt-LT"/>
              </w:rPr>
            </w:pPr>
            <w:r>
              <w:rPr>
                <w:color w:val="000000"/>
                <w:szCs w:val="24"/>
                <w:lang w:eastAsia="lt-LT"/>
              </w:rPr>
              <w:t>objektai – 1 vnt.</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1.1.1.19. Kauno apskrities viešosios bibliotekos aktualizavimas ir modernizavimas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4 998</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4 998</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4 248</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Modernizuoti kultūros infrastruktūros </w:t>
            </w:r>
          </w:p>
          <w:p>
            <w:pPr>
              <w:jc w:val="center"/>
              <w:rPr>
                <w:color w:val="000000"/>
                <w:szCs w:val="24"/>
                <w:lang w:eastAsia="lt-LT"/>
              </w:rPr>
            </w:pPr>
            <w:r>
              <w:rPr>
                <w:color w:val="000000"/>
                <w:szCs w:val="24"/>
                <w:lang w:eastAsia="lt-LT"/>
              </w:rPr>
              <w:t>objektai – 1 vnt.</w:t>
            </w:r>
          </w:p>
        </w:tc>
      </w:tr>
      <w:tr>
        <w:trPr>
          <w:trHeight w:val="828"/>
        </w:trPr>
        <w:tc>
          <w:tcPr>
            <w:tcW w:w="1380" w:type="pct"/>
            <w:tcBorders>
              <w:top w:val="single" w:sz="4" w:space="0" w:color="auto"/>
              <w:left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1.1.1.20. Kauno valstybinio lėlių teatro modernizavimas</w:t>
            </w:r>
          </w:p>
        </w:tc>
        <w:tc>
          <w:tcPr>
            <w:tcW w:w="673" w:type="pct"/>
            <w:tcBorders>
              <w:top w:val="single" w:sz="4" w:space="0" w:color="auto"/>
              <w:left w:val="single" w:sz="4" w:space="0" w:color="auto"/>
              <w:right w:val="single" w:sz="4" w:space="0" w:color="auto"/>
            </w:tcBorders>
            <w:shd w:val="clear" w:color="auto" w:fill="auto"/>
            <w:noWrap/>
            <w:vAlign w:val="center"/>
          </w:tcPr>
          <w:p>
            <w:pPr>
              <w:ind w:firstLine="720"/>
              <w:jc w:val="both"/>
              <w:rPr>
                <w:strike/>
                <w:color w:val="000000"/>
                <w:szCs w:val="24"/>
                <w:lang w:eastAsia="lt-LT"/>
              </w:rPr>
            </w:pPr>
            <w:r>
              <w:rPr>
                <w:color w:val="000000"/>
                <w:szCs w:val="24"/>
                <w:lang w:eastAsia="lt-LT"/>
              </w:rPr>
              <w:t>1543,78</w:t>
            </w:r>
          </w:p>
        </w:tc>
        <w:tc>
          <w:tcPr>
            <w:tcW w:w="613" w:type="pct"/>
            <w:tcBorders>
              <w:top w:val="single" w:sz="4" w:space="0" w:color="auto"/>
              <w:left w:val="single" w:sz="4" w:space="0" w:color="auto"/>
              <w:right w:val="single" w:sz="4" w:space="0" w:color="auto"/>
            </w:tcBorders>
            <w:shd w:val="clear" w:color="auto" w:fill="auto"/>
            <w:noWrap/>
            <w:vAlign w:val="center"/>
          </w:tcPr>
          <w:p>
            <w:pPr>
              <w:jc w:val="both"/>
              <w:rPr>
                <w:strike/>
                <w:color w:val="000000"/>
                <w:szCs w:val="24"/>
                <w:lang w:eastAsia="lt-LT"/>
              </w:rPr>
            </w:pPr>
          </w:p>
          <w:p>
            <w:pPr>
              <w:ind w:firstLine="720"/>
              <w:jc w:val="both"/>
              <w:rPr>
                <w:strike/>
                <w:color w:val="000000"/>
                <w:szCs w:val="24"/>
                <w:lang w:eastAsia="lt-LT"/>
              </w:rPr>
            </w:pPr>
            <w:r>
              <w:rPr>
                <w:color w:val="000000"/>
                <w:szCs w:val="24"/>
                <w:lang w:eastAsia="lt-LT"/>
              </w:rPr>
              <w:t>1543,78</w:t>
            </w:r>
          </w:p>
        </w:tc>
        <w:tc>
          <w:tcPr>
            <w:tcW w:w="619" w:type="pct"/>
            <w:tcBorders>
              <w:top w:val="single" w:sz="4" w:space="0" w:color="auto"/>
              <w:left w:val="single" w:sz="4" w:space="0" w:color="auto"/>
              <w:right w:val="single" w:sz="4" w:space="0" w:color="auto"/>
            </w:tcBorders>
            <w:shd w:val="clear" w:color="auto" w:fill="auto"/>
            <w:noWrap/>
            <w:vAlign w:val="center"/>
          </w:tcPr>
          <w:p>
            <w:pPr>
              <w:ind w:firstLine="720"/>
              <w:jc w:val="both"/>
              <w:rPr>
                <w:strike/>
                <w:color w:val="000000"/>
                <w:szCs w:val="24"/>
                <w:lang w:eastAsia="lt-LT"/>
              </w:rPr>
            </w:pPr>
            <w:r>
              <w:rPr>
                <w:color w:val="000000"/>
                <w:szCs w:val="24"/>
                <w:lang w:eastAsia="lt-LT"/>
              </w:rPr>
              <w:t>1312,21</w:t>
            </w:r>
          </w:p>
        </w:tc>
        <w:tc>
          <w:tcPr>
            <w:tcW w:w="1715" w:type="pct"/>
            <w:tcBorders>
              <w:top w:val="single" w:sz="4" w:space="0" w:color="auto"/>
              <w:left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Modernizuoti kultūros infrastruktūros </w:t>
            </w:r>
          </w:p>
          <w:p>
            <w:pPr>
              <w:jc w:val="center"/>
              <w:rPr>
                <w:color w:val="000000"/>
                <w:szCs w:val="24"/>
                <w:lang w:eastAsia="lt-LT"/>
              </w:rPr>
            </w:pPr>
            <w:r>
              <w:rPr>
                <w:color w:val="000000"/>
                <w:szCs w:val="24"/>
                <w:lang w:eastAsia="lt-LT"/>
              </w:rPr>
              <w:t>objektai – 1 vnt.</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1.1.1.21. Kauno valstybinio muzikinio teatro modernizavimas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4 982</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4 982</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4 235</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Modernizuoti kultūros infrastruktūros</w:t>
            </w:r>
          </w:p>
          <w:p>
            <w:pPr>
              <w:ind w:firstLine="62"/>
              <w:jc w:val="center"/>
              <w:rPr>
                <w:color w:val="000000"/>
                <w:szCs w:val="24"/>
                <w:lang w:eastAsia="lt-LT"/>
              </w:rPr>
            </w:pPr>
            <w:r>
              <w:rPr>
                <w:color w:val="000000"/>
                <w:szCs w:val="24"/>
                <w:lang w:eastAsia="lt-LT"/>
              </w:rPr>
              <w:t>objektai – 1 vnt.</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i/>
                <w:color w:val="000000"/>
                <w:szCs w:val="24"/>
                <w:lang w:eastAsia="lt-LT"/>
              </w:rPr>
            </w:pPr>
            <w:r>
              <w:rPr>
                <w:i/>
                <w:color w:val="000000"/>
                <w:szCs w:val="24"/>
                <w:lang w:eastAsia="lt-LT"/>
              </w:rPr>
              <w:t xml:space="preserve">1.1.2. Priemonės, kurių įgyvendinimui numatomos naudoti finansinės priemonės: </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1.1.2.1. Kauno kino centro „Romuva“ pastato energetinio efektyvumo didinimas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351</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Metinis pirminės energijos suvartojimo viešuosiuose pastatuose sumažėjimas – </w:t>
            </w:r>
          </w:p>
          <w:p>
            <w:pPr>
              <w:jc w:val="center"/>
              <w:rPr>
                <w:color w:val="000000"/>
                <w:szCs w:val="24"/>
                <w:lang w:eastAsia="lt-LT"/>
              </w:rPr>
            </w:pPr>
            <w:r>
              <w:rPr>
                <w:color w:val="000000"/>
                <w:szCs w:val="24"/>
                <w:lang w:eastAsia="lt-LT"/>
              </w:rPr>
              <w:t>36 550 kWh/per metus</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1.1.2.2. VšĮ „Girstučio“ kultūros ir sporto centro pastato energetinio efektyvumo didinimas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33</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Metinis pirminės energijos suvartojimo viešuosiuose pastatuose sumažėjimas – </w:t>
            </w:r>
          </w:p>
          <w:p>
            <w:pPr>
              <w:jc w:val="center"/>
              <w:rPr>
                <w:color w:val="000000"/>
                <w:szCs w:val="24"/>
                <w:lang w:eastAsia="lt-LT"/>
              </w:rPr>
            </w:pPr>
            <w:r>
              <w:rPr>
                <w:color w:val="000000"/>
                <w:szCs w:val="24"/>
                <w:lang w:eastAsia="lt-LT"/>
              </w:rPr>
              <w:t>44 130 kWh/per metus</w:t>
            </w:r>
          </w:p>
        </w:tc>
      </w:tr>
      <w:tr>
        <w:trPr>
          <w:trHeight w:val="139"/>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1.1.2.3. Šv. Arkangelo Mykolo (Soboro) bažnyčios pastato energetinio efektyvumo didinimas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295</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Metinis pirminės energijos suvartojimo viešuosiuose pastatuose sumažėjimas – </w:t>
            </w:r>
          </w:p>
          <w:p>
            <w:pPr>
              <w:jc w:val="center"/>
              <w:rPr>
                <w:color w:val="000000"/>
                <w:szCs w:val="24"/>
                <w:lang w:eastAsia="lt-LT"/>
              </w:rPr>
            </w:pPr>
            <w:r>
              <w:rPr>
                <w:color w:val="000000"/>
                <w:szCs w:val="24"/>
                <w:lang w:eastAsia="lt-LT"/>
              </w:rPr>
              <w:t>0 kWh/per metus</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both"/>
              <w:rPr>
                <w:color w:val="000000"/>
                <w:szCs w:val="24"/>
                <w:lang w:eastAsia="lt-LT"/>
              </w:rPr>
            </w:pPr>
            <w:r>
              <w:rPr>
                <w:color w:val="000000"/>
                <w:szCs w:val="24"/>
                <w:lang w:eastAsia="lt-LT"/>
              </w:rPr>
              <w:t>1.1.2.4 Kauno sporto halės pastato energetinio efektyvumo didinimas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2200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 xml:space="preserve">Metinis pirminės energijos suvartojimo viešuosiuose pastatuose sumažėjimas – </w:t>
            </w:r>
          </w:p>
          <w:p>
            <w:pPr>
              <w:jc w:val="center"/>
              <w:rPr>
                <w:color w:val="000000"/>
                <w:szCs w:val="24"/>
                <w:lang w:eastAsia="lt-LT"/>
              </w:rPr>
            </w:pPr>
            <w:r>
              <w:rPr>
                <w:color w:val="000000"/>
                <w:szCs w:val="24"/>
                <w:lang w:eastAsia="lt-LT"/>
              </w:rPr>
              <w:t>440 000 kWh/per metus</w:t>
            </w:r>
          </w:p>
        </w:tc>
      </w:tr>
      <w:tr>
        <w:trPr>
          <w:trHeight w:val="20"/>
        </w:trPr>
        <w:tc>
          <w:tcPr>
            <w:tcW w:w="138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b/>
                <w:color w:val="000000"/>
                <w:szCs w:val="24"/>
                <w:lang w:eastAsia="lt-LT"/>
              </w:rPr>
            </w:pPr>
            <w:r>
              <w:rPr>
                <w:b/>
                <w:color w:val="000000"/>
                <w:szCs w:val="24"/>
                <w:lang w:eastAsia="lt-LT"/>
              </w:rPr>
              <w:t>Lėšų poreikis uždaviniui įgyvendinti:</w:t>
            </w:r>
          </w:p>
        </w:tc>
        <w:tc>
          <w:tcPr>
            <w:tcW w:w="673" w:type="pct"/>
            <w:tcBorders>
              <w:top w:val="single" w:sz="4" w:space="0" w:color="auto"/>
              <w:left w:val="single" w:sz="4" w:space="0" w:color="auto"/>
              <w:bottom w:val="single" w:sz="4" w:space="0" w:color="auto"/>
              <w:right w:val="single" w:sz="4" w:space="0" w:color="auto"/>
            </w:tcBorders>
            <w:shd w:val="clear" w:color="auto" w:fill="auto"/>
            <w:noWrap/>
          </w:tcPr>
          <w:p>
            <w:pPr>
              <w:rPr>
                <w:szCs w:val="24"/>
                <w:lang w:eastAsia="lt-LT"/>
              </w:rPr>
            </w:pPr>
          </w:p>
          <w:p>
            <w:pPr>
              <w:jc w:val="center"/>
              <w:rPr>
                <w:rFonts w:eastAsia="Calibri"/>
                <w:b/>
                <w:szCs w:val="24"/>
                <w:lang w:eastAsia="lt-LT"/>
              </w:rPr>
            </w:pPr>
            <w:r>
              <w:rPr>
                <w:rFonts w:eastAsia="Calibri"/>
                <w:b/>
                <w:szCs w:val="24"/>
                <w:lang w:eastAsia="lt-LT"/>
              </w:rPr>
              <w:t>73 309</w:t>
            </w:r>
          </w:p>
        </w:tc>
        <w:tc>
          <w:tcPr>
            <w:tcW w:w="613" w:type="pct"/>
            <w:tcBorders>
              <w:top w:val="single" w:sz="4" w:space="0" w:color="auto"/>
              <w:left w:val="single" w:sz="4" w:space="0" w:color="auto"/>
              <w:bottom w:val="single" w:sz="4" w:space="0" w:color="auto"/>
              <w:right w:val="single" w:sz="4" w:space="0" w:color="auto"/>
            </w:tcBorders>
            <w:shd w:val="clear" w:color="auto" w:fill="auto"/>
            <w:noWrap/>
          </w:tcPr>
          <w:p>
            <w:pPr>
              <w:rPr>
                <w:szCs w:val="24"/>
                <w:lang w:eastAsia="lt-LT"/>
              </w:rPr>
            </w:pPr>
          </w:p>
          <w:p>
            <w:pPr>
              <w:jc w:val="center"/>
              <w:rPr>
                <w:rFonts w:eastAsia="Calibri"/>
                <w:b/>
                <w:szCs w:val="24"/>
                <w:lang w:eastAsia="lt-LT"/>
              </w:rPr>
            </w:pPr>
            <w:r>
              <w:rPr>
                <w:rFonts w:eastAsia="Calibri"/>
                <w:b/>
                <w:szCs w:val="24"/>
                <w:lang w:eastAsia="lt-LT"/>
              </w:rPr>
              <w:t>70 430</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pPr>
              <w:rPr>
                <w:szCs w:val="24"/>
                <w:lang w:eastAsia="lt-LT"/>
              </w:rPr>
            </w:pPr>
          </w:p>
          <w:p>
            <w:pPr>
              <w:jc w:val="center"/>
              <w:rPr>
                <w:rFonts w:eastAsia="Calibri"/>
                <w:b/>
                <w:szCs w:val="24"/>
                <w:lang w:eastAsia="lt-LT"/>
              </w:rPr>
            </w:pPr>
            <w:r>
              <w:rPr>
                <w:rFonts w:eastAsia="Calibri"/>
                <w:b/>
                <w:szCs w:val="24"/>
                <w:lang w:eastAsia="lt-LT"/>
              </w:rPr>
              <w:t>57 105</w:t>
            </w: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r>
    </w:tbl>
    <w:p>
      <w:pPr>
        <w:ind w:firstLine="720"/>
        <w:rPr>
          <w:szCs w:val="24"/>
          <w:lang w:eastAsia="lt-LT"/>
        </w:rPr>
      </w:pPr>
    </w:p>
    <w:tbl>
      <w:tblPr>
        <w:tblW w:w="5156" w:type="pct"/>
        <w:tblLayout w:type="fixed"/>
        <w:tblCellMar>
          <w:left w:w="115" w:type="dxa"/>
          <w:right w:w="115" w:type="dxa"/>
        </w:tblCellMar>
        <w:tblLook w:val="04A0" w:firstRow="1" w:lastRow="0" w:firstColumn="1" w:lastColumn="0" w:noHBand="0" w:noVBand="1"/>
      </w:tblPr>
      <w:tblGrid>
        <w:gridCol w:w="1030"/>
        <w:gridCol w:w="551"/>
        <w:gridCol w:w="1250"/>
        <w:gridCol w:w="1029"/>
        <w:gridCol w:w="1032"/>
        <w:gridCol w:w="1029"/>
        <w:gridCol w:w="1029"/>
        <w:gridCol w:w="1029"/>
        <w:gridCol w:w="1029"/>
        <w:gridCol w:w="1160"/>
        <w:gridCol w:w="1160"/>
        <w:gridCol w:w="1160"/>
        <w:gridCol w:w="1160"/>
      </w:tblGrid>
      <w:tr>
        <w:trPr>
          <w:trHeight w:val="240"/>
        </w:trPr>
        <w:tc>
          <w:tcPr>
            <w:tcW w:w="4575" w:type="pct"/>
            <w:gridSpan w:val="1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1.2. Uždavinys: Didinti tikslinių teritorijų patrauklumą gyventojams, kompleksiškai gerinant ir plėtojant viešąją infrastruktūrą</w:t>
            </w:r>
          </w:p>
        </w:tc>
        <w:tc>
          <w:tcPr>
            <w:tcW w:w="425" w:type="pct"/>
            <w:tcBorders>
              <w:top w:val="nil"/>
              <w:left w:val="nil"/>
              <w:bottom w:val="nil"/>
              <w:right w:val="nil"/>
            </w:tcBorders>
            <w:shd w:val="clear" w:color="auto" w:fill="auto"/>
            <w:vAlign w:val="center"/>
          </w:tcPr>
          <w:p>
            <w:pPr>
              <w:rPr>
                <w:color w:val="000000"/>
                <w:szCs w:val="24"/>
                <w:lang w:eastAsia="lt-LT"/>
              </w:rPr>
            </w:pPr>
          </w:p>
        </w:tc>
      </w:tr>
      <w:tr>
        <w:trPr>
          <w:trHeight w:val="255"/>
        </w:trPr>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202"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58"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8"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849"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424"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25" w:type="pct"/>
            <w:tcBorders>
              <w:top w:val="nil"/>
              <w:left w:val="nil"/>
              <w:bottom w:val="single" w:sz="4" w:space="0" w:color="auto"/>
              <w:right w:val="nil"/>
            </w:tcBorders>
            <w:shd w:val="clear" w:color="auto" w:fill="auto"/>
            <w:vAlign w:val="center"/>
          </w:tcPr>
          <w:p>
            <w:pPr>
              <w:rPr>
                <w:color w:val="000000"/>
                <w:szCs w:val="24"/>
                <w:lang w:eastAsia="lt-LT"/>
              </w:rPr>
            </w:pPr>
          </w:p>
        </w:tc>
      </w:tr>
      <w:tr>
        <w:trPr>
          <w:trHeight w:val="480"/>
        </w:trPr>
        <w:tc>
          <w:tcPr>
            <w:tcW w:w="5000" w:type="pct"/>
            <w:gridSpan w:val="13"/>
            <w:tcBorders>
              <w:top w:val="single" w:sz="4" w:space="0" w:color="auto"/>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 xml:space="preserve">1. Uždavinys suformuotas atsižvelgiant į SSGG analizėje identifikuotą silpnybę (problemą) – </w:t>
            </w:r>
            <w:r>
              <w:rPr>
                <w:i/>
                <w:color w:val="000000"/>
                <w:szCs w:val="24"/>
                <w:lang w:eastAsia="lt-LT"/>
              </w:rPr>
              <w:t>prastą gyvenamųjų rajonų aplinkos kokybę</w:t>
            </w:r>
            <w:r>
              <w:rPr>
                <w:color w:val="000000"/>
                <w:szCs w:val="24"/>
                <w:lang w:eastAsia="lt-LT"/>
              </w:rPr>
              <w:t xml:space="preserve">. Uždavinio įgyvendinimas leis išnaudoti identifikuotą galimybę - </w:t>
            </w:r>
            <w:r>
              <w:rPr>
                <w:i/>
                <w:color w:val="000000"/>
                <w:szCs w:val="24"/>
                <w:lang w:eastAsia="lt-LT"/>
              </w:rPr>
              <w:t>augantį aukštojo mokslo poreikį ir ilgėjančią vidutinę gyventojų mokymosi trukmę</w:t>
            </w:r>
            <w:r>
              <w:rPr>
                <w:color w:val="000000"/>
                <w:szCs w:val="24"/>
                <w:lang w:eastAsia="lt-LT"/>
              </w:rPr>
              <w:t>. Išsprendus nurodytą problemą, galėtų būti sumažintas į Kauno miestą atvykstančių studijuoti, tačiau po studijų išvykstančių gyventojų skaičius.</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2. Uždavinio alternatyvų vertinimo metu svarstyti alternatyvūs uždaviniai:</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Plėtoti viešąsias paslaugas, didinant tikslinių teritorijų patrauklumą gyventojams.</w:t>
            </w:r>
          </w:p>
        </w:tc>
      </w:tr>
      <w:tr>
        <w:trPr>
          <w:trHeight w:val="8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Didinti tikslinių teritorijų patrauklumą, plėtojant inžinerinę infrastruktūrą.</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Didinti tikslinių teritorijų patrauklumą gyventojams, kompleksiškai gerinant ir plėtojant viešąją infrastruktūrą.</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Daugiakriterinės analizės metodu buvo atrinkta uždavinio alternatyva „Didinti tikslinių teritorijų patrauklumą gyventojams, kompleksiškai gerinant ir plėtojant viešąją infrastruktūrą“.</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3. Uždaviniui priskirtas programos rezultatas (rezultato rodiklio pavadinimas, matavimo vienetai, siekiama reikšmė ir metai, kuriais ši reikšmė turi būti pasiekta).</w:t>
            </w:r>
          </w:p>
        </w:tc>
      </w:tr>
      <w:tr>
        <w:trPr>
          <w:trHeight w:val="255"/>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Išvykusių gyventojų skaičius, asm. Siekiama reikšmė 2023 metais – 7 100 asm.</w:t>
            </w:r>
          </w:p>
        </w:tc>
      </w:tr>
      <w:tr>
        <w:trPr>
          <w:trHeight w:val="240"/>
        </w:trPr>
        <w:tc>
          <w:tcPr>
            <w:tcW w:w="377"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202"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58"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77"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78"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77"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77"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77"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377"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849"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424" w:type="pct"/>
            <w:tcBorders>
              <w:top w:val="single" w:sz="4" w:space="0" w:color="auto"/>
              <w:left w:val="nil"/>
              <w:bottom w:val="nil"/>
              <w:right w:val="nil"/>
            </w:tcBorders>
            <w:shd w:val="clear" w:color="auto" w:fill="auto"/>
            <w:noWrap/>
            <w:vAlign w:val="bottom"/>
          </w:tcPr>
          <w:p>
            <w:pPr>
              <w:rPr>
                <w:color w:val="000000"/>
                <w:szCs w:val="24"/>
                <w:lang w:eastAsia="lt-LT"/>
              </w:rPr>
            </w:pPr>
          </w:p>
        </w:tc>
        <w:tc>
          <w:tcPr>
            <w:tcW w:w="425" w:type="pct"/>
            <w:tcBorders>
              <w:top w:val="single" w:sz="4" w:space="0" w:color="auto"/>
              <w:left w:val="nil"/>
              <w:bottom w:val="nil"/>
              <w:right w:val="nil"/>
            </w:tcBorders>
            <w:shd w:val="clear" w:color="auto" w:fill="auto"/>
            <w:vAlign w:val="center"/>
          </w:tcPr>
          <w:p>
            <w:pPr>
              <w:rPr>
                <w:color w:val="000000"/>
                <w:szCs w:val="24"/>
                <w:lang w:eastAsia="lt-LT"/>
              </w:rPr>
            </w:pPr>
          </w:p>
        </w:tc>
      </w:tr>
      <w:tr>
        <w:trPr>
          <w:trHeight w:val="240"/>
        </w:trPr>
        <w:tc>
          <w:tcPr>
            <w:tcW w:w="5000" w:type="pct"/>
            <w:gridSpan w:val="13"/>
            <w:tcBorders>
              <w:top w:val="nil"/>
              <w:left w:val="nil"/>
              <w:bottom w:val="nil"/>
              <w:right w:val="nil"/>
            </w:tcBorders>
            <w:shd w:val="clear" w:color="auto" w:fill="auto"/>
            <w:noWrap/>
            <w:vAlign w:val="center"/>
          </w:tcPr>
          <w:p>
            <w:pPr>
              <w:rPr>
                <w:color w:val="000000"/>
                <w:szCs w:val="24"/>
                <w:lang w:eastAsia="lt-LT"/>
              </w:rPr>
            </w:pPr>
            <w:r>
              <w:rPr>
                <w:b/>
                <w:bCs/>
                <w:color w:val="000000"/>
                <w:szCs w:val="24"/>
                <w:u w:val="single"/>
                <w:lang w:eastAsia="lt-LT"/>
              </w:rPr>
              <w:t>Produktų sukūrimo grafikas (kaupiamuoju būdu):</w:t>
            </w:r>
          </w:p>
        </w:tc>
      </w:tr>
      <w:tr>
        <w:trPr>
          <w:trHeight w:val="255"/>
        </w:trPr>
        <w:tc>
          <w:tcPr>
            <w:tcW w:w="377" w:type="pct"/>
            <w:tcBorders>
              <w:top w:val="nil"/>
              <w:left w:val="nil"/>
              <w:bottom w:val="nil"/>
              <w:right w:val="nil"/>
            </w:tcBorders>
            <w:shd w:val="clear" w:color="auto" w:fill="auto"/>
            <w:noWrap/>
            <w:vAlign w:val="bottom"/>
          </w:tcPr>
          <w:p>
            <w:pPr>
              <w:rPr>
                <w:color w:val="000000"/>
                <w:szCs w:val="24"/>
                <w:lang w:eastAsia="lt-LT"/>
              </w:rPr>
            </w:pPr>
          </w:p>
        </w:tc>
        <w:tc>
          <w:tcPr>
            <w:tcW w:w="202"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458" w:type="pct"/>
            <w:tcBorders>
              <w:top w:val="nil"/>
              <w:left w:val="nil"/>
              <w:bottom w:val="nil"/>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378" w:type="pct"/>
            <w:tcBorders>
              <w:top w:val="nil"/>
              <w:left w:val="nil"/>
              <w:bottom w:val="nil"/>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849"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424" w:type="pct"/>
            <w:tcBorders>
              <w:top w:val="nil"/>
              <w:left w:val="nil"/>
              <w:bottom w:val="nil"/>
              <w:right w:val="nil"/>
            </w:tcBorders>
            <w:shd w:val="clear" w:color="auto" w:fill="auto"/>
            <w:noWrap/>
            <w:vAlign w:val="bottom"/>
          </w:tcPr>
          <w:p>
            <w:pPr>
              <w:rPr>
                <w:color w:val="000000"/>
                <w:szCs w:val="24"/>
                <w:lang w:eastAsia="lt-LT"/>
              </w:rPr>
            </w:pPr>
          </w:p>
        </w:tc>
        <w:tc>
          <w:tcPr>
            <w:tcW w:w="425" w:type="pct"/>
            <w:tcBorders>
              <w:top w:val="nil"/>
              <w:left w:val="nil"/>
              <w:bottom w:val="nil"/>
              <w:right w:val="nil"/>
            </w:tcBorders>
            <w:shd w:val="clear" w:color="auto" w:fill="auto"/>
            <w:vAlign w:val="center"/>
          </w:tcPr>
          <w:p>
            <w:pPr>
              <w:rPr>
                <w:color w:val="000000"/>
                <w:szCs w:val="24"/>
                <w:lang w:eastAsia="lt-LT"/>
              </w:rPr>
            </w:pPr>
          </w:p>
        </w:tc>
      </w:tr>
      <w:tr>
        <w:trPr>
          <w:trHeight w:val="255"/>
        </w:trPr>
        <w:tc>
          <w:tcPr>
            <w:tcW w:w="1037"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i/>
                <w:iCs/>
                <w:color w:val="000000"/>
                <w:szCs w:val="24"/>
                <w:lang w:eastAsia="lt-LT"/>
              </w:rPr>
            </w:pPr>
            <w:r>
              <w:rPr>
                <w:i/>
                <w:iCs/>
                <w:color w:val="000000"/>
                <w:szCs w:val="24"/>
                <w:lang w:eastAsia="lt-LT"/>
              </w:rPr>
              <w:t>Rodiklio pavadinimas, matavimo vienetai</w:t>
            </w:r>
          </w:p>
        </w:tc>
        <w:tc>
          <w:tcPr>
            <w:tcW w:w="3963" w:type="pct"/>
            <w:gridSpan w:val="10"/>
            <w:tcBorders>
              <w:top w:val="single" w:sz="8" w:space="0" w:color="auto"/>
              <w:left w:val="nil"/>
              <w:bottom w:val="single" w:sz="8" w:space="0" w:color="auto"/>
              <w:right w:val="single" w:sz="8" w:space="0" w:color="000000"/>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Siekiama reikšmė</w:t>
            </w:r>
          </w:p>
        </w:tc>
      </w:tr>
      <w:tr>
        <w:trPr>
          <w:trHeight w:val="255"/>
        </w:trPr>
        <w:tc>
          <w:tcPr>
            <w:tcW w:w="1037" w:type="pct"/>
            <w:gridSpan w:val="3"/>
            <w:vMerge/>
            <w:tcBorders>
              <w:top w:val="single" w:sz="8" w:space="0" w:color="auto"/>
              <w:left w:val="single" w:sz="8" w:space="0" w:color="auto"/>
              <w:bottom w:val="single" w:sz="4" w:space="0" w:color="auto"/>
              <w:right w:val="single" w:sz="8" w:space="0" w:color="000000"/>
            </w:tcBorders>
            <w:shd w:val="clear" w:color="auto" w:fill="auto"/>
            <w:vAlign w:val="center"/>
          </w:tcPr>
          <w:p>
            <w:pPr>
              <w:rPr>
                <w:i/>
                <w:iCs/>
                <w:color w:val="000000"/>
                <w:szCs w:val="24"/>
                <w:lang w:eastAsia="lt-LT"/>
              </w:rPr>
            </w:pPr>
          </w:p>
        </w:tc>
        <w:tc>
          <w:tcPr>
            <w:tcW w:w="377" w:type="pct"/>
            <w:tcBorders>
              <w:top w:val="nil"/>
              <w:left w:val="nil"/>
              <w:bottom w:val="single" w:sz="4" w:space="0" w:color="auto"/>
              <w:right w:val="single" w:sz="8"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2014 m.</w:t>
            </w:r>
          </w:p>
        </w:tc>
        <w:tc>
          <w:tcPr>
            <w:tcW w:w="378"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2015 m.</w:t>
            </w:r>
          </w:p>
        </w:tc>
        <w:tc>
          <w:tcPr>
            <w:tcW w:w="377"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2016 m.</w:t>
            </w:r>
          </w:p>
        </w:tc>
        <w:tc>
          <w:tcPr>
            <w:tcW w:w="377"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2017 m.</w:t>
            </w:r>
          </w:p>
        </w:tc>
        <w:tc>
          <w:tcPr>
            <w:tcW w:w="377"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2018 m.</w:t>
            </w:r>
          </w:p>
        </w:tc>
        <w:tc>
          <w:tcPr>
            <w:tcW w:w="377"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2019 m.</w:t>
            </w:r>
          </w:p>
        </w:tc>
        <w:tc>
          <w:tcPr>
            <w:tcW w:w="425"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2020 m.</w:t>
            </w:r>
          </w:p>
        </w:tc>
        <w:tc>
          <w:tcPr>
            <w:tcW w:w="425"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2021 m.</w:t>
            </w:r>
          </w:p>
        </w:tc>
        <w:tc>
          <w:tcPr>
            <w:tcW w:w="424" w:type="pct"/>
            <w:tcBorders>
              <w:top w:val="nil"/>
              <w:left w:val="nil"/>
              <w:bottom w:val="single" w:sz="4" w:space="0" w:color="auto"/>
              <w:right w:val="single" w:sz="8"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2022 m.</w:t>
            </w:r>
          </w:p>
        </w:tc>
        <w:tc>
          <w:tcPr>
            <w:tcW w:w="425" w:type="pct"/>
            <w:tcBorders>
              <w:top w:val="nil"/>
              <w:left w:val="nil"/>
              <w:bottom w:val="single" w:sz="4" w:space="0" w:color="auto"/>
              <w:right w:val="single" w:sz="8"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2023 m.</w:t>
            </w:r>
          </w:p>
        </w:tc>
      </w:tr>
      <w:tr>
        <w:trPr>
          <w:trHeight w:val="61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1-2-P-1</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vnt.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15</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15</w:t>
            </w:r>
          </w:p>
        </w:tc>
      </w:tr>
      <w:tr>
        <w:trPr>
          <w:trHeight w:val="25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1-2-P-2</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Investicijas gavusios vaikų priežiūros arba švietimo infrastruktūros pajėgumas, asm.</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6 271</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6 271</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6 271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6 271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6 271</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6 271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6 271</w:t>
            </w:r>
          </w:p>
        </w:tc>
      </w:tr>
      <w:tr>
        <w:trPr>
          <w:trHeight w:val="25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1-2-P-3</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Papildomi gyventojai, kuriems teikiamos pagerintos nuotekų tvarkymo paslaugos, asm.</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354</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354</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354</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354</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354</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354</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354</w:t>
            </w:r>
          </w:p>
        </w:tc>
      </w:tr>
      <w:tr>
        <w:trPr>
          <w:trHeight w:val="25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1-2-P-4</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Rekonstruotų vandens tiekimo ir nuotekų surinkimo tinklų ilgis, km</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0,00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3,63</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3,63</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3,63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3,63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3,63</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3,63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3,63</w:t>
            </w:r>
          </w:p>
        </w:tc>
      </w:tr>
      <w:tr>
        <w:trPr>
          <w:trHeight w:val="540"/>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1-2-P-5</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Lietaus nuotėkio plotas, iš kurio surenkamam paviršiniam (lietaus) vandeniui tvarkyti, įrengta ir (ar) rekonstruota infrastruktūra, ha</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0,00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58,90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58,90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58,90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58,90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58,90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58,90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58,90</w:t>
            </w:r>
          </w:p>
        </w:tc>
      </w:tr>
      <w:tr>
        <w:trPr>
          <w:trHeight w:val="25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1-2-P-6</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Sukurti/pagerinti atskiro komunalinių atliekų surinkimo pajėgumai, 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3 875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highlight w:val="lightGray"/>
                <w:lang w:eastAsia="lt-LT"/>
              </w:rPr>
            </w:pPr>
            <w:r>
              <w:rPr>
                <w:rFonts w:eastAsia="Calibri"/>
                <w:color w:val="000000"/>
                <w:szCs w:val="24"/>
                <w:lang w:eastAsia="lt-LT"/>
              </w:rPr>
              <w:t>12 918</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highlight w:val="lightGray"/>
                <w:lang w:eastAsia="lt-LT"/>
              </w:rPr>
            </w:pPr>
            <w:r>
              <w:rPr>
                <w:rFonts w:eastAsia="Calibri"/>
                <w:color w:val="000000"/>
                <w:szCs w:val="24"/>
                <w:lang w:eastAsia="lt-LT"/>
              </w:rPr>
              <w:t>12 918</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highlight w:val="lightGray"/>
                <w:lang w:eastAsia="lt-LT"/>
              </w:rPr>
            </w:pPr>
            <w:r>
              <w:rPr>
                <w:rFonts w:eastAsia="Calibri"/>
                <w:color w:val="000000"/>
                <w:szCs w:val="24"/>
                <w:lang w:eastAsia="lt-LT"/>
              </w:rPr>
              <w:t>12 918</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highlight w:val="lightGray"/>
                <w:lang w:eastAsia="lt-LT"/>
              </w:rPr>
            </w:pPr>
            <w:r>
              <w:rPr>
                <w:rFonts w:eastAsia="Calibri"/>
                <w:color w:val="000000"/>
                <w:szCs w:val="24"/>
                <w:lang w:eastAsia="lt-LT"/>
              </w:rPr>
              <w:t>12 918</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highlight w:val="lightGray"/>
                <w:lang w:eastAsia="lt-LT"/>
              </w:rPr>
            </w:pPr>
            <w:r>
              <w:rPr>
                <w:rFonts w:eastAsia="Calibri"/>
                <w:color w:val="000000"/>
                <w:szCs w:val="24"/>
                <w:lang w:eastAsia="lt-LT"/>
              </w:rPr>
              <w:t>12 918</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highlight w:val="lightGray"/>
                <w:lang w:eastAsia="lt-LT"/>
              </w:rPr>
            </w:pPr>
            <w:r>
              <w:rPr>
                <w:rFonts w:eastAsia="Calibri"/>
                <w:color w:val="000000"/>
                <w:szCs w:val="24"/>
                <w:lang w:eastAsia="lt-LT"/>
              </w:rPr>
              <w:t>12 918</w:t>
            </w:r>
          </w:p>
        </w:tc>
      </w:tr>
      <w:tr>
        <w:trPr>
          <w:trHeight w:val="25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1-2-P-7</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Metinis pirminės energijos suvartojimo viešuosiuose pastatuose sumažėjimas, kWh/per metus</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both"/>
              <w:rPr>
                <w:rFonts w:eastAsia="Calibri"/>
                <w:color w:val="000000"/>
                <w:szCs w:val="24"/>
                <w:lang w:eastAsia="lt-LT"/>
              </w:rPr>
            </w:pPr>
            <w:r>
              <w:rPr>
                <w:rFonts w:eastAsia="Calibri"/>
                <w:color w:val="000000"/>
                <w:szCs w:val="24"/>
                <w:lang w:eastAsia="lt-LT"/>
              </w:rPr>
              <w:t>1 581 170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1 581 170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1 581 170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1 581 170</w:t>
            </w:r>
          </w:p>
        </w:tc>
      </w:tr>
      <w:tr>
        <w:trPr>
          <w:trHeight w:val="61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1-2-P-8</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Metinis pirminės energijos suvartojimo daugiabučiuose pastatuose sumažėjimas, MWh/per metus</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17 904</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17 904</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17 904</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17 904</w:t>
            </w:r>
          </w:p>
        </w:tc>
      </w:tr>
      <w:tr>
        <w:trPr>
          <w:trHeight w:val="25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1-2-P-9</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Papildomi atsinaujinančių išteklių energijos gamybos pajėgumai, Mwh</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140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140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140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140</w:t>
            </w:r>
          </w:p>
        </w:tc>
      </w:tr>
      <w:tr>
        <w:trPr>
          <w:trHeight w:val="255"/>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1-2-P-10</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Modernizuoti centralizuoto šilumos tiekimo tinklai, km</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33,6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33,6</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33,6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33,6</w:t>
            </w:r>
          </w:p>
        </w:tc>
      </w:tr>
    </w:tbl>
    <w:p>
      <w:pPr>
        <w:ind w:firstLine="720"/>
        <w:rPr>
          <w:szCs w:val="24"/>
          <w:lang w:eastAsia="lt-LT"/>
        </w:rPr>
      </w:pPr>
    </w:p>
    <w:tbl>
      <w:tblPr>
        <w:tblW w:w="5160" w:type="pct"/>
        <w:tblCellMar>
          <w:left w:w="115" w:type="dxa"/>
          <w:right w:w="115" w:type="dxa"/>
        </w:tblCellMar>
        <w:tblLook w:val="04A0" w:firstRow="1" w:lastRow="0" w:firstColumn="1" w:lastColumn="0" w:noHBand="0" w:noVBand="1"/>
      </w:tblPr>
      <w:tblGrid>
        <w:gridCol w:w="4399"/>
        <w:gridCol w:w="1282"/>
        <w:gridCol w:w="1269"/>
        <w:gridCol w:w="1265"/>
        <w:gridCol w:w="5444"/>
      </w:tblGrid>
      <w:tr>
        <w:trPr>
          <w:cantSplit/>
          <w:trHeight w:val="20"/>
        </w:trPr>
        <w:tc>
          <w:tcPr>
            <w:tcW w:w="1610" w:type="pct"/>
            <w:tcBorders>
              <w:top w:val="single" w:sz="8" w:space="0" w:color="auto"/>
              <w:left w:val="single" w:sz="8" w:space="0" w:color="auto"/>
              <w:bottom w:val="single" w:sz="8" w:space="0" w:color="auto"/>
              <w:right w:val="single" w:sz="8" w:space="0" w:color="auto"/>
            </w:tcBorders>
            <w:shd w:val="clear" w:color="auto" w:fill="auto"/>
            <w:noWrap/>
            <w:vAlign w:val="center"/>
          </w:tcPr>
          <w:p>
            <w:pPr>
              <w:jc w:val="both"/>
              <w:rPr>
                <w:b/>
                <w:bCs/>
                <w:color w:val="000000"/>
                <w:szCs w:val="24"/>
                <w:lang w:eastAsia="lt-LT"/>
              </w:rPr>
            </w:pPr>
            <w:r>
              <w:rPr>
                <w:b/>
                <w:bCs/>
                <w:color w:val="000000"/>
                <w:szCs w:val="24"/>
                <w:lang w:eastAsia="lt-LT"/>
              </w:rPr>
              <w:t>Uždavinio įgyvendinimo priemonės:</w:t>
            </w:r>
          </w:p>
        </w:tc>
        <w:tc>
          <w:tcPr>
            <w:tcW w:w="469"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Lėšų poreikis (iš viso) tūkst. Eur</w:t>
            </w:r>
          </w:p>
        </w:tc>
        <w:tc>
          <w:tcPr>
            <w:tcW w:w="464"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jų viešosios lėšos, tūkst. Eur</w:t>
            </w:r>
          </w:p>
        </w:tc>
        <w:tc>
          <w:tcPr>
            <w:tcW w:w="463"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jų ES lėšos, tūkst. Eur</w:t>
            </w:r>
          </w:p>
        </w:tc>
        <w:tc>
          <w:tcPr>
            <w:tcW w:w="1993"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Sukuriamas produktas (produkto rodiklio pavadinimas, matavimo vienetai, kiekybinė reikšmė)</w:t>
            </w:r>
          </w:p>
        </w:tc>
      </w:tr>
      <w:tr>
        <w:trPr>
          <w:cantSplit/>
          <w:trHeight w:val="20"/>
        </w:trPr>
        <w:tc>
          <w:tcPr>
            <w:tcW w:w="1610" w:type="pct"/>
            <w:tcBorders>
              <w:top w:val="nil"/>
              <w:left w:val="single" w:sz="8" w:space="0" w:color="auto"/>
              <w:bottom w:val="single" w:sz="4" w:space="0" w:color="auto"/>
              <w:right w:val="single" w:sz="8" w:space="0" w:color="000000"/>
            </w:tcBorders>
            <w:shd w:val="clear" w:color="auto" w:fill="auto"/>
            <w:vAlign w:val="center"/>
          </w:tcPr>
          <w:p>
            <w:pPr>
              <w:rPr>
                <w:i/>
                <w:color w:val="000000"/>
                <w:szCs w:val="24"/>
                <w:lang w:eastAsia="lt-LT"/>
              </w:rPr>
            </w:pPr>
            <w:r>
              <w:rPr>
                <w:i/>
                <w:color w:val="000000"/>
                <w:szCs w:val="24"/>
                <w:lang w:eastAsia="lt-LT"/>
              </w:rPr>
              <w:t>1.2.1.(v) Viešųjų materialinių ir (ar) nematerialinių investicijų (ES, valstybės, savivaldybių biudžetų ir kitų viešųjų lėšų) lėšomis numatomos įgyvendinti priemonės (kurios programos veiksmų plane bus detalizuotos iki veiksmų):</w:t>
            </w:r>
          </w:p>
        </w:tc>
        <w:tc>
          <w:tcPr>
            <w:tcW w:w="469"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464"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r>
      <w:tr>
        <w:trPr>
          <w:cantSplit/>
          <w:trHeight w:val="20"/>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1.2.1.1. Žaliakalnio ikimokyklinio ir priešmokyklinio ugdymo įstaigų (Kauno lopšelio-darželio „Svirnelis“, Kauno mokyklos – darželio „Rūtelė“, Kauno Žaliakalnio lopšelis – darželis) modernizavimas didinant paslaugų prieinamumą </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634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634</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539</w:t>
            </w: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 xml:space="preserve">Švietimo ir kitų švietimo teikėjų įstaigos, kuriose pagal veiksmų programą ERPF lėšomis sukurta ar atnaujinta ne mažiau nei viena edukacinė erdvė – 3 vnt. </w:t>
            </w:r>
          </w:p>
          <w:p>
            <w:pPr>
              <w:jc w:val="center"/>
              <w:rPr>
                <w:color w:val="000000"/>
                <w:szCs w:val="24"/>
                <w:lang w:eastAsia="lt-LT"/>
              </w:rPr>
            </w:pPr>
            <w:r>
              <w:rPr>
                <w:color w:val="000000"/>
                <w:szCs w:val="24"/>
                <w:lang w:eastAsia="lt-LT"/>
              </w:rPr>
              <w:t>Investicijas gavusios vaikų priežiūros arba švietimo infrastruktūros pajėgumas – 638 asm.</w:t>
            </w:r>
          </w:p>
        </w:tc>
      </w:tr>
      <w:tr>
        <w:trPr>
          <w:cantSplit/>
          <w:trHeight w:val="20"/>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1.2.1.2. Žaliakalnio bendrojo ugdymo įstaigų modernizavimas didinant paslaugų efektyvumą (Jono Jablonskio gimnazija, Žaliakalnio progimnazija, KTU licėjus)</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813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813</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691</w:t>
            </w: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 3 vnt.</w:t>
            </w:r>
          </w:p>
          <w:p>
            <w:pPr>
              <w:jc w:val="center"/>
              <w:rPr>
                <w:color w:val="000000"/>
                <w:szCs w:val="24"/>
                <w:lang w:eastAsia="lt-LT"/>
              </w:rPr>
            </w:pPr>
            <w:r>
              <w:rPr>
                <w:color w:val="000000"/>
                <w:szCs w:val="24"/>
                <w:lang w:eastAsia="lt-LT"/>
              </w:rPr>
              <w:t>Investicijas gavusios vaikų priežiūros arba švietimo infrastruktūros pajėgumas – 2 161 asm.</w:t>
            </w:r>
          </w:p>
        </w:tc>
      </w:tr>
      <w:tr>
        <w:trPr>
          <w:cantSplit/>
          <w:trHeight w:val="20"/>
        </w:trPr>
        <w:tc>
          <w:tcPr>
            <w:tcW w:w="1610" w:type="pct"/>
            <w:tcBorders>
              <w:top w:val="single" w:sz="4" w:space="0" w:color="auto"/>
              <w:left w:val="single" w:sz="8" w:space="0" w:color="auto"/>
              <w:bottom w:val="single" w:sz="4"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1.2.1.3. Žaliakalnio švietimo įstaigų modernizavimas plėtojant vaikų ir jaunimo neformalaus ugdymo galimybes (A. Kačanausko vaikų muzikos mokykla)</w:t>
            </w:r>
          </w:p>
        </w:tc>
        <w:tc>
          <w:tcPr>
            <w:tcW w:w="469"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41</w:t>
            </w:r>
          </w:p>
        </w:tc>
        <w:tc>
          <w:tcPr>
            <w:tcW w:w="464"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41</w:t>
            </w:r>
          </w:p>
        </w:tc>
        <w:tc>
          <w:tcPr>
            <w:tcW w:w="463"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35</w:t>
            </w:r>
          </w:p>
        </w:tc>
        <w:tc>
          <w:tcPr>
            <w:tcW w:w="1993" w:type="pct"/>
            <w:tcBorders>
              <w:top w:val="single" w:sz="4" w:space="0" w:color="auto"/>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 1vnt. Investicijas gavusios vaikų priežiūros arba švietimo infrastruktūros pajėgumas – 732 asm.</w:t>
            </w:r>
          </w:p>
        </w:tc>
      </w:tr>
      <w:tr>
        <w:trPr>
          <w:cantSplit/>
          <w:trHeight w:val="20"/>
        </w:trPr>
        <w:tc>
          <w:tcPr>
            <w:tcW w:w="1610" w:type="pct"/>
            <w:tcBorders>
              <w:top w:val="single" w:sz="4" w:space="0" w:color="auto"/>
              <w:left w:val="single" w:sz="4" w:space="0" w:color="auto"/>
              <w:bottom w:val="single" w:sz="4"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1.2.1.4. Aleksoto ikimokyklinio ir priešmokyklinio ugdymo įstaigų modernizavimas didinant paslaugų prieinamumą (Kauno Aleksoto lopšelis-darželis, Kauno lopšelis-darželis „Boružėlė“, Kauno Tirkiliškių lopšelis-darželis, Kauno Tirkiliškių mokykla-darželis)</w:t>
            </w:r>
          </w:p>
        </w:tc>
        <w:tc>
          <w:tcPr>
            <w:tcW w:w="469"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634</w:t>
            </w:r>
          </w:p>
        </w:tc>
        <w:tc>
          <w:tcPr>
            <w:tcW w:w="464"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634</w:t>
            </w:r>
          </w:p>
        </w:tc>
        <w:tc>
          <w:tcPr>
            <w:tcW w:w="463"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539</w:t>
            </w:r>
          </w:p>
        </w:tc>
        <w:tc>
          <w:tcPr>
            <w:tcW w:w="1993" w:type="pct"/>
            <w:tcBorders>
              <w:top w:val="single" w:sz="4" w:space="0" w:color="auto"/>
              <w:left w:val="nil"/>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 4vnt. Investicijas gavusios vaikų priežiūros arba švietimo infrastruktūros pajėgumas – 658 asm.</w:t>
            </w:r>
          </w:p>
        </w:tc>
      </w:tr>
      <w:tr>
        <w:trPr>
          <w:cantSplit/>
          <w:trHeight w:val="20"/>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1.2.1.5. Aleksoto bendrojo ugdymo įstaigų modernizavimas didinant paslaugų efektyvumą (Kauno šv. Pranciškaus gimnazija, Kauno J. Dobkevičiaus progimnazija)</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813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813</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691</w:t>
            </w: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 2 vnt. Investicijas gavusios vaikų priežiūros arba švietimo infrastruktūros pajėgumas – 946 asm.</w:t>
            </w:r>
          </w:p>
        </w:tc>
      </w:tr>
      <w:tr>
        <w:trPr>
          <w:cantSplit/>
          <w:trHeight w:val="20"/>
        </w:trPr>
        <w:tc>
          <w:tcPr>
            <w:tcW w:w="1610" w:type="pct"/>
            <w:tcBorders>
              <w:top w:val="single" w:sz="4" w:space="0" w:color="auto"/>
              <w:left w:val="single" w:sz="8" w:space="0" w:color="auto"/>
              <w:bottom w:val="single" w:sz="4"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1.2.1.6. Susietos teritorijos (centro) įstaigų modernizavimas plėtojant vaikų ir jaunimo neformalaus ugdymo galimybes (Kauno moksleivių techninės kūrybos centro ir jo bazės modernizavimas)</w:t>
            </w:r>
          </w:p>
        </w:tc>
        <w:tc>
          <w:tcPr>
            <w:tcW w:w="469"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41</w:t>
            </w:r>
          </w:p>
        </w:tc>
        <w:tc>
          <w:tcPr>
            <w:tcW w:w="464"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41</w:t>
            </w:r>
          </w:p>
        </w:tc>
        <w:tc>
          <w:tcPr>
            <w:tcW w:w="463"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35</w:t>
            </w:r>
          </w:p>
        </w:tc>
        <w:tc>
          <w:tcPr>
            <w:tcW w:w="1993" w:type="pct"/>
            <w:tcBorders>
              <w:top w:val="single" w:sz="4" w:space="0" w:color="auto"/>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 1vnt. Investicijas gavusios vaikų priežiūros arba švietimo infrastruktūros pajėgumas – 891 asm.</w:t>
            </w:r>
          </w:p>
        </w:tc>
      </w:tr>
      <w:tr>
        <w:trPr>
          <w:cantSplit/>
          <w:trHeight w:val="20"/>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1.2.1.7. Kauno žiemos sporto mokyklos „Baltų Ainiai“ pritaikymas bendruomenės ir miesto gyventojų aktyviam laisvalaikio užimtumui </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1 981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1 981</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648</w:t>
            </w: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 1 vnt. Investicijas gavusios vaikų priežiūros arba švietimo infrastruktūros pajėgumas – 245 asm.</w:t>
            </w:r>
          </w:p>
        </w:tc>
      </w:tr>
      <w:tr>
        <w:trPr>
          <w:cantSplit/>
          <w:trHeight w:val="20"/>
        </w:trPr>
        <w:tc>
          <w:tcPr>
            <w:tcW w:w="1610" w:type="pct"/>
            <w:tcBorders>
              <w:top w:val="single" w:sz="4" w:space="0" w:color="auto"/>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1.2.1.8. Neries upės kairiajame kranto šlaite buitinių nuotekų kanalizacijos tinklų plėtra (Širvintų 2 takas, Puntuko g., Žemaičių g. nuo Nr. 118 iki Nr. 128, nuo Nr. 151 iki Nr. 172, Vyšnių g., Ievų takas, Algirdo g. nuo Nr. 4 iki Nr. 52, Tvirtovės al. nuo Savanorių pr. iki Nr. 35 (Politechnikumo), Kalniečių g. nuo A. Kačanausko g. iki Tvirtovės al., Kalniečių g. nuo Nr. 90 iki Tvirtovės al., Varėnos-Obuolių g., Limos t., Tvirtovės al. (Nuokalnės g. – Savanorių pr.), Radvilėnų pl. (Nr. 14-J. Basanavičiaus al.), Lašo g., Iniciatorių g., Purienų g. (Kalniečių g. – S. Lozoraičio g.), Gerviečių g., Jaunimo a.) Biržų g., Kapsų g.</w:t>
            </w:r>
          </w:p>
        </w:tc>
        <w:tc>
          <w:tcPr>
            <w:tcW w:w="469" w:type="pct"/>
            <w:tcBorders>
              <w:top w:val="single" w:sz="4"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756</w:t>
            </w:r>
          </w:p>
        </w:tc>
        <w:tc>
          <w:tcPr>
            <w:tcW w:w="464" w:type="pct"/>
            <w:tcBorders>
              <w:top w:val="single" w:sz="4"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756</w:t>
            </w:r>
          </w:p>
        </w:tc>
        <w:tc>
          <w:tcPr>
            <w:tcW w:w="463" w:type="pct"/>
            <w:tcBorders>
              <w:top w:val="single" w:sz="4"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378</w:t>
            </w:r>
          </w:p>
        </w:tc>
        <w:tc>
          <w:tcPr>
            <w:tcW w:w="1993" w:type="pct"/>
            <w:tcBorders>
              <w:top w:val="single" w:sz="4"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Papildomi gyventojai, kuriems teikiamos pagerintos nuotekų tvarkymo paslaugos – 354 asm.</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1.2.1.9. Neries upės kairiajame kranto šlaite esančių buitinių nuotekų tinklų rekonstrukcija: Anykščių g. (nuo Nr. 14 iki Zanavykų g.); Kapsų g.(nuo Rokiškio g. iki Zanavykų g.); Zarasų g. (nuo Nr. 24a iki Žemaičių g.); Zanavykų g. (nuo Anykščių g. iki Nr. 47 ir nuo Nr. 47 iki Jonavos g.); Darbininkų g. (nuo Zanavykų iki P. Dovydaičio g.)</w:t>
            </w:r>
          </w:p>
        </w:tc>
        <w:tc>
          <w:tcPr>
            <w:tcW w:w="469" w:type="pct"/>
            <w:tcBorders>
              <w:top w:val="single" w:sz="8"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330</w:t>
            </w:r>
          </w:p>
        </w:tc>
        <w:tc>
          <w:tcPr>
            <w:tcW w:w="464" w:type="pct"/>
            <w:tcBorders>
              <w:top w:val="single" w:sz="8"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330</w:t>
            </w:r>
          </w:p>
        </w:tc>
        <w:tc>
          <w:tcPr>
            <w:tcW w:w="463" w:type="pct"/>
            <w:tcBorders>
              <w:top w:val="single" w:sz="8"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165</w:t>
            </w:r>
          </w:p>
        </w:tc>
        <w:tc>
          <w:tcPr>
            <w:tcW w:w="1993"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Rekonstruotų vandens tiekimo ir nuotekų surinkimo tinklų ilgis – 1,65 km</w:t>
            </w:r>
          </w:p>
        </w:tc>
      </w:tr>
      <w:tr>
        <w:trPr>
          <w:cantSplit/>
          <w:trHeight w:val="20"/>
        </w:trPr>
        <w:tc>
          <w:tcPr>
            <w:tcW w:w="1610" w:type="pct"/>
            <w:tcBorders>
              <w:top w:val="nil"/>
              <w:left w:val="single" w:sz="8" w:space="0" w:color="auto"/>
              <w:bottom w:val="single" w:sz="4"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1.2.1.10. Lietaus nuotekų sistemų rekonstrukcija ir plėtra. (plėtra: Širvintų takas 2, Anykščių g. nuo Širvintų g., Zanavykų g. nuo Anykščių g., Širvintų g. nuo Zarasų g. iki Nr. 62, Biržų g., Žemaičių g. nuo P. Kalpoko g., Obuolių g., Kupiškio g., Žalioji g., Telšių g., Varėnos g., Raseinių g., A. Mackevičiaus g.); rekonstrukcija: Kapsų g. (nuo Nr. 118 iki Jonavos g., padidinant skersmenį)</w:t>
            </w:r>
          </w:p>
        </w:tc>
        <w:tc>
          <w:tcPr>
            <w:tcW w:w="469"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926</w:t>
            </w:r>
          </w:p>
        </w:tc>
        <w:tc>
          <w:tcPr>
            <w:tcW w:w="464"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926</w:t>
            </w:r>
          </w:p>
        </w:tc>
        <w:tc>
          <w:tcPr>
            <w:tcW w:w="463"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787</w:t>
            </w:r>
          </w:p>
        </w:tc>
        <w:tc>
          <w:tcPr>
            <w:tcW w:w="1993" w:type="pct"/>
            <w:tcBorders>
              <w:top w:val="nil"/>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Lietaus nuotėkio plotas, iš kurio surenkamam paviršiniam (lietaus) vandeniui tvarkyti, įrengta ir (ar) rekonstruota infrastruktūra – 19,8 ha</w:t>
            </w:r>
          </w:p>
        </w:tc>
      </w:tr>
      <w:tr>
        <w:trPr>
          <w:cantSplit/>
          <w:trHeight w:val="20"/>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1.2.1.11. Lietaus nuotekų sistemų įrengimas Aleksoto tikslinėje teritorijoje (J. Čapliko g., J. Petruičio g., K. Sprangausko g., Raitininkų g., Gurguolių g., Kėkštų g., Akacijų g., Alyvų g., Alšėngirės g., Alšėnų g., Ančios g., Antakalnio g., Astrų g., Aukštoji g., J. Bakanausko g., Balbieriškio g. nuo Nr. 31, Barzdų g., Bitininkų g. nuo Nr. 26, Blindžių g., Bublių g., V. Čarneckio g., J. Damijonaičio g., Daugėliškių g., J. Dobkevičiaus g., Dragių g. nuo Nr. 1 iki Nr. 25d, Dūkšto g., Dvarų g., Erdvės g. nuo Nr. 1 iki Nr. 10, P. Galaunės g., Garliavos takas, S. Dariaus ir S. Girėno g., Gižų g., K. Grybausko g., Griškabūdžio g., Gudelių g., P. Gudyno g., Gulbių g., M. Yčo g., Ilgoji g., Yliškių g., Jonučių g., Kanalo g., Karklų g., Kaštonų g., Kėkštų g., Kmynų g., Kreivoji g., J. Kriščiūno g., Krosnos g., J. Kumpio g., Kuopos g.)</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5 104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5 104</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4 338</w:t>
            </w: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Lietaus nuotėkio plotas, iš kurio surenkamam paviršiniam (lietaus) vandeniui tvarkyti, įrengta ir (ar) rekonstruota infrastruktūra – 39,1 ha</w:t>
            </w:r>
          </w:p>
        </w:tc>
      </w:tr>
      <w:tr>
        <w:trPr>
          <w:cantSplit/>
          <w:trHeight w:val="20"/>
        </w:trPr>
        <w:tc>
          <w:tcPr>
            <w:tcW w:w="1610" w:type="pct"/>
            <w:tcBorders>
              <w:top w:val="single" w:sz="4" w:space="0" w:color="auto"/>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1.2.1.12. Aleksoto gatvių nuotekų tinklų rekonstrukcija: Rąžės g. (pajungimas į ūkio nuotekų tinklą Seniavos pl., į nuotekų siurblinę Nr. 106), buitinių nuotekų magistralė iš Garliavos rekonstrukcija – Slankų g. (nuo Žilvičių g. iki Kiečių g.), Kiečių g. (nuo Slankų g. iki Žemoji g.), Žemoji g. (nuo Kiečių g. iki Blindžių g.), Blindžių g. (nuo Žemoji g. iki Lygioji g. Nr. 31), Bitininkų g. (nuo Lygioji g. Nr. 31 iki Europos pr.)</w:t>
            </w:r>
          </w:p>
        </w:tc>
        <w:tc>
          <w:tcPr>
            <w:tcW w:w="469"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396</w:t>
            </w:r>
          </w:p>
        </w:tc>
        <w:tc>
          <w:tcPr>
            <w:tcW w:w="464"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396</w:t>
            </w:r>
          </w:p>
        </w:tc>
        <w:tc>
          <w:tcPr>
            <w:tcW w:w="463"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198</w:t>
            </w:r>
          </w:p>
        </w:tc>
        <w:tc>
          <w:tcPr>
            <w:tcW w:w="1993" w:type="pct"/>
            <w:tcBorders>
              <w:top w:val="single" w:sz="4"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Rekonstruotų vandens tiekimo ir nuotekų surinkimo tinklų ilgis – 1,98 km</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1.2.1.13. Komunalinių atliekų konteinerių aikštelių įrengimas Kauno mieste</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highlight w:val="lightGray"/>
                <w:lang w:eastAsia="lt-LT"/>
              </w:rPr>
            </w:pPr>
            <w:r>
              <w:rPr>
                <w:color w:val="000000"/>
                <w:szCs w:val="24"/>
                <w:lang w:eastAsia="lt-LT"/>
              </w:rPr>
              <w:t>6 544</w:t>
            </w:r>
          </w:p>
        </w:tc>
        <w:tc>
          <w:tcPr>
            <w:tcW w:w="464" w:type="pct"/>
            <w:tcBorders>
              <w:top w:val="nil"/>
              <w:left w:val="nil"/>
              <w:bottom w:val="single" w:sz="8" w:space="0" w:color="auto"/>
              <w:right w:val="single" w:sz="8" w:space="0" w:color="auto"/>
            </w:tcBorders>
            <w:shd w:val="clear" w:color="auto" w:fill="auto"/>
            <w:noWrap/>
            <w:vAlign w:val="center"/>
          </w:tcPr>
          <w:p>
            <w:pPr>
              <w:jc w:val="center"/>
              <w:rPr>
                <w:color w:val="000000"/>
                <w:szCs w:val="24"/>
                <w:highlight w:val="lightGray"/>
                <w:lang w:eastAsia="lt-LT"/>
              </w:rPr>
            </w:pPr>
            <w:r>
              <w:rPr>
                <w:color w:val="000000"/>
                <w:szCs w:val="24"/>
                <w:lang w:eastAsia="lt-LT"/>
              </w:rPr>
              <w:t>6 544</w:t>
            </w:r>
          </w:p>
        </w:tc>
        <w:tc>
          <w:tcPr>
            <w:tcW w:w="463" w:type="pct"/>
            <w:tcBorders>
              <w:top w:val="nil"/>
              <w:left w:val="nil"/>
              <w:bottom w:val="single" w:sz="8" w:space="0" w:color="auto"/>
              <w:right w:val="single" w:sz="8" w:space="0" w:color="auto"/>
            </w:tcBorders>
            <w:shd w:val="clear" w:color="auto" w:fill="auto"/>
            <w:noWrap/>
            <w:vAlign w:val="center"/>
          </w:tcPr>
          <w:p>
            <w:pPr>
              <w:jc w:val="center"/>
              <w:rPr>
                <w:color w:val="000000"/>
                <w:szCs w:val="24"/>
                <w:highlight w:val="lightGray"/>
                <w:lang w:eastAsia="lt-LT"/>
              </w:rPr>
            </w:pPr>
            <w:r>
              <w:rPr>
                <w:color w:val="000000"/>
                <w:szCs w:val="24"/>
                <w:lang w:eastAsia="lt-LT"/>
              </w:rPr>
              <w:t>4 808</w:t>
            </w:r>
          </w:p>
        </w:tc>
        <w:tc>
          <w:tcPr>
            <w:tcW w:w="1993" w:type="pct"/>
            <w:tcBorders>
              <w:top w:val="nil"/>
              <w:left w:val="nil"/>
              <w:bottom w:val="single" w:sz="8" w:space="0" w:color="auto"/>
              <w:right w:val="single" w:sz="8" w:space="0" w:color="000000"/>
            </w:tcBorders>
            <w:shd w:val="clear" w:color="auto" w:fill="auto"/>
            <w:vAlign w:val="center"/>
          </w:tcPr>
          <w:p>
            <w:pPr>
              <w:jc w:val="center"/>
              <w:rPr>
                <w:strike/>
                <w:color w:val="000000"/>
                <w:szCs w:val="24"/>
                <w:highlight w:val="lightGray"/>
                <w:lang w:eastAsia="lt-LT"/>
              </w:rPr>
            </w:pPr>
          </w:p>
          <w:p>
            <w:pPr>
              <w:jc w:val="center"/>
              <w:rPr>
                <w:color w:val="000000"/>
                <w:szCs w:val="24"/>
                <w:lang w:eastAsia="lt-LT"/>
              </w:rPr>
            </w:pPr>
            <w:r>
              <w:rPr>
                <w:color w:val="000000"/>
                <w:szCs w:val="24"/>
                <w:lang w:eastAsia="lt-LT"/>
              </w:rPr>
              <w:t>Sukurti/pagerinti atskiro komunalinių atliekų surinkimo pajėgumai – 12 918 t</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i/>
                <w:color w:val="000000"/>
                <w:szCs w:val="24"/>
                <w:lang w:eastAsia="lt-LT"/>
              </w:rPr>
            </w:pPr>
            <w:r>
              <w:rPr>
                <w:i/>
                <w:color w:val="000000"/>
                <w:szCs w:val="24"/>
                <w:lang w:eastAsia="lt-LT"/>
              </w:rPr>
              <w:t>1.2.2. Priemonės, kurių įgyvendinimui numatomos naudoti finansinės priemonės:</w:t>
            </w:r>
          </w:p>
        </w:tc>
        <w:tc>
          <w:tcPr>
            <w:tcW w:w="469" w:type="pct"/>
            <w:tcBorders>
              <w:top w:val="nil"/>
              <w:left w:val="nil"/>
              <w:bottom w:val="single" w:sz="8" w:space="0" w:color="auto"/>
              <w:right w:val="single" w:sz="8" w:space="0" w:color="auto"/>
            </w:tcBorders>
            <w:shd w:val="clear" w:color="auto" w:fill="auto"/>
            <w:noWrap/>
            <w:vAlign w:val="center"/>
          </w:tcPr>
          <w:p>
            <w:pPr>
              <w:jc w:val="center"/>
              <w:rPr>
                <w:rFonts w:eastAsia="Calibri"/>
                <w:color w:val="000000"/>
                <w:szCs w:val="24"/>
                <w:lang w:eastAsia="lt-LT"/>
              </w:rPr>
            </w:pPr>
          </w:p>
        </w:tc>
        <w:tc>
          <w:tcPr>
            <w:tcW w:w="464" w:type="pct"/>
            <w:tcBorders>
              <w:top w:val="nil"/>
              <w:left w:val="nil"/>
              <w:bottom w:val="single" w:sz="8" w:space="0" w:color="auto"/>
              <w:right w:val="single" w:sz="8" w:space="0" w:color="auto"/>
            </w:tcBorders>
            <w:shd w:val="clear" w:color="auto" w:fill="auto"/>
            <w:noWrap/>
            <w:vAlign w:val="center"/>
          </w:tcPr>
          <w:p>
            <w:pPr>
              <w:jc w:val="center"/>
              <w:rPr>
                <w:rFonts w:eastAsia="Calibri"/>
                <w:color w:val="000000"/>
                <w:szCs w:val="24"/>
                <w:lang w:eastAsia="lt-LT"/>
              </w:rPr>
            </w:pPr>
          </w:p>
        </w:tc>
        <w:tc>
          <w:tcPr>
            <w:tcW w:w="463" w:type="pct"/>
            <w:tcBorders>
              <w:top w:val="nil"/>
              <w:left w:val="nil"/>
              <w:bottom w:val="single" w:sz="8" w:space="0" w:color="auto"/>
              <w:right w:val="single" w:sz="8" w:space="0" w:color="auto"/>
            </w:tcBorders>
            <w:shd w:val="clear" w:color="auto" w:fill="auto"/>
            <w:noWrap/>
            <w:vAlign w:val="center"/>
          </w:tcPr>
          <w:p>
            <w:pPr>
              <w:jc w:val="center"/>
              <w:rPr>
                <w:rFonts w:eastAsia="Calibri"/>
                <w:color w:val="000000"/>
                <w:szCs w:val="24"/>
                <w:lang w:eastAsia="lt-LT"/>
              </w:rPr>
            </w:pPr>
          </w:p>
        </w:tc>
        <w:tc>
          <w:tcPr>
            <w:tcW w:w="199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1.2.2.1. Švietimo įstaigų (Tirkliškių g. 47, Dvarų g. 49, M. Yčo g. 2) katilinių modernizavimas (atsinaujinantys šaltiniai, biokuro katilinės)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326</w:t>
            </w:r>
          </w:p>
        </w:tc>
        <w:tc>
          <w:tcPr>
            <w:tcW w:w="46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Papildomi atsinaujinančių išteklių energijos gamybos pajėgumai – 140 Mwh</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1.2.2.2. Žaliakalnio švietimo įstaigų pastatų energetinio efektyvumo didinimas (Kauno lopšelis-darželis „Svirnelis“, Kauno lopšelis-darželis „Bitutė“, Kauno lopšelis-darželis „Ąžuoliukas“, Kauno lopšelis-darželis „Žiedelis“, Kauno Žaliakalnio lopšelis-darželis, Kauno mokykla-darželis „Rūtelė“, Kauno lopšelis-darželis „Kodėlčiukas“)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2 486</w:t>
            </w:r>
          </w:p>
        </w:tc>
        <w:tc>
          <w:tcPr>
            <w:tcW w:w="46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Metinis pirminės energijos suvartojimo viešuosiuose pastatuose sumažėjimas – 760 418 kWh/per metus</w:t>
            </w:r>
          </w:p>
        </w:tc>
      </w:tr>
      <w:tr>
        <w:trPr>
          <w:cantSplit/>
          <w:trHeight w:val="20"/>
        </w:trPr>
        <w:tc>
          <w:tcPr>
            <w:tcW w:w="1610" w:type="pct"/>
            <w:tcBorders>
              <w:top w:val="nil"/>
              <w:left w:val="single" w:sz="8" w:space="0" w:color="auto"/>
              <w:bottom w:val="single" w:sz="4"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1.2.2.3. Kauno žiemos sporto mokyklos „Baltų Ainiai“ pastato energetinio efektyvumo didinimas</w:t>
            </w:r>
          </w:p>
        </w:tc>
        <w:tc>
          <w:tcPr>
            <w:tcW w:w="469"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600</w:t>
            </w:r>
          </w:p>
        </w:tc>
        <w:tc>
          <w:tcPr>
            <w:tcW w:w="464"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nil"/>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Metinis pirminės energijos suvartojimo viešuosiuose pastatuose sumažėjimas – 87 300 kWh/per metus</w:t>
            </w:r>
          </w:p>
        </w:tc>
      </w:tr>
      <w:tr>
        <w:trPr>
          <w:cantSplit/>
          <w:trHeight w:val="20"/>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color w:val="000000"/>
                <w:szCs w:val="24"/>
                <w:lang w:eastAsia="lt-LT"/>
              </w:rPr>
            </w:pPr>
            <w:r>
              <w:rPr>
                <w:color w:val="000000"/>
                <w:szCs w:val="24"/>
                <w:lang w:eastAsia="lt-LT"/>
              </w:rPr>
              <w:t xml:space="preserve">1.2.2.4. Aleksoto švietimo įstaigų modernizavimas (Kauno Šv. Pranciškaus gimnazija, Kauno J. Dobkevičiaus progimnazija, Kauno Aleksoto lopšelis-darželis, Kauno lopšelis-darželis „Boružėlė“, Kauno Tirkiliškių lopšelis-darželis, Kauno Tirkiliškių mokykla – darželis M. Yčo g. 2 ir Dvarų g. 49) </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2 734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p>
        </w:tc>
        <w:tc>
          <w:tcPr>
            <w:tcW w:w="19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Metinis pirminės energijos suvartojimo viešuosiuose pastatuose sumažėjimas – 650 922 kWh/per metus</w:t>
            </w:r>
          </w:p>
        </w:tc>
      </w:tr>
      <w:tr>
        <w:trPr>
          <w:cantSplit/>
          <w:trHeight w:val="20"/>
        </w:trPr>
        <w:tc>
          <w:tcPr>
            <w:tcW w:w="1610" w:type="pct"/>
            <w:tcBorders>
              <w:top w:val="single" w:sz="4" w:space="0" w:color="auto"/>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1.2.2.5. Vinčų g. kvartalo gyvenamųjų namų (8) renovacija, Antanavos g. kvartalo gyvenamųjų namų (12) renovacija, Antakalnio g. kvartalo gyvenamųjų namų (2), Piliakalnio g. kvartalo gyvenamųjų namų (2), Europos pr. kvartalo gyvenamųjų namų (1), Veiverių g. kvartalo gyvenamųjų namų (1) renovacija</w:t>
            </w:r>
          </w:p>
        </w:tc>
        <w:tc>
          <w:tcPr>
            <w:tcW w:w="469"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13 312</w:t>
            </w:r>
          </w:p>
        </w:tc>
        <w:tc>
          <w:tcPr>
            <w:tcW w:w="464"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single" w:sz="4"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Metinis pirminės energijos suvartojimo daugiabučiuose pastatuose sumažėjimas – 9 984,3 MWh/per metus</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 xml:space="preserve">1.2.2.6. Tvirtovės al., Taikos pr., J. Basanavičiaus al., J. Žemgulio g., Savanorių pr. kvartalo gyvenamųjų namų (16) renovacija </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10 560</w:t>
            </w:r>
          </w:p>
        </w:tc>
        <w:tc>
          <w:tcPr>
            <w:tcW w:w="46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Metinis pirminės energijos suvartojimo daugiabučiuose pastatuose sumažėjimas – 7 920,02 MWh/per metus</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1.2.2.7. Kauno Gedimino sporto ir sveikatinimo gimnazijos, Aukštaičių g. 78 renovacijos tąsa (pastato išorinių sienų šiltinimas)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319</w:t>
            </w:r>
          </w:p>
        </w:tc>
        <w:tc>
          <w:tcPr>
            <w:tcW w:w="46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Metinis pirminės energijos suvartojimo viešuosiuose pastatuose sumažėjimas – 82.530 kWh/per metus</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rPr>
                <w:i/>
                <w:color w:val="000000"/>
                <w:szCs w:val="24"/>
                <w:lang w:eastAsia="lt-LT"/>
              </w:rPr>
            </w:pPr>
            <w:r>
              <w:rPr>
                <w:i/>
                <w:color w:val="000000"/>
                <w:szCs w:val="24"/>
                <w:lang w:eastAsia="lt-LT"/>
              </w:rPr>
              <w:t>1.2.3. Priemonės numatytos įgyvendinti per konkurso būdu atrenkamus veiksmus: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6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6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199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1.2.3.1. Centralizuoto šilumos tiekimo tinklų modernizavimas, didinant jų efektyvumą</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X</w:t>
            </w:r>
          </w:p>
        </w:tc>
        <w:tc>
          <w:tcPr>
            <w:tcW w:w="46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X</w:t>
            </w:r>
          </w:p>
        </w:tc>
        <w:tc>
          <w:tcPr>
            <w:tcW w:w="46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X</w:t>
            </w:r>
          </w:p>
        </w:tc>
        <w:tc>
          <w:tcPr>
            <w:tcW w:w="1993"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Modernizuoti centralizuoto šilumos tiekimo tinklai – 33,6 km</w:t>
            </w:r>
          </w:p>
        </w:tc>
      </w:tr>
      <w:tr>
        <w:trPr>
          <w:cantSplit/>
          <w:trHeight w:val="20"/>
        </w:trPr>
        <w:tc>
          <w:tcPr>
            <w:tcW w:w="1610" w:type="pct"/>
            <w:tcBorders>
              <w:top w:val="nil"/>
              <w:left w:val="single" w:sz="8" w:space="0" w:color="auto"/>
              <w:bottom w:val="single" w:sz="8" w:space="0" w:color="auto"/>
              <w:right w:val="single" w:sz="8" w:space="0" w:color="auto"/>
            </w:tcBorders>
            <w:shd w:val="clear" w:color="auto" w:fill="auto"/>
            <w:noWrap/>
            <w:vAlign w:val="center"/>
          </w:tcPr>
          <w:p>
            <w:pPr>
              <w:rPr>
                <w:b/>
                <w:color w:val="000000"/>
                <w:szCs w:val="24"/>
                <w:lang w:eastAsia="lt-LT"/>
              </w:rPr>
            </w:pPr>
            <w:r>
              <w:rPr>
                <w:b/>
                <w:color w:val="000000"/>
                <w:szCs w:val="24"/>
                <w:lang w:eastAsia="lt-LT"/>
              </w:rPr>
              <w:t>Lėšų poreikis uždaviniui įgyvendinti:</w:t>
            </w:r>
          </w:p>
        </w:tc>
        <w:tc>
          <w:tcPr>
            <w:tcW w:w="469" w:type="pct"/>
            <w:tcBorders>
              <w:top w:val="nil"/>
              <w:left w:val="nil"/>
              <w:bottom w:val="single" w:sz="8" w:space="0" w:color="auto"/>
              <w:right w:val="single" w:sz="8" w:space="0" w:color="auto"/>
            </w:tcBorders>
            <w:shd w:val="clear" w:color="auto" w:fill="auto"/>
            <w:noWrap/>
          </w:tcPr>
          <w:p>
            <w:pPr>
              <w:rPr>
                <w:strike/>
                <w:color w:val="000000"/>
                <w:szCs w:val="24"/>
                <w:highlight w:val="lightGray"/>
                <w:lang w:eastAsia="lt-LT"/>
              </w:rPr>
            </w:pPr>
          </w:p>
          <w:p>
            <w:pPr>
              <w:jc w:val="center"/>
              <w:rPr>
                <w:rFonts w:eastAsia="Calibri"/>
                <w:b/>
                <w:color w:val="000000"/>
                <w:szCs w:val="24"/>
                <w:highlight w:val="lightGray"/>
                <w:lang w:eastAsia="lt-LT"/>
              </w:rPr>
            </w:pPr>
            <w:r>
              <w:rPr>
                <w:rFonts w:eastAsia="Calibri"/>
                <w:b/>
                <w:color w:val="000000"/>
                <w:szCs w:val="24"/>
                <w:lang w:eastAsia="lt-LT"/>
              </w:rPr>
              <w:t>49 350</w:t>
            </w:r>
          </w:p>
        </w:tc>
        <w:tc>
          <w:tcPr>
            <w:tcW w:w="464" w:type="pct"/>
            <w:tcBorders>
              <w:top w:val="nil"/>
              <w:left w:val="nil"/>
              <w:bottom w:val="single" w:sz="8" w:space="0" w:color="auto"/>
              <w:right w:val="single" w:sz="8" w:space="0" w:color="auto"/>
            </w:tcBorders>
            <w:shd w:val="clear" w:color="auto" w:fill="auto"/>
            <w:noWrap/>
          </w:tcPr>
          <w:p>
            <w:pPr>
              <w:rPr>
                <w:strike/>
                <w:color w:val="000000"/>
                <w:szCs w:val="24"/>
                <w:highlight w:val="lightGray"/>
                <w:lang w:eastAsia="lt-LT"/>
              </w:rPr>
            </w:pPr>
          </w:p>
          <w:p>
            <w:pPr>
              <w:jc w:val="center"/>
              <w:rPr>
                <w:rFonts w:eastAsia="Calibri"/>
                <w:b/>
                <w:color w:val="000000"/>
                <w:szCs w:val="24"/>
                <w:highlight w:val="lightGray"/>
                <w:lang w:eastAsia="lt-LT"/>
              </w:rPr>
            </w:pPr>
            <w:r>
              <w:rPr>
                <w:rFonts w:eastAsia="Calibri"/>
                <w:b/>
                <w:color w:val="000000"/>
                <w:szCs w:val="24"/>
                <w:lang w:eastAsia="lt-LT"/>
              </w:rPr>
              <w:t>19 013</w:t>
            </w:r>
          </w:p>
        </w:tc>
        <w:tc>
          <w:tcPr>
            <w:tcW w:w="463" w:type="pct"/>
            <w:tcBorders>
              <w:top w:val="nil"/>
              <w:left w:val="nil"/>
              <w:bottom w:val="single" w:sz="8" w:space="0" w:color="auto"/>
              <w:right w:val="single" w:sz="8" w:space="0" w:color="auto"/>
            </w:tcBorders>
            <w:shd w:val="clear" w:color="auto" w:fill="auto"/>
            <w:noWrap/>
          </w:tcPr>
          <w:p>
            <w:pPr>
              <w:rPr>
                <w:strike/>
                <w:color w:val="000000"/>
                <w:szCs w:val="24"/>
                <w:highlight w:val="lightGray"/>
                <w:lang w:eastAsia="lt-LT"/>
              </w:rPr>
            </w:pPr>
          </w:p>
          <w:p>
            <w:pPr>
              <w:jc w:val="center"/>
              <w:rPr>
                <w:rFonts w:eastAsia="Calibri"/>
                <w:b/>
                <w:color w:val="000000"/>
                <w:szCs w:val="24"/>
                <w:highlight w:val="lightGray"/>
                <w:lang w:eastAsia="lt-LT"/>
              </w:rPr>
            </w:pPr>
            <w:r>
              <w:rPr>
                <w:rFonts w:eastAsia="Calibri"/>
                <w:b/>
                <w:color w:val="000000"/>
                <w:szCs w:val="24"/>
                <w:lang w:eastAsia="lt-LT"/>
              </w:rPr>
              <w:t>13 852</w:t>
            </w:r>
          </w:p>
        </w:tc>
        <w:tc>
          <w:tcPr>
            <w:tcW w:w="1993"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r>
    </w:tbl>
    <w:p>
      <w:pPr>
        <w:ind w:firstLine="720"/>
        <w:jc w:val="both"/>
        <w:rPr>
          <w:rFonts w:eastAsia="Calibri"/>
          <w:szCs w:val="24"/>
          <w:lang w:eastAsia="lt-LT"/>
        </w:rPr>
      </w:pPr>
    </w:p>
    <w:tbl>
      <w:tblPr>
        <w:tblW w:w="5156" w:type="pct"/>
        <w:tblLayout w:type="fixed"/>
        <w:tblCellMar>
          <w:left w:w="115" w:type="dxa"/>
          <w:right w:w="115" w:type="dxa"/>
        </w:tblCellMar>
        <w:tblLook w:val="04A0" w:firstRow="1" w:lastRow="0" w:firstColumn="1" w:lastColumn="0" w:noHBand="0" w:noVBand="1"/>
      </w:tblPr>
      <w:tblGrid>
        <w:gridCol w:w="1028"/>
        <w:gridCol w:w="395"/>
        <w:gridCol w:w="1722"/>
        <w:gridCol w:w="1013"/>
        <w:gridCol w:w="1013"/>
        <w:gridCol w:w="1013"/>
        <w:gridCol w:w="1013"/>
        <w:gridCol w:w="1013"/>
        <w:gridCol w:w="1013"/>
        <w:gridCol w:w="1013"/>
        <w:gridCol w:w="1015"/>
        <w:gridCol w:w="1021"/>
        <w:gridCol w:w="1376"/>
      </w:tblGrid>
      <w:tr>
        <w:trPr>
          <w:trHeight w:val="240"/>
        </w:trPr>
        <w:tc>
          <w:tcPr>
            <w:tcW w:w="4496" w:type="pct"/>
            <w:gridSpan w:val="12"/>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1.3. Uždavinys: Mažinti socialinę atskirtį, skatinant socialiai pažeidžiamų grupių integraciją ir sveiką gyvenimo būdą</w:t>
            </w:r>
          </w:p>
        </w:tc>
        <w:tc>
          <w:tcPr>
            <w:tcW w:w="504" w:type="pct"/>
            <w:tcBorders>
              <w:top w:val="nil"/>
              <w:left w:val="nil"/>
              <w:bottom w:val="nil"/>
              <w:right w:val="nil"/>
            </w:tcBorders>
            <w:shd w:val="clear" w:color="auto" w:fill="auto"/>
            <w:vAlign w:val="center"/>
          </w:tcPr>
          <w:p>
            <w:pPr>
              <w:rPr>
                <w:color w:val="000000"/>
                <w:szCs w:val="24"/>
                <w:lang w:eastAsia="lt-LT"/>
              </w:rPr>
            </w:pPr>
          </w:p>
        </w:tc>
      </w:tr>
      <w:tr>
        <w:trPr>
          <w:trHeight w:val="255"/>
        </w:trPr>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145"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630"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743"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74"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504" w:type="pct"/>
            <w:tcBorders>
              <w:top w:val="nil"/>
              <w:left w:val="nil"/>
              <w:bottom w:val="single" w:sz="4" w:space="0" w:color="auto"/>
              <w:right w:val="nil"/>
            </w:tcBorders>
            <w:shd w:val="clear" w:color="auto" w:fill="auto"/>
            <w:vAlign w:val="center"/>
          </w:tcPr>
          <w:p>
            <w:pPr>
              <w:rPr>
                <w:color w:val="000000"/>
                <w:szCs w:val="24"/>
                <w:lang w:eastAsia="lt-LT"/>
              </w:rPr>
            </w:pPr>
          </w:p>
        </w:tc>
      </w:tr>
      <w:tr>
        <w:trPr>
          <w:trHeight w:val="480"/>
        </w:trPr>
        <w:tc>
          <w:tcPr>
            <w:tcW w:w="5000" w:type="pct"/>
            <w:gridSpan w:val="13"/>
            <w:tcBorders>
              <w:top w:val="single" w:sz="4" w:space="0" w:color="auto"/>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 xml:space="preserve">1. Uždavinys suformuotas atsižvelgiant į SSGG analizėje identifikuotą silpnybę (problemą) – Kauno mieste pasireiškiančias neigiamas demografines tendencijas, susijusias su natūralia gyventojų kaita ir didele miesto gyventojų migracija. Uždavinio įgyvendinimas leis pasinaudoti identifikuota galimybe – </w:t>
            </w:r>
            <w:r>
              <w:rPr>
                <w:i/>
                <w:color w:val="000000"/>
                <w:szCs w:val="24"/>
                <w:lang w:eastAsia="lt-LT"/>
              </w:rPr>
              <w:t>lėtėjantį šalies</w:t>
            </w:r>
            <w:r>
              <w:rPr>
                <w:color w:val="000000"/>
                <w:szCs w:val="24"/>
                <w:lang w:eastAsia="lt-LT"/>
              </w:rPr>
              <w:t xml:space="preserve"> </w:t>
            </w:r>
            <w:r>
              <w:rPr>
                <w:i/>
                <w:color w:val="000000"/>
                <w:szCs w:val="24"/>
                <w:lang w:eastAsia="lt-LT"/>
              </w:rPr>
              <w:t>ekonominį augimą ar galimą ekonominę stagnaciją.</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2. Uždavinio alternatyvų vertinimo metu svarstyti alternatyvūs uždaviniai:</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Plėtoti socialinę infrastruktūrą, sudarant prielaidas socialiai pažeidžiamų grupių integracijai</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Gerinti viešųjų paslaugų prieinamumą socialiai pažeidžiamoms grupėms</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Mažinti socialinę atskirtį, skatinant socialiai pažeidžiamų grupių integraciją ir sveiką gyvenimo būdą</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Daugiakriterinės analizės metodu buvo atrinkta uždavinio alternatyva „Mažinti socialinę atskirtį, skatinant socialiai pažeidžiamų grupių integraciją ir sveiką gyvenimo būdą“</w:t>
            </w: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p>
        </w:tc>
      </w:tr>
      <w:tr>
        <w:trPr>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3. Uždaviniui priskirtas programos rezultatas:</w:t>
            </w:r>
          </w:p>
        </w:tc>
      </w:tr>
      <w:tr>
        <w:trPr>
          <w:trHeight w:val="255"/>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Vidutinės disponuojamos namų ūkio pajamos, Eur. Siekiama reikšmė 2023 metais – 941,27 Eur.</w:t>
            </w:r>
          </w:p>
        </w:tc>
      </w:tr>
      <w:tr>
        <w:trPr>
          <w:trHeight w:val="240"/>
        </w:trPr>
        <w:tc>
          <w:tcPr>
            <w:tcW w:w="5000" w:type="pct"/>
            <w:gridSpan w:val="13"/>
            <w:tcBorders>
              <w:top w:val="single" w:sz="4" w:space="0" w:color="auto"/>
              <w:left w:val="nil"/>
              <w:bottom w:val="nil"/>
              <w:right w:val="nil"/>
            </w:tcBorders>
            <w:shd w:val="clear" w:color="auto" w:fill="auto"/>
            <w:noWrap/>
            <w:vAlign w:val="center"/>
          </w:tcPr>
          <w:p>
            <w:pPr>
              <w:rPr>
                <w:color w:val="000000"/>
                <w:szCs w:val="24"/>
                <w:lang w:eastAsia="lt-LT"/>
              </w:rPr>
            </w:pPr>
            <w:r>
              <w:rPr>
                <w:b/>
                <w:bCs/>
                <w:color w:val="000000"/>
                <w:szCs w:val="24"/>
                <w:u w:val="single"/>
                <w:lang w:eastAsia="lt-LT"/>
              </w:rPr>
              <w:t>Produktų sukūrimo grafikas (kaupiamuoju būdu):</w:t>
            </w:r>
          </w:p>
        </w:tc>
      </w:tr>
      <w:tr>
        <w:trPr>
          <w:trHeight w:val="255"/>
        </w:trPr>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145"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630"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371" w:type="pct"/>
            <w:tcBorders>
              <w:top w:val="nil"/>
              <w:left w:val="nil"/>
              <w:bottom w:val="nil"/>
              <w:right w:val="nil"/>
            </w:tcBorders>
            <w:shd w:val="clear" w:color="auto" w:fill="auto"/>
            <w:noWrap/>
            <w:vAlign w:val="bottom"/>
          </w:tcPr>
          <w:p>
            <w:pPr>
              <w:rPr>
                <w:color w:val="000000"/>
                <w:szCs w:val="24"/>
                <w:lang w:eastAsia="lt-LT"/>
              </w:rPr>
            </w:pPr>
          </w:p>
        </w:tc>
        <w:tc>
          <w:tcPr>
            <w:tcW w:w="743"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74" w:type="pct"/>
            <w:tcBorders>
              <w:top w:val="nil"/>
              <w:left w:val="nil"/>
              <w:bottom w:val="nil"/>
              <w:right w:val="nil"/>
            </w:tcBorders>
            <w:shd w:val="clear" w:color="auto" w:fill="auto"/>
            <w:noWrap/>
            <w:vAlign w:val="bottom"/>
          </w:tcPr>
          <w:p>
            <w:pPr>
              <w:rPr>
                <w:color w:val="000000"/>
                <w:szCs w:val="24"/>
                <w:lang w:eastAsia="lt-LT"/>
              </w:rPr>
            </w:pPr>
          </w:p>
        </w:tc>
        <w:tc>
          <w:tcPr>
            <w:tcW w:w="504" w:type="pct"/>
            <w:tcBorders>
              <w:top w:val="nil"/>
              <w:left w:val="nil"/>
              <w:bottom w:val="single" w:sz="8" w:space="0" w:color="auto"/>
              <w:right w:val="nil"/>
            </w:tcBorders>
            <w:shd w:val="clear" w:color="auto" w:fill="auto"/>
            <w:vAlign w:val="center"/>
          </w:tcPr>
          <w:p>
            <w:pPr>
              <w:rPr>
                <w:color w:val="000000"/>
                <w:szCs w:val="24"/>
                <w:lang w:eastAsia="lt-LT"/>
              </w:rPr>
            </w:pPr>
          </w:p>
        </w:tc>
      </w:tr>
      <w:tr>
        <w:trPr>
          <w:trHeight w:val="255"/>
        </w:trPr>
        <w:tc>
          <w:tcPr>
            <w:tcW w:w="115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i/>
                <w:iCs/>
                <w:color w:val="000000"/>
                <w:szCs w:val="24"/>
                <w:lang w:eastAsia="lt-LT"/>
              </w:rPr>
            </w:pPr>
            <w:r>
              <w:rPr>
                <w:i/>
                <w:iCs/>
                <w:color w:val="000000"/>
                <w:szCs w:val="24"/>
                <w:lang w:eastAsia="lt-LT"/>
              </w:rPr>
              <w:t>Rodiklio pavadinimas, matavimo vienetai</w:t>
            </w:r>
          </w:p>
        </w:tc>
        <w:tc>
          <w:tcPr>
            <w:tcW w:w="3847" w:type="pct"/>
            <w:gridSpan w:val="10"/>
            <w:tcBorders>
              <w:top w:val="single" w:sz="8" w:space="0" w:color="auto"/>
              <w:left w:val="single" w:sz="4" w:space="0" w:color="auto"/>
              <w:bottom w:val="single" w:sz="4" w:space="0" w:color="auto"/>
              <w:right w:val="single" w:sz="8" w:space="0" w:color="000000"/>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Siekiama reikšmė</w:t>
            </w:r>
          </w:p>
        </w:tc>
      </w:tr>
      <w:tr>
        <w:trPr>
          <w:trHeight w:val="255"/>
        </w:trPr>
        <w:tc>
          <w:tcPr>
            <w:tcW w:w="1153"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pPr>
              <w:rPr>
                <w:i/>
                <w:iCs/>
                <w:color w:val="000000"/>
                <w:szCs w:val="24"/>
                <w:lang w:eastAsia="lt-LT"/>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2014 m.</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2015 m.</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2016 m.</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2017 m.</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2018 m.</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2019 m.</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2020 m.</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2021 m.</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2022 m.</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2023 m.</w:t>
            </w:r>
          </w:p>
        </w:tc>
      </w:tr>
      <w:tr>
        <w:trPr>
          <w:trHeight w:val="255"/>
        </w:trPr>
        <w:tc>
          <w:tcPr>
            <w:tcW w:w="377" w:type="pct"/>
            <w:tcBorders>
              <w:top w:val="nil"/>
              <w:left w:val="single" w:sz="4" w:space="0" w:color="auto"/>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1-3-P-1</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Investicijas gavę socialinių paslaugų infrastruktūros objektai, 1 vnt.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r>
      <w:tr>
        <w:trPr>
          <w:trHeight w:val="255"/>
        </w:trPr>
        <w:tc>
          <w:tcPr>
            <w:tcW w:w="377" w:type="pct"/>
            <w:tcBorders>
              <w:top w:val="nil"/>
              <w:left w:val="single" w:sz="4" w:space="0" w:color="auto"/>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1-3-P-2</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Naujai įrengtų ar įsigytų socialinių būstų skaičius, vnt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131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131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131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131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131</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131</w:t>
            </w:r>
          </w:p>
        </w:tc>
      </w:tr>
      <w:tr>
        <w:trPr>
          <w:trHeight w:val="525"/>
        </w:trPr>
        <w:tc>
          <w:tcPr>
            <w:tcW w:w="377" w:type="pct"/>
            <w:tcBorders>
              <w:top w:val="nil"/>
              <w:left w:val="single" w:sz="4" w:space="0" w:color="auto"/>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1-3-P-3</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Pastatyti arba atnaujinti viešieji arba komerciniai pastatai miestų vietovėse, m</w:t>
            </w:r>
            <w:r>
              <w:rPr>
                <w:color w:val="000000"/>
                <w:szCs w:val="24"/>
                <w:vertAlign w:val="superscript"/>
                <w:lang w:eastAsia="lt-LT"/>
              </w:rPr>
              <w:t>2</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978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978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978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978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978</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978</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978</w:t>
            </w:r>
          </w:p>
        </w:tc>
      </w:tr>
      <w:tr>
        <w:trPr>
          <w:trHeight w:val="255"/>
        </w:trPr>
        <w:tc>
          <w:tcPr>
            <w:tcW w:w="377" w:type="pct"/>
            <w:tcBorders>
              <w:top w:val="nil"/>
              <w:left w:val="single" w:sz="4" w:space="0" w:color="auto"/>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1-3-P-4</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Modernizuoti kultūros infrastruktūros objektai, vnt.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r>
      <w:tr>
        <w:trPr>
          <w:trHeight w:val="570"/>
        </w:trPr>
        <w:tc>
          <w:tcPr>
            <w:tcW w:w="377" w:type="pct"/>
            <w:tcBorders>
              <w:top w:val="nil"/>
              <w:left w:val="single" w:sz="4" w:space="0" w:color="auto"/>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1-3-P-5</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Tikslinių grupių asmenys, kurie dalyvavo informavimo, švietimo ir mokymo renginiuose bei sveikatos raštingumą didinančiose veiklose, asm.</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5 446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10.892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16 338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21 784</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27 332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27 332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27 332</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27 332</w:t>
            </w:r>
          </w:p>
        </w:tc>
      </w:tr>
      <w:tr>
        <w:trPr>
          <w:trHeight w:val="660"/>
        </w:trPr>
        <w:tc>
          <w:tcPr>
            <w:tcW w:w="377" w:type="pct"/>
            <w:tcBorders>
              <w:top w:val="nil"/>
              <w:left w:val="single" w:sz="4" w:space="0" w:color="auto"/>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1-3-P-6</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Viešąsias sveikatos priežiūros paslaugas teikiančių įstaigų, kuriose pagerinta paslaugų teikimo infrastruktūra, skaičius, vnt.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r>
      <w:tr>
        <w:trPr>
          <w:trHeight w:val="405"/>
        </w:trPr>
        <w:tc>
          <w:tcPr>
            <w:tcW w:w="377" w:type="pct"/>
            <w:tcBorders>
              <w:top w:val="nil"/>
              <w:left w:val="single" w:sz="4" w:space="0" w:color="auto"/>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1-3-P-7</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Gyventojai, turintys galimybę pasinaudoti pagerintomis sveikatos priežiūros paslaugomis, asm.</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64 945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64 945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64 945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64 945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64 945</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64 945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64 945</w:t>
            </w:r>
          </w:p>
        </w:tc>
      </w:tr>
      <w:tr>
        <w:trPr>
          <w:trHeight w:val="600"/>
        </w:trPr>
        <w:tc>
          <w:tcPr>
            <w:tcW w:w="377" w:type="pct"/>
            <w:tcBorders>
              <w:top w:val="nil"/>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1-3-P-8</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Projektų, kuriuos visiškai arba iš dalies įgyvendino socialiniai partneriai ar NVO skaičius – 4 vnt.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color w:val="000000"/>
                <w:szCs w:val="24"/>
                <w:lang w:eastAsia="lt-LT"/>
              </w:rPr>
            </w:pPr>
            <w:r>
              <w:rPr>
                <w:rFonts w:eastAsia="Calibri"/>
                <w:color w:val="000000"/>
                <w:szCs w:val="24"/>
                <w:lang w:eastAsia="lt-LT"/>
              </w:rPr>
              <w:t>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4</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4</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4</w:t>
            </w:r>
          </w:p>
        </w:tc>
      </w:tr>
    </w:tbl>
    <w:p>
      <w:pPr>
        <w:ind w:firstLine="720"/>
        <w:rPr>
          <w:szCs w:val="24"/>
          <w:lang w:eastAsia="lt-LT"/>
        </w:rPr>
      </w:pPr>
    </w:p>
    <w:tbl>
      <w:tblPr>
        <w:tblW w:w="5160" w:type="pct"/>
        <w:tblCellMar>
          <w:left w:w="115" w:type="dxa"/>
          <w:right w:w="115" w:type="dxa"/>
        </w:tblCellMar>
        <w:tblLook w:val="04A0" w:firstRow="1" w:lastRow="0" w:firstColumn="1" w:lastColumn="0" w:noHBand="0" w:noVBand="1"/>
      </w:tblPr>
      <w:tblGrid>
        <w:gridCol w:w="4398"/>
        <w:gridCol w:w="1030"/>
        <w:gridCol w:w="1142"/>
        <w:gridCol w:w="1142"/>
        <w:gridCol w:w="5947"/>
      </w:tblGrid>
      <w:tr>
        <w:trPr>
          <w:cantSplit/>
          <w:trHeight w:val="20"/>
        </w:trPr>
        <w:tc>
          <w:tcPr>
            <w:tcW w:w="1610" w:type="pct"/>
            <w:tcBorders>
              <w:top w:val="single" w:sz="8" w:space="0" w:color="auto"/>
              <w:left w:val="single" w:sz="8" w:space="0" w:color="auto"/>
              <w:bottom w:val="single" w:sz="8" w:space="0" w:color="auto"/>
              <w:right w:val="single" w:sz="8" w:space="0" w:color="auto"/>
            </w:tcBorders>
            <w:shd w:val="clear" w:color="auto" w:fill="auto"/>
            <w:noWrap/>
            <w:vAlign w:val="center"/>
          </w:tcPr>
          <w:p>
            <w:pPr>
              <w:jc w:val="both"/>
              <w:rPr>
                <w:b/>
                <w:bCs/>
                <w:color w:val="000000"/>
                <w:szCs w:val="24"/>
                <w:lang w:eastAsia="lt-LT"/>
              </w:rPr>
            </w:pPr>
            <w:r>
              <w:rPr>
                <w:b/>
                <w:bCs/>
                <w:color w:val="000000"/>
                <w:szCs w:val="24"/>
                <w:lang w:eastAsia="lt-LT"/>
              </w:rPr>
              <w:t>Uždavinio įgyvendinimo priemonės:</w:t>
            </w:r>
          </w:p>
        </w:tc>
        <w:tc>
          <w:tcPr>
            <w:tcW w:w="377"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Lėšų poreikis (iš viso) tūkst. Eur</w:t>
            </w:r>
          </w:p>
        </w:tc>
        <w:tc>
          <w:tcPr>
            <w:tcW w:w="418"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jų viešosios lėšos, tūkst. Eur</w:t>
            </w:r>
          </w:p>
        </w:tc>
        <w:tc>
          <w:tcPr>
            <w:tcW w:w="418"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jų ES lėšos, tūkst. Eur</w:t>
            </w:r>
          </w:p>
        </w:tc>
        <w:tc>
          <w:tcPr>
            <w:tcW w:w="2178"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Sukuriamas produktas (produkto rodiklio pavadinimas, matavimo vienetai, kiekybinė reikšmė)</w:t>
            </w:r>
          </w:p>
        </w:tc>
      </w:tr>
      <w:tr>
        <w:trPr>
          <w:cantSplit/>
          <w:trHeight w:val="20"/>
        </w:trPr>
        <w:tc>
          <w:tcPr>
            <w:tcW w:w="1610" w:type="pct"/>
            <w:tcBorders>
              <w:top w:val="nil"/>
              <w:left w:val="single" w:sz="8" w:space="0" w:color="auto"/>
              <w:bottom w:val="single" w:sz="8" w:space="0" w:color="auto"/>
              <w:right w:val="single" w:sz="8" w:space="0" w:color="000000"/>
            </w:tcBorders>
            <w:shd w:val="clear" w:color="auto" w:fill="auto"/>
            <w:vAlign w:val="center"/>
          </w:tcPr>
          <w:p>
            <w:pPr>
              <w:jc w:val="both"/>
              <w:rPr>
                <w:i/>
                <w:color w:val="000000"/>
                <w:szCs w:val="24"/>
                <w:lang w:eastAsia="lt-LT"/>
              </w:rPr>
            </w:pPr>
            <w:r>
              <w:rPr>
                <w:i/>
                <w:color w:val="000000"/>
                <w:szCs w:val="24"/>
                <w:lang w:eastAsia="lt-LT"/>
              </w:rPr>
              <w:t>1.3.1.(v) Viešųjų materialinių ir (ar) nematerialinių investicijų (ES, valstybės, savivaldybių biudžetų ir kitų viešųjų lėšų) lėšomis numatomos įgyvendinti priemonės (kurios programos veiksmų plane bus detalizuotos iki veiksmų):</w:t>
            </w:r>
          </w:p>
        </w:tc>
        <w:tc>
          <w:tcPr>
            <w:tcW w:w="37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217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r>
      <w:tr>
        <w:trPr>
          <w:cantSplit/>
          <w:trHeight w:val="20"/>
        </w:trPr>
        <w:tc>
          <w:tcPr>
            <w:tcW w:w="1610" w:type="pct"/>
            <w:tcBorders>
              <w:top w:val="nil"/>
              <w:left w:val="single" w:sz="8" w:space="0" w:color="auto"/>
              <w:bottom w:val="nil"/>
              <w:right w:val="single" w:sz="8" w:space="0" w:color="000000"/>
            </w:tcBorders>
            <w:shd w:val="clear" w:color="auto" w:fill="auto"/>
            <w:vAlign w:val="center"/>
          </w:tcPr>
          <w:p>
            <w:pPr>
              <w:jc w:val="both"/>
              <w:rPr>
                <w:color w:val="000000"/>
                <w:szCs w:val="24"/>
                <w:lang w:eastAsia="lt-LT"/>
              </w:rPr>
            </w:pPr>
            <w:r>
              <w:rPr>
                <w:color w:val="000000"/>
                <w:szCs w:val="24"/>
                <w:lang w:eastAsia="lt-LT"/>
              </w:rPr>
              <w:t>1.3.1.1. Kauno kartų namų (Sąjungos a. 13A) infrastruktūros modernizavimas ir pritaikymas senyvo amžiaus asmenims</w:t>
            </w:r>
          </w:p>
        </w:tc>
        <w:tc>
          <w:tcPr>
            <w:tcW w:w="377" w:type="pct"/>
            <w:tcBorders>
              <w:top w:val="nil"/>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1 289</w:t>
            </w:r>
          </w:p>
        </w:tc>
        <w:tc>
          <w:tcPr>
            <w:tcW w:w="418" w:type="pct"/>
            <w:tcBorders>
              <w:top w:val="nil"/>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1 289</w:t>
            </w:r>
          </w:p>
        </w:tc>
        <w:tc>
          <w:tcPr>
            <w:tcW w:w="418" w:type="pct"/>
            <w:tcBorders>
              <w:top w:val="nil"/>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1 096</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 xml:space="preserve">Investicijas gavę socialinių paslaugų infrastruktūros </w:t>
            </w:r>
          </w:p>
          <w:p>
            <w:pPr>
              <w:jc w:val="center"/>
              <w:rPr>
                <w:color w:val="000000"/>
                <w:szCs w:val="24"/>
                <w:lang w:eastAsia="lt-LT"/>
              </w:rPr>
            </w:pPr>
            <w:r>
              <w:rPr>
                <w:color w:val="000000"/>
                <w:szCs w:val="24"/>
                <w:lang w:eastAsia="lt-LT"/>
              </w:rPr>
              <w:t>objektai – 1 vnt.</w:t>
            </w:r>
          </w:p>
        </w:tc>
      </w:tr>
      <w:tr>
        <w:trPr>
          <w:cantSplit/>
          <w:trHeight w:val="20"/>
        </w:trPr>
        <w:tc>
          <w:tcPr>
            <w:tcW w:w="1610" w:type="pct"/>
            <w:tcBorders>
              <w:top w:val="single" w:sz="8" w:space="0" w:color="auto"/>
              <w:left w:val="single" w:sz="8" w:space="0" w:color="auto"/>
              <w:bottom w:val="nil"/>
              <w:right w:val="single" w:sz="8" w:space="0" w:color="000000"/>
            </w:tcBorders>
            <w:shd w:val="clear" w:color="auto" w:fill="auto"/>
            <w:vAlign w:val="center"/>
          </w:tcPr>
          <w:p>
            <w:pPr>
              <w:jc w:val="both"/>
              <w:rPr>
                <w:color w:val="000000"/>
                <w:szCs w:val="24"/>
                <w:lang w:eastAsia="lt-LT"/>
              </w:rPr>
            </w:pPr>
            <w:r>
              <w:rPr>
                <w:color w:val="000000"/>
                <w:szCs w:val="24"/>
                <w:lang w:eastAsia="lt-LT"/>
              </w:rPr>
              <w:t>1.3.1.2. Energetiškai efektyvių būstų įsigijimas pagal socialinio būsto fondo plėtros programą</w:t>
            </w:r>
          </w:p>
        </w:tc>
        <w:tc>
          <w:tcPr>
            <w:tcW w:w="377" w:type="pct"/>
            <w:tcBorders>
              <w:top w:val="single" w:sz="8"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6 717</w:t>
            </w:r>
          </w:p>
        </w:tc>
        <w:tc>
          <w:tcPr>
            <w:tcW w:w="418" w:type="pct"/>
            <w:tcBorders>
              <w:top w:val="single" w:sz="8"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6 717</w:t>
            </w:r>
          </w:p>
        </w:tc>
        <w:tc>
          <w:tcPr>
            <w:tcW w:w="418" w:type="pct"/>
            <w:tcBorders>
              <w:top w:val="single" w:sz="8"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5 709</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Naujai įrengtų ar įsigytų socialinių būstų skaičius – 131 vnt.</w:t>
            </w:r>
          </w:p>
        </w:tc>
      </w:tr>
      <w:tr>
        <w:trPr>
          <w:cantSplit/>
          <w:trHeight w:val="20"/>
        </w:trPr>
        <w:tc>
          <w:tcPr>
            <w:tcW w:w="1610" w:type="pct"/>
            <w:tcBorders>
              <w:top w:val="single" w:sz="8" w:space="0" w:color="auto"/>
              <w:left w:val="single" w:sz="8" w:space="0" w:color="auto"/>
              <w:bottom w:val="nil"/>
              <w:right w:val="single" w:sz="8" w:space="0" w:color="000000"/>
            </w:tcBorders>
            <w:shd w:val="clear" w:color="auto" w:fill="auto"/>
            <w:vAlign w:val="center"/>
          </w:tcPr>
          <w:p>
            <w:pPr>
              <w:jc w:val="both"/>
              <w:rPr>
                <w:color w:val="000000"/>
                <w:szCs w:val="24"/>
                <w:lang w:eastAsia="lt-LT"/>
              </w:rPr>
            </w:pPr>
            <w:r>
              <w:rPr>
                <w:color w:val="000000"/>
                <w:szCs w:val="24"/>
                <w:lang w:eastAsia="lt-LT"/>
              </w:rPr>
              <w:t>1.3.1.3. Žaliakalnio NVO daugiafunkcio centro įrengimas (Savanorių pr. 241A), pritaikant pastatą visuomenės poreikiams, siekiant aktyvinti bendruomenių socialinę, kultūrinę veiklą bei skatinti verslumą</w:t>
            </w:r>
          </w:p>
        </w:tc>
        <w:tc>
          <w:tcPr>
            <w:tcW w:w="377" w:type="pct"/>
            <w:tcBorders>
              <w:top w:val="single" w:sz="8"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1 500</w:t>
            </w:r>
          </w:p>
        </w:tc>
        <w:tc>
          <w:tcPr>
            <w:tcW w:w="418" w:type="pct"/>
            <w:tcBorders>
              <w:top w:val="single" w:sz="8"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1 500</w:t>
            </w:r>
          </w:p>
        </w:tc>
        <w:tc>
          <w:tcPr>
            <w:tcW w:w="418" w:type="pct"/>
            <w:tcBorders>
              <w:top w:val="single" w:sz="8" w:space="0" w:color="auto"/>
              <w:left w:val="nil"/>
              <w:bottom w:val="nil"/>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1 275</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Pastatyti arba atnaujinti viešieji arba komerciniai pastatai miestų vietovėse – 978 m</w:t>
            </w:r>
            <w:r>
              <w:rPr>
                <w:color w:val="000000"/>
                <w:szCs w:val="24"/>
                <w:vertAlign w:val="superscript"/>
                <w:lang w:eastAsia="lt-LT"/>
              </w:rPr>
              <w:t>2</w:t>
            </w:r>
          </w:p>
        </w:tc>
      </w:tr>
      <w:tr>
        <w:trPr>
          <w:cantSplit/>
          <w:trHeight w:val="20"/>
        </w:trPr>
        <w:tc>
          <w:tcPr>
            <w:tcW w:w="1610" w:type="pct"/>
            <w:tcBorders>
              <w:top w:val="single" w:sz="8" w:space="0" w:color="auto"/>
              <w:left w:val="single" w:sz="8" w:space="0" w:color="auto"/>
              <w:bottom w:val="single" w:sz="4"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1.3.1.4. Kauno kultūros centro „Tautos namai“ infrastruktūros pritaikymas vietos bendruomenės reikmėms</w:t>
            </w:r>
          </w:p>
        </w:tc>
        <w:tc>
          <w:tcPr>
            <w:tcW w:w="377" w:type="pct"/>
            <w:tcBorders>
              <w:top w:val="single" w:sz="8"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1 028</w:t>
            </w:r>
          </w:p>
        </w:tc>
        <w:tc>
          <w:tcPr>
            <w:tcW w:w="418" w:type="pct"/>
            <w:tcBorders>
              <w:top w:val="single" w:sz="8"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1 028</w:t>
            </w:r>
          </w:p>
        </w:tc>
        <w:tc>
          <w:tcPr>
            <w:tcW w:w="418" w:type="pct"/>
            <w:tcBorders>
              <w:top w:val="single" w:sz="8"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873</w:t>
            </w:r>
          </w:p>
        </w:tc>
        <w:tc>
          <w:tcPr>
            <w:tcW w:w="2178" w:type="pct"/>
            <w:tcBorders>
              <w:top w:val="nil"/>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Modernizuoti kultūros infrastruktūros objektai – 1 vnt.</w:t>
            </w:r>
          </w:p>
        </w:tc>
      </w:tr>
      <w:tr>
        <w:trPr>
          <w:cantSplit/>
          <w:trHeight w:val="20"/>
        </w:trPr>
        <w:tc>
          <w:tcPr>
            <w:tcW w:w="1610" w:type="pct"/>
            <w:tcBorders>
              <w:top w:val="single" w:sz="4" w:space="0" w:color="auto"/>
              <w:left w:val="single" w:sz="4" w:space="0" w:color="auto"/>
              <w:bottom w:val="single" w:sz="4"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 xml:space="preserve">1.3.1.5. Vyresnio amžiaus žmonių sveikatos gerinimas ir sveiko senėjimo skatinimas Kauno mieste </w:t>
            </w:r>
          </w:p>
        </w:tc>
        <w:tc>
          <w:tcPr>
            <w:tcW w:w="377"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18</w:t>
            </w:r>
          </w:p>
        </w:tc>
        <w:tc>
          <w:tcPr>
            <w:tcW w:w="418"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18</w:t>
            </w:r>
          </w:p>
        </w:tc>
        <w:tc>
          <w:tcPr>
            <w:tcW w:w="418" w:type="pct"/>
            <w:tcBorders>
              <w:top w:val="single" w:sz="4" w:space="0" w:color="auto"/>
              <w:left w:val="nil"/>
              <w:bottom w:val="single" w:sz="4"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15</w:t>
            </w:r>
          </w:p>
        </w:tc>
        <w:tc>
          <w:tcPr>
            <w:tcW w:w="2178" w:type="pct"/>
            <w:tcBorders>
              <w:top w:val="single" w:sz="4" w:space="0" w:color="auto"/>
              <w:left w:val="nil"/>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3 103 asm.</w:t>
            </w:r>
          </w:p>
        </w:tc>
      </w:tr>
      <w:tr>
        <w:trPr>
          <w:cantSplit/>
          <w:trHeight w:val="20"/>
        </w:trPr>
        <w:tc>
          <w:tcPr>
            <w:tcW w:w="1610" w:type="pct"/>
            <w:tcBorders>
              <w:top w:val="single" w:sz="4" w:space="0" w:color="auto"/>
              <w:left w:val="single" w:sz="8" w:space="0" w:color="auto"/>
              <w:bottom w:val="single" w:sz="8"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 xml:space="preserve">1.3.1.6. Psichikos sveikatos gerinimas vyresniame amžiuje Kauno mieste </w:t>
            </w:r>
          </w:p>
        </w:tc>
        <w:tc>
          <w:tcPr>
            <w:tcW w:w="377"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21</w:t>
            </w:r>
          </w:p>
        </w:tc>
        <w:tc>
          <w:tcPr>
            <w:tcW w:w="418"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21</w:t>
            </w:r>
          </w:p>
        </w:tc>
        <w:tc>
          <w:tcPr>
            <w:tcW w:w="418"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18</w:t>
            </w:r>
          </w:p>
        </w:tc>
        <w:tc>
          <w:tcPr>
            <w:tcW w:w="2178" w:type="pct"/>
            <w:tcBorders>
              <w:top w:val="single" w:sz="4"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2 403 asm.</w:t>
            </w:r>
          </w:p>
        </w:tc>
      </w:tr>
      <w:tr>
        <w:trPr>
          <w:cantSplit/>
          <w:trHeight w:val="20"/>
        </w:trPr>
        <w:tc>
          <w:tcPr>
            <w:tcW w:w="1610" w:type="pct"/>
            <w:tcBorders>
              <w:top w:val="nil"/>
              <w:left w:val="single" w:sz="8" w:space="0" w:color="auto"/>
              <w:bottom w:val="single" w:sz="8"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1.3.1.7. Informacijos sklaida siekiant gerinti Kauno miesto gyventojų žinias apie tuberkuliozės keliamą grėsmę, ypatingą dėmesį skiriant pasiekti rizikos grupėse esančius gyventojus</w:t>
            </w:r>
          </w:p>
        </w:tc>
        <w:tc>
          <w:tcPr>
            <w:tcW w:w="37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29</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29</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24</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15 068 asm.</w:t>
            </w:r>
          </w:p>
        </w:tc>
      </w:tr>
      <w:tr>
        <w:trPr>
          <w:cantSplit/>
          <w:trHeight w:val="20"/>
        </w:trPr>
        <w:tc>
          <w:tcPr>
            <w:tcW w:w="1610" w:type="pct"/>
            <w:tcBorders>
              <w:top w:val="nil"/>
              <w:left w:val="single" w:sz="8" w:space="0" w:color="auto"/>
              <w:bottom w:val="single" w:sz="8"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 xml:space="preserve">1.3.1.8. Vaikų, lankančių Kauno ikimokyklines ugdymo įstaigas sveikatos saugojimas ir stiprinimas, vykdant Kauno miesto vaikų statistiškai vyraujančių ligų prevenciją, įgyvendinant sveikos gyvensenos stiprinimo ir ugdymo iniciatyvas </w:t>
            </w:r>
          </w:p>
        </w:tc>
        <w:tc>
          <w:tcPr>
            <w:tcW w:w="37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14</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14</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12</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545 asm.</w:t>
            </w:r>
          </w:p>
        </w:tc>
      </w:tr>
      <w:tr>
        <w:trPr>
          <w:cantSplit/>
          <w:trHeight w:val="20"/>
        </w:trPr>
        <w:tc>
          <w:tcPr>
            <w:tcW w:w="1610" w:type="pct"/>
            <w:tcBorders>
              <w:top w:val="nil"/>
              <w:left w:val="single" w:sz="8" w:space="0" w:color="auto"/>
              <w:bottom w:val="single" w:sz="8"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 xml:space="preserve">1.3.1.9. Vyresnių nei 60 metų gyventojų sveikatos saugojimas ir stiprinimas, vykdant griuvimų prevenciją Kauno mieste </w:t>
            </w:r>
          </w:p>
        </w:tc>
        <w:tc>
          <w:tcPr>
            <w:tcW w:w="37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28</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28</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24</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3 878 asm.</w:t>
            </w:r>
          </w:p>
        </w:tc>
      </w:tr>
      <w:tr>
        <w:trPr>
          <w:cantSplit/>
          <w:trHeight w:val="20"/>
        </w:trPr>
        <w:tc>
          <w:tcPr>
            <w:tcW w:w="1610" w:type="pct"/>
            <w:tcBorders>
              <w:top w:val="nil"/>
              <w:left w:val="single" w:sz="8" w:space="0" w:color="auto"/>
              <w:bottom w:val="single" w:sz="8"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1.3.1.10. Vaikų sveikatos saugojimas ir stiprinimas, vykdant nelaimingų atsitikimų, sužalojimų, traumų ir skendimų prevenciją Kauno mieste</w:t>
            </w:r>
          </w:p>
        </w:tc>
        <w:tc>
          <w:tcPr>
            <w:tcW w:w="37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29</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29</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24</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Tikslinių grupių asmenys, kurie dalyvavo informavimo, švietimo ir mokymo renginiuose bei sveikatos raštingumą didinančiose veiklose – 2 335 asm.</w:t>
            </w:r>
          </w:p>
        </w:tc>
      </w:tr>
      <w:tr>
        <w:trPr>
          <w:cantSplit/>
          <w:trHeight w:val="20"/>
        </w:trPr>
        <w:tc>
          <w:tcPr>
            <w:tcW w:w="1610" w:type="pct"/>
            <w:tcBorders>
              <w:top w:val="nil"/>
              <w:left w:val="single" w:sz="8" w:space="0" w:color="auto"/>
              <w:bottom w:val="single" w:sz="8"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1.3.1.11. Pirminės sveikatos priežiūros paslaugų neįgaliesiems ir vyresnio amžiaus asmenims kokybės ir prieinamumo gerinimas VšĮ Kauno Centro poliklinikoje</w:t>
            </w:r>
          </w:p>
        </w:tc>
        <w:tc>
          <w:tcPr>
            <w:tcW w:w="37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886</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886</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754</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 xml:space="preserve">Viešąsias sveikatos priežiūros paslaugas teikiančių įstaigų, kuriose pagerinta paslaugų teikimo infrastruktūra, skaičius – </w:t>
            </w:r>
          </w:p>
          <w:p>
            <w:pPr>
              <w:jc w:val="center"/>
              <w:rPr>
                <w:color w:val="000000"/>
                <w:szCs w:val="24"/>
                <w:lang w:eastAsia="lt-LT"/>
              </w:rPr>
            </w:pPr>
            <w:r>
              <w:rPr>
                <w:color w:val="000000"/>
                <w:szCs w:val="24"/>
                <w:lang w:eastAsia="lt-LT"/>
              </w:rPr>
              <w:t xml:space="preserve">1 vnt. </w:t>
            </w:r>
          </w:p>
          <w:p>
            <w:pPr>
              <w:jc w:val="center"/>
              <w:rPr>
                <w:color w:val="000000"/>
                <w:szCs w:val="24"/>
                <w:lang w:eastAsia="lt-LT"/>
              </w:rPr>
            </w:pPr>
            <w:r>
              <w:rPr>
                <w:color w:val="000000"/>
                <w:szCs w:val="24"/>
                <w:lang w:eastAsia="lt-LT"/>
              </w:rPr>
              <w:t>Gyventojai, turintys galimybę</w:t>
              <w:br/>
              <w:t xml:space="preserve">pasinaudoti pagerintomis sveikatos priežiūros paslaugomis – </w:t>
            </w:r>
          </w:p>
          <w:p>
            <w:pPr>
              <w:jc w:val="center"/>
              <w:rPr>
                <w:color w:val="000000"/>
                <w:szCs w:val="24"/>
                <w:lang w:eastAsia="lt-LT"/>
              </w:rPr>
            </w:pPr>
            <w:r>
              <w:rPr>
                <w:color w:val="000000"/>
                <w:szCs w:val="24"/>
                <w:lang w:eastAsia="lt-LT"/>
              </w:rPr>
              <w:t>34 904</w:t>
            </w:r>
          </w:p>
        </w:tc>
      </w:tr>
      <w:tr>
        <w:trPr>
          <w:cantSplit/>
          <w:trHeight w:val="20"/>
        </w:trPr>
        <w:tc>
          <w:tcPr>
            <w:tcW w:w="1610" w:type="pct"/>
            <w:tcBorders>
              <w:top w:val="nil"/>
              <w:left w:val="single" w:sz="8" w:space="0" w:color="auto"/>
              <w:bottom w:val="single" w:sz="8" w:space="0" w:color="auto"/>
              <w:right w:val="single" w:sz="8" w:space="0" w:color="auto"/>
            </w:tcBorders>
            <w:shd w:val="clear" w:color="auto" w:fill="auto"/>
            <w:vAlign w:val="center"/>
          </w:tcPr>
          <w:p>
            <w:pPr>
              <w:jc w:val="both"/>
              <w:rPr>
                <w:color w:val="000000"/>
                <w:szCs w:val="24"/>
                <w:lang w:eastAsia="lt-LT"/>
              </w:rPr>
            </w:pPr>
            <w:r>
              <w:rPr>
                <w:color w:val="000000"/>
                <w:szCs w:val="24"/>
                <w:lang w:eastAsia="lt-LT"/>
              </w:rPr>
              <w:t>1.3.1.12. Viešosios įstaigos Kauno Kalniečių poliklinikos efektyvios ir kokybiškos sveikatos priežiūros prieinamumo gerinimas neįgaliesiems ir vyresnio amžiaus žmonėms</w:t>
            </w:r>
          </w:p>
        </w:tc>
        <w:tc>
          <w:tcPr>
            <w:tcW w:w="37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869</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869</w:t>
            </w:r>
          </w:p>
        </w:tc>
        <w:tc>
          <w:tcPr>
            <w:tcW w:w="41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739</w:t>
            </w:r>
          </w:p>
        </w:tc>
        <w:tc>
          <w:tcPr>
            <w:tcW w:w="2178"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 xml:space="preserve">Viešąsias sveikatos priežiūros paslaugas teikiančių įstaigų, kuriose pagerinta paslaugų teikimo infrastruktūra, skaičius – </w:t>
            </w:r>
          </w:p>
          <w:p>
            <w:pPr>
              <w:jc w:val="center"/>
              <w:rPr>
                <w:color w:val="000000"/>
                <w:szCs w:val="24"/>
                <w:lang w:eastAsia="lt-LT"/>
              </w:rPr>
            </w:pPr>
            <w:r>
              <w:rPr>
                <w:color w:val="000000"/>
                <w:szCs w:val="24"/>
                <w:lang w:eastAsia="lt-LT"/>
              </w:rPr>
              <w:t xml:space="preserve">1 vnt. </w:t>
            </w:r>
          </w:p>
          <w:p>
            <w:pPr>
              <w:jc w:val="center"/>
              <w:rPr>
                <w:color w:val="000000"/>
                <w:szCs w:val="24"/>
                <w:lang w:eastAsia="lt-LT"/>
              </w:rPr>
            </w:pPr>
            <w:r>
              <w:rPr>
                <w:color w:val="000000"/>
                <w:szCs w:val="24"/>
                <w:lang w:eastAsia="lt-LT"/>
              </w:rPr>
              <w:t>Gyventojai, turintys galimybę</w:t>
              <w:br/>
              <w:t xml:space="preserve">pasinaudoti pagerintomis sveikatos priežiūros paslaugomis – </w:t>
            </w:r>
          </w:p>
          <w:p>
            <w:pPr>
              <w:jc w:val="center"/>
              <w:rPr>
                <w:color w:val="000000"/>
                <w:szCs w:val="24"/>
                <w:lang w:eastAsia="lt-LT"/>
              </w:rPr>
            </w:pPr>
            <w:r>
              <w:rPr>
                <w:color w:val="000000"/>
                <w:szCs w:val="24"/>
                <w:lang w:eastAsia="lt-LT"/>
              </w:rPr>
              <w:t>30 041</w:t>
            </w:r>
          </w:p>
        </w:tc>
      </w:tr>
      <w:tr>
        <w:trPr>
          <w:cantSplit/>
          <w:trHeight w:val="20"/>
        </w:trPr>
        <w:tc>
          <w:tcPr>
            <w:tcW w:w="1610" w:type="pct"/>
            <w:tcBorders>
              <w:top w:val="nil"/>
              <w:left w:val="single" w:sz="8" w:space="0" w:color="auto"/>
              <w:bottom w:val="single" w:sz="4" w:space="0" w:color="auto"/>
              <w:right w:val="single" w:sz="8" w:space="0" w:color="000000"/>
            </w:tcBorders>
            <w:shd w:val="clear" w:color="auto" w:fill="auto"/>
            <w:vAlign w:val="center"/>
          </w:tcPr>
          <w:p>
            <w:pPr>
              <w:jc w:val="both"/>
              <w:rPr>
                <w:i/>
                <w:color w:val="000000"/>
                <w:szCs w:val="24"/>
                <w:lang w:eastAsia="lt-LT"/>
              </w:rPr>
            </w:pPr>
            <w:r>
              <w:rPr>
                <w:i/>
                <w:color w:val="000000"/>
                <w:szCs w:val="24"/>
                <w:lang w:eastAsia="lt-LT"/>
              </w:rPr>
              <w:t>1.3.2. Priemonės, siūlomos įgyvendinti per bendruomenės inicijuotos vietos plėtros iniciatyvą:</w:t>
            </w:r>
          </w:p>
        </w:tc>
        <w:tc>
          <w:tcPr>
            <w:tcW w:w="377"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418"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418"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c>
          <w:tcPr>
            <w:tcW w:w="2178" w:type="pct"/>
            <w:tcBorders>
              <w:top w:val="nil"/>
              <w:left w:val="nil"/>
              <w:bottom w:val="single" w:sz="4" w:space="0" w:color="auto"/>
              <w:right w:val="single" w:sz="8" w:space="0" w:color="auto"/>
            </w:tcBorders>
            <w:shd w:val="clear" w:color="auto" w:fill="auto"/>
            <w:noWrap/>
            <w:vAlign w:val="center"/>
          </w:tcPr>
          <w:p>
            <w:pPr>
              <w:jc w:val="center"/>
              <w:rPr>
                <w:color w:val="000000"/>
                <w:szCs w:val="24"/>
                <w:lang w:eastAsia="lt-LT"/>
              </w:rPr>
            </w:pPr>
          </w:p>
        </w:tc>
      </w:tr>
      <w:tr>
        <w:trPr>
          <w:cantSplit/>
          <w:trHeight w:val="20"/>
        </w:trPr>
        <w:tc>
          <w:tcPr>
            <w:tcW w:w="1610" w:type="pct"/>
            <w:tcBorders>
              <w:top w:val="single" w:sz="4" w:space="0" w:color="auto"/>
              <w:left w:val="single" w:sz="4"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1.3.2.1. Pagal Aleksoto ir Žaliakalnio teritorijose veikiančių VVG parengtas vietos plėtros strategijas (bendradarbiaujant savivaldybei, įmonėms ir verslo asociacijoms, bendruomenėms ir kitoms NVO įgyvendinti vietos bendruomenių socialines ir kultūrines iniciatyvas socialinei integracijai didinti; jaunimo bei socialinio verslumo iniciatyvas; veiklas skatinančias jaunimo užimtumą, įdarbinimą ir verslumą</w:t>
            </w:r>
          </w:p>
        </w:tc>
        <w:tc>
          <w:tcPr>
            <w:tcW w:w="377"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X</w:t>
            </w:r>
          </w:p>
        </w:tc>
        <w:tc>
          <w:tcPr>
            <w:tcW w:w="418"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 xml:space="preserve">X </w:t>
            </w:r>
          </w:p>
        </w:tc>
        <w:tc>
          <w:tcPr>
            <w:tcW w:w="418" w:type="pct"/>
            <w:tcBorders>
              <w:top w:val="single" w:sz="4" w:space="0" w:color="auto"/>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X</w:t>
            </w:r>
          </w:p>
        </w:tc>
        <w:tc>
          <w:tcPr>
            <w:tcW w:w="2178" w:type="pct"/>
            <w:tcBorders>
              <w:top w:val="single" w:sz="4" w:space="0" w:color="auto"/>
              <w:left w:val="nil"/>
              <w:bottom w:val="single" w:sz="8"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BIVP projektų veiklų dalyviai (įskaitant visas tikslines grupes) – 625 asm.</w:t>
            </w:r>
          </w:p>
        </w:tc>
      </w:tr>
      <w:tr>
        <w:trPr>
          <w:cantSplit/>
          <w:trHeight w:val="20"/>
        </w:trPr>
        <w:tc>
          <w:tcPr>
            <w:tcW w:w="1610" w:type="pct"/>
            <w:tcBorders>
              <w:top w:val="single" w:sz="8" w:space="0" w:color="auto"/>
              <w:left w:val="single" w:sz="4" w:space="0" w:color="auto"/>
              <w:bottom w:val="single" w:sz="4" w:space="0" w:color="auto"/>
              <w:right w:val="single" w:sz="8" w:space="0" w:color="auto"/>
            </w:tcBorders>
            <w:shd w:val="clear" w:color="auto" w:fill="auto"/>
            <w:noWrap/>
            <w:vAlign w:val="center"/>
          </w:tcPr>
          <w:p>
            <w:pPr>
              <w:rPr>
                <w:b/>
                <w:color w:val="000000"/>
                <w:szCs w:val="24"/>
                <w:lang w:eastAsia="lt-LT"/>
              </w:rPr>
            </w:pPr>
            <w:r>
              <w:rPr>
                <w:b/>
                <w:color w:val="000000"/>
                <w:szCs w:val="24"/>
                <w:lang w:eastAsia="lt-LT"/>
              </w:rPr>
              <w:t>Lėšų poreikis uždaviniui įgyvendinti:</w:t>
            </w:r>
          </w:p>
        </w:tc>
        <w:tc>
          <w:tcPr>
            <w:tcW w:w="377" w:type="pct"/>
            <w:tcBorders>
              <w:top w:val="single" w:sz="8" w:space="0" w:color="auto"/>
              <w:left w:val="nil"/>
              <w:bottom w:val="single" w:sz="4" w:space="0" w:color="auto"/>
              <w:right w:val="single" w:sz="8" w:space="0" w:color="auto"/>
            </w:tcBorders>
            <w:shd w:val="clear" w:color="auto" w:fill="auto"/>
            <w:noWrap/>
          </w:tcPr>
          <w:p>
            <w:pPr>
              <w:rPr>
                <w:szCs w:val="24"/>
                <w:lang w:eastAsia="lt-LT"/>
              </w:rPr>
            </w:pPr>
          </w:p>
          <w:p>
            <w:pPr>
              <w:jc w:val="center"/>
              <w:rPr>
                <w:rFonts w:eastAsia="Calibri"/>
                <w:b/>
                <w:szCs w:val="24"/>
                <w:lang w:eastAsia="lt-LT"/>
              </w:rPr>
            </w:pPr>
            <w:r>
              <w:rPr>
                <w:rFonts w:eastAsia="Calibri"/>
                <w:b/>
                <w:szCs w:val="24"/>
                <w:lang w:eastAsia="lt-LT"/>
              </w:rPr>
              <w:t>12 428</w:t>
            </w:r>
          </w:p>
        </w:tc>
        <w:tc>
          <w:tcPr>
            <w:tcW w:w="418" w:type="pct"/>
            <w:tcBorders>
              <w:top w:val="single" w:sz="8" w:space="0" w:color="auto"/>
              <w:left w:val="nil"/>
              <w:bottom w:val="single" w:sz="4" w:space="0" w:color="auto"/>
              <w:right w:val="single" w:sz="8" w:space="0" w:color="auto"/>
            </w:tcBorders>
            <w:shd w:val="clear" w:color="auto" w:fill="auto"/>
            <w:noWrap/>
          </w:tcPr>
          <w:p>
            <w:pPr>
              <w:rPr>
                <w:szCs w:val="24"/>
                <w:lang w:eastAsia="lt-LT"/>
              </w:rPr>
            </w:pPr>
          </w:p>
          <w:p>
            <w:pPr>
              <w:jc w:val="center"/>
              <w:rPr>
                <w:rFonts w:eastAsia="Calibri"/>
                <w:b/>
                <w:szCs w:val="24"/>
                <w:lang w:eastAsia="lt-LT"/>
              </w:rPr>
            </w:pPr>
            <w:r>
              <w:rPr>
                <w:rFonts w:eastAsia="Calibri"/>
                <w:b/>
                <w:szCs w:val="24"/>
                <w:lang w:eastAsia="lt-LT"/>
              </w:rPr>
              <w:t>12 428</w:t>
            </w:r>
          </w:p>
        </w:tc>
        <w:tc>
          <w:tcPr>
            <w:tcW w:w="418" w:type="pct"/>
            <w:tcBorders>
              <w:top w:val="single" w:sz="8" w:space="0" w:color="auto"/>
              <w:left w:val="nil"/>
              <w:bottom w:val="single" w:sz="4" w:space="0" w:color="auto"/>
              <w:right w:val="single" w:sz="8" w:space="0" w:color="auto"/>
            </w:tcBorders>
            <w:shd w:val="clear" w:color="auto" w:fill="auto"/>
            <w:noWrap/>
          </w:tcPr>
          <w:p>
            <w:pPr>
              <w:rPr>
                <w:szCs w:val="24"/>
                <w:lang w:eastAsia="lt-LT"/>
              </w:rPr>
            </w:pPr>
          </w:p>
          <w:p>
            <w:pPr>
              <w:jc w:val="center"/>
              <w:rPr>
                <w:rFonts w:eastAsia="Calibri"/>
                <w:b/>
                <w:szCs w:val="24"/>
                <w:lang w:eastAsia="lt-LT"/>
              </w:rPr>
            </w:pPr>
            <w:r>
              <w:rPr>
                <w:rFonts w:eastAsia="Calibri"/>
                <w:b/>
                <w:szCs w:val="24"/>
                <w:lang w:eastAsia="lt-LT"/>
              </w:rPr>
              <w:t>10 563</w:t>
            </w:r>
          </w:p>
        </w:tc>
        <w:tc>
          <w:tcPr>
            <w:tcW w:w="2178" w:type="pct"/>
            <w:tcBorders>
              <w:top w:val="single" w:sz="8" w:space="0" w:color="auto"/>
              <w:left w:val="nil"/>
              <w:bottom w:val="single" w:sz="4" w:space="0" w:color="auto"/>
              <w:right w:val="single" w:sz="4" w:space="0" w:color="auto"/>
            </w:tcBorders>
            <w:shd w:val="clear" w:color="auto" w:fill="auto"/>
            <w:noWrap/>
            <w:vAlign w:val="center"/>
          </w:tcPr>
          <w:p>
            <w:pPr>
              <w:jc w:val="center"/>
              <w:rPr>
                <w:color w:val="000000"/>
                <w:szCs w:val="24"/>
                <w:lang w:eastAsia="lt-LT"/>
              </w:rPr>
            </w:pPr>
          </w:p>
        </w:tc>
      </w:tr>
    </w:tbl>
    <w:p>
      <w:pPr>
        <w:ind w:firstLine="720"/>
        <w:rPr>
          <w:szCs w:val="24"/>
          <w:lang w:eastAsia="lt-LT"/>
        </w:rPr>
      </w:pPr>
    </w:p>
    <w:tbl>
      <w:tblPr>
        <w:tblW w:w="5156" w:type="pct"/>
        <w:tblLayout w:type="fixed"/>
        <w:tblCellMar>
          <w:left w:w="115" w:type="dxa"/>
          <w:right w:w="115" w:type="dxa"/>
        </w:tblCellMar>
        <w:tblLook w:val="04A0" w:firstRow="1" w:lastRow="0" w:firstColumn="1" w:lastColumn="0" w:noHBand="0" w:noVBand="1"/>
      </w:tblPr>
      <w:tblGrid>
        <w:gridCol w:w="901"/>
        <w:gridCol w:w="560"/>
        <w:gridCol w:w="1245"/>
        <w:gridCol w:w="1029"/>
        <w:gridCol w:w="1160"/>
        <w:gridCol w:w="1160"/>
        <w:gridCol w:w="1157"/>
        <w:gridCol w:w="1029"/>
        <w:gridCol w:w="1029"/>
        <w:gridCol w:w="1032"/>
        <w:gridCol w:w="1092"/>
        <w:gridCol w:w="1097"/>
        <w:gridCol w:w="1157"/>
      </w:tblGrid>
      <w:tr>
        <w:trPr>
          <w:cantSplit/>
          <w:trHeight w:val="240"/>
        </w:trPr>
        <w:tc>
          <w:tcPr>
            <w:tcW w:w="4174" w:type="pct"/>
            <w:gridSpan w:val="11"/>
            <w:tcBorders>
              <w:top w:val="nil"/>
              <w:left w:val="nil"/>
              <w:bottom w:val="nil"/>
              <w:right w:val="nil"/>
            </w:tcBorders>
            <w:shd w:val="clear" w:color="auto" w:fill="auto"/>
            <w:noWrap/>
            <w:vAlign w:val="center"/>
          </w:tcPr>
          <w:p>
            <w:pPr>
              <w:jc w:val="both"/>
              <w:rPr>
                <w:b/>
                <w:bCs/>
                <w:color w:val="000000"/>
                <w:szCs w:val="24"/>
                <w:u w:val="single"/>
                <w:lang w:eastAsia="lt-LT"/>
              </w:rPr>
            </w:pPr>
            <w:r>
              <w:rPr>
                <w:b/>
                <w:bCs/>
                <w:color w:val="000000"/>
                <w:szCs w:val="24"/>
                <w:u w:val="single"/>
                <w:lang w:eastAsia="lt-LT"/>
              </w:rPr>
              <w:t>1.4. Uždavinys: Mažinti oro užterštumą, kuriant saugią ir darnią susisiekimo sistemą</w:t>
            </w:r>
          </w:p>
        </w:tc>
        <w:tc>
          <w:tcPr>
            <w:tcW w:w="402" w:type="pct"/>
            <w:tcBorders>
              <w:top w:val="nil"/>
              <w:left w:val="nil"/>
              <w:bottom w:val="nil"/>
              <w:right w:val="nil"/>
            </w:tcBorders>
            <w:shd w:val="clear" w:color="auto" w:fill="auto"/>
            <w:noWrap/>
            <w:vAlign w:val="bottom"/>
          </w:tcPr>
          <w:p>
            <w:pPr>
              <w:rPr>
                <w:color w:val="000000"/>
                <w:szCs w:val="24"/>
                <w:lang w:eastAsia="lt-LT"/>
              </w:rPr>
            </w:pPr>
          </w:p>
        </w:tc>
        <w:tc>
          <w:tcPr>
            <w:tcW w:w="425" w:type="pct"/>
            <w:tcBorders>
              <w:top w:val="nil"/>
              <w:left w:val="nil"/>
              <w:bottom w:val="nil"/>
              <w:right w:val="nil"/>
            </w:tcBorders>
            <w:shd w:val="clear" w:color="auto" w:fill="auto"/>
            <w:vAlign w:val="center"/>
          </w:tcPr>
          <w:p>
            <w:pPr>
              <w:rPr>
                <w:color w:val="000000"/>
                <w:szCs w:val="24"/>
                <w:lang w:eastAsia="lt-LT"/>
              </w:rPr>
            </w:pPr>
          </w:p>
        </w:tc>
      </w:tr>
      <w:tr>
        <w:trPr>
          <w:cantSplit/>
          <w:trHeight w:val="255"/>
        </w:trPr>
        <w:tc>
          <w:tcPr>
            <w:tcW w:w="330"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205"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56"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25"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25"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24"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778"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402"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25" w:type="pct"/>
            <w:tcBorders>
              <w:top w:val="nil"/>
              <w:left w:val="nil"/>
              <w:bottom w:val="single" w:sz="4" w:space="0" w:color="auto"/>
              <w:right w:val="nil"/>
            </w:tcBorders>
            <w:shd w:val="clear" w:color="auto" w:fill="auto"/>
            <w:vAlign w:val="center"/>
          </w:tcPr>
          <w:p>
            <w:pPr>
              <w:rPr>
                <w:color w:val="000000"/>
                <w:szCs w:val="24"/>
                <w:lang w:eastAsia="lt-LT"/>
              </w:rPr>
            </w:pPr>
          </w:p>
        </w:tc>
      </w:tr>
      <w:tr>
        <w:trPr>
          <w:cantSplit/>
          <w:trHeight w:val="480"/>
        </w:trPr>
        <w:tc>
          <w:tcPr>
            <w:tcW w:w="5000" w:type="pct"/>
            <w:gridSpan w:val="13"/>
            <w:tcBorders>
              <w:top w:val="single" w:sz="4" w:space="0" w:color="auto"/>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 xml:space="preserve">1. Uždavinys suformuotas atsižvelgiant į SSGG analizėje identifikuotą stiprybę - </w:t>
            </w:r>
            <w:r>
              <w:rPr>
                <w:i/>
                <w:color w:val="000000"/>
                <w:szCs w:val="24"/>
                <w:lang w:eastAsia="lt-LT"/>
              </w:rPr>
              <w:t>Kauno miestas įsikūręs ypatingai patogioje geografinėje vietoje, kur susikerta sausumos, oro ir upių keliai bei išplėtota miesto išorės ir vidaus transporto infrastruktūra</w:t>
            </w:r>
            <w:r>
              <w:rPr>
                <w:color w:val="000000"/>
                <w:szCs w:val="24"/>
                <w:lang w:eastAsia="lt-LT"/>
              </w:rPr>
              <w:t xml:space="preserve">. Uždavinio įgyvendinimas leis pasinaudoti identifikuota galimybe - </w:t>
            </w:r>
            <w:r>
              <w:rPr>
                <w:i/>
                <w:color w:val="000000"/>
                <w:szCs w:val="24"/>
                <w:lang w:eastAsia="lt-LT"/>
              </w:rPr>
              <w:t>Tarptautinės Lietuvos transporto sistemos reikšmės stabilaus transporto sektoriaus augimo skatinimas</w:t>
            </w:r>
            <w:r>
              <w:rPr>
                <w:color w:val="000000"/>
                <w:szCs w:val="24"/>
                <w:lang w:eastAsia="lt-LT"/>
              </w:rPr>
              <w:t>.</w:t>
            </w: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2. Uždavinio alternatyvų vertinimo metu svarstyti alternatyvūs uždaviniai:</w:t>
            </w: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Mažinti kelionės laiką, plėtojant gatvių tinklą</w:t>
            </w: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Skatinti draugišką aplinkai susisiekimo sistemą, diegiant darnaus judumo priemones</w:t>
            </w: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
                <w:iCs/>
                <w:color w:val="000000"/>
                <w:szCs w:val="24"/>
                <w:lang w:eastAsia="lt-LT"/>
              </w:rPr>
            </w:pPr>
            <w:r>
              <w:rPr>
                <w:i/>
                <w:iCs/>
                <w:color w:val="000000"/>
                <w:szCs w:val="24"/>
                <w:lang w:eastAsia="lt-LT"/>
              </w:rPr>
              <w:t>Mažinti oro užterštumą, kuriant saugią ir darnią susisiekimo sistemą</w:t>
            </w: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r>
              <w:rPr>
                <w:color w:val="000000"/>
                <w:szCs w:val="24"/>
                <w:lang w:eastAsia="lt-LT"/>
              </w:rPr>
              <w:t>Daugiakriterinės analizės metodu buvo atrinkta uždavinio alternatyva „Mažinti oro užterštumą, kuriant saugią ir darnią susisiekimo sistemą“.</w:t>
            </w: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color w:val="000000"/>
                <w:szCs w:val="24"/>
                <w:lang w:eastAsia="lt-LT"/>
              </w:rPr>
            </w:pPr>
          </w:p>
        </w:tc>
      </w:tr>
      <w:tr>
        <w:trPr>
          <w:cantSplit/>
          <w:trHeight w:val="240"/>
        </w:trPr>
        <w:tc>
          <w:tcPr>
            <w:tcW w:w="5000" w:type="pct"/>
            <w:gridSpan w:val="13"/>
            <w:tcBorders>
              <w:top w:val="nil"/>
              <w:left w:val="single" w:sz="4" w:space="0" w:color="auto"/>
              <w:bottom w:val="nil"/>
              <w:right w:val="single" w:sz="4" w:space="0" w:color="auto"/>
            </w:tcBorders>
            <w:shd w:val="clear" w:color="auto" w:fill="auto"/>
            <w:vAlign w:val="center"/>
          </w:tcPr>
          <w:p>
            <w:pPr>
              <w:rPr>
                <w:iCs/>
                <w:color w:val="000000"/>
                <w:szCs w:val="24"/>
                <w:lang w:eastAsia="lt-LT"/>
              </w:rPr>
            </w:pPr>
            <w:r>
              <w:rPr>
                <w:iCs/>
                <w:color w:val="000000"/>
                <w:szCs w:val="24"/>
                <w:lang w:eastAsia="lt-LT"/>
              </w:rPr>
              <w:t>3. Uždaviniui priskirtas programos rezultatas:</w:t>
            </w:r>
          </w:p>
        </w:tc>
      </w:tr>
      <w:tr>
        <w:trPr>
          <w:cantSplit/>
          <w:trHeight w:val="255"/>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Kietųjų dalelių vidutinės paros koncentracijos metinis pokytis, proc. Siekiama reikšmė 2023 metais – -1,5 proc.</w:t>
            </w:r>
          </w:p>
        </w:tc>
      </w:tr>
      <w:tr>
        <w:trPr>
          <w:cantSplit/>
          <w:trHeight w:val="240"/>
        </w:trPr>
        <w:tc>
          <w:tcPr>
            <w:tcW w:w="5000" w:type="pct"/>
            <w:gridSpan w:val="13"/>
            <w:tcBorders>
              <w:top w:val="single" w:sz="4" w:space="0" w:color="auto"/>
              <w:left w:val="nil"/>
              <w:bottom w:val="nil"/>
              <w:right w:val="nil"/>
            </w:tcBorders>
            <w:shd w:val="clear" w:color="auto" w:fill="auto"/>
            <w:noWrap/>
            <w:vAlign w:val="center"/>
          </w:tcPr>
          <w:p>
            <w:pPr>
              <w:rPr>
                <w:color w:val="000000"/>
                <w:szCs w:val="24"/>
                <w:lang w:eastAsia="lt-LT"/>
              </w:rPr>
            </w:pPr>
            <w:r>
              <w:rPr>
                <w:b/>
                <w:bCs/>
                <w:color w:val="000000"/>
                <w:szCs w:val="24"/>
                <w:u w:val="single"/>
                <w:lang w:eastAsia="lt-LT"/>
              </w:rPr>
              <w:t>Produktų sukūrimo grafikas (kaupiamuoju būdu):</w:t>
            </w:r>
          </w:p>
        </w:tc>
      </w:tr>
      <w:tr>
        <w:trPr>
          <w:cantSplit/>
          <w:trHeight w:val="255"/>
        </w:trPr>
        <w:tc>
          <w:tcPr>
            <w:tcW w:w="330"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205"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456"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425" w:type="pct"/>
            <w:tcBorders>
              <w:top w:val="nil"/>
              <w:left w:val="nil"/>
              <w:bottom w:val="nil"/>
              <w:right w:val="nil"/>
            </w:tcBorders>
            <w:shd w:val="clear" w:color="auto" w:fill="auto"/>
            <w:noWrap/>
            <w:vAlign w:val="bottom"/>
          </w:tcPr>
          <w:p>
            <w:pPr>
              <w:rPr>
                <w:color w:val="000000"/>
                <w:szCs w:val="24"/>
                <w:lang w:eastAsia="lt-LT"/>
              </w:rPr>
            </w:pPr>
          </w:p>
        </w:tc>
        <w:tc>
          <w:tcPr>
            <w:tcW w:w="425" w:type="pct"/>
            <w:tcBorders>
              <w:top w:val="nil"/>
              <w:left w:val="nil"/>
              <w:bottom w:val="nil"/>
              <w:right w:val="nil"/>
            </w:tcBorders>
            <w:shd w:val="clear" w:color="auto" w:fill="auto"/>
            <w:noWrap/>
            <w:vAlign w:val="bottom"/>
          </w:tcPr>
          <w:p>
            <w:pPr>
              <w:rPr>
                <w:color w:val="000000"/>
                <w:szCs w:val="24"/>
                <w:lang w:eastAsia="lt-LT"/>
              </w:rPr>
            </w:pPr>
          </w:p>
        </w:tc>
        <w:tc>
          <w:tcPr>
            <w:tcW w:w="424" w:type="pct"/>
            <w:tcBorders>
              <w:top w:val="nil"/>
              <w:left w:val="nil"/>
              <w:bottom w:val="nil"/>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377" w:type="pct"/>
            <w:tcBorders>
              <w:top w:val="nil"/>
              <w:left w:val="nil"/>
              <w:bottom w:val="nil"/>
              <w:right w:val="nil"/>
            </w:tcBorders>
            <w:shd w:val="clear" w:color="auto" w:fill="auto"/>
            <w:noWrap/>
            <w:vAlign w:val="bottom"/>
          </w:tcPr>
          <w:p>
            <w:pPr>
              <w:rPr>
                <w:color w:val="000000"/>
                <w:szCs w:val="24"/>
                <w:lang w:eastAsia="lt-LT"/>
              </w:rPr>
            </w:pPr>
          </w:p>
        </w:tc>
        <w:tc>
          <w:tcPr>
            <w:tcW w:w="778"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402" w:type="pct"/>
            <w:tcBorders>
              <w:top w:val="nil"/>
              <w:left w:val="nil"/>
              <w:bottom w:val="nil"/>
              <w:right w:val="nil"/>
            </w:tcBorders>
            <w:shd w:val="clear" w:color="auto" w:fill="auto"/>
            <w:noWrap/>
            <w:vAlign w:val="bottom"/>
          </w:tcPr>
          <w:p>
            <w:pPr>
              <w:rPr>
                <w:color w:val="000000"/>
                <w:szCs w:val="24"/>
                <w:lang w:eastAsia="lt-LT"/>
              </w:rPr>
            </w:pPr>
          </w:p>
        </w:tc>
        <w:tc>
          <w:tcPr>
            <w:tcW w:w="425" w:type="pct"/>
            <w:tcBorders>
              <w:top w:val="nil"/>
              <w:left w:val="nil"/>
              <w:bottom w:val="nil"/>
              <w:right w:val="nil"/>
            </w:tcBorders>
            <w:shd w:val="clear" w:color="auto" w:fill="auto"/>
            <w:vAlign w:val="center"/>
          </w:tcPr>
          <w:p>
            <w:pPr>
              <w:rPr>
                <w:color w:val="000000"/>
                <w:szCs w:val="24"/>
                <w:lang w:eastAsia="lt-LT"/>
              </w:rPr>
            </w:pPr>
          </w:p>
        </w:tc>
      </w:tr>
      <w:tr>
        <w:trPr>
          <w:cantSplit/>
          <w:trHeight w:val="255"/>
        </w:trPr>
        <w:tc>
          <w:tcPr>
            <w:tcW w:w="991" w:type="pct"/>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tcPr>
          <w:p>
            <w:pPr>
              <w:jc w:val="center"/>
              <w:rPr>
                <w:i/>
                <w:iCs/>
                <w:color w:val="000000"/>
                <w:szCs w:val="24"/>
                <w:lang w:eastAsia="lt-LT"/>
              </w:rPr>
            </w:pPr>
            <w:r>
              <w:rPr>
                <w:i/>
                <w:iCs/>
                <w:color w:val="000000"/>
                <w:szCs w:val="24"/>
                <w:lang w:eastAsia="lt-LT"/>
              </w:rPr>
              <w:t>Rodiklio pavadinimas, matavimo vienetai</w:t>
            </w:r>
          </w:p>
        </w:tc>
        <w:tc>
          <w:tcPr>
            <w:tcW w:w="4009" w:type="pct"/>
            <w:gridSpan w:val="10"/>
            <w:tcBorders>
              <w:top w:val="single" w:sz="8" w:space="0" w:color="auto"/>
              <w:left w:val="single" w:sz="4" w:space="0" w:color="auto"/>
              <w:bottom w:val="single" w:sz="4" w:space="0" w:color="auto"/>
              <w:right w:val="single" w:sz="8" w:space="0" w:color="000000"/>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Siekiama reikšmė</w:t>
            </w:r>
          </w:p>
        </w:tc>
      </w:tr>
      <w:tr>
        <w:trPr>
          <w:cantSplit/>
          <w:trHeight w:val="255"/>
        </w:trPr>
        <w:tc>
          <w:tcPr>
            <w:tcW w:w="991" w:type="pct"/>
            <w:gridSpan w:val="3"/>
            <w:vMerge/>
            <w:tcBorders>
              <w:top w:val="single" w:sz="8" w:space="0" w:color="auto"/>
              <w:left w:val="single" w:sz="4" w:space="0" w:color="auto"/>
              <w:bottom w:val="single" w:sz="4" w:space="0" w:color="auto"/>
              <w:right w:val="single" w:sz="4" w:space="0" w:color="auto"/>
            </w:tcBorders>
            <w:shd w:val="clear" w:color="auto" w:fill="auto"/>
            <w:vAlign w:val="center"/>
          </w:tcPr>
          <w:p>
            <w:pPr>
              <w:rPr>
                <w:i/>
                <w:iCs/>
                <w:color w:val="000000"/>
                <w:szCs w:val="24"/>
                <w:lang w:eastAsia="lt-LT"/>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2014 m.</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2015 m.</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2016 m.</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2017 m.</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2018 m.</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2019 m.</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2020 m.</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2021 m.</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b/>
                <w:bCs/>
                <w:color w:val="000000"/>
                <w:szCs w:val="24"/>
                <w:u w:val="single"/>
                <w:lang w:eastAsia="lt-LT"/>
              </w:rPr>
            </w:pPr>
            <w:r>
              <w:rPr>
                <w:b/>
                <w:bCs/>
                <w:color w:val="000000"/>
                <w:szCs w:val="24"/>
                <w:u w:val="single"/>
                <w:lang w:eastAsia="lt-LT"/>
              </w:rPr>
              <w:t>2022 m.</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4"/>
                <w:u w:val="single"/>
                <w:lang w:eastAsia="lt-LT"/>
              </w:rPr>
            </w:pPr>
            <w:r>
              <w:rPr>
                <w:b/>
                <w:bCs/>
                <w:color w:val="000000"/>
                <w:szCs w:val="24"/>
                <w:u w:val="single"/>
                <w:lang w:eastAsia="lt-LT"/>
              </w:rPr>
              <w:t>2023 m.</w:t>
            </w:r>
          </w:p>
        </w:tc>
      </w:tr>
      <w:tr>
        <w:trPr>
          <w:cantSplit/>
          <w:trHeight w:val="25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1-4-P-1</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Bendras rekonstruotų arba atnaujintų kelių ilgis, km</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color w:val="000000"/>
                <w:szCs w:val="24"/>
                <w:lang w:eastAsia="lt-LT"/>
              </w:rPr>
            </w:pPr>
            <w:r>
              <w:rPr>
                <w:rFonts w:eastAsia="Calibri"/>
                <w:color w:val="000000"/>
                <w:szCs w:val="24"/>
                <w:lang w:eastAsia="lt-LT"/>
              </w:rPr>
              <w:t>0,00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lang w:eastAsia="lt-LT"/>
              </w:rPr>
            </w:pPr>
            <w:r>
              <w:rPr>
                <w:rFonts w:eastAsia="Calibri"/>
                <w:color w:val="000000"/>
                <w:szCs w:val="24"/>
                <w:lang w:eastAsia="lt-LT"/>
              </w:rPr>
              <w:t>0,50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0,50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0,50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szCs w:val="24"/>
                <w:lang w:eastAsia="lt-LT"/>
              </w:rPr>
            </w:pPr>
            <w:r>
              <w:rPr>
                <w:szCs w:val="24"/>
                <w:lang w:val="en-US" w:eastAsia="lt-LT"/>
              </w:rPr>
              <w:t>10,63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lang w:eastAsia="lt-LT"/>
              </w:rPr>
            </w:pPr>
            <w:r>
              <w:rPr>
                <w:szCs w:val="24"/>
                <w:lang w:val="en-US" w:eastAsia="lt-LT"/>
              </w:rPr>
              <w:t>10,63</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lang w:eastAsia="lt-LT"/>
              </w:rPr>
            </w:pPr>
            <w:r>
              <w:rPr>
                <w:szCs w:val="24"/>
                <w:lang w:val="en-US" w:eastAsia="lt-LT"/>
              </w:rPr>
              <w:t>10,63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trike/>
                <w:color w:val="000000"/>
                <w:szCs w:val="24"/>
                <w:lang w:eastAsia="lt-LT"/>
              </w:rPr>
            </w:pPr>
            <w:r>
              <w:rPr>
                <w:szCs w:val="24"/>
                <w:lang w:val="en-US" w:eastAsia="lt-LT"/>
              </w:rPr>
              <w:t>10,63</w:t>
            </w:r>
          </w:p>
        </w:tc>
      </w:tr>
      <w:tr>
        <w:trPr>
          <w:cantSplit/>
          <w:trHeight w:val="25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1-4-P-2</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Įgyvendintos darnaus judumo priemonės, vnt.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r>
      <w:tr>
        <w:trPr>
          <w:cantSplit/>
          <w:trHeight w:val="25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1-4-P-3</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Įrengtų naujų dviračių ir (ar) pėsčiųjų takų ir (ar) trasų ilgis, km</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color w:val="000000"/>
                <w:szCs w:val="24"/>
                <w:lang w:eastAsia="lt-LT"/>
              </w:rPr>
            </w:pPr>
            <w:r>
              <w:rPr>
                <w:rFonts w:eastAsia="Calibri"/>
                <w:color w:val="000000"/>
                <w:szCs w:val="24"/>
                <w:lang w:eastAsia="lt-LT"/>
              </w:rPr>
              <w:t>0,00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0,00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szCs w:val="24"/>
                <w:lang w:eastAsia="lt-LT"/>
              </w:rPr>
            </w:pPr>
            <w:r>
              <w:rPr>
                <w:szCs w:val="24"/>
                <w:lang w:val="en-US" w:eastAsia="lt-LT"/>
              </w:rPr>
              <w:t>10,25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szCs w:val="24"/>
                <w:lang w:val="en-US" w:eastAsia="lt-LT"/>
              </w:rPr>
              <w:t>10,25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szCs w:val="24"/>
                <w:lang w:val="en-US" w:eastAsia="lt-LT"/>
              </w:rPr>
              <w:t>10,25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szCs w:val="24"/>
                <w:lang w:val="en-US" w:eastAsia="lt-LT"/>
              </w:rPr>
              <w:t>10,25</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szCs w:val="24"/>
                <w:lang w:val="en-US" w:eastAsia="lt-LT"/>
              </w:rPr>
              <w:t>10,25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szCs w:val="24"/>
                <w:lang w:val="en-US" w:eastAsia="lt-LT"/>
              </w:rPr>
              <w:t>10,25</w:t>
            </w:r>
          </w:p>
        </w:tc>
      </w:tr>
      <w:tr>
        <w:trPr>
          <w:cantSplit/>
          <w:trHeight w:val="25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1-4-P-4</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Įdiegtos saugų eismą gerinančios ir aplinkosaugos priemonės, vnt.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w:t>
            </w:r>
          </w:p>
        </w:tc>
      </w:tr>
      <w:tr>
        <w:trPr>
          <w:cantSplit/>
          <w:trHeight w:val="25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1-4-P-5</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Įsigyti gatvių valymo įrenginiai, vnt.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6</w:t>
            </w:r>
          </w:p>
        </w:tc>
      </w:tr>
      <w:tr>
        <w:trPr>
          <w:cantSplit/>
          <w:trHeight w:val="25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1-4-P-6</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Įdiegtos intelektinės transporto sistemos, vnt.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1</w:t>
            </w:r>
          </w:p>
        </w:tc>
      </w:tr>
      <w:tr>
        <w:trPr>
          <w:cantSplit/>
          <w:trHeight w:val="255"/>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1-4-P-7</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Įsigytos naujos ekologiškos viešojo transporto priemonės, vnt.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0</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Calibri"/>
                <w:color w:val="000000"/>
                <w:szCs w:val="24"/>
                <w:lang w:eastAsia="lt-LT"/>
              </w:rPr>
            </w:pPr>
            <w:r>
              <w:rPr>
                <w:rFonts w:eastAsia="Calibri"/>
                <w:color w:val="000000"/>
                <w:szCs w:val="24"/>
                <w:lang w:eastAsia="lt-LT"/>
              </w:rPr>
              <w:t>35</w:t>
            </w:r>
          </w:p>
        </w:tc>
      </w:tr>
    </w:tbl>
    <w:p>
      <w:pPr>
        <w:ind w:firstLine="720"/>
        <w:rPr>
          <w:szCs w:val="24"/>
          <w:lang w:eastAsia="lt-LT"/>
        </w:rPr>
      </w:pPr>
    </w:p>
    <w:tbl>
      <w:tblPr>
        <w:tblW w:w="5160" w:type="pct"/>
        <w:tblCellMar>
          <w:left w:w="115" w:type="dxa"/>
          <w:right w:w="115" w:type="dxa"/>
        </w:tblCellMar>
        <w:tblLook w:val="04A0" w:firstRow="1" w:lastRow="0" w:firstColumn="1" w:lastColumn="0" w:noHBand="0" w:noVBand="1"/>
      </w:tblPr>
      <w:tblGrid>
        <w:gridCol w:w="4395"/>
        <w:gridCol w:w="1281"/>
        <w:gridCol w:w="1522"/>
        <w:gridCol w:w="1396"/>
        <w:gridCol w:w="5065"/>
      </w:tblGrid>
      <w:tr>
        <w:trPr>
          <w:trHeight w:val="20"/>
        </w:trPr>
        <w:tc>
          <w:tcPr>
            <w:tcW w:w="1609" w:type="pct"/>
            <w:tcBorders>
              <w:top w:val="single" w:sz="8" w:space="0" w:color="auto"/>
              <w:left w:val="single" w:sz="8" w:space="0" w:color="auto"/>
              <w:bottom w:val="single" w:sz="8" w:space="0" w:color="auto"/>
              <w:right w:val="single" w:sz="8" w:space="0" w:color="auto"/>
            </w:tcBorders>
            <w:shd w:val="clear" w:color="auto" w:fill="auto"/>
            <w:noWrap/>
            <w:vAlign w:val="center"/>
          </w:tcPr>
          <w:p>
            <w:pPr>
              <w:jc w:val="both"/>
              <w:rPr>
                <w:b/>
                <w:bCs/>
                <w:color w:val="000000"/>
                <w:szCs w:val="24"/>
                <w:lang w:eastAsia="lt-LT"/>
              </w:rPr>
            </w:pPr>
            <w:r>
              <w:rPr>
                <w:b/>
                <w:bCs/>
                <w:color w:val="000000"/>
                <w:szCs w:val="24"/>
                <w:lang w:eastAsia="lt-LT"/>
              </w:rPr>
              <w:t>Uždavinio įgyvendinimo priemonės:</w:t>
            </w:r>
          </w:p>
        </w:tc>
        <w:tc>
          <w:tcPr>
            <w:tcW w:w="469"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Lėšų poreikis (iš viso) tūkst. Eur</w:t>
            </w:r>
          </w:p>
        </w:tc>
        <w:tc>
          <w:tcPr>
            <w:tcW w:w="557"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jų viešosios lėšos, tūkst. Eur</w:t>
            </w:r>
          </w:p>
        </w:tc>
        <w:tc>
          <w:tcPr>
            <w:tcW w:w="511"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jų ES lėšos, tūkst. Eur</w:t>
            </w:r>
          </w:p>
        </w:tc>
        <w:tc>
          <w:tcPr>
            <w:tcW w:w="1854"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Sukuriamas produktas (produkto rodiklio pavadinimas, matavimo vienetai, kiekybinė reikšmė)</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i/>
                <w:color w:val="000000"/>
                <w:szCs w:val="24"/>
                <w:lang w:eastAsia="lt-LT"/>
              </w:rPr>
            </w:pPr>
            <w:r>
              <w:rPr>
                <w:i/>
                <w:color w:val="000000"/>
                <w:szCs w:val="24"/>
                <w:lang w:eastAsia="lt-LT"/>
              </w:rPr>
              <w:t>1.4.1.(v) Viešųjų materialinių ir (ar) nematerialinių investicijų (ES, valstybės, savivaldybių biudžetų ir kitų viešųjų lėšų) lėšomis numatomos įgyvendinti priemonės (kurios programos veiksmų plane bus detalizuotos iki veiksmų):</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c>
          <w:tcPr>
            <w:tcW w:w="185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1.4.1.1. Radvilėnų plento (nuo A. Baranausko g. iki Zoologijos sodo pabaigos) rekonstrukcija</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1 000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1 000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360</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Rekonstruotų arba atnaujintų kelių ilgis – 0,49 km</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 xml:space="preserve">1.4.1.2. Darnaus judumo Kauno mieste skatinimas įrengiant dviračių nuomos aikšteles </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40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40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34</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Įgyvendintos darnaus judumo priemonės – 1 vnt.</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 xml:space="preserve">1.4.1.3. </w:t>
            </w:r>
            <w:r>
              <w:rPr>
                <w:bCs/>
                <w:szCs w:val="24"/>
                <w:lang w:eastAsia="lt-LT"/>
              </w:rPr>
              <w:t>Pėsčiųjų ir dviračių takas Veiverių g. nuo Vytauto Didžiojo tilto iki Kauno miesto ribos</w:t>
            </w:r>
            <w:r>
              <w:rPr>
                <w:rFonts w:eastAsia="Calibri"/>
                <w:szCs w:val="24"/>
                <w:lang w:eastAsia="lt-LT"/>
              </w:rPr>
              <w:t xml:space="preserve"> (tako ilgis 4,25 km).</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1 200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1 200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368</w:t>
            </w:r>
          </w:p>
        </w:tc>
        <w:tc>
          <w:tcPr>
            <w:tcW w:w="1854" w:type="pct"/>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Įrengtų naujų dviračių ir (ar) pėsčiųjų takų ir (ar) trasų ilgis – 4,25 km</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 xml:space="preserve">1.4.1.4. </w:t>
            </w:r>
            <w:r>
              <w:rPr>
                <w:rFonts w:eastAsia="Calibri"/>
                <w:bCs/>
                <w:color w:val="000000"/>
                <w:szCs w:val="24"/>
                <w:lang w:eastAsia="lt-LT"/>
              </w:rPr>
              <w:t>Dviračių ir pėsčiųjų tako Savanorių pr. įrengimas (tako ilgis 6 km).</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600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600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180</w:t>
            </w:r>
          </w:p>
        </w:tc>
        <w:tc>
          <w:tcPr>
            <w:tcW w:w="1854" w:type="pct"/>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Įrengtų naujų dviračių ir (ar) pėsčiųjų takų ir (ar) trasų ilgis – 6 km</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 xml:space="preserve">1.4.1.5. </w:t>
            </w:r>
            <w:r>
              <w:rPr>
                <w:bCs/>
                <w:color w:val="000000"/>
                <w:szCs w:val="24"/>
                <w:lang w:eastAsia="lt-LT"/>
              </w:rPr>
              <w:t>Aleksoto gatvių rekonstrukcija (Kalvarijos g. (nuo Europos pr. iki Via Baltica), Vyčio Kryžiaus g. (nuo Technikumo g. iki K. Dulksnio g.), K. Sprangausko g. (nuo Z. Tiškos g. iki Kauno miesto savivaldybės ribos), J. Petruičio g. (nuo Vyčio Kryžiaus g. iki Kauno miesto savivaldybės ribos), J. Čapliko g. (nuo Technikumo g. iki Būrio g.), Pabrėžos g.  (nuo Vilties g. iki Alyvų g.), Vilties g. (nuo Europos pr. iki Pabrėžos g. )</w:t>
            </w:r>
            <w:r>
              <w:rPr>
                <w:color w:val="FF0000"/>
                <w:sz w:val="20"/>
                <w:u w:val="single"/>
                <w:lang w:eastAsia="lt-LT"/>
              </w:rPr>
              <w:t xml:space="preserve"> </w:t>
            </w:r>
            <w:r>
              <w:rPr>
                <w:strike/>
                <w:color w:val="000000"/>
                <w:szCs w:val="24"/>
                <w:lang w:eastAsia="lt-LT"/>
              </w:rPr>
              <w:t xml:space="preserve"> </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8 224</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8 224</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2 874</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Rekonstruotų arba atnaujintų kelių ilgis – 9,635 km</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1.4.1.6. Šviesoforinės įrangos J. Lukšos-Daumanto g. ir Sukilėlių pr. sankryžoje įrengimas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100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100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36</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Įdiegtos saugų eismą gerinančios ir aplinkosaugos priemonės – 1vnt.</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szCs w:val="24"/>
                <w:lang w:eastAsia="lt-LT"/>
              </w:rPr>
            </w:pPr>
            <w:r>
              <w:rPr>
                <w:color w:val="000000"/>
                <w:szCs w:val="24"/>
                <w:lang w:eastAsia="lt-LT"/>
              </w:rPr>
              <w:t xml:space="preserve">1.4.1.7. </w:t>
            </w:r>
            <w:r>
              <w:rPr>
                <w:szCs w:val="24"/>
                <w:lang w:eastAsia="lt-LT"/>
              </w:rPr>
              <w:t>Šeštokų g.  (nuo V. Čarneckio g. iki Seniavos pl.) ir Alyvų g. (nuo Seniavos pl. iki Mėtų g.) nauja statyba</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700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700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252</w:t>
            </w:r>
          </w:p>
        </w:tc>
        <w:tc>
          <w:tcPr>
            <w:tcW w:w="1854" w:type="pct"/>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Rekonstruotų arba atnaujintų kelių ilgis – 0,5 km</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1.4.1.8. Šviesoforinės įrangos Eivenių g. ir Sukilėlių pr. sankryžoje įrengimas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100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100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36</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Įdiegtos saugų eismą gerinančios ir aplinkosaugos priemonės – 1vnt.</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 xml:space="preserve">1.4.1.9. Eismo saugos įrenginių rekonstrukcija Savanorių prospekte </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816</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816</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293</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Įdiegtos saugų eismą gerinančios ir aplinkosaugos priemonės – 1vnt.</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1.4.1.10. Gatvių priežiūros ir valymo technologijų atnaujinimas – valymo mašinų įsigijimas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1 448</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1 448</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1 231</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Įsigyti gatvių valymo įrenginiai – 6 vnt.</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1.4.1.11. Darnaus judumo Kauno mieste plano parengimas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241</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241</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205</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Įgyvendintos darnaus judumo priemonės – 1 vnt.</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1.4.1.12. Elektroninio bilieto viešajame transporte ir keleivių informavimo sistemos plėtra</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2 132</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2132</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1812</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Įdiegtos intelektinės transporto sistemos – 1 vnt.</w:t>
            </w:r>
          </w:p>
        </w:tc>
      </w:tr>
      <w:tr>
        <w:trPr>
          <w:trHeight w:val="20"/>
        </w:trPr>
        <w:tc>
          <w:tcPr>
            <w:tcW w:w="1609" w:type="pct"/>
            <w:tcBorders>
              <w:top w:val="nil"/>
              <w:left w:val="single" w:sz="8" w:space="0" w:color="auto"/>
              <w:bottom w:val="single" w:sz="8" w:space="0" w:color="auto"/>
              <w:right w:val="single" w:sz="8" w:space="0" w:color="000000"/>
            </w:tcBorders>
            <w:shd w:val="clear" w:color="auto" w:fill="auto"/>
            <w:vAlign w:val="center"/>
          </w:tcPr>
          <w:p>
            <w:pPr>
              <w:jc w:val="both"/>
              <w:rPr>
                <w:color w:val="000000"/>
                <w:szCs w:val="24"/>
                <w:lang w:eastAsia="lt-LT"/>
              </w:rPr>
            </w:pPr>
            <w:r>
              <w:rPr>
                <w:color w:val="000000"/>
                <w:szCs w:val="24"/>
                <w:lang w:eastAsia="lt-LT"/>
              </w:rPr>
              <w:t>1.4.1.13. Naujų ekologiškų Kauno miesto viešojo transporto priemonių įsigijimas</w:t>
            </w:r>
          </w:p>
        </w:tc>
        <w:tc>
          <w:tcPr>
            <w:tcW w:w="469"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7 000</w:t>
            </w:r>
          </w:p>
        </w:tc>
        <w:tc>
          <w:tcPr>
            <w:tcW w:w="557"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7 000</w:t>
            </w:r>
          </w:p>
        </w:tc>
        <w:tc>
          <w:tcPr>
            <w:tcW w:w="511"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5 950</w:t>
            </w:r>
          </w:p>
        </w:tc>
        <w:tc>
          <w:tcPr>
            <w:tcW w:w="185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Įsigytos naujos ekologiškos viešojo transporto priemonės – 35 vnt.</w:t>
            </w:r>
          </w:p>
        </w:tc>
      </w:tr>
      <w:tr>
        <w:trPr>
          <w:trHeight w:val="20"/>
        </w:trPr>
        <w:tc>
          <w:tcPr>
            <w:tcW w:w="1609" w:type="pct"/>
            <w:tcBorders>
              <w:top w:val="nil"/>
              <w:left w:val="single" w:sz="8" w:space="0" w:color="auto"/>
              <w:bottom w:val="single" w:sz="8" w:space="0" w:color="auto"/>
              <w:right w:val="single" w:sz="8" w:space="0" w:color="auto"/>
            </w:tcBorders>
            <w:shd w:val="clear" w:color="auto" w:fill="auto"/>
            <w:noWrap/>
            <w:vAlign w:val="center"/>
          </w:tcPr>
          <w:p>
            <w:pPr>
              <w:rPr>
                <w:b/>
                <w:color w:val="000000"/>
                <w:szCs w:val="24"/>
                <w:lang w:eastAsia="lt-LT"/>
              </w:rPr>
            </w:pPr>
            <w:r>
              <w:rPr>
                <w:b/>
                <w:color w:val="000000"/>
                <w:szCs w:val="24"/>
                <w:lang w:eastAsia="lt-LT"/>
              </w:rPr>
              <w:t>Lėšų poreikis uždaviniui įgyvendinti:</w:t>
            </w:r>
          </w:p>
        </w:tc>
        <w:tc>
          <w:tcPr>
            <w:tcW w:w="469" w:type="pct"/>
            <w:tcBorders>
              <w:top w:val="nil"/>
              <w:left w:val="nil"/>
              <w:bottom w:val="single" w:sz="8" w:space="0" w:color="auto"/>
              <w:right w:val="single" w:sz="8" w:space="0" w:color="000000"/>
            </w:tcBorders>
            <w:shd w:val="clear" w:color="auto" w:fill="auto"/>
            <w:noWrap/>
          </w:tcPr>
          <w:p>
            <w:pPr>
              <w:rPr>
                <w:color w:val="000000"/>
                <w:szCs w:val="24"/>
                <w:lang w:eastAsia="lt-LT"/>
              </w:rPr>
            </w:pPr>
          </w:p>
          <w:p>
            <w:pPr>
              <w:jc w:val="center"/>
              <w:rPr>
                <w:rFonts w:eastAsia="Calibri"/>
                <w:b/>
                <w:color w:val="000000"/>
                <w:szCs w:val="24"/>
                <w:lang w:eastAsia="lt-LT"/>
              </w:rPr>
            </w:pPr>
            <w:r>
              <w:rPr>
                <w:rFonts w:eastAsia="Calibri"/>
                <w:b/>
                <w:color w:val="000000"/>
                <w:szCs w:val="24"/>
                <w:lang w:eastAsia="lt-LT"/>
              </w:rPr>
              <w:t>23 601</w:t>
            </w:r>
          </w:p>
        </w:tc>
        <w:tc>
          <w:tcPr>
            <w:tcW w:w="557" w:type="pct"/>
            <w:tcBorders>
              <w:top w:val="nil"/>
              <w:left w:val="nil"/>
              <w:bottom w:val="single" w:sz="8" w:space="0" w:color="auto"/>
              <w:right w:val="single" w:sz="8" w:space="0" w:color="auto"/>
            </w:tcBorders>
            <w:shd w:val="clear" w:color="auto" w:fill="auto"/>
            <w:noWrap/>
          </w:tcPr>
          <w:p>
            <w:pPr>
              <w:rPr>
                <w:color w:val="000000"/>
                <w:szCs w:val="24"/>
                <w:lang w:eastAsia="lt-LT"/>
              </w:rPr>
            </w:pPr>
          </w:p>
          <w:p>
            <w:pPr>
              <w:jc w:val="center"/>
              <w:rPr>
                <w:rFonts w:eastAsia="Calibri"/>
                <w:b/>
                <w:color w:val="000000"/>
                <w:szCs w:val="24"/>
                <w:lang w:eastAsia="lt-LT"/>
              </w:rPr>
            </w:pPr>
            <w:r>
              <w:rPr>
                <w:rFonts w:eastAsia="Calibri"/>
                <w:b/>
                <w:color w:val="000000"/>
                <w:szCs w:val="24"/>
                <w:lang w:eastAsia="lt-LT"/>
              </w:rPr>
              <w:t>23 601</w:t>
            </w:r>
          </w:p>
        </w:tc>
        <w:tc>
          <w:tcPr>
            <w:tcW w:w="511" w:type="pct"/>
            <w:tcBorders>
              <w:top w:val="nil"/>
              <w:left w:val="nil"/>
              <w:bottom w:val="single" w:sz="8" w:space="0" w:color="auto"/>
              <w:right w:val="single" w:sz="8" w:space="0" w:color="auto"/>
            </w:tcBorders>
            <w:shd w:val="clear" w:color="auto" w:fill="auto"/>
            <w:noWrap/>
          </w:tcPr>
          <w:p>
            <w:pPr>
              <w:rPr>
                <w:color w:val="000000"/>
                <w:szCs w:val="24"/>
                <w:lang w:eastAsia="lt-LT"/>
              </w:rPr>
            </w:pPr>
          </w:p>
          <w:p>
            <w:pPr>
              <w:jc w:val="center"/>
              <w:rPr>
                <w:rFonts w:eastAsia="Calibri"/>
                <w:b/>
                <w:color w:val="000000"/>
                <w:szCs w:val="24"/>
                <w:lang w:eastAsia="lt-LT"/>
              </w:rPr>
            </w:pPr>
            <w:r>
              <w:rPr>
                <w:rFonts w:eastAsia="Calibri"/>
                <w:b/>
                <w:color w:val="000000"/>
                <w:szCs w:val="24"/>
                <w:lang w:eastAsia="lt-LT"/>
              </w:rPr>
              <w:t>13 631</w:t>
            </w:r>
          </w:p>
        </w:tc>
        <w:tc>
          <w:tcPr>
            <w:tcW w:w="1854"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p>
        </w:tc>
      </w:tr>
    </w:tbl>
    <w:p>
      <w:pPr>
        <w:jc w:val="center"/>
        <w:rPr>
          <w:sz w:val="20"/>
        </w:rPr>
      </w:pPr>
      <w:r>
        <w:rPr>
          <w:szCs w:val="24"/>
          <w:lang w:eastAsia="lt-LT"/>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22f860759d11e6b969d7ae07280e89">
        <w:r w:rsidRPr="00532B9F">
          <w:rPr>
            <w:rFonts w:ascii="Times New Roman" w:eastAsia="MS Mincho" w:hAnsi="Times New Roman"/>
            <w:sz w:val="20"/>
            <w:i/>
            <w:iCs/>
            <w:color w:val="0000FF" w:themeColor="hyperlink"/>
            <w:u w:val="single"/>
          </w:rPr>
          <w:t>1V-632</w:t>
        </w:r>
      </w:fldSimple>
      <w:r>
        <w:rPr>
          <w:rFonts w:ascii="Times New Roman" w:eastAsia="MS Mincho" w:hAnsi="Times New Roman"/>
          <w:sz w:val="20"/>
          <w:i/>
          <w:iCs/>
        </w:rPr>
        <w:t>,
2016-09-08,
paskelbta TAR 2016-09-08, i. k. 2016-23383            </w:t>
      </w:r>
    </w:p>
    <w:p/>
    <w:p>
      <w:pPr/>
      <w:r>
        <w:br w:type="page"/>
      </w:r>
    </w:p>
    <w:p>
      <w:pPr>
        <w:ind w:left="9360" w:firstLine="720"/>
        <w:rPr>
          <w:rFonts w:eastAsia="Calibri"/>
        </w:rPr>
      </w:pPr>
      <w:r>
        <w:rPr>
          <w:rFonts w:eastAsia="Calibri"/>
        </w:rPr>
        <w:t xml:space="preserve">2014–2020 metų Kauno miesto integruotos </w:t>
      </w:r>
    </w:p>
    <w:p>
      <w:pPr>
        <w:ind w:left="9360" w:firstLine="720"/>
        <w:rPr>
          <w:rFonts w:eastAsia="Calibri"/>
        </w:rPr>
      </w:pPr>
      <w:r>
        <w:rPr>
          <w:rFonts w:eastAsia="Calibri"/>
        </w:rPr>
        <w:t>teritorijų vystymo programos</w:t>
      </w:r>
    </w:p>
    <w:p>
      <w:pPr>
        <w:ind w:left="9360" w:firstLine="720"/>
        <w:rPr>
          <w:rFonts w:eastAsia="Calibri"/>
        </w:rPr>
      </w:pPr>
      <w:r>
        <w:rPr>
          <w:rFonts w:eastAsia="Calibri"/>
        </w:rPr>
        <w:t>3</w:t>
      </w:r>
      <w:r>
        <w:rPr>
          <w:rFonts w:eastAsia="Calibri"/>
        </w:rPr>
        <w:t xml:space="preserve"> priedas</w:t>
      </w:r>
    </w:p>
    <w:p>
      <w:pPr>
        <w:jc w:val="center"/>
        <w:rPr>
          <w:szCs w:val="24"/>
          <w:lang w:eastAsia="lt-LT"/>
        </w:rPr>
      </w:pPr>
    </w:p>
    <w:p>
      <w:pPr>
        <w:tabs>
          <w:tab w:val="left" w:pos="772"/>
        </w:tabs>
        <w:jc w:val="center"/>
        <w:rPr>
          <w:b/>
          <w:bCs/>
          <w:color w:val="000000"/>
          <w:szCs w:val="24"/>
          <w:lang w:eastAsia="lt-LT"/>
        </w:rPr>
      </w:pPr>
      <w:r>
        <w:rPr>
          <w:rFonts w:eastAsia="Calibri"/>
          <w:b/>
          <w:szCs w:val="24"/>
          <w:lang w:eastAsia="lt-LT"/>
        </w:rPr>
        <w:t>KAUNO MIESTO INTEGRUOTOS TERITORIJŲ VYSTYMO</w:t>
      </w:r>
      <w:r>
        <w:rPr>
          <w:b/>
          <w:bCs/>
          <w:color w:val="000000"/>
          <w:szCs w:val="24"/>
          <w:lang w:eastAsia="lt-LT"/>
        </w:rPr>
        <w:t xml:space="preserve"> PROGRAMOS VEIKSMŲ PLANAS</w:t>
      </w:r>
    </w:p>
    <w:tbl>
      <w:tblPr>
        <w:tblW w:w="5600" w:type="pct"/>
        <w:tblLayout w:type="fixed"/>
        <w:tblCellMar>
          <w:left w:w="115" w:type="dxa"/>
          <w:right w:w="115" w:type="dxa"/>
        </w:tblCellMar>
        <w:tblLook w:val="04A0" w:firstRow="1" w:lastRow="0" w:firstColumn="1" w:lastColumn="0" w:noHBand="0" w:noVBand="1"/>
      </w:tblPr>
      <w:tblGrid>
        <w:gridCol w:w="337"/>
        <w:gridCol w:w="491"/>
        <w:gridCol w:w="250"/>
        <w:gridCol w:w="221"/>
        <w:gridCol w:w="123"/>
        <w:gridCol w:w="346"/>
        <w:gridCol w:w="684"/>
        <w:gridCol w:w="127"/>
        <w:gridCol w:w="123"/>
        <w:gridCol w:w="40"/>
        <w:gridCol w:w="924"/>
        <w:gridCol w:w="209"/>
        <w:gridCol w:w="250"/>
        <w:gridCol w:w="928"/>
        <w:gridCol w:w="140"/>
        <w:gridCol w:w="111"/>
        <w:gridCol w:w="667"/>
        <w:gridCol w:w="516"/>
        <w:gridCol w:w="525"/>
        <w:gridCol w:w="320"/>
        <w:gridCol w:w="186"/>
        <w:gridCol w:w="64"/>
        <w:gridCol w:w="676"/>
        <w:gridCol w:w="213"/>
        <w:gridCol w:w="563"/>
        <w:gridCol w:w="169"/>
        <w:gridCol w:w="403"/>
        <w:gridCol w:w="501"/>
        <w:gridCol w:w="225"/>
        <w:gridCol w:w="459"/>
        <w:gridCol w:w="614"/>
        <w:gridCol w:w="347"/>
        <w:gridCol w:w="27"/>
        <w:gridCol w:w="308"/>
        <w:gridCol w:w="655"/>
        <w:gridCol w:w="946"/>
        <w:gridCol w:w="225"/>
        <w:gridCol w:w="910"/>
      </w:tblGrid>
      <w:tr>
        <w:trPr>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22" w:type="pct"/>
            <w:gridSpan w:val="3"/>
            <w:tcBorders>
              <w:top w:val="nil"/>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ind w:firstLine="4"/>
              <w:jc w:val="both"/>
              <w:rPr>
                <w:b/>
                <w:bCs/>
                <w:color w:val="000000"/>
                <w:szCs w:val="24"/>
                <w:u w:val="single"/>
                <w:lang w:eastAsia="lt-LT"/>
              </w:rPr>
            </w:pPr>
            <w:r>
              <w:rPr>
                <w:b/>
                <w:bCs/>
                <w:color w:val="000000"/>
                <w:szCs w:val="24"/>
                <w:u w:val="single"/>
                <w:lang w:eastAsia="lt-LT"/>
              </w:rPr>
              <w:t>1. Tikslas: Sumažinti neigiamas demografines tendencijas Kauno miesto tikslinėse teritorijose, gerinant gyvenamąją aplinką</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noWrap/>
            <w:vAlign w:val="center"/>
          </w:tcPr>
          <w:p>
            <w:pPr>
              <w:jc w:val="both"/>
              <w:rPr>
                <w:b/>
                <w:bCs/>
                <w:color w:val="000000"/>
                <w:szCs w:val="24"/>
                <w:u w:val="single"/>
                <w:lang w:eastAsia="lt-LT"/>
              </w:rPr>
            </w:pPr>
            <w:r>
              <w:rPr>
                <w:b/>
                <w:bCs/>
                <w:color w:val="000000"/>
                <w:szCs w:val="24"/>
                <w:u w:val="single"/>
                <w:lang w:eastAsia="lt-LT"/>
              </w:rPr>
              <w:t xml:space="preserve">1.1. Uždavinys: Sudaryti sąlygas naujų darbo vietų kūrimui, kuriant naujus ir stiprinant esamus traukos centrus Kauno miesto tikslinėse teritorijose </w:t>
            </w: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1.1.1v veiksmas: Buvusios Aviacijos gamyklos teritorijos konversija </w:t>
            </w:r>
            <w:r>
              <w:rPr>
                <w:bCs/>
                <w:color w:val="000000"/>
                <w:szCs w:val="24"/>
                <w:lang w:eastAsia="lt-LT"/>
              </w:rPr>
              <w:t>(įrengiant viešąsias erdves, pritaikant ją visuomenės poreikiams ir privačių investicijų pritraukimui)</w:t>
            </w:r>
            <w:r>
              <w:rPr>
                <w:b/>
                <w:bCs/>
                <w:color w:val="000000"/>
                <w:szCs w:val="24"/>
                <w:u w:val="single"/>
                <w:lang w:eastAsia="lt-LT"/>
              </w:rPr>
              <w:t xml:space="preserve"> </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5 000 000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4 250 000</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highlight w:val="yellow"/>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highlight w:val="yellow"/>
                <w:lang w:eastAsia="lt-LT"/>
              </w:rPr>
            </w:pPr>
          </w:p>
        </w:tc>
        <w:tc>
          <w:tcPr>
            <w:tcW w:w="393" w:type="pct"/>
            <w:gridSpan w:val="3"/>
            <w:tcBorders>
              <w:top w:val="nil"/>
              <w:left w:val="nil"/>
              <w:bottom w:val="nil"/>
              <w:right w:val="nil"/>
            </w:tcBorders>
            <w:shd w:val="clear" w:color="auto" w:fill="auto"/>
            <w:noWrap/>
            <w:vAlign w:val="bottom"/>
          </w:tcPr>
          <w:p>
            <w:pPr>
              <w:rPr>
                <w:color w:val="000000"/>
                <w:szCs w:val="24"/>
                <w:highlight w:val="yellow"/>
                <w:lang w:eastAsia="lt-LT"/>
              </w:rPr>
            </w:pPr>
          </w:p>
        </w:tc>
        <w:tc>
          <w:tcPr>
            <w:tcW w:w="77" w:type="pct"/>
            <w:gridSpan w:val="2"/>
            <w:tcBorders>
              <w:top w:val="nil"/>
              <w:left w:val="nil"/>
              <w:bottom w:val="nil"/>
              <w:right w:val="nil"/>
            </w:tcBorders>
            <w:shd w:val="clear" w:color="auto" w:fill="auto"/>
            <w:noWrap/>
            <w:vAlign w:val="bottom"/>
          </w:tcPr>
          <w:p>
            <w:pPr>
              <w:rPr>
                <w:color w:val="000000"/>
                <w:szCs w:val="24"/>
                <w:highlight w:val="yellow"/>
                <w:lang w:eastAsia="lt-LT"/>
              </w:rPr>
            </w:pPr>
          </w:p>
        </w:tc>
        <w:tc>
          <w:tcPr>
            <w:tcW w:w="400" w:type="pct"/>
            <w:gridSpan w:val="3"/>
            <w:tcBorders>
              <w:top w:val="nil"/>
              <w:left w:val="nil"/>
              <w:bottom w:val="nil"/>
              <w:right w:val="nil"/>
            </w:tcBorders>
            <w:shd w:val="clear" w:color="auto" w:fill="auto"/>
            <w:noWrap/>
            <w:vAlign w:val="bottom"/>
          </w:tcPr>
          <w:p>
            <w:pPr>
              <w:rPr>
                <w:color w:val="000000"/>
                <w:szCs w:val="24"/>
                <w:highlight w:val="yellow"/>
                <w:lang w:eastAsia="lt-LT"/>
              </w:rPr>
            </w:pPr>
          </w:p>
        </w:tc>
        <w:tc>
          <w:tcPr>
            <w:tcW w:w="391" w:type="pct"/>
            <w:gridSpan w:val="2"/>
            <w:tcBorders>
              <w:top w:val="nil"/>
              <w:left w:val="nil"/>
              <w:bottom w:val="nil"/>
              <w:right w:val="nil"/>
            </w:tcBorders>
            <w:shd w:val="clear" w:color="auto" w:fill="auto"/>
            <w:noWrap/>
            <w:vAlign w:val="bottom"/>
          </w:tcPr>
          <w:p>
            <w:pPr>
              <w:rPr>
                <w:color w:val="000000"/>
                <w:szCs w:val="24"/>
                <w:highlight w:val="yellow"/>
                <w:lang w:eastAsia="lt-LT"/>
              </w:rPr>
            </w:pPr>
          </w:p>
        </w:tc>
        <w:tc>
          <w:tcPr>
            <w:tcW w:w="77" w:type="pct"/>
            <w:gridSpan w:val="2"/>
            <w:tcBorders>
              <w:top w:val="nil"/>
              <w:left w:val="nil"/>
              <w:bottom w:val="nil"/>
              <w:right w:val="nil"/>
            </w:tcBorders>
            <w:shd w:val="clear" w:color="auto" w:fill="auto"/>
            <w:noWrap/>
            <w:vAlign w:val="bottom"/>
          </w:tcPr>
          <w:p>
            <w:pPr>
              <w:rPr>
                <w:color w:val="000000"/>
                <w:szCs w:val="24"/>
                <w:highlight w:val="yellow"/>
                <w:lang w:eastAsia="lt-LT"/>
              </w:rPr>
            </w:pPr>
          </w:p>
        </w:tc>
        <w:tc>
          <w:tcPr>
            <w:tcW w:w="688" w:type="pct"/>
            <w:gridSpan w:val="4"/>
            <w:tcBorders>
              <w:top w:val="nil"/>
              <w:left w:val="nil"/>
              <w:bottom w:val="nil"/>
              <w:right w:val="nil"/>
            </w:tcBorders>
            <w:shd w:val="clear" w:color="auto" w:fill="auto"/>
            <w:noWrap/>
            <w:vAlign w:val="bottom"/>
          </w:tcPr>
          <w:p>
            <w:pPr>
              <w:rPr>
                <w:color w:val="000000"/>
                <w:szCs w:val="24"/>
                <w:highlight w:val="yellow"/>
                <w:lang w:eastAsia="lt-LT"/>
              </w:rPr>
            </w:pPr>
          </w:p>
        </w:tc>
        <w:tc>
          <w:tcPr>
            <w:tcW w:w="77" w:type="pct"/>
            <w:gridSpan w:val="2"/>
            <w:tcBorders>
              <w:top w:val="nil"/>
              <w:left w:val="nil"/>
              <w:bottom w:val="nil"/>
              <w:right w:val="nil"/>
            </w:tcBorders>
            <w:shd w:val="clear" w:color="auto" w:fill="auto"/>
            <w:noWrap/>
            <w:vAlign w:val="bottom"/>
          </w:tcPr>
          <w:p>
            <w:pPr>
              <w:rPr>
                <w:color w:val="000000"/>
                <w:szCs w:val="24"/>
                <w:highlight w:val="yellow"/>
                <w:lang w:eastAsia="lt-LT"/>
              </w:rPr>
            </w:pPr>
          </w:p>
        </w:tc>
        <w:tc>
          <w:tcPr>
            <w:tcW w:w="302" w:type="pct"/>
            <w:gridSpan w:val="2"/>
            <w:tcBorders>
              <w:top w:val="nil"/>
              <w:left w:val="nil"/>
              <w:bottom w:val="nil"/>
              <w:right w:val="nil"/>
            </w:tcBorders>
            <w:shd w:val="clear" w:color="auto" w:fill="auto"/>
            <w:noWrap/>
            <w:vAlign w:val="bottom"/>
          </w:tcPr>
          <w:p>
            <w:pPr>
              <w:rPr>
                <w:color w:val="000000"/>
                <w:szCs w:val="24"/>
                <w:highlight w:val="yellow"/>
                <w:lang w:eastAsia="lt-LT"/>
              </w:rPr>
            </w:pPr>
          </w:p>
        </w:tc>
        <w:tc>
          <w:tcPr>
            <w:tcW w:w="249" w:type="pct"/>
            <w:gridSpan w:val="2"/>
            <w:tcBorders>
              <w:top w:val="nil"/>
              <w:left w:val="nil"/>
              <w:bottom w:val="nil"/>
              <w:right w:val="nil"/>
            </w:tcBorders>
            <w:shd w:val="clear" w:color="auto" w:fill="auto"/>
            <w:noWrap/>
            <w:vAlign w:val="bottom"/>
          </w:tcPr>
          <w:p>
            <w:pPr>
              <w:rPr>
                <w:color w:val="000000"/>
                <w:szCs w:val="24"/>
                <w:highlight w:val="yellow"/>
                <w:lang w:eastAsia="lt-LT"/>
              </w:rPr>
            </w:pPr>
          </w:p>
        </w:tc>
        <w:tc>
          <w:tcPr>
            <w:tcW w:w="384" w:type="pct"/>
            <w:gridSpan w:val="3"/>
            <w:tcBorders>
              <w:top w:val="nil"/>
              <w:left w:val="nil"/>
              <w:bottom w:val="nil"/>
              <w:right w:val="nil"/>
            </w:tcBorders>
            <w:shd w:val="clear" w:color="auto" w:fill="auto"/>
            <w:noWrap/>
            <w:vAlign w:val="bottom"/>
          </w:tcPr>
          <w:p>
            <w:pPr>
              <w:rPr>
                <w:color w:val="000000"/>
                <w:szCs w:val="24"/>
                <w:highlight w:val="yellow"/>
                <w:lang w:eastAsia="lt-LT"/>
              </w:rPr>
            </w:pPr>
          </w:p>
        </w:tc>
        <w:tc>
          <w:tcPr>
            <w:tcW w:w="364" w:type="pct"/>
            <w:gridSpan w:val="2"/>
            <w:tcBorders>
              <w:top w:val="nil"/>
              <w:left w:val="nil"/>
              <w:bottom w:val="nil"/>
              <w:right w:val="nil"/>
            </w:tcBorders>
            <w:shd w:val="clear" w:color="auto" w:fill="auto"/>
            <w:noWrap/>
            <w:vAlign w:val="bottom"/>
          </w:tcPr>
          <w:p>
            <w:pPr>
              <w:rPr>
                <w:color w:val="000000"/>
                <w:szCs w:val="24"/>
                <w:highlight w:val="yellow"/>
                <w:lang w:eastAsia="lt-LT"/>
              </w:rPr>
            </w:pPr>
          </w:p>
        </w:tc>
        <w:tc>
          <w:tcPr>
            <w:tcW w:w="233" w:type="pct"/>
            <w:gridSpan w:val="3"/>
            <w:tcBorders>
              <w:top w:val="nil"/>
              <w:left w:val="nil"/>
              <w:bottom w:val="nil"/>
              <w:right w:val="nil"/>
            </w:tcBorders>
            <w:shd w:val="clear" w:color="auto" w:fill="auto"/>
            <w:noWrap/>
            <w:vAlign w:val="bottom"/>
          </w:tcPr>
          <w:p>
            <w:pPr>
              <w:rPr>
                <w:color w:val="000000"/>
                <w:szCs w:val="24"/>
                <w:highlight w:val="yellow"/>
                <w:lang w:eastAsia="lt-LT"/>
              </w:rPr>
            </w:pPr>
          </w:p>
        </w:tc>
        <w:tc>
          <w:tcPr>
            <w:tcW w:w="929" w:type="pct"/>
            <w:gridSpan w:val="4"/>
            <w:tcBorders>
              <w:top w:val="nil"/>
              <w:left w:val="nil"/>
              <w:bottom w:val="nil"/>
              <w:right w:val="nil"/>
            </w:tcBorders>
            <w:shd w:val="clear" w:color="auto" w:fill="auto"/>
            <w:noWrap/>
            <w:vAlign w:val="bottom"/>
          </w:tcPr>
          <w:p>
            <w:pPr>
              <w:rPr>
                <w:color w:val="000000"/>
                <w:szCs w:val="24"/>
                <w:highlight w:val="yellow"/>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1.1.2v veiksmas: Teritorijos, apribotos Nemuno upės kairiojo kranto ir H. ir O. Minkovskių g., kompleksinis vystymas </w:t>
            </w:r>
            <w:r>
              <w:rPr>
                <w:bCs/>
                <w:color w:val="000000"/>
                <w:szCs w:val="24"/>
                <w:lang w:eastAsia="lt-LT"/>
              </w:rPr>
              <w:t>(įrengiant krantinę, šaligatvius, apšvietimą, pėsčiųjų ir dviračių takus, parkavimo aikšteles, želdynus ir mažosios architektūros elementus)</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2019</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6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1.1.2v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3 500 000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262 500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262 500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262 500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262 500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2 975 000</w:t>
            </w: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p>
          <w:p>
            <w:pPr>
              <w:jc w:val="both"/>
              <w:rPr>
                <w:b/>
                <w:bCs/>
                <w:color w:val="000000"/>
                <w:szCs w:val="24"/>
                <w:u w:val="single"/>
                <w:lang w:eastAsia="lt-LT"/>
              </w:rPr>
            </w:pPr>
            <w:r>
              <w:rPr>
                <w:b/>
                <w:bCs/>
                <w:color w:val="000000"/>
                <w:szCs w:val="24"/>
                <w:u w:val="single"/>
                <w:lang w:eastAsia="lt-LT"/>
              </w:rPr>
              <w:t xml:space="preserve">1.1.3v veiksmas: Kauno sporto halės išvystymas į daugiafunkcį centrą visuomenės poreikiams </w:t>
            </w:r>
            <w:r>
              <w:rPr>
                <w:bCs/>
                <w:color w:val="000000"/>
                <w:szCs w:val="24"/>
                <w:lang w:eastAsia="lt-LT"/>
              </w:rPr>
              <w:t>(pritraukiant naujas komercines veiklas, pritaikant naujų viešųjų paslaugų teikimui, tikslinės teritorijos gyventojų bendruomeninei veiklai)</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1.1.3v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single" w:sz="4" w:space="0" w:color="auto"/>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5 000 000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4 250 000</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1.1.4v veiksmas: Nemuno salos išvystymas į multifunkcinį sveikatinimo ir kultūros kompleksą pritaikant jį visuomenės poreikiams </w:t>
            </w:r>
            <w:r>
              <w:rPr>
                <w:bCs/>
                <w:color w:val="000000"/>
                <w:szCs w:val="24"/>
                <w:lang w:eastAsia="lt-LT"/>
              </w:rPr>
              <w:t>(įrengiant krantines ir prieplauką, kitą infrastruktūrą, skatinančią privačių investicijų pritraukimą, sutvarkant viešąsias erdves)</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1.1.4v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5 000 000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4 250 000</w:t>
            </w: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p>
          <w:p>
            <w:pPr>
              <w:jc w:val="both"/>
              <w:rPr>
                <w:b/>
                <w:bCs/>
                <w:color w:val="000000"/>
                <w:szCs w:val="24"/>
                <w:u w:val="single"/>
                <w:lang w:eastAsia="lt-LT"/>
              </w:rPr>
            </w:pPr>
            <w:r>
              <w:rPr>
                <w:b/>
                <w:bCs/>
                <w:color w:val="000000"/>
                <w:szCs w:val="24"/>
                <w:u w:val="single"/>
                <w:lang w:eastAsia="lt-LT"/>
              </w:rPr>
              <w:t xml:space="preserve">1.1.5v veiksmas: Marvelės upelio slėnio sutvarkymas, panaudojant teritorijos gamtinio karkaso ypatumus, siekiant netradicinių erdvių pritaikymo kultūros ir kitoms reikmėms </w:t>
            </w:r>
            <w:r>
              <w:rPr>
                <w:bCs/>
                <w:color w:val="000000"/>
                <w:szCs w:val="24"/>
                <w:lang w:eastAsia="lt-LT"/>
              </w:rPr>
              <w:t>(planuojama sutvarkyti Marvelės upelio slėnį, įrengti viešųjų erdvių infrastruktūrą, mažosios architektūros elementus, pritaikant teritoriją visuomenės poreikiams)</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nil"/>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29" w:type="pct"/>
            <w:gridSpan w:val="6"/>
            <w:tcBorders>
              <w:top w:val="nil"/>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nil"/>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nil"/>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1.1.5v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144 810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10 861</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10 861</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10 859</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10 859</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123 090</w:t>
            </w:r>
          </w:p>
        </w:tc>
      </w:tr>
      <w:tr>
        <w:trPr>
          <w:gridAfter w:val="1"/>
          <w:wAfter w:w="309" w:type="pct"/>
          <w:trHeight w:val="20"/>
        </w:trPr>
        <w:tc>
          <w:tcPr>
            <w:tcW w:w="282"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80" w:type="pct"/>
            <w:tcBorders>
              <w:top w:val="nil"/>
              <w:left w:val="nil"/>
              <w:bottom w:val="nil"/>
              <w:right w:val="nil"/>
            </w:tcBorders>
            <w:shd w:val="clear" w:color="auto" w:fill="auto"/>
            <w:noWrap/>
            <w:vAlign w:val="center"/>
          </w:tcPr>
          <w:p>
            <w:pPr>
              <w:jc w:val="right"/>
              <w:rPr>
                <w:color w:val="000000"/>
                <w:szCs w:val="24"/>
                <w:lang w:eastAsia="lt-LT"/>
              </w:rPr>
            </w:pPr>
          </w:p>
        </w:tc>
        <w:tc>
          <w:tcPr>
            <w:tcW w:w="119"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118" w:type="pct"/>
            <w:tcBorders>
              <w:top w:val="nil"/>
              <w:left w:val="nil"/>
              <w:bottom w:val="nil"/>
              <w:right w:val="nil"/>
            </w:tcBorders>
            <w:shd w:val="clear" w:color="auto" w:fill="auto"/>
            <w:noWrap/>
            <w:vAlign w:val="center"/>
          </w:tcPr>
          <w:p>
            <w:pPr>
              <w:jc w:val="right"/>
              <w:rPr>
                <w:color w:val="000000"/>
                <w:szCs w:val="24"/>
                <w:lang w:eastAsia="lt-LT"/>
              </w:rPr>
            </w:pPr>
          </w:p>
        </w:tc>
        <w:tc>
          <w:tcPr>
            <w:tcW w:w="324" w:type="pct"/>
            <w:gridSpan w:val="4"/>
            <w:tcBorders>
              <w:top w:val="nil"/>
              <w:left w:val="nil"/>
              <w:bottom w:val="nil"/>
              <w:right w:val="nil"/>
            </w:tcBorders>
            <w:shd w:val="clear" w:color="auto" w:fill="auto"/>
            <w:noWrap/>
            <w:vAlign w:val="center"/>
          </w:tcPr>
          <w:p>
            <w:pPr>
              <w:jc w:val="right"/>
              <w:rPr>
                <w:color w:val="000000"/>
                <w:szCs w:val="24"/>
                <w:lang w:eastAsia="lt-LT"/>
              </w:rPr>
            </w:pPr>
          </w:p>
        </w:tc>
        <w:tc>
          <w:tcPr>
            <w:tcW w:w="384"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77" w:type="pct"/>
            <w:tcBorders>
              <w:top w:val="nil"/>
              <w:left w:val="nil"/>
              <w:bottom w:val="nil"/>
              <w:right w:val="nil"/>
            </w:tcBorders>
            <w:shd w:val="clear" w:color="auto" w:fill="auto"/>
            <w:noWrap/>
            <w:vAlign w:val="center"/>
          </w:tcPr>
          <w:p>
            <w:pPr>
              <w:jc w:val="right"/>
              <w:rPr>
                <w:color w:val="000000"/>
                <w:szCs w:val="24"/>
                <w:lang w:eastAsia="lt-LT"/>
              </w:rPr>
            </w:pPr>
          </w:p>
        </w:tc>
        <w:tc>
          <w:tcPr>
            <w:tcW w:w="357"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260"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353"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415" w:type="pct"/>
            <w:gridSpan w:val="4"/>
            <w:tcBorders>
              <w:top w:val="nil"/>
              <w:left w:val="nil"/>
              <w:bottom w:val="nil"/>
              <w:right w:val="nil"/>
            </w:tcBorders>
            <w:shd w:val="clear" w:color="auto" w:fill="auto"/>
            <w:noWrap/>
            <w:vAlign w:val="center"/>
          </w:tcPr>
          <w:p>
            <w:pPr>
              <w:jc w:val="right"/>
              <w:rPr>
                <w:color w:val="000000"/>
                <w:szCs w:val="24"/>
                <w:lang w:eastAsia="lt-LT"/>
              </w:rPr>
            </w:pPr>
          </w:p>
        </w:tc>
        <w:tc>
          <w:tcPr>
            <w:tcW w:w="264"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195"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403" w:type="pct"/>
            <w:gridSpan w:val="3"/>
            <w:tcBorders>
              <w:top w:val="nil"/>
              <w:left w:val="nil"/>
              <w:bottom w:val="nil"/>
              <w:right w:val="nil"/>
            </w:tcBorders>
            <w:shd w:val="clear" w:color="auto" w:fill="auto"/>
            <w:noWrap/>
            <w:vAlign w:val="center"/>
          </w:tcPr>
          <w:p>
            <w:pPr>
              <w:jc w:val="right"/>
              <w:rPr>
                <w:color w:val="000000"/>
                <w:szCs w:val="24"/>
                <w:lang w:eastAsia="lt-LT"/>
              </w:rPr>
            </w:pPr>
          </w:p>
        </w:tc>
        <w:tc>
          <w:tcPr>
            <w:tcW w:w="336" w:type="pct"/>
            <w:gridSpan w:val="3"/>
            <w:tcBorders>
              <w:top w:val="nil"/>
              <w:left w:val="nil"/>
              <w:bottom w:val="nil"/>
              <w:right w:val="nil"/>
            </w:tcBorders>
            <w:shd w:val="clear" w:color="auto" w:fill="auto"/>
            <w:noWrap/>
            <w:vAlign w:val="center"/>
          </w:tcPr>
          <w:p>
            <w:pPr>
              <w:jc w:val="right"/>
              <w:rPr>
                <w:color w:val="000000"/>
                <w:szCs w:val="24"/>
                <w:lang w:eastAsia="lt-LT"/>
              </w:rPr>
            </w:pPr>
          </w:p>
        </w:tc>
        <w:tc>
          <w:tcPr>
            <w:tcW w:w="327"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397" w:type="pct"/>
            <w:gridSpan w:val="2"/>
            <w:tcBorders>
              <w:top w:val="nil"/>
              <w:left w:val="nil"/>
              <w:bottom w:val="nil"/>
              <w:right w:val="nil"/>
            </w:tcBorders>
            <w:shd w:val="clear" w:color="auto" w:fill="auto"/>
            <w:noWrap/>
            <w:vAlign w:val="center"/>
          </w:tcPr>
          <w:p>
            <w:pPr>
              <w:jc w:val="right"/>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1.1.6v veiksmas: Apžvalgos aikštelės Aleksote rekonstravimas</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1.1.6v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4"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77"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400"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391"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77"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688" w:type="pct"/>
            <w:gridSpan w:val="4"/>
            <w:tcBorders>
              <w:top w:val="nil"/>
              <w:left w:val="nil"/>
              <w:bottom w:val="single" w:sz="4" w:space="0" w:color="auto"/>
              <w:right w:val="nil"/>
            </w:tcBorders>
            <w:shd w:val="clear" w:color="auto" w:fill="auto"/>
            <w:noWrap/>
            <w:vAlign w:val="bottom"/>
          </w:tcPr>
          <w:p>
            <w:pPr>
              <w:rPr>
                <w:color w:val="000000"/>
                <w:szCs w:val="24"/>
                <w:lang w:eastAsia="lt-LT"/>
              </w:rPr>
            </w:pPr>
          </w:p>
        </w:tc>
        <w:tc>
          <w:tcPr>
            <w:tcW w:w="77"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02"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249"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84"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364"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233" w:type="pct"/>
            <w:gridSpan w:val="3"/>
            <w:tcBorders>
              <w:top w:val="nil"/>
              <w:left w:val="nil"/>
              <w:bottom w:val="single" w:sz="4" w:space="0" w:color="auto"/>
              <w:right w:val="nil"/>
            </w:tcBorders>
            <w:shd w:val="clear" w:color="auto" w:fill="auto"/>
            <w:noWrap/>
            <w:vAlign w:val="bottom"/>
          </w:tcPr>
          <w:p>
            <w:pPr>
              <w:rPr>
                <w:color w:val="000000"/>
                <w:szCs w:val="24"/>
                <w:lang w:eastAsia="lt-LT"/>
              </w:rPr>
            </w:pPr>
          </w:p>
        </w:tc>
        <w:tc>
          <w:tcPr>
            <w:tcW w:w="929" w:type="pct"/>
            <w:gridSpan w:val="4"/>
            <w:tcBorders>
              <w:top w:val="nil"/>
              <w:left w:val="nil"/>
              <w:bottom w:val="single" w:sz="4" w:space="0" w:color="auto"/>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p>
        </w:tc>
        <w:tc>
          <w:tcPr>
            <w:tcW w:w="3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1 049 000</w:t>
            </w:r>
          </w:p>
        </w:tc>
        <w:tc>
          <w:tcPr>
            <w:tcW w:w="39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78 675</w:t>
            </w:r>
          </w:p>
        </w:tc>
        <w:tc>
          <w:tcPr>
            <w:tcW w:w="477"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78 675</w:t>
            </w:r>
          </w:p>
        </w:tc>
        <w:tc>
          <w:tcPr>
            <w:tcW w:w="3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78 675</w:t>
            </w:r>
          </w:p>
        </w:tc>
        <w:tc>
          <w:tcPr>
            <w:tcW w:w="47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78 675</w:t>
            </w:r>
          </w:p>
        </w:tc>
        <w:tc>
          <w:tcPr>
            <w:tcW w:w="3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891 650</w:t>
            </w: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1.1.7v veiksmas: Šv. Arkangelo Mykolo (Soboro) bažnyčios pritaikymas kultūrinei, turistinei ir socialinei edukacinei veiklai</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2019</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VšĮ „Soboro projektai“</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KM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5.4.1. Padidinti kultūros ir gamtos paveldo aktualumą, lankomumą ir žinomumą, visuomenės informuotumą apie juos supančią aplinką</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1.1.7v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8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82" w:type="pct"/>
            <w:gridSpan w:val="3"/>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3 025 768</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180 312</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180 312</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384" w:type="pct"/>
            <w:gridSpan w:val="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1 823 689</w:t>
            </w:r>
          </w:p>
        </w:tc>
        <w:tc>
          <w:tcPr>
            <w:tcW w:w="482" w:type="pct"/>
            <w:gridSpan w:val="3"/>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1 823 689</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1 021 767</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1.1.8v veiksmas: Teritorijos prie daugiafunkcio S. Dariaus ir S. Girėno sveikatinimo, kultūros ir užimtumo centro, Lietuvos Sporto Universiteto ir Sporto halės sutvarkymas</w:t>
            </w:r>
            <w:r>
              <w:rPr>
                <w:bCs/>
                <w:color w:val="000000"/>
                <w:szCs w:val="24"/>
                <w:lang w:eastAsia="lt-LT"/>
              </w:rPr>
              <w:t xml:space="preserve"> (sutvarkant aikštę ir pritaikant ją renginiams bei visuomenės poreikiams, pėsčiųjų takus ir želdinius, rekonstruojant apšvietimą, automobilių stovėjimo aikšteles prie Ąžuolyno gatvės)</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1.1.8v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5 000 000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4 250 000</w:t>
            </w: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p>
          <w:p>
            <w:pPr>
              <w:jc w:val="both"/>
              <w:rPr>
                <w:b/>
                <w:bCs/>
                <w:color w:val="000000"/>
                <w:szCs w:val="24"/>
                <w:u w:val="single"/>
                <w:lang w:eastAsia="lt-LT"/>
              </w:rPr>
            </w:pPr>
            <w:r>
              <w:rPr>
                <w:b/>
                <w:bCs/>
                <w:color w:val="000000"/>
                <w:szCs w:val="24"/>
                <w:u w:val="single"/>
                <w:lang w:eastAsia="lt-LT"/>
              </w:rPr>
              <w:t xml:space="preserve">1.1.9v veiksmas: Daugiafunkcio S. Dariaus ir S. Girėno sveikatinimo, kultūros ir užimtumo centro įkūrimas panaudojant ir pritaikant S. Dariaus ir S. Girėno stadiono infrastruktūrą </w:t>
            </w:r>
            <w:r>
              <w:rPr>
                <w:bCs/>
                <w:color w:val="000000"/>
                <w:szCs w:val="24"/>
                <w:u w:val="single"/>
                <w:lang w:eastAsia="lt-LT"/>
              </w:rPr>
              <w:t>(pritaikant potribūnines patalpas sveikatingumo skatinimui ir mėgėjiškam sportui, neformaliam švietimui, kultūrinei, bendruomeninei ir NVO veiklai)</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 xml:space="preserve">7.1.1. Padidinti ūkinės veiklos įvairovę ir pagerinti sąlygas investicijų pritraukimui, siekiant kurti naujas darbo vietas tikslinėse teritorijose (miestuose) </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1.1.9. 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5 000 000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375 000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375 000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4 250 000</w:t>
            </w:r>
          </w:p>
        </w:tc>
      </w:tr>
      <w:tr>
        <w:trPr>
          <w:gridAfter w:val="2"/>
          <w:wAfter w:w="387" w:type="pct"/>
          <w:trHeight w:val="20"/>
        </w:trPr>
        <w:tc>
          <w:tcPr>
            <w:tcW w:w="4613" w:type="pct"/>
            <w:gridSpan w:val="36"/>
            <w:tcBorders>
              <w:top w:val="single" w:sz="8" w:space="0" w:color="auto"/>
              <w:left w:val="nil"/>
              <w:bottom w:val="nil"/>
              <w:right w:val="nil"/>
            </w:tcBorders>
            <w:shd w:val="clear" w:color="auto" w:fill="auto"/>
            <w:noWrap/>
            <w:vAlign w:val="center"/>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center"/>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1.1.10v veiksmas: Kauno miesto paauglių fizinio aktyvumo skatinimo programa</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1.1.10v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14 271</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2 141</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2 141</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12 130</w:t>
            </w:r>
          </w:p>
        </w:tc>
      </w:tr>
      <w:tr>
        <w:trPr>
          <w:gridAfter w:val="2"/>
          <w:wAfter w:w="387" w:type="pct"/>
          <w:trHeight w:val="20"/>
        </w:trPr>
        <w:tc>
          <w:tcPr>
            <w:tcW w:w="115" w:type="pct"/>
            <w:tcBorders>
              <w:top w:val="nil"/>
              <w:left w:val="nil"/>
              <w:bottom w:val="nil"/>
              <w:right w:val="nil"/>
            </w:tcBorders>
            <w:shd w:val="clear" w:color="auto" w:fill="auto"/>
            <w:noWrap/>
            <w:vAlign w:val="center"/>
          </w:tcPr>
          <w:p>
            <w:pPr>
              <w:rPr>
                <w:color w:val="000000"/>
                <w:szCs w:val="24"/>
                <w:lang w:eastAsia="lt-LT"/>
              </w:rPr>
            </w:pPr>
          </w:p>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1.1.11v veiksmas: Kauno miesto senjorų sveikos mitybos ir sveiko judesio lavinimo programa</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1.1.11v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14 271</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2 141</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2 141</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12 130</w:t>
            </w:r>
          </w:p>
        </w:tc>
      </w:tr>
      <w:tr>
        <w:trPr>
          <w:gridAfter w:val="2"/>
          <w:wAfter w:w="387" w:type="pct"/>
          <w:trHeight w:val="20"/>
        </w:trPr>
        <w:tc>
          <w:tcPr>
            <w:tcW w:w="115" w:type="pct"/>
            <w:tcBorders>
              <w:top w:val="single" w:sz="8" w:space="0" w:color="auto"/>
              <w:left w:val="nil"/>
              <w:bottom w:val="nil"/>
              <w:right w:val="nil"/>
            </w:tcBorders>
            <w:shd w:val="clear" w:color="auto" w:fill="auto"/>
            <w:noWrap/>
            <w:vAlign w:val="center"/>
          </w:tcPr>
          <w:p>
            <w:pPr>
              <w:rPr>
                <w:color w:val="000000"/>
                <w:szCs w:val="24"/>
                <w:lang w:eastAsia="lt-LT"/>
              </w:rPr>
            </w:pPr>
          </w:p>
        </w:tc>
        <w:tc>
          <w:tcPr>
            <w:tcW w:w="4498" w:type="pct"/>
            <w:gridSpan w:val="35"/>
            <w:tcBorders>
              <w:top w:val="single" w:sz="8" w:space="0" w:color="auto"/>
              <w:left w:val="nil"/>
              <w:bottom w:val="nil"/>
              <w:right w:val="nil"/>
            </w:tcBorders>
            <w:shd w:val="clear" w:color="auto" w:fill="auto"/>
            <w:vAlign w:val="center"/>
          </w:tcPr>
          <w:p>
            <w:pPr>
              <w:rPr>
                <w:b/>
                <w:bCs/>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1.1.12v veiksmas: Kompleksiškas Kauko laiptų prie Aukštaičių gatvės zonos sutvarkymas</w:t>
            </w:r>
            <w:r>
              <w:rPr>
                <w:bCs/>
                <w:color w:val="000000"/>
                <w:szCs w:val="24"/>
                <w:lang w:eastAsia="lt-LT"/>
              </w:rPr>
              <w:t>(paruošiant naujų dekoratyvinės dailės akcentų vietas, įrengiant mažosios architektūros formas, atnaujinant dekoratyvinį baseiną ir šaligatvių dangas, sutvarkant želdinius, rekonstruojant teritorijos apšvietimo ir stebėjimo sistemas, lietaus nuotekų sistemą)</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 xml:space="preserve">7.1.1. Padidinti ūkinės veiklos įvairovę ir pagerinti sąlygas investicijų pritraukimui, siekiant kurti naujas darbo vietas tikslinėse teritorijose (miestuose) </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1.1.12v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799 890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59 992</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59 992</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59 988</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59 988</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679 910</w:t>
            </w: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1.1.13v veiksmas: Kompleksiškas Ąžuolyno parke esančios infrastuktūros sutvarkymas, pritaikant ją visuomenės poreikiams </w:t>
            </w:r>
            <w:r>
              <w:rPr>
                <w:bCs/>
                <w:color w:val="000000"/>
                <w:szCs w:val="24"/>
                <w:u w:val="single"/>
                <w:lang w:eastAsia="lt-LT"/>
              </w:rPr>
              <w:t>(</w:t>
            </w:r>
            <w:r>
              <w:rPr>
                <w:bCs/>
                <w:color w:val="000000"/>
                <w:szCs w:val="24"/>
                <w:lang w:eastAsia="lt-LT"/>
              </w:rPr>
              <w:t>pėsčiųjų, bėgimo takų, apšvietimo įrengimas, želdinių tvarkymas, Dainų slėnio teritorijos sutvarkymas ir infrastruktūros rekonstravimas, siekiant esamas erdves pritaikyti kultūros, poilsio ir rekreacijos reikmėms)</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1.1.13v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3 475 440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260 658</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260 658</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260 662</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260 662</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2 954 120</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1.1.14v veiksmas: Pastato esančio Aleksote, Europos pr. 105A konversija į daugiafunkcinį centrą </w:t>
            </w:r>
            <w:r>
              <w:rPr>
                <w:bCs/>
                <w:color w:val="000000"/>
                <w:szCs w:val="24"/>
                <w:lang w:eastAsia="lt-LT"/>
              </w:rPr>
              <w:t>(įrengiant ir pritaikant jį visuomenės poreikiams ir sukuriant bendruomenės traukos centrą, skatinantį tolesnį teritorijos vystymą bei privačių investicijų pritraukimą)</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1.1.14v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1 500 000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112 500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112 500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112 500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112 500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1 275 000</w:t>
            </w:r>
          </w:p>
        </w:tc>
      </w:tr>
      <w:tr>
        <w:trPr>
          <w:gridAfter w:val="2"/>
          <w:wAfter w:w="387" w:type="pct"/>
          <w:trHeight w:val="20"/>
        </w:trPr>
        <w:tc>
          <w:tcPr>
            <w:tcW w:w="115" w:type="pct"/>
            <w:tcBorders>
              <w:top w:val="nil"/>
              <w:left w:val="nil"/>
              <w:bottom w:val="nil"/>
              <w:right w:val="nil"/>
            </w:tcBorders>
            <w:shd w:val="clear" w:color="auto" w:fill="auto"/>
            <w:noWrap/>
            <w:vAlign w:val="center"/>
          </w:tcPr>
          <w:p>
            <w:pPr>
              <w:rPr>
                <w:color w:val="000000"/>
                <w:szCs w:val="24"/>
                <w:lang w:eastAsia="lt-LT"/>
              </w:rPr>
            </w:pPr>
          </w:p>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1.1.15v veiksmas: Lietuvos zoologijos sodo modernizavimas </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BĮ „Lietuvos zoologijos sodas“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5.4.1. Padidinti kultūros ir gamtos paveldo aktualumą, lankomumą ir žinomumą, visuomenės informuotumą apie juos supančią aplinką</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V</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1.1.15v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11 584 800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1 737 720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1 737 720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9 847 080</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4498" w:type="pct"/>
            <w:gridSpan w:val="3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1.1.16v veiksmas: Kauno kino centro „Romuva“ (kultūros paveldo objekto) aktualizavimas, jį įveiklinant, optimizuojant ir keliant paslaugų kokybę</w:t>
            </w: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kino centras „Romuva“</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KM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5.4.1. Padidinti kultūros ir gamtos paveldo aktualumą, lankomumą ir žinomumą, visuomenės informuotumą apie juos supančią aplinką</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5"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2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115" w:type="pct"/>
            <w:tcBorders>
              <w:top w:val="nil"/>
              <w:left w:val="nil"/>
              <w:bottom w:val="nil"/>
              <w:right w:val="nil"/>
            </w:tcBorders>
            <w:shd w:val="clear" w:color="auto" w:fill="auto"/>
            <w:noWrap/>
            <w:vAlign w:val="bottom"/>
          </w:tcPr>
          <w:p>
            <w:pPr>
              <w:rPr>
                <w:color w:val="000000"/>
                <w:szCs w:val="24"/>
                <w:lang w:eastAsia="lt-LT"/>
              </w:rPr>
            </w:pPr>
          </w:p>
        </w:tc>
        <w:tc>
          <w:tcPr>
            <w:tcW w:w="3841" w:type="pct"/>
            <w:gridSpan w:val="31"/>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1.1.16v Veiksmo lėšų poreikis ir finansavimo šaltiniai:</w:t>
            </w:r>
          </w:p>
        </w:tc>
        <w:tc>
          <w:tcPr>
            <w:tcW w:w="657" w:type="pct"/>
            <w:gridSpan w:val="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2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93" w:type="pct"/>
            <w:gridSpan w:val="3"/>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400" w:type="pct"/>
            <w:gridSpan w:val="3"/>
            <w:tcBorders>
              <w:top w:val="nil"/>
              <w:left w:val="nil"/>
              <w:bottom w:val="nil"/>
              <w:right w:val="nil"/>
            </w:tcBorders>
            <w:shd w:val="clear" w:color="auto" w:fill="auto"/>
            <w:noWrap/>
            <w:vAlign w:val="bottom"/>
          </w:tcPr>
          <w:p>
            <w:pPr>
              <w:rPr>
                <w:color w:val="000000"/>
                <w:szCs w:val="24"/>
                <w:lang w:eastAsia="lt-LT"/>
              </w:rPr>
            </w:pPr>
          </w:p>
        </w:tc>
        <w:tc>
          <w:tcPr>
            <w:tcW w:w="391"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688" w:type="pct"/>
            <w:gridSpan w:val="4"/>
            <w:tcBorders>
              <w:top w:val="nil"/>
              <w:left w:val="nil"/>
              <w:bottom w:val="nil"/>
              <w:right w:val="nil"/>
            </w:tcBorders>
            <w:shd w:val="clear" w:color="auto" w:fill="auto"/>
            <w:noWrap/>
            <w:vAlign w:val="bottom"/>
          </w:tcPr>
          <w:p>
            <w:pPr>
              <w:rPr>
                <w:color w:val="000000"/>
                <w:szCs w:val="24"/>
                <w:lang w:eastAsia="lt-LT"/>
              </w:rPr>
            </w:pPr>
          </w:p>
        </w:tc>
        <w:tc>
          <w:tcPr>
            <w:tcW w:w="77" w:type="pct"/>
            <w:gridSpan w:val="2"/>
            <w:tcBorders>
              <w:top w:val="nil"/>
              <w:left w:val="nil"/>
              <w:bottom w:val="nil"/>
              <w:right w:val="nil"/>
            </w:tcBorders>
            <w:shd w:val="clear" w:color="auto" w:fill="auto"/>
            <w:noWrap/>
            <w:vAlign w:val="bottom"/>
          </w:tcPr>
          <w:p>
            <w:pPr>
              <w:rPr>
                <w:color w:val="000000"/>
                <w:szCs w:val="24"/>
                <w:lang w:eastAsia="lt-LT"/>
              </w:rPr>
            </w:pPr>
          </w:p>
        </w:tc>
        <w:tc>
          <w:tcPr>
            <w:tcW w:w="302" w:type="pct"/>
            <w:gridSpan w:val="2"/>
            <w:tcBorders>
              <w:top w:val="nil"/>
              <w:left w:val="nil"/>
              <w:bottom w:val="nil"/>
              <w:right w:val="nil"/>
            </w:tcBorders>
            <w:shd w:val="clear" w:color="auto" w:fill="auto"/>
            <w:noWrap/>
            <w:vAlign w:val="bottom"/>
          </w:tcPr>
          <w:p>
            <w:pPr>
              <w:rPr>
                <w:color w:val="000000"/>
                <w:szCs w:val="24"/>
                <w:lang w:eastAsia="lt-LT"/>
              </w:rPr>
            </w:pPr>
          </w:p>
        </w:tc>
        <w:tc>
          <w:tcPr>
            <w:tcW w:w="249" w:type="pct"/>
            <w:gridSpan w:val="2"/>
            <w:tcBorders>
              <w:top w:val="nil"/>
              <w:left w:val="nil"/>
              <w:bottom w:val="nil"/>
              <w:right w:val="nil"/>
            </w:tcBorders>
            <w:shd w:val="clear" w:color="auto" w:fill="auto"/>
            <w:noWrap/>
            <w:vAlign w:val="bottom"/>
          </w:tcPr>
          <w:p>
            <w:pPr>
              <w:rPr>
                <w:color w:val="000000"/>
                <w:szCs w:val="24"/>
                <w:lang w:eastAsia="lt-LT"/>
              </w:rPr>
            </w:pPr>
          </w:p>
        </w:tc>
        <w:tc>
          <w:tcPr>
            <w:tcW w:w="384" w:type="pct"/>
            <w:gridSpan w:val="3"/>
            <w:tcBorders>
              <w:top w:val="nil"/>
              <w:left w:val="nil"/>
              <w:bottom w:val="nil"/>
              <w:right w:val="nil"/>
            </w:tcBorders>
            <w:shd w:val="clear" w:color="auto" w:fill="auto"/>
            <w:noWrap/>
            <w:vAlign w:val="bottom"/>
          </w:tcPr>
          <w:p>
            <w:pPr>
              <w:rPr>
                <w:color w:val="000000"/>
                <w:szCs w:val="24"/>
                <w:lang w:eastAsia="lt-LT"/>
              </w:rPr>
            </w:pPr>
          </w:p>
        </w:tc>
        <w:tc>
          <w:tcPr>
            <w:tcW w:w="364" w:type="pct"/>
            <w:gridSpan w:val="2"/>
            <w:tcBorders>
              <w:top w:val="nil"/>
              <w:left w:val="nil"/>
              <w:bottom w:val="nil"/>
              <w:right w:val="nil"/>
            </w:tcBorders>
            <w:shd w:val="clear" w:color="auto" w:fill="auto"/>
            <w:noWrap/>
            <w:vAlign w:val="bottom"/>
          </w:tcPr>
          <w:p>
            <w:pPr>
              <w:rPr>
                <w:color w:val="000000"/>
                <w:szCs w:val="24"/>
                <w:lang w:eastAsia="lt-LT"/>
              </w:rPr>
            </w:pPr>
          </w:p>
        </w:tc>
        <w:tc>
          <w:tcPr>
            <w:tcW w:w="233" w:type="pct"/>
            <w:gridSpan w:val="3"/>
            <w:tcBorders>
              <w:top w:val="nil"/>
              <w:left w:val="nil"/>
              <w:bottom w:val="nil"/>
              <w:right w:val="nil"/>
            </w:tcBorders>
            <w:shd w:val="clear" w:color="auto" w:fill="auto"/>
            <w:noWrap/>
            <w:vAlign w:val="bottom"/>
          </w:tcPr>
          <w:p>
            <w:pPr>
              <w:rPr>
                <w:color w:val="000000"/>
                <w:szCs w:val="24"/>
                <w:lang w:eastAsia="lt-LT"/>
              </w:rPr>
            </w:pPr>
          </w:p>
        </w:tc>
        <w:tc>
          <w:tcPr>
            <w:tcW w:w="929" w:type="pct"/>
            <w:gridSpan w:val="4"/>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2 625 980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1 604 213</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1 604 213</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1 021 767</w:t>
            </w:r>
          </w:p>
        </w:tc>
      </w:tr>
      <w:tr>
        <w:trPr>
          <w:gridAfter w:val="2"/>
          <w:wAfter w:w="387" w:type="pct"/>
          <w:trHeight w:val="20"/>
        </w:trPr>
        <w:tc>
          <w:tcPr>
            <w:tcW w:w="115" w:type="pct"/>
            <w:tcBorders>
              <w:top w:val="nil"/>
              <w:left w:val="nil"/>
              <w:bottom w:val="nil"/>
              <w:right w:val="nil"/>
            </w:tcBorders>
            <w:shd w:val="clear" w:color="auto" w:fill="auto"/>
            <w:noWrap/>
            <w:vAlign w:val="bottom"/>
          </w:tcPr>
          <w:p>
            <w:pPr>
              <w:jc w:val="center"/>
              <w:rPr>
                <w:color w:val="000000"/>
                <w:szCs w:val="24"/>
                <w:lang w:eastAsia="lt-LT"/>
              </w:rPr>
            </w:pPr>
          </w:p>
          <w:p>
            <w:pPr>
              <w:jc w:val="center"/>
              <w:rPr>
                <w:color w:val="000000"/>
                <w:szCs w:val="24"/>
                <w:lang w:eastAsia="lt-LT"/>
              </w:rPr>
            </w:pPr>
          </w:p>
        </w:tc>
        <w:tc>
          <w:tcPr>
            <w:tcW w:w="4498" w:type="pct"/>
            <w:gridSpan w:val="35"/>
            <w:tcBorders>
              <w:top w:val="nil"/>
              <w:left w:val="nil"/>
              <w:bottom w:val="nil"/>
              <w:right w:val="nil"/>
            </w:tcBorders>
            <w:shd w:val="clear" w:color="auto" w:fill="auto"/>
            <w:vAlign w:val="center"/>
          </w:tcPr>
          <w:p>
            <w:pPr>
              <w:rPr>
                <w:b/>
                <w:bCs/>
                <w:color w:val="000000"/>
                <w:szCs w:val="24"/>
                <w:u w:val="single"/>
                <w:lang w:eastAsia="lt-LT"/>
              </w:rPr>
            </w:pPr>
          </w:p>
          <w:p>
            <w:pPr>
              <w:jc w:val="both"/>
              <w:rPr>
                <w:b/>
                <w:bCs/>
                <w:color w:val="000000"/>
                <w:szCs w:val="24"/>
                <w:u w:val="single"/>
                <w:lang w:eastAsia="lt-LT"/>
              </w:rPr>
            </w:pPr>
            <w:r>
              <w:rPr>
                <w:b/>
                <w:bCs/>
                <w:color w:val="000000"/>
                <w:szCs w:val="24"/>
                <w:u w:val="single"/>
                <w:lang w:eastAsia="lt-LT"/>
              </w:rPr>
              <w:t>1.1.17v veiksmas: VšĮ „Girstučio“ kultūros ir sporto centro (Kovo 11-osios g. 26 Kaune) kultūrinei veiklai naudojamos dalies rekonstravimas</w:t>
            </w:r>
          </w:p>
        </w:tc>
      </w:tr>
      <w:tr>
        <w:trPr>
          <w:gridAfter w:val="1"/>
          <w:wAfter w:w="309" w:type="pct"/>
          <w:trHeight w:val="20"/>
        </w:trPr>
        <w:tc>
          <w:tcPr>
            <w:tcW w:w="282" w:type="pct"/>
            <w:gridSpan w:val="2"/>
            <w:tcBorders>
              <w:top w:val="nil"/>
              <w:left w:val="nil"/>
              <w:bottom w:val="nil"/>
              <w:right w:val="nil"/>
            </w:tcBorders>
            <w:shd w:val="clear" w:color="auto" w:fill="auto"/>
            <w:noWrap/>
            <w:vAlign w:val="bottom"/>
          </w:tcPr>
          <w:p>
            <w:pPr>
              <w:rPr>
                <w:color w:val="000000"/>
                <w:szCs w:val="24"/>
                <w:lang w:eastAsia="lt-LT"/>
              </w:rPr>
            </w:pPr>
          </w:p>
        </w:tc>
        <w:tc>
          <w:tcPr>
            <w:tcW w:w="80" w:type="pct"/>
            <w:tcBorders>
              <w:top w:val="nil"/>
              <w:left w:val="nil"/>
              <w:bottom w:val="nil"/>
              <w:right w:val="nil"/>
            </w:tcBorders>
            <w:shd w:val="clear" w:color="auto" w:fill="auto"/>
            <w:noWrap/>
            <w:vAlign w:val="bottom"/>
          </w:tcPr>
          <w:p>
            <w:pPr>
              <w:rPr>
                <w:color w:val="000000"/>
                <w:szCs w:val="24"/>
                <w:lang w:eastAsia="lt-LT"/>
              </w:rPr>
            </w:pPr>
          </w:p>
        </w:tc>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118" w:type="pct"/>
            <w:tcBorders>
              <w:top w:val="nil"/>
              <w:left w:val="nil"/>
              <w:bottom w:val="nil"/>
              <w:right w:val="nil"/>
            </w:tcBorders>
            <w:shd w:val="clear" w:color="auto" w:fill="auto"/>
            <w:noWrap/>
            <w:vAlign w:val="bottom"/>
          </w:tcPr>
          <w:p>
            <w:pPr>
              <w:rPr>
                <w:color w:val="000000"/>
                <w:szCs w:val="24"/>
                <w:lang w:eastAsia="lt-LT"/>
              </w:rPr>
            </w:pPr>
          </w:p>
        </w:tc>
        <w:tc>
          <w:tcPr>
            <w:tcW w:w="324" w:type="pct"/>
            <w:gridSpan w:val="4"/>
            <w:tcBorders>
              <w:top w:val="nil"/>
              <w:left w:val="nil"/>
              <w:bottom w:val="nil"/>
              <w:right w:val="nil"/>
            </w:tcBorders>
            <w:shd w:val="clear" w:color="auto" w:fill="auto"/>
            <w:noWrap/>
            <w:vAlign w:val="bottom"/>
          </w:tcPr>
          <w:p>
            <w:pPr>
              <w:rPr>
                <w:color w:val="000000"/>
                <w:szCs w:val="24"/>
                <w:lang w:eastAsia="lt-LT"/>
              </w:rPr>
            </w:pPr>
          </w:p>
        </w:tc>
        <w:tc>
          <w:tcPr>
            <w:tcW w:w="384"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tcBorders>
              <w:top w:val="nil"/>
              <w:left w:val="nil"/>
              <w:bottom w:val="nil"/>
              <w:right w:val="nil"/>
            </w:tcBorders>
            <w:shd w:val="clear" w:color="auto" w:fill="auto"/>
            <w:noWrap/>
            <w:vAlign w:val="bottom"/>
          </w:tcPr>
          <w:p>
            <w:pPr>
              <w:rPr>
                <w:color w:val="000000"/>
                <w:szCs w:val="24"/>
                <w:lang w:eastAsia="lt-LT"/>
              </w:rPr>
            </w:pPr>
          </w:p>
        </w:tc>
        <w:tc>
          <w:tcPr>
            <w:tcW w:w="357" w:type="pct"/>
            <w:gridSpan w:val="2"/>
            <w:tcBorders>
              <w:top w:val="nil"/>
              <w:left w:val="nil"/>
              <w:bottom w:val="nil"/>
              <w:right w:val="nil"/>
            </w:tcBorders>
            <w:shd w:val="clear" w:color="auto" w:fill="auto"/>
            <w:noWrap/>
            <w:vAlign w:val="bottom"/>
          </w:tcPr>
          <w:p>
            <w:pPr>
              <w:rPr>
                <w:color w:val="000000"/>
                <w:szCs w:val="24"/>
                <w:lang w:eastAsia="lt-LT"/>
              </w:rPr>
            </w:pPr>
          </w:p>
        </w:tc>
        <w:tc>
          <w:tcPr>
            <w:tcW w:w="260" w:type="pct"/>
            <w:gridSpan w:val="2"/>
            <w:tcBorders>
              <w:top w:val="nil"/>
              <w:left w:val="nil"/>
              <w:bottom w:val="nil"/>
              <w:right w:val="nil"/>
            </w:tcBorders>
            <w:shd w:val="clear" w:color="auto" w:fill="auto"/>
            <w:noWrap/>
            <w:vAlign w:val="bottom"/>
          </w:tcPr>
          <w:p>
            <w:pPr>
              <w:rPr>
                <w:color w:val="000000"/>
                <w:szCs w:val="24"/>
                <w:lang w:eastAsia="lt-LT"/>
              </w:rPr>
            </w:pPr>
          </w:p>
        </w:tc>
        <w:tc>
          <w:tcPr>
            <w:tcW w:w="353" w:type="pct"/>
            <w:gridSpan w:val="2"/>
            <w:tcBorders>
              <w:top w:val="nil"/>
              <w:left w:val="nil"/>
              <w:bottom w:val="nil"/>
              <w:right w:val="nil"/>
            </w:tcBorders>
            <w:shd w:val="clear" w:color="auto" w:fill="auto"/>
            <w:noWrap/>
            <w:vAlign w:val="bottom"/>
          </w:tcPr>
          <w:p>
            <w:pPr>
              <w:rPr>
                <w:color w:val="000000"/>
                <w:szCs w:val="24"/>
                <w:lang w:eastAsia="lt-LT"/>
              </w:rPr>
            </w:pPr>
          </w:p>
        </w:tc>
        <w:tc>
          <w:tcPr>
            <w:tcW w:w="415" w:type="pct"/>
            <w:gridSpan w:val="4"/>
            <w:tcBorders>
              <w:top w:val="nil"/>
              <w:left w:val="nil"/>
              <w:bottom w:val="nil"/>
              <w:right w:val="nil"/>
            </w:tcBorders>
            <w:shd w:val="clear" w:color="auto" w:fill="auto"/>
            <w:noWrap/>
            <w:vAlign w:val="bottom"/>
          </w:tcPr>
          <w:p>
            <w:pPr>
              <w:rPr>
                <w:color w:val="000000"/>
                <w:szCs w:val="24"/>
                <w:lang w:eastAsia="lt-LT"/>
              </w:rPr>
            </w:pPr>
          </w:p>
        </w:tc>
        <w:tc>
          <w:tcPr>
            <w:tcW w:w="264" w:type="pct"/>
            <w:gridSpan w:val="2"/>
            <w:tcBorders>
              <w:top w:val="nil"/>
              <w:left w:val="nil"/>
              <w:bottom w:val="nil"/>
              <w:right w:val="nil"/>
            </w:tcBorders>
            <w:shd w:val="clear" w:color="auto" w:fill="auto"/>
            <w:noWrap/>
            <w:vAlign w:val="bottom"/>
          </w:tcPr>
          <w:p>
            <w:pPr>
              <w:rPr>
                <w:color w:val="000000"/>
                <w:szCs w:val="24"/>
                <w:lang w:eastAsia="lt-LT"/>
              </w:rPr>
            </w:pPr>
          </w:p>
        </w:tc>
        <w:tc>
          <w:tcPr>
            <w:tcW w:w="195" w:type="pct"/>
            <w:gridSpan w:val="2"/>
            <w:tcBorders>
              <w:top w:val="nil"/>
              <w:left w:val="nil"/>
              <w:bottom w:val="nil"/>
              <w:right w:val="nil"/>
            </w:tcBorders>
            <w:shd w:val="clear" w:color="auto" w:fill="auto"/>
            <w:noWrap/>
            <w:vAlign w:val="bottom"/>
          </w:tcPr>
          <w:p>
            <w:pPr>
              <w:rPr>
                <w:color w:val="000000"/>
                <w:szCs w:val="24"/>
                <w:lang w:eastAsia="lt-LT"/>
              </w:rPr>
            </w:pPr>
          </w:p>
        </w:tc>
        <w:tc>
          <w:tcPr>
            <w:tcW w:w="403" w:type="pct"/>
            <w:gridSpan w:val="3"/>
            <w:tcBorders>
              <w:top w:val="nil"/>
              <w:left w:val="nil"/>
              <w:bottom w:val="nil"/>
              <w:right w:val="nil"/>
            </w:tcBorders>
            <w:shd w:val="clear" w:color="auto" w:fill="auto"/>
            <w:noWrap/>
            <w:vAlign w:val="bottom"/>
          </w:tcPr>
          <w:p>
            <w:pPr>
              <w:rPr>
                <w:color w:val="000000"/>
                <w:szCs w:val="24"/>
                <w:lang w:eastAsia="lt-LT"/>
              </w:rPr>
            </w:pPr>
          </w:p>
        </w:tc>
        <w:tc>
          <w:tcPr>
            <w:tcW w:w="336" w:type="pct"/>
            <w:gridSpan w:val="3"/>
            <w:tcBorders>
              <w:top w:val="nil"/>
              <w:left w:val="nil"/>
              <w:bottom w:val="nil"/>
              <w:right w:val="nil"/>
            </w:tcBorders>
            <w:shd w:val="clear" w:color="auto" w:fill="auto"/>
            <w:noWrap/>
            <w:vAlign w:val="bottom"/>
          </w:tcPr>
          <w:p>
            <w:pPr>
              <w:rPr>
                <w:color w:val="000000"/>
                <w:szCs w:val="24"/>
                <w:lang w:eastAsia="lt-LT"/>
              </w:rPr>
            </w:pPr>
          </w:p>
        </w:tc>
        <w:tc>
          <w:tcPr>
            <w:tcW w:w="327" w:type="pct"/>
            <w:gridSpan w:val="2"/>
            <w:tcBorders>
              <w:top w:val="nil"/>
              <w:left w:val="nil"/>
              <w:bottom w:val="nil"/>
              <w:right w:val="nil"/>
            </w:tcBorders>
            <w:shd w:val="clear" w:color="auto" w:fill="auto"/>
            <w:noWrap/>
            <w:vAlign w:val="bottom"/>
          </w:tcPr>
          <w:p>
            <w:pPr>
              <w:rPr>
                <w:color w:val="000000"/>
                <w:szCs w:val="24"/>
                <w:lang w:eastAsia="lt-LT"/>
              </w:rPr>
            </w:pPr>
          </w:p>
        </w:tc>
        <w:tc>
          <w:tcPr>
            <w:tcW w:w="397" w:type="pct"/>
            <w:gridSpan w:val="2"/>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32"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VšĮ „Girstučio kultūros centras“</w:t>
            </w:r>
          </w:p>
        </w:tc>
        <w:tc>
          <w:tcPr>
            <w:tcW w:w="822" w:type="pct"/>
            <w:gridSpan w:val="7"/>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KM</w:t>
            </w:r>
          </w:p>
        </w:tc>
        <w:tc>
          <w:tcPr>
            <w:tcW w:w="1436" w:type="pct"/>
            <w:gridSpan w:val="1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09" w:type="pct"/>
          <w:trHeight w:val="20"/>
        </w:trPr>
        <w:tc>
          <w:tcPr>
            <w:tcW w:w="282" w:type="pct"/>
            <w:gridSpan w:val="2"/>
            <w:tcBorders>
              <w:top w:val="nil"/>
              <w:left w:val="nil"/>
              <w:bottom w:val="nil"/>
              <w:right w:val="nil"/>
            </w:tcBorders>
            <w:shd w:val="clear" w:color="auto" w:fill="auto"/>
            <w:noWrap/>
            <w:vAlign w:val="bottom"/>
          </w:tcPr>
          <w:p>
            <w:pPr>
              <w:rPr>
                <w:color w:val="000000"/>
                <w:szCs w:val="24"/>
                <w:lang w:eastAsia="lt-LT"/>
              </w:rPr>
            </w:pPr>
          </w:p>
        </w:tc>
        <w:tc>
          <w:tcPr>
            <w:tcW w:w="80" w:type="pct"/>
            <w:tcBorders>
              <w:top w:val="nil"/>
              <w:left w:val="nil"/>
              <w:bottom w:val="nil"/>
              <w:right w:val="nil"/>
            </w:tcBorders>
            <w:shd w:val="clear" w:color="auto" w:fill="auto"/>
            <w:noWrap/>
            <w:vAlign w:val="bottom"/>
          </w:tcPr>
          <w:p>
            <w:pPr>
              <w:rPr>
                <w:color w:val="000000"/>
                <w:szCs w:val="24"/>
                <w:lang w:eastAsia="lt-LT"/>
              </w:rPr>
            </w:pPr>
          </w:p>
        </w:tc>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118" w:type="pct"/>
            <w:tcBorders>
              <w:top w:val="nil"/>
              <w:left w:val="nil"/>
              <w:bottom w:val="nil"/>
              <w:right w:val="nil"/>
            </w:tcBorders>
            <w:shd w:val="clear" w:color="auto" w:fill="auto"/>
            <w:noWrap/>
            <w:vAlign w:val="bottom"/>
          </w:tcPr>
          <w:p>
            <w:pPr>
              <w:rPr>
                <w:color w:val="000000"/>
                <w:szCs w:val="24"/>
                <w:lang w:eastAsia="lt-LT"/>
              </w:rPr>
            </w:pPr>
          </w:p>
        </w:tc>
        <w:tc>
          <w:tcPr>
            <w:tcW w:w="324" w:type="pct"/>
            <w:gridSpan w:val="4"/>
            <w:tcBorders>
              <w:top w:val="nil"/>
              <w:left w:val="nil"/>
              <w:bottom w:val="nil"/>
              <w:right w:val="nil"/>
            </w:tcBorders>
            <w:shd w:val="clear" w:color="auto" w:fill="auto"/>
            <w:noWrap/>
            <w:vAlign w:val="bottom"/>
          </w:tcPr>
          <w:p>
            <w:pPr>
              <w:rPr>
                <w:color w:val="000000"/>
                <w:szCs w:val="24"/>
                <w:lang w:eastAsia="lt-LT"/>
              </w:rPr>
            </w:pPr>
          </w:p>
        </w:tc>
        <w:tc>
          <w:tcPr>
            <w:tcW w:w="384"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tcBorders>
              <w:top w:val="nil"/>
              <w:left w:val="nil"/>
              <w:bottom w:val="nil"/>
              <w:right w:val="nil"/>
            </w:tcBorders>
            <w:shd w:val="clear" w:color="auto" w:fill="auto"/>
            <w:noWrap/>
            <w:vAlign w:val="bottom"/>
          </w:tcPr>
          <w:p>
            <w:pPr>
              <w:rPr>
                <w:color w:val="000000"/>
                <w:szCs w:val="24"/>
                <w:lang w:eastAsia="lt-LT"/>
              </w:rPr>
            </w:pPr>
          </w:p>
        </w:tc>
        <w:tc>
          <w:tcPr>
            <w:tcW w:w="357" w:type="pct"/>
            <w:gridSpan w:val="2"/>
            <w:tcBorders>
              <w:top w:val="nil"/>
              <w:left w:val="nil"/>
              <w:bottom w:val="nil"/>
              <w:right w:val="nil"/>
            </w:tcBorders>
            <w:shd w:val="clear" w:color="auto" w:fill="auto"/>
            <w:noWrap/>
            <w:vAlign w:val="bottom"/>
          </w:tcPr>
          <w:p>
            <w:pPr>
              <w:rPr>
                <w:color w:val="000000"/>
                <w:szCs w:val="24"/>
                <w:lang w:eastAsia="lt-LT"/>
              </w:rPr>
            </w:pPr>
          </w:p>
        </w:tc>
        <w:tc>
          <w:tcPr>
            <w:tcW w:w="260" w:type="pct"/>
            <w:gridSpan w:val="2"/>
            <w:tcBorders>
              <w:top w:val="nil"/>
              <w:left w:val="nil"/>
              <w:bottom w:val="nil"/>
              <w:right w:val="nil"/>
            </w:tcBorders>
            <w:shd w:val="clear" w:color="auto" w:fill="auto"/>
            <w:noWrap/>
            <w:vAlign w:val="bottom"/>
          </w:tcPr>
          <w:p>
            <w:pPr>
              <w:rPr>
                <w:color w:val="000000"/>
                <w:szCs w:val="24"/>
                <w:lang w:eastAsia="lt-LT"/>
              </w:rPr>
            </w:pPr>
          </w:p>
        </w:tc>
        <w:tc>
          <w:tcPr>
            <w:tcW w:w="353" w:type="pct"/>
            <w:gridSpan w:val="2"/>
            <w:tcBorders>
              <w:top w:val="nil"/>
              <w:left w:val="nil"/>
              <w:bottom w:val="nil"/>
              <w:right w:val="nil"/>
            </w:tcBorders>
            <w:shd w:val="clear" w:color="auto" w:fill="auto"/>
            <w:noWrap/>
            <w:vAlign w:val="bottom"/>
          </w:tcPr>
          <w:p>
            <w:pPr>
              <w:rPr>
                <w:color w:val="000000"/>
                <w:szCs w:val="24"/>
                <w:lang w:eastAsia="lt-LT"/>
              </w:rPr>
            </w:pPr>
          </w:p>
        </w:tc>
        <w:tc>
          <w:tcPr>
            <w:tcW w:w="415" w:type="pct"/>
            <w:gridSpan w:val="4"/>
            <w:tcBorders>
              <w:top w:val="nil"/>
              <w:left w:val="nil"/>
              <w:bottom w:val="nil"/>
              <w:right w:val="nil"/>
            </w:tcBorders>
            <w:shd w:val="clear" w:color="auto" w:fill="auto"/>
            <w:noWrap/>
            <w:vAlign w:val="bottom"/>
          </w:tcPr>
          <w:p>
            <w:pPr>
              <w:rPr>
                <w:color w:val="000000"/>
                <w:szCs w:val="24"/>
                <w:lang w:eastAsia="lt-LT"/>
              </w:rPr>
            </w:pPr>
          </w:p>
        </w:tc>
        <w:tc>
          <w:tcPr>
            <w:tcW w:w="264" w:type="pct"/>
            <w:gridSpan w:val="2"/>
            <w:tcBorders>
              <w:top w:val="nil"/>
              <w:left w:val="nil"/>
              <w:bottom w:val="nil"/>
              <w:right w:val="nil"/>
            </w:tcBorders>
            <w:shd w:val="clear" w:color="auto" w:fill="auto"/>
            <w:noWrap/>
            <w:vAlign w:val="bottom"/>
          </w:tcPr>
          <w:p>
            <w:pPr>
              <w:rPr>
                <w:color w:val="000000"/>
                <w:szCs w:val="24"/>
                <w:lang w:eastAsia="lt-LT"/>
              </w:rPr>
            </w:pPr>
          </w:p>
        </w:tc>
        <w:tc>
          <w:tcPr>
            <w:tcW w:w="195" w:type="pct"/>
            <w:gridSpan w:val="2"/>
            <w:tcBorders>
              <w:top w:val="nil"/>
              <w:left w:val="nil"/>
              <w:bottom w:val="nil"/>
              <w:right w:val="nil"/>
            </w:tcBorders>
            <w:shd w:val="clear" w:color="auto" w:fill="auto"/>
            <w:noWrap/>
            <w:vAlign w:val="bottom"/>
          </w:tcPr>
          <w:p>
            <w:pPr>
              <w:rPr>
                <w:color w:val="000000"/>
                <w:szCs w:val="24"/>
                <w:lang w:eastAsia="lt-LT"/>
              </w:rPr>
            </w:pPr>
          </w:p>
        </w:tc>
        <w:tc>
          <w:tcPr>
            <w:tcW w:w="403" w:type="pct"/>
            <w:gridSpan w:val="3"/>
            <w:tcBorders>
              <w:top w:val="nil"/>
              <w:left w:val="nil"/>
              <w:bottom w:val="nil"/>
              <w:right w:val="nil"/>
            </w:tcBorders>
            <w:shd w:val="clear" w:color="auto" w:fill="auto"/>
            <w:noWrap/>
            <w:vAlign w:val="bottom"/>
          </w:tcPr>
          <w:p>
            <w:pPr>
              <w:rPr>
                <w:color w:val="000000"/>
                <w:szCs w:val="24"/>
                <w:lang w:eastAsia="lt-LT"/>
              </w:rPr>
            </w:pPr>
          </w:p>
        </w:tc>
        <w:tc>
          <w:tcPr>
            <w:tcW w:w="336" w:type="pct"/>
            <w:gridSpan w:val="3"/>
            <w:tcBorders>
              <w:top w:val="nil"/>
              <w:left w:val="nil"/>
              <w:bottom w:val="nil"/>
              <w:right w:val="nil"/>
            </w:tcBorders>
            <w:shd w:val="clear" w:color="auto" w:fill="auto"/>
            <w:noWrap/>
            <w:vAlign w:val="bottom"/>
          </w:tcPr>
          <w:p>
            <w:pPr>
              <w:rPr>
                <w:color w:val="000000"/>
                <w:szCs w:val="24"/>
                <w:lang w:eastAsia="lt-LT"/>
              </w:rPr>
            </w:pPr>
          </w:p>
        </w:tc>
        <w:tc>
          <w:tcPr>
            <w:tcW w:w="327" w:type="pct"/>
            <w:gridSpan w:val="2"/>
            <w:tcBorders>
              <w:top w:val="nil"/>
              <w:left w:val="nil"/>
              <w:bottom w:val="nil"/>
              <w:right w:val="nil"/>
            </w:tcBorders>
            <w:shd w:val="clear" w:color="auto" w:fill="auto"/>
            <w:noWrap/>
            <w:vAlign w:val="bottom"/>
          </w:tcPr>
          <w:p>
            <w:pPr>
              <w:rPr>
                <w:color w:val="000000"/>
                <w:szCs w:val="24"/>
                <w:lang w:eastAsia="lt-LT"/>
              </w:rPr>
            </w:pPr>
          </w:p>
        </w:tc>
        <w:tc>
          <w:tcPr>
            <w:tcW w:w="397" w:type="pct"/>
            <w:gridSpan w:val="2"/>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613" w:type="pct"/>
            <w:gridSpan w:val="36"/>
            <w:tcBorders>
              <w:top w:val="nil"/>
              <w:left w:val="nil"/>
              <w:bottom w:val="nil"/>
              <w:right w:val="nil"/>
            </w:tcBorders>
            <w:shd w:val="clear" w:color="auto" w:fill="auto"/>
            <w:noWrap/>
            <w:vAlign w:val="bottom"/>
          </w:tcPr>
          <w:p>
            <w:pPr>
              <w:ind w:firstLine="434"/>
              <w:rPr>
                <w:color w:val="000000"/>
                <w:szCs w:val="24"/>
                <w:lang w:eastAsia="lt-LT"/>
              </w:rPr>
            </w:pPr>
            <w:r>
              <w:rPr>
                <w:b/>
                <w:bCs/>
                <w:color w:val="000000"/>
                <w:szCs w:val="24"/>
                <w:lang w:eastAsia="lt-LT"/>
              </w:rPr>
              <w:t>1.1.17v Veiksmo lėšų poreikis ir finansavimo šaltiniai:</w:t>
            </w:r>
          </w:p>
        </w:tc>
      </w:tr>
      <w:tr>
        <w:trPr>
          <w:gridAfter w:val="1"/>
          <w:wAfter w:w="309" w:type="pct"/>
          <w:trHeight w:val="20"/>
        </w:trPr>
        <w:tc>
          <w:tcPr>
            <w:tcW w:w="282" w:type="pct"/>
            <w:gridSpan w:val="2"/>
            <w:tcBorders>
              <w:top w:val="nil"/>
              <w:left w:val="nil"/>
              <w:bottom w:val="nil"/>
              <w:right w:val="nil"/>
            </w:tcBorders>
            <w:shd w:val="clear" w:color="auto" w:fill="auto"/>
            <w:noWrap/>
            <w:vAlign w:val="bottom"/>
          </w:tcPr>
          <w:p>
            <w:pPr>
              <w:rPr>
                <w:color w:val="000000"/>
                <w:szCs w:val="24"/>
                <w:lang w:eastAsia="lt-LT"/>
              </w:rPr>
            </w:pPr>
          </w:p>
        </w:tc>
        <w:tc>
          <w:tcPr>
            <w:tcW w:w="80" w:type="pct"/>
            <w:tcBorders>
              <w:top w:val="nil"/>
              <w:left w:val="nil"/>
              <w:bottom w:val="nil"/>
              <w:right w:val="nil"/>
            </w:tcBorders>
            <w:shd w:val="clear" w:color="auto" w:fill="auto"/>
            <w:noWrap/>
            <w:vAlign w:val="bottom"/>
          </w:tcPr>
          <w:p>
            <w:pPr>
              <w:rPr>
                <w:color w:val="000000"/>
                <w:szCs w:val="24"/>
                <w:lang w:eastAsia="lt-LT"/>
              </w:rPr>
            </w:pPr>
          </w:p>
        </w:tc>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118" w:type="pct"/>
            <w:tcBorders>
              <w:top w:val="nil"/>
              <w:left w:val="nil"/>
              <w:bottom w:val="nil"/>
              <w:right w:val="nil"/>
            </w:tcBorders>
            <w:shd w:val="clear" w:color="auto" w:fill="auto"/>
            <w:noWrap/>
            <w:vAlign w:val="bottom"/>
          </w:tcPr>
          <w:p>
            <w:pPr>
              <w:rPr>
                <w:color w:val="000000"/>
                <w:szCs w:val="24"/>
                <w:lang w:eastAsia="lt-LT"/>
              </w:rPr>
            </w:pPr>
          </w:p>
        </w:tc>
        <w:tc>
          <w:tcPr>
            <w:tcW w:w="324" w:type="pct"/>
            <w:gridSpan w:val="4"/>
            <w:tcBorders>
              <w:top w:val="nil"/>
              <w:left w:val="nil"/>
              <w:bottom w:val="nil"/>
              <w:right w:val="nil"/>
            </w:tcBorders>
            <w:shd w:val="clear" w:color="auto" w:fill="auto"/>
            <w:noWrap/>
            <w:vAlign w:val="bottom"/>
          </w:tcPr>
          <w:p>
            <w:pPr>
              <w:rPr>
                <w:color w:val="000000"/>
                <w:szCs w:val="24"/>
                <w:lang w:eastAsia="lt-LT"/>
              </w:rPr>
            </w:pPr>
          </w:p>
        </w:tc>
        <w:tc>
          <w:tcPr>
            <w:tcW w:w="384" w:type="pct"/>
            <w:gridSpan w:val="2"/>
            <w:tcBorders>
              <w:top w:val="nil"/>
              <w:left w:val="nil"/>
              <w:bottom w:val="nil"/>
              <w:right w:val="nil"/>
            </w:tcBorders>
            <w:shd w:val="clear" w:color="auto" w:fill="auto"/>
            <w:noWrap/>
            <w:vAlign w:val="bottom"/>
          </w:tcPr>
          <w:p>
            <w:pPr>
              <w:rPr>
                <w:color w:val="000000"/>
                <w:szCs w:val="24"/>
                <w:lang w:eastAsia="lt-LT"/>
              </w:rPr>
            </w:pPr>
          </w:p>
        </w:tc>
        <w:tc>
          <w:tcPr>
            <w:tcW w:w="77" w:type="pct"/>
            <w:tcBorders>
              <w:top w:val="nil"/>
              <w:left w:val="nil"/>
              <w:bottom w:val="nil"/>
              <w:right w:val="nil"/>
            </w:tcBorders>
            <w:shd w:val="clear" w:color="auto" w:fill="auto"/>
            <w:noWrap/>
            <w:vAlign w:val="bottom"/>
          </w:tcPr>
          <w:p>
            <w:pPr>
              <w:rPr>
                <w:color w:val="000000"/>
                <w:szCs w:val="24"/>
                <w:lang w:eastAsia="lt-LT"/>
              </w:rPr>
            </w:pPr>
          </w:p>
        </w:tc>
        <w:tc>
          <w:tcPr>
            <w:tcW w:w="357" w:type="pct"/>
            <w:gridSpan w:val="2"/>
            <w:tcBorders>
              <w:top w:val="nil"/>
              <w:left w:val="nil"/>
              <w:bottom w:val="nil"/>
              <w:right w:val="nil"/>
            </w:tcBorders>
            <w:shd w:val="clear" w:color="auto" w:fill="auto"/>
            <w:noWrap/>
            <w:vAlign w:val="bottom"/>
          </w:tcPr>
          <w:p>
            <w:pPr>
              <w:rPr>
                <w:color w:val="000000"/>
                <w:szCs w:val="24"/>
                <w:lang w:eastAsia="lt-LT"/>
              </w:rPr>
            </w:pPr>
          </w:p>
        </w:tc>
        <w:tc>
          <w:tcPr>
            <w:tcW w:w="260" w:type="pct"/>
            <w:gridSpan w:val="2"/>
            <w:tcBorders>
              <w:top w:val="nil"/>
              <w:left w:val="nil"/>
              <w:bottom w:val="nil"/>
              <w:right w:val="nil"/>
            </w:tcBorders>
            <w:shd w:val="clear" w:color="auto" w:fill="auto"/>
            <w:noWrap/>
            <w:vAlign w:val="bottom"/>
          </w:tcPr>
          <w:p>
            <w:pPr>
              <w:rPr>
                <w:color w:val="000000"/>
                <w:szCs w:val="24"/>
                <w:lang w:eastAsia="lt-LT"/>
              </w:rPr>
            </w:pPr>
          </w:p>
        </w:tc>
        <w:tc>
          <w:tcPr>
            <w:tcW w:w="353" w:type="pct"/>
            <w:gridSpan w:val="2"/>
            <w:tcBorders>
              <w:top w:val="nil"/>
              <w:left w:val="nil"/>
              <w:bottom w:val="nil"/>
              <w:right w:val="nil"/>
            </w:tcBorders>
            <w:shd w:val="clear" w:color="auto" w:fill="auto"/>
            <w:noWrap/>
            <w:vAlign w:val="bottom"/>
          </w:tcPr>
          <w:p>
            <w:pPr>
              <w:rPr>
                <w:color w:val="000000"/>
                <w:szCs w:val="24"/>
                <w:lang w:eastAsia="lt-LT"/>
              </w:rPr>
            </w:pPr>
          </w:p>
        </w:tc>
        <w:tc>
          <w:tcPr>
            <w:tcW w:w="415" w:type="pct"/>
            <w:gridSpan w:val="4"/>
            <w:tcBorders>
              <w:top w:val="nil"/>
              <w:left w:val="nil"/>
              <w:bottom w:val="nil"/>
              <w:right w:val="nil"/>
            </w:tcBorders>
            <w:shd w:val="clear" w:color="auto" w:fill="auto"/>
            <w:noWrap/>
            <w:vAlign w:val="bottom"/>
          </w:tcPr>
          <w:p>
            <w:pPr>
              <w:rPr>
                <w:color w:val="000000"/>
                <w:szCs w:val="24"/>
                <w:lang w:eastAsia="lt-LT"/>
              </w:rPr>
            </w:pPr>
          </w:p>
        </w:tc>
        <w:tc>
          <w:tcPr>
            <w:tcW w:w="264"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195"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403"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36"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27" w:type="pct"/>
            <w:gridSpan w:val="2"/>
            <w:tcBorders>
              <w:top w:val="nil"/>
              <w:left w:val="nil"/>
              <w:bottom w:val="nil"/>
              <w:right w:val="nil"/>
            </w:tcBorders>
            <w:shd w:val="clear" w:color="auto" w:fill="auto"/>
            <w:noWrap/>
            <w:vAlign w:val="bottom"/>
          </w:tcPr>
          <w:p>
            <w:pPr>
              <w:rPr>
                <w:color w:val="000000"/>
                <w:szCs w:val="24"/>
                <w:lang w:eastAsia="lt-LT"/>
              </w:rPr>
            </w:pPr>
          </w:p>
        </w:tc>
        <w:tc>
          <w:tcPr>
            <w:tcW w:w="397" w:type="pct"/>
            <w:gridSpan w:val="2"/>
            <w:tcBorders>
              <w:top w:val="nil"/>
              <w:left w:val="nil"/>
              <w:bottom w:val="nil"/>
              <w:right w:val="nil"/>
            </w:tcBorders>
            <w:shd w:val="clear" w:color="auto" w:fill="auto"/>
            <w:noWrap/>
            <w:vAlign w:val="bottom"/>
          </w:tcPr>
          <w:p>
            <w:pPr>
              <w:rPr>
                <w:color w:val="000000"/>
                <w:szCs w:val="24"/>
                <w:lang w:eastAsia="lt-LT"/>
              </w:rPr>
            </w:pPr>
          </w:p>
        </w:tc>
      </w:tr>
      <w:tr>
        <w:trPr>
          <w:gridAfter w:val="2"/>
          <w:wAfter w:w="387" w:type="pct"/>
          <w:trHeight w:val="20"/>
        </w:trPr>
        <w:tc>
          <w:tcPr>
            <w:tcW w:w="438"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387" w:type="pct"/>
          <w:trHeight w:val="20"/>
        </w:trPr>
        <w:tc>
          <w:tcPr>
            <w:tcW w:w="438" w:type="pct"/>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93"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1 792 400</w:t>
            </w:r>
          </w:p>
        </w:tc>
        <w:tc>
          <w:tcPr>
            <w:tcW w:w="393"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77"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91"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268 860</w:t>
            </w:r>
          </w:p>
        </w:tc>
        <w:tc>
          <w:tcPr>
            <w:tcW w:w="47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268 860</w:t>
            </w:r>
          </w:p>
        </w:tc>
        <w:tc>
          <w:tcPr>
            <w:tcW w:w="344" w:type="pct"/>
            <w:gridSpan w:val="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07"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657"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1 523 540</w:t>
            </w:r>
          </w:p>
        </w:tc>
      </w:tr>
      <w:tr>
        <w:trPr>
          <w:gridAfter w:val="2"/>
          <w:wAfter w:w="387" w:type="pct"/>
          <w:trHeight w:val="20"/>
        </w:trPr>
        <w:tc>
          <w:tcPr>
            <w:tcW w:w="115" w:type="pct"/>
            <w:noWrap/>
            <w:vAlign w:val="bottom"/>
          </w:tcPr>
          <w:p>
            <w:pPr>
              <w:rPr>
                <w:szCs w:val="24"/>
                <w:lang w:eastAsia="lt-LT"/>
              </w:rPr>
            </w:pPr>
          </w:p>
          <w:p>
            <w:pPr>
              <w:jc w:val="center"/>
              <w:rPr>
                <w:rFonts w:eastAsia="Calibri"/>
                <w:color w:val="000000"/>
                <w:szCs w:val="24"/>
                <w:lang w:eastAsia="lt-LT"/>
              </w:rPr>
            </w:pPr>
          </w:p>
        </w:tc>
        <w:tc>
          <w:tcPr>
            <w:tcW w:w="4498" w:type="pct"/>
            <w:gridSpan w:val="35"/>
            <w:vAlign w:val="center"/>
          </w:tcPr>
          <w:p>
            <w:pPr>
              <w:jc w:val="both"/>
              <w:rPr>
                <w:rFonts w:eastAsia="Calibri"/>
                <w:b/>
                <w:bCs/>
                <w:color w:val="000000"/>
                <w:szCs w:val="24"/>
                <w:u w:val="single"/>
                <w:lang w:eastAsia="lt-LT"/>
              </w:rPr>
            </w:pPr>
            <w:r>
              <w:rPr>
                <w:rFonts w:eastAsia="Calibri"/>
                <w:b/>
                <w:bCs/>
                <w:color w:val="000000"/>
                <w:szCs w:val="24"/>
                <w:u w:val="single"/>
                <w:lang w:eastAsia="lt-LT"/>
              </w:rPr>
              <w:t xml:space="preserve">1.1.18v veiksmas: </w:t>
            </w:r>
            <w:r>
              <w:rPr>
                <w:rFonts w:eastAsia="Calibri"/>
                <w:b/>
                <w:color w:val="000000"/>
                <w:szCs w:val="24"/>
                <w:u w:val="single"/>
                <w:lang w:eastAsia="lt-LT"/>
              </w:rPr>
              <w:t>Nacionalinio M. K Čiurlionio muziejaus padalinio M. Žilinsko dailės galerijos modernizavimas</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noWrap/>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 xml:space="preserve">2016 </w:t>
            </w:r>
          </w:p>
        </w:tc>
        <w:tc>
          <w:tcPr>
            <w:tcW w:w="432" w:type="pct"/>
            <w:gridSpan w:val="4"/>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Nacionalinis M. K. Čiurlionio muziejus</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KM</w:t>
            </w:r>
          </w:p>
        </w:tc>
        <w:tc>
          <w:tcPr>
            <w:tcW w:w="1436" w:type="pct"/>
            <w:gridSpan w:val="11"/>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noWrap/>
            <w:vAlign w:val="center"/>
          </w:tcPr>
          <w:p>
            <w:pPr>
              <w:jc w:val="center"/>
              <w:rPr>
                <w:rFonts w:eastAsia="Calibri"/>
                <w:color w:val="000000"/>
                <w:szCs w:val="24"/>
                <w:lang w:eastAsia="lt-LT"/>
              </w:rPr>
            </w:pPr>
            <w:r>
              <w:rPr>
                <w:rFonts w:eastAsia="Calibri"/>
                <w:color w:val="000000"/>
                <w:szCs w:val="24"/>
                <w:lang w:eastAsia="lt-LT"/>
              </w:rPr>
              <w:t>V</w:t>
            </w:r>
          </w:p>
        </w:tc>
      </w:tr>
      <w:tr>
        <w:trPr>
          <w:gridAfter w:val="2"/>
          <w:wAfter w:w="387" w:type="pct"/>
          <w:trHeight w:val="20"/>
        </w:trPr>
        <w:tc>
          <w:tcPr>
            <w:tcW w:w="4613" w:type="pct"/>
            <w:gridSpan w:val="36"/>
            <w:noWrap/>
            <w:vAlign w:val="bottom"/>
          </w:tcPr>
          <w:p>
            <w:pPr>
              <w:rPr>
                <w:szCs w:val="24"/>
                <w:lang w:eastAsia="lt-LT"/>
              </w:rPr>
            </w:pPr>
          </w:p>
          <w:p>
            <w:pPr>
              <w:rPr>
                <w:szCs w:val="24"/>
                <w:lang w:eastAsia="lt-LT"/>
              </w:rPr>
            </w:pPr>
          </w:p>
          <w:p>
            <w:pPr>
              <w:ind w:firstLine="434"/>
              <w:jc w:val="both"/>
              <w:rPr>
                <w:rFonts w:eastAsia="Calibri"/>
                <w:b/>
                <w:bCs/>
                <w:color w:val="000000"/>
                <w:szCs w:val="24"/>
                <w:lang w:eastAsia="lt-LT"/>
              </w:rPr>
            </w:pPr>
            <w:r>
              <w:rPr>
                <w:rFonts w:eastAsia="Calibri"/>
                <w:b/>
                <w:bCs/>
                <w:color w:val="000000"/>
                <w:szCs w:val="24"/>
                <w:lang w:eastAsia="lt-LT"/>
              </w:rPr>
              <w:t>1.1.18v Veiksmo lėšų poreikis ir finansavimo šaltiniai:</w:t>
            </w:r>
          </w:p>
          <w:p>
            <w:pPr>
              <w:jc w:val="both"/>
              <w:rPr>
                <w:rFonts w:eastAsia="Calibri"/>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ES lėšos</w:t>
            </w: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both"/>
              <w:rPr>
                <w:rFonts w:eastAsia="Calibri"/>
                <w:color w:val="000000"/>
                <w:szCs w:val="24"/>
                <w:lang w:eastAsia="lt-LT"/>
              </w:rPr>
            </w:pPr>
          </w:p>
        </w:tc>
        <w:tc>
          <w:tcPr>
            <w:tcW w:w="393"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vAlign w:val="center"/>
          </w:tcPr>
          <w:p>
            <w:pPr>
              <w:jc w:val="both"/>
              <w:rPr>
                <w:rFonts w:eastAsia="Calibri"/>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noWrap/>
            <w:vAlign w:val="center"/>
          </w:tcPr>
          <w:p>
            <w:pPr>
              <w:rPr>
                <w:szCs w:val="24"/>
                <w:lang w:eastAsia="lt-LT"/>
              </w:rPr>
            </w:pPr>
          </w:p>
          <w:p>
            <w:pPr>
              <w:jc w:val="right"/>
              <w:rPr>
                <w:rFonts w:eastAsia="Calibri"/>
                <w:color w:val="000000"/>
                <w:szCs w:val="24"/>
                <w:lang w:eastAsia="lt-LT"/>
              </w:rPr>
            </w:pPr>
            <w:r>
              <w:rPr>
                <w:rFonts w:eastAsia="Calibri"/>
                <w:color w:val="000000"/>
                <w:szCs w:val="24"/>
                <w:lang w:eastAsia="lt-LT"/>
              </w:rPr>
              <w:t>4 923 369</w:t>
            </w:r>
          </w:p>
        </w:tc>
        <w:tc>
          <w:tcPr>
            <w:tcW w:w="393" w:type="pct"/>
            <w:gridSpan w:val="3"/>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738 505</w:t>
            </w:r>
          </w:p>
        </w:tc>
        <w:tc>
          <w:tcPr>
            <w:tcW w:w="477" w:type="pct"/>
            <w:gridSpan w:val="5"/>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738 505</w:t>
            </w:r>
          </w:p>
        </w:tc>
        <w:tc>
          <w:tcPr>
            <w:tcW w:w="391" w:type="pct"/>
            <w:gridSpan w:val="2"/>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478" w:type="pct"/>
            <w:gridSpan w:val="4"/>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44" w:type="pct"/>
            <w:gridSpan w:val="3"/>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07" w:type="pct"/>
            <w:gridSpan w:val="2"/>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657" w:type="pct"/>
            <w:gridSpan w:val="4"/>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4 184 864</w:t>
            </w:r>
          </w:p>
        </w:tc>
      </w:tr>
      <w:tr>
        <w:trPr>
          <w:gridAfter w:val="2"/>
          <w:wAfter w:w="387" w:type="pct"/>
          <w:trHeight w:val="20"/>
        </w:trPr>
        <w:tc>
          <w:tcPr>
            <w:tcW w:w="115" w:type="pct"/>
            <w:noWrap/>
            <w:vAlign w:val="bottom"/>
          </w:tcPr>
          <w:p>
            <w:pPr>
              <w:rPr>
                <w:szCs w:val="24"/>
                <w:lang w:eastAsia="lt-LT"/>
              </w:rPr>
            </w:pPr>
          </w:p>
          <w:p>
            <w:pPr>
              <w:jc w:val="center"/>
              <w:rPr>
                <w:rFonts w:eastAsia="Calibri"/>
                <w:color w:val="000000"/>
                <w:szCs w:val="24"/>
                <w:lang w:eastAsia="lt-LT"/>
              </w:rPr>
            </w:pPr>
          </w:p>
        </w:tc>
        <w:tc>
          <w:tcPr>
            <w:tcW w:w="4498" w:type="pct"/>
            <w:gridSpan w:val="35"/>
            <w:vAlign w:val="center"/>
          </w:tcPr>
          <w:p>
            <w:pPr>
              <w:jc w:val="both"/>
              <w:rPr>
                <w:rFonts w:eastAsia="Calibri"/>
                <w:b/>
                <w:bCs/>
                <w:color w:val="000000"/>
                <w:szCs w:val="24"/>
                <w:u w:val="single"/>
                <w:lang w:eastAsia="lt-LT"/>
              </w:rPr>
            </w:pPr>
            <w:r>
              <w:rPr>
                <w:rFonts w:eastAsia="Calibri"/>
                <w:b/>
                <w:bCs/>
                <w:color w:val="000000"/>
                <w:szCs w:val="24"/>
                <w:u w:val="single"/>
                <w:lang w:eastAsia="lt-LT"/>
              </w:rPr>
              <w:t xml:space="preserve">1.1.19v veiksmas: </w:t>
            </w:r>
            <w:r>
              <w:rPr>
                <w:rFonts w:eastAsia="Calibri"/>
                <w:b/>
                <w:color w:val="000000"/>
                <w:szCs w:val="24"/>
                <w:u w:val="single"/>
                <w:lang w:eastAsia="lt-LT"/>
              </w:rPr>
              <w:t>Kauno apskrities viešosios bibliotekos aktualizavimas ir modernizavimas</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noWrap/>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 xml:space="preserve">2016 </w:t>
            </w:r>
          </w:p>
        </w:tc>
        <w:tc>
          <w:tcPr>
            <w:tcW w:w="432" w:type="pct"/>
            <w:gridSpan w:val="4"/>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Kauno apskrities viešoji biblioteka</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KM</w:t>
            </w:r>
          </w:p>
        </w:tc>
        <w:tc>
          <w:tcPr>
            <w:tcW w:w="1436" w:type="pct"/>
            <w:gridSpan w:val="11"/>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noWrap/>
            <w:vAlign w:val="center"/>
          </w:tcPr>
          <w:p>
            <w:pPr>
              <w:jc w:val="center"/>
              <w:rPr>
                <w:rFonts w:eastAsia="Calibri"/>
                <w:color w:val="000000"/>
                <w:szCs w:val="24"/>
                <w:lang w:eastAsia="lt-LT"/>
              </w:rPr>
            </w:pPr>
            <w:r>
              <w:rPr>
                <w:rFonts w:eastAsia="Calibri"/>
                <w:color w:val="000000"/>
                <w:szCs w:val="24"/>
                <w:lang w:eastAsia="lt-LT"/>
              </w:rPr>
              <w:t>V</w:t>
            </w:r>
          </w:p>
        </w:tc>
      </w:tr>
      <w:tr>
        <w:trPr>
          <w:gridAfter w:val="2"/>
          <w:wAfter w:w="387" w:type="pct"/>
          <w:trHeight w:val="20"/>
        </w:trPr>
        <w:tc>
          <w:tcPr>
            <w:tcW w:w="4613" w:type="pct"/>
            <w:gridSpan w:val="36"/>
            <w:noWrap/>
            <w:vAlign w:val="bottom"/>
          </w:tcPr>
          <w:p>
            <w:pPr>
              <w:rPr>
                <w:szCs w:val="24"/>
                <w:lang w:eastAsia="lt-LT"/>
              </w:rPr>
            </w:pPr>
          </w:p>
          <w:p>
            <w:pPr>
              <w:rPr>
                <w:szCs w:val="24"/>
                <w:lang w:eastAsia="lt-LT"/>
              </w:rPr>
            </w:pPr>
          </w:p>
          <w:p>
            <w:pPr>
              <w:ind w:firstLine="372"/>
              <w:jc w:val="both"/>
              <w:rPr>
                <w:rFonts w:eastAsia="Calibri"/>
                <w:szCs w:val="24"/>
                <w:lang w:eastAsia="lt-LT"/>
              </w:rPr>
            </w:pPr>
            <w:r>
              <w:rPr>
                <w:rFonts w:eastAsia="Calibri"/>
                <w:b/>
                <w:bCs/>
                <w:color w:val="000000"/>
                <w:szCs w:val="24"/>
                <w:lang w:eastAsia="lt-LT"/>
              </w:rPr>
              <w:t>1.1.19v Veiksmo lėšų poreikis ir finansavimo šaltiniai:</w:t>
            </w: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ES lėšos</w:t>
            </w: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both"/>
              <w:rPr>
                <w:rFonts w:eastAsia="Calibri"/>
                <w:color w:val="000000"/>
                <w:szCs w:val="24"/>
                <w:lang w:eastAsia="lt-LT"/>
              </w:rPr>
            </w:pPr>
          </w:p>
        </w:tc>
        <w:tc>
          <w:tcPr>
            <w:tcW w:w="393"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vAlign w:val="center"/>
          </w:tcPr>
          <w:p>
            <w:pPr>
              <w:jc w:val="both"/>
              <w:rPr>
                <w:rFonts w:eastAsia="Calibri"/>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noWrap/>
            <w:vAlign w:val="center"/>
          </w:tcPr>
          <w:p>
            <w:pPr>
              <w:rPr>
                <w:szCs w:val="24"/>
                <w:lang w:eastAsia="lt-LT"/>
              </w:rPr>
            </w:pPr>
          </w:p>
          <w:p>
            <w:pPr>
              <w:jc w:val="right"/>
              <w:rPr>
                <w:rFonts w:eastAsia="Calibri"/>
                <w:color w:val="000000"/>
                <w:szCs w:val="24"/>
                <w:lang w:eastAsia="lt-LT"/>
              </w:rPr>
            </w:pPr>
            <w:r>
              <w:rPr>
                <w:rFonts w:eastAsia="Calibri"/>
                <w:color w:val="000000"/>
                <w:szCs w:val="24"/>
                <w:lang w:eastAsia="lt-LT"/>
              </w:rPr>
              <w:t>4 998 000</w:t>
            </w:r>
          </w:p>
        </w:tc>
        <w:tc>
          <w:tcPr>
            <w:tcW w:w="393" w:type="pct"/>
            <w:gridSpan w:val="3"/>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749 700</w:t>
            </w:r>
          </w:p>
        </w:tc>
        <w:tc>
          <w:tcPr>
            <w:tcW w:w="477" w:type="pct"/>
            <w:gridSpan w:val="5"/>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749 700</w:t>
            </w:r>
          </w:p>
        </w:tc>
        <w:tc>
          <w:tcPr>
            <w:tcW w:w="391" w:type="pct"/>
            <w:gridSpan w:val="2"/>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478" w:type="pct"/>
            <w:gridSpan w:val="4"/>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44" w:type="pct"/>
            <w:gridSpan w:val="3"/>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07" w:type="pct"/>
            <w:gridSpan w:val="2"/>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657" w:type="pct"/>
            <w:gridSpan w:val="4"/>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4 248 300</w:t>
            </w:r>
          </w:p>
        </w:tc>
      </w:tr>
      <w:tr>
        <w:trPr>
          <w:gridAfter w:val="2"/>
          <w:wAfter w:w="387" w:type="pct"/>
          <w:trHeight w:val="20"/>
        </w:trPr>
        <w:tc>
          <w:tcPr>
            <w:tcW w:w="115" w:type="pct"/>
            <w:noWrap/>
            <w:vAlign w:val="bottom"/>
          </w:tcPr>
          <w:p>
            <w:pPr>
              <w:rPr>
                <w:szCs w:val="24"/>
                <w:lang w:eastAsia="lt-LT"/>
              </w:rPr>
            </w:pPr>
          </w:p>
          <w:p>
            <w:pPr>
              <w:jc w:val="center"/>
              <w:rPr>
                <w:rFonts w:eastAsia="Calibri"/>
                <w:color w:val="000000"/>
                <w:szCs w:val="24"/>
                <w:lang w:eastAsia="lt-LT"/>
              </w:rPr>
            </w:pPr>
          </w:p>
        </w:tc>
        <w:tc>
          <w:tcPr>
            <w:tcW w:w="4498" w:type="pct"/>
            <w:gridSpan w:val="35"/>
            <w:vAlign w:val="center"/>
          </w:tcPr>
          <w:p>
            <w:pPr>
              <w:jc w:val="both"/>
              <w:rPr>
                <w:rFonts w:eastAsia="Calibri"/>
                <w:b/>
                <w:bCs/>
                <w:color w:val="000000"/>
                <w:szCs w:val="24"/>
                <w:u w:val="single"/>
                <w:lang w:eastAsia="lt-LT"/>
              </w:rPr>
            </w:pPr>
            <w:r>
              <w:rPr>
                <w:rFonts w:eastAsia="Calibri"/>
                <w:b/>
                <w:bCs/>
                <w:color w:val="000000"/>
                <w:szCs w:val="24"/>
                <w:u w:val="single"/>
                <w:lang w:eastAsia="lt-LT"/>
              </w:rPr>
              <w:t xml:space="preserve">1.1.20v veiksmas: </w:t>
            </w:r>
            <w:r>
              <w:rPr>
                <w:rFonts w:eastAsia="Calibri"/>
                <w:b/>
                <w:color w:val="000000"/>
                <w:szCs w:val="24"/>
                <w:u w:val="single"/>
                <w:lang w:eastAsia="lt-LT"/>
              </w:rPr>
              <w:t>Kauno valstybinio lėlių teatro modernizavimas</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noWrap/>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 xml:space="preserve">2016 </w:t>
            </w:r>
          </w:p>
        </w:tc>
        <w:tc>
          <w:tcPr>
            <w:tcW w:w="432" w:type="pct"/>
            <w:gridSpan w:val="4"/>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Kauno valstybinis lėlių teatras</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KM</w:t>
            </w:r>
          </w:p>
        </w:tc>
        <w:tc>
          <w:tcPr>
            <w:tcW w:w="1436" w:type="pct"/>
            <w:gridSpan w:val="11"/>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noWrap/>
            <w:vAlign w:val="center"/>
          </w:tcPr>
          <w:p>
            <w:pPr>
              <w:jc w:val="center"/>
              <w:rPr>
                <w:rFonts w:eastAsia="Calibri"/>
                <w:color w:val="000000"/>
                <w:szCs w:val="24"/>
                <w:lang w:eastAsia="lt-LT"/>
              </w:rPr>
            </w:pPr>
            <w:r>
              <w:rPr>
                <w:rFonts w:eastAsia="Calibri"/>
                <w:color w:val="000000"/>
                <w:szCs w:val="24"/>
                <w:lang w:eastAsia="lt-LT"/>
              </w:rPr>
              <w:t>V</w:t>
            </w:r>
          </w:p>
        </w:tc>
      </w:tr>
      <w:tr>
        <w:trPr>
          <w:gridAfter w:val="2"/>
          <w:wAfter w:w="387" w:type="pct"/>
          <w:trHeight w:val="20"/>
        </w:trPr>
        <w:tc>
          <w:tcPr>
            <w:tcW w:w="4613" w:type="pct"/>
            <w:gridSpan w:val="36"/>
            <w:noWrap/>
            <w:vAlign w:val="bottom"/>
          </w:tcPr>
          <w:p>
            <w:pPr>
              <w:rPr>
                <w:szCs w:val="24"/>
                <w:lang w:eastAsia="lt-LT"/>
              </w:rPr>
            </w:pPr>
          </w:p>
          <w:p>
            <w:pPr>
              <w:ind w:firstLine="372"/>
              <w:jc w:val="both"/>
              <w:rPr>
                <w:rFonts w:eastAsia="Calibri"/>
                <w:szCs w:val="24"/>
                <w:lang w:eastAsia="lt-LT"/>
              </w:rPr>
            </w:pPr>
            <w:r>
              <w:rPr>
                <w:rFonts w:eastAsia="Calibri"/>
                <w:b/>
                <w:bCs/>
                <w:color w:val="000000"/>
                <w:szCs w:val="24"/>
                <w:lang w:eastAsia="lt-LT"/>
              </w:rPr>
              <w:t>1.1.20v Veiksmo lėšų poreikis ir finansavimo šaltiniai:</w:t>
            </w: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Iš viso veiksmui įgyvendinti</w:t>
            </w:r>
          </w:p>
        </w:tc>
        <w:tc>
          <w:tcPr>
            <w:tcW w:w="870" w:type="pct"/>
            <w:gridSpan w:val="8"/>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Valstybės biudžeto lėšos:</w:t>
            </w:r>
          </w:p>
        </w:tc>
        <w:tc>
          <w:tcPr>
            <w:tcW w:w="869"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ES lėšos</w:t>
            </w: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both"/>
              <w:rPr>
                <w:rFonts w:eastAsia="Calibri"/>
                <w:color w:val="000000"/>
                <w:szCs w:val="24"/>
                <w:lang w:eastAsia="lt-LT"/>
              </w:rPr>
            </w:pPr>
          </w:p>
        </w:tc>
        <w:tc>
          <w:tcPr>
            <w:tcW w:w="393"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77" w:type="pct"/>
            <w:gridSpan w:val="5"/>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91" w:type="pct"/>
            <w:gridSpan w:val="2"/>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vAlign w:val="center"/>
          </w:tcPr>
          <w:p>
            <w:pPr>
              <w:jc w:val="both"/>
              <w:rPr>
                <w:rFonts w:eastAsia="Calibri"/>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1 543 778</w:t>
            </w:r>
          </w:p>
        </w:tc>
        <w:tc>
          <w:tcPr>
            <w:tcW w:w="393" w:type="pct"/>
            <w:gridSpan w:val="3"/>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231 567</w:t>
            </w:r>
          </w:p>
        </w:tc>
        <w:tc>
          <w:tcPr>
            <w:tcW w:w="477" w:type="pct"/>
            <w:gridSpan w:val="5"/>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231 567</w:t>
            </w:r>
          </w:p>
        </w:tc>
        <w:tc>
          <w:tcPr>
            <w:tcW w:w="391" w:type="pct"/>
            <w:gridSpan w:val="2"/>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478" w:type="pct"/>
            <w:gridSpan w:val="4"/>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44" w:type="pct"/>
            <w:gridSpan w:val="3"/>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70" w:type="pct"/>
            <w:gridSpan w:val="5"/>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07" w:type="pct"/>
            <w:gridSpan w:val="2"/>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58" w:type="pct"/>
            <w:gridSpan w:val="4"/>
            <w:tcBorders>
              <w:top w:val="single" w:sz="8" w:space="0" w:color="auto"/>
              <w:left w:val="nil"/>
              <w:bottom w:val="single" w:sz="8"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657" w:type="pct"/>
            <w:gridSpan w:val="4"/>
            <w:tcBorders>
              <w:top w:val="nil"/>
              <w:left w:val="nil"/>
              <w:bottom w:val="single" w:sz="8"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 xml:space="preserve">1 312 212 </w:t>
            </w:r>
          </w:p>
        </w:tc>
      </w:tr>
      <w:tr>
        <w:trPr>
          <w:gridAfter w:val="2"/>
          <w:wAfter w:w="387" w:type="pct"/>
          <w:trHeight w:val="20"/>
        </w:trPr>
        <w:tc>
          <w:tcPr>
            <w:tcW w:w="115" w:type="pct"/>
            <w:noWrap/>
            <w:vAlign w:val="bottom"/>
          </w:tcPr>
          <w:p>
            <w:pPr>
              <w:rPr>
                <w:szCs w:val="24"/>
                <w:lang w:eastAsia="lt-LT"/>
              </w:rPr>
            </w:pPr>
          </w:p>
          <w:p>
            <w:pPr>
              <w:jc w:val="center"/>
              <w:rPr>
                <w:rFonts w:eastAsia="Calibri"/>
                <w:color w:val="000000"/>
                <w:szCs w:val="24"/>
                <w:lang w:eastAsia="lt-LT"/>
              </w:rPr>
            </w:pPr>
          </w:p>
        </w:tc>
        <w:tc>
          <w:tcPr>
            <w:tcW w:w="4498" w:type="pct"/>
            <w:gridSpan w:val="35"/>
            <w:vAlign w:val="center"/>
          </w:tcPr>
          <w:p>
            <w:pPr>
              <w:jc w:val="both"/>
              <w:rPr>
                <w:rFonts w:eastAsia="Calibri"/>
                <w:b/>
                <w:bCs/>
                <w:color w:val="000000"/>
                <w:szCs w:val="24"/>
                <w:u w:val="single"/>
                <w:lang w:eastAsia="lt-LT"/>
              </w:rPr>
            </w:pPr>
            <w:r>
              <w:rPr>
                <w:rFonts w:eastAsia="Calibri"/>
                <w:b/>
                <w:bCs/>
                <w:color w:val="000000"/>
                <w:szCs w:val="24"/>
                <w:u w:val="single"/>
                <w:lang w:eastAsia="lt-LT"/>
              </w:rPr>
              <w:t xml:space="preserve">1.1.21v veiksmas: </w:t>
            </w:r>
            <w:r>
              <w:rPr>
                <w:rFonts w:eastAsia="Calibri"/>
                <w:b/>
                <w:color w:val="000000"/>
                <w:szCs w:val="24"/>
                <w:u w:val="single"/>
                <w:lang w:eastAsia="lt-LT"/>
              </w:rPr>
              <w:t>Kauno valstybinio muzikinio teatro modernizavimas</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noWrap/>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Pradžia (metai)</w:t>
            </w:r>
          </w:p>
        </w:tc>
        <w:tc>
          <w:tcPr>
            <w:tcW w:w="432" w:type="pct"/>
            <w:gridSpan w:val="4"/>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Pabaiga (metai)</w:t>
            </w:r>
          </w:p>
        </w:tc>
        <w:tc>
          <w:tcPr>
            <w:tcW w:w="829" w:type="pct"/>
            <w:gridSpan w:val="6"/>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Vykdytojas</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Ministerija</w:t>
            </w:r>
          </w:p>
        </w:tc>
        <w:tc>
          <w:tcPr>
            <w:tcW w:w="1436" w:type="pct"/>
            <w:gridSpan w:val="11"/>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Veiksmų programos konkretaus uždavinio numeris ir pavadinimas</w:t>
            </w:r>
          </w:p>
        </w:tc>
        <w:tc>
          <w:tcPr>
            <w:tcW w:w="657" w:type="pct"/>
            <w:gridSpan w:val="4"/>
            <w:tcBorders>
              <w:top w:val="single" w:sz="8" w:space="0" w:color="auto"/>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Veiksmo atrankos būdas (R, V, –)</w:t>
            </w:r>
          </w:p>
        </w:tc>
      </w:tr>
      <w:tr>
        <w:trPr>
          <w:gridAfter w:val="2"/>
          <w:wAfter w:w="387" w:type="pct"/>
          <w:trHeight w:val="20"/>
        </w:trPr>
        <w:tc>
          <w:tcPr>
            <w:tcW w:w="438" w:type="pct"/>
            <w:gridSpan w:val="4"/>
            <w:tcBorders>
              <w:top w:val="single" w:sz="8" w:space="0" w:color="auto"/>
              <w:left w:val="single" w:sz="8" w:space="0" w:color="auto"/>
              <w:bottom w:val="single" w:sz="8" w:space="0" w:color="auto"/>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 xml:space="preserve">2016 </w:t>
            </w:r>
          </w:p>
        </w:tc>
        <w:tc>
          <w:tcPr>
            <w:tcW w:w="432" w:type="pct"/>
            <w:gridSpan w:val="4"/>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2020</w:t>
            </w:r>
          </w:p>
        </w:tc>
        <w:tc>
          <w:tcPr>
            <w:tcW w:w="829"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Kauno valstybinis muzikinis teatras</w:t>
            </w:r>
          </w:p>
        </w:tc>
        <w:tc>
          <w:tcPr>
            <w:tcW w:w="822" w:type="pct"/>
            <w:gridSpan w:val="7"/>
            <w:tcBorders>
              <w:top w:val="single" w:sz="8" w:space="0" w:color="auto"/>
              <w:left w:val="nil"/>
              <w:bottom w:val="single" w:sz="8" w:space="0" w:color="auto"/>
              <w:right w:val="single" w:sz="8" w:space="0" w:color="000000"/>
            </w:tcBorders>
            <w:noWrap/>
            <w:vAlign w:val="center"/>
          </w:tcPr>
          <w:p>
            <w:pPr>
              <w:jc w:val="center"/>
              <w:rPr>
                <w:rFonts w:eastAsia="Calibri"/>
                <w:color w:val="000000"/>
                <w:szCs w:val="24"/>
                <w:lang w:eastAsia="lt-LT"/>
              </w:rPr>
            </w:pPr>
            <w:r>
              <w:rPr>
                <w:rFonts w:eastAsia="Calibri"/>
                <w:color w:val="000000"/>
                <w:szCs w:val="24"/>
                <w:lang w:eastAsia="lt-LT"/>
              </w:rPr>
              <w:t>KM</w:t>
            </w:r>
          </w:p>
        </w:tc>
        <w:tc>
          <w:tcPr>
            <w:tcW w:w="1436" w:type="pct"/>
            <w:gridSpan w:val="11"/>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7.1.1. Padidinti ūkinės veiklos įvairovę ir pagerinti sąlygas investicijų pritraukimui, siekiant kurti naujas darbo vietas tikslinėse teritorijose (miestuose)</w:t>
            </w:r>
          </w:p>
        </w:tc>
        <w:tc>
          <w:tcPr>
            <w:tcW w:w="657" w:type="pct"/>
            <w:gridSpan w:val="4"/>
            <w:tcBorders>
              <w:top w:val="nil"/>
              <w:left w:val="nil"/>
              <w:bottom w:val="single" w:sz="8" w:space="0" w:color="auto"/>
              <w:right w:val="single" w:sz="8" w:space="0" w:color="auto"/>
            </w:tcBorders>
            <w:noWrap/>
            <w:vAlign w:val="center"/>
          </w:tcPr>
          <w:p>
            <w:pPr>
              <w:jc w:val="center"/>
              <w:rPr>
                <w:rFonts w:eastAsia="Calibri"/>
                <w:color w:val="000000"/>
                <w:szCs w:val="24"/>
                <w:lang w:eastAsia="lt-LT"/>
              </w:rPr>
            </w:pPr>
            <w:r>
              <w:rPr>
                <w:rFonts w:eastAsia="Calibri"/>
                <w:color w:val="000000"/>
                <w:szCs w:val="24"/>
                <w:lang w:eastAsia="lt-LT"/>
              </w:rPr>
              <w:t>V</w:t>
            </w:r>
          </w:p>
        </w:tc>
      </w:tr>
      <w:tr>
        <w:trPr>
          <w:gridAfter w:val="2"/>
          <w:wAfter w:w="387" w:type="pct"/>
          <w:trHeight w:val="20"/>
        </w:trPr>
        <w:tc>
          <w:tcPr>
            <w:tcW w:w="4613" w:type="pct"/>
            <w:gridSpan w:val="36"/>
            <w:noWrap/>
            <w:vAlign w:val="bottom"/>
          </w:tcPr>
          <w:p>
            <w:pPr>
              <w:rPr>
                <w:szCs w:val="24"/>
                <w:lang w:eastAsia="lt-LT"/>
              </w:rPr>
            </w:pPr>
          </w:p>
          <w:p>
            <w:pPr>
              <w:rPr>
                <w:szCs w:val="24"/>
                <w:lang w:eastAsia="lt-LT"/>
              </w:rPr>
            </w:pPr>
          </w:p>
          <w:p>
            <w:pPr>
              <w:ind w:firstLine="372"/>
              <w:jc w:val="both"/>
              <w:rPr>
                <w:rFonts w:eastAsia="Calibri"/>
                <w:szCs w:val="24"/>
                <w:lang w:eastAsia="lt-LT"/>
              </w:rPr>
            </w:pPr>
            <w:r>
              <w:rPr>
                <w:rFonts w:eastAsia="Calibri"/>
                <w:b/>
                <w:bCs/>
                <w:color w:val="000000"/>
                <w:szCs w:val="24"/>
                <w:lang w:eastAsia="lt-LT"/>
              </w:rPr>
              <w:t>1.1.21v Veiksmo lėšų poreikis ir finansavimo šaltiniai:</w:t>
            </w: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center"/>
              <w:rPr>
                <w:rFonts w:eastAsia="Calibri"/>
                <w:color w:val="000000"/>
                <w:szCs w:val="24"/>
                <w:lang w:eastAsia="lt-LT"/>
              </w:rPr>
            </w:pPr>
            <w:r>
              <w:rPr>
                <w:rFonts w:eastAsia="Calibri"/>
                <w:color w:val="000000"/>
                <w:szCs w:val="24"/>
                <w:lang w:eastAsia="lt-LT"/>
              </w:rPr>
              <w:t>Iš viso veiksmui įgyvendinti</w:t>
            </w:r>
          </w:p>
        </w:tc>
        <w:tc>
          <w:tcPr>
            <w:tcW w:w="798" w:type="pct"/>
            <w:gridSpan w:val="7"/>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Valstybės biudžeto lėšos:</w:t>
            </w:r>
          </w:p>
        </w:tc>
        <w:tc>
          <w:tcPr>
            <w:tcW w:w="941" w:type="pct"/>
            <w:gridSpan w:val="7"/>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Savivaldybės biudžeto lėšos:</w:t>
            </w:r>
          </w:p>
        </w:tc>
        <w:tc>
          <w:tcPr>
            <w:tcW w:w="915" w:type="pct"/>
            <w:gridSpan w:val="8"/>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Kitos viešosios lėšos:</w:t>
            </w:r>
          </w:p>
        </w:tc>
        <w:tc>
          <w:tcPr>
            <w:tcW w:w="865" w:type="pct"/>
            <w:gridSpan w:val="6"/>
            <w:tcBorders>
              <w:top w:val="single" w:sz="8" w:space="0" w:color="auto"/>
              <w:left w:val="nil"/>
              <w:bottom w:val="single" w:sz="8" w:space="0" w:color="auto"/>
              <w:right w:val="single" w:sz="8" w:space="0" w:color="000000"/>
            </w:tcBorders>
            <w:vAlign w:val="center"/>
          </w:tcPr>
          <w:p>
            <w:pPr>
              <w:jc w:val="center"/>
              <w:rPr>
                <w:rFonts w:eastAsia="Calibri"/>
                <w:color w:val="000000"/>
                <w:szCs w:val="24"/>
                <w:lang w:eastAsia="lt-LT"/>
              </w:rPr>
            </w:pPr>
            <w:r>
              <w:rPr>
                <w:rFonts w:eastAsia="Calibri"/>
                <w:color w:val="000000"/>
                <w:szCs w:val="24"/>
                <w:lang w:eastAsia="lt-LT"/>
              </w:rPr>
              <w:t>Privačios lėšos:</w:t>
            </w:r>
          </w:p>
        </w:tc>
        <w:tc>
          <w:tcPr>
            <w:tcW w:w="657" w:type="pct"/>
            <w:gridSpan w:val="4"/>
            <w:vMerge w:val="restart"/>
            <w:tcBorders>
              <w:top w:val="single" w:sz="8" w:space="0" w:color="auto"/>
              <w:left w:val="single" w:sz="8" w:space="0" w:color="auto"/>
              <w:bottom w:val="single" w:sz="8" w:space="0" w:color="000000"/>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ES lėšos</w:t>
            </w:r>
          </w:p>
        </w:tc>
      </w:tr>
      <w:tr>
        <w:trPr>
          <w:gridAfter w:val="2"/>
          <w:wAfter w:w="387" w:type="pct"/>
          <w:trHeight w:val="20"/>
        </w:trPr>
        <w:tc>
          <w:tcPr>
            <w:tcW w:w="438" w:type="pct"/>
            <w:gridSpan w:val="4"/>
            <w:tcBorders>
              <w:top w:val="single" w:sz="8" w:space="0" w:color="auto"/>
              <w:left w:val="single" w:sz="8" w:space="0" w:color="auto"/>
              <w:bottom w:val="single" w:sz="8" w:space="0" w:color="000000"/>
              <w:right w:val="single" w:sz="8" w:space="0" w:color="000000"/>
            </w:tcBorders>
            <w:vAlign w:val="center"/>
          </w:tcPr>
          <w:p>
            <w:pPr>
              <w:rPr>
                <w:szCs w:val="24"/>
                <w:lang w:eastAsia="lt-LT"/>
              </w:rPr>
            </w:pPr>
          </w:p>
          <w:p>
            <w:pPr>
              <w:jc w:val="both"/>
              <w:rPr>
                <w:rFonts w:eastAsia="Calibri"/>
                <w:color w:val="000000"/>
                <w:szCs w:val="24"/>
                <w:lang w:eastAsia="lt-LT"/>
              </w:rPr>
            </w:pPr>
          </w:p>
        </w:tc>
        <w:tc>
          <w:tcPr>
            <w:tcW w:w="393"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05"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463"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47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44" w:type="pct"/>
            <w:gridSpan w:val="3"/>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70" w:type="pct"/>
            <w:gridSpan w:val="5"/>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307" w:type="pct"/>
            <w:gridSpan w:val="2"/>
            <w:tcBorders>
              <w:top w:val="nil"/>
              <w:left w:val="nil"/>
              <w:bottom w:val="single" w:sz="8" w:space="0" w:color="auto"/>
              <w:right w:val="single" w:sz="8" w:space="0" w:color="auto"/>
            </w:tcBorders>
            <w:vAlign w:val="center"/>
          </w:tcPr>
          <w:p>
            <w:pPr>
              <w:jc w:val="center"/>
              <w:rPr>
                <w:rFonts w:eastAsia="Calibri"/>
                <w:color w:val="000000"/>
                <w:szCs w:val="24"/>
                <w:lang w:eastAsia="lt-LT"/>
              </w:rPr>
            </w:pPr>
            <w:r>
              <w:rPr>
                <w:rFonts w:eastAsia="Calibri"/>
                <w:color w:val="000000"/>
                <w:szCs w:val="24"/>
                <w:lang w:eastAsia="lt-LT"/>
              </w:rPr>
              <w:t>Iš viso:</w:t>
            </w:r>
          </w:p>
        </w:tc>
        <w:tc>
          <w:tcPr>
            <w:tcW w:w="558" w:type="pct"/>
            <w:gridSpan w:val="4"/>
            <w:tcBorders>
              <w:top w:val="single" w:sz="8" w:space="0" w:color="auto"/>
              <w:left w:val="nil"/>
              <w:bottom w:val="single" w:sz="8" w:space="0" w:color="auto"/>
              <w:right w:val="single" w:sz="8" w:space="0" w:color="000000"/>
            </w:tcBorders>
            <w:vAlign w:val="center"/>
          </w:tcPr>
          <w:p>
            <w:pPr>
              <w:jc w:val="both"/>
              <w:rPr>
                <w:rFonts w:eastAsia="Calibri"/>
                <w:color w:val="000000"/>
                <w:szCs w:val="24"/>
                <w:lang w:eastAsia="lt-LT"/>
              </w:rPr>
            </w:pPr>
            <w:r>
              <w:rPr>
                <w:rFonts w:eastAsia="Calibri"/>
                <w:color w:val="000000"/>
                <w:szCs w:val="24"/>
                <w:lang w:eastAsia="lt-LT"/>
              </w:rPr>
              <w:t>Iš jų bendrasis finansavimas</w:t>
            </w:r>
          </w:p>
        </w:tc>
        <w:tc>
          <w:tcPr>
            <w:tcW w:w="657" w:type="pct"/>
            <w:gridSpan w:val="4"/>
            <w:vMerge/>
            <w:tcBorders>
              <w:top w:val="single" w:sz="8" w:space="0" w:color="auto"/>
              <w:left w:val="single" w:sz="8" w:space="0" w:color="auto"/>
              <w:bottom w:val="single" w:sz="8" w:space="0" w:color="000000"/>
              <w:right w:val="single" w:sz="8" w:space="0" w:color="auto"/>
            </w:tcBorders>
            <w:vAlign w:val="center"/>
          </w:tcPr>
          <w:p>
            <w:pPr>
              <w:jc w:val="both"/>
              <w:rPr>
                <w:rFonts w:eastAsia="Calibri"/>
                <w:color w:val="000000"/>
                <w:szCs w:val="24"/>
                <w:lang w:eastAsia="lt-LT"/>
              </w:rPr>
            </w:pPr>
          </w:p>
        </w:tc>
      </w:tr>
      <w:tr>
        <w:trPr>
          <w:gridAfter w:val="2"/>
          <w:wAfter w:w="387" w:type="pct"/>
          <w:trHeight w:val="20"/>
        </w:trPr>
        <w:tc>
          <w:tcPr>
            <w:tcW w:w="438" w:type="pct"/>
            <w:gridSpan w:val="4"/>
            <w:tcBorders>
              <w:top w:val="single" w:sz="8" w:space="0" w:color="auto"/>
              <w:left w:val="single" w:sz="8" w:space="0" w:color="auto"/>
              <w:bottom w:val="single" w:sz="4" w:space="0" w:color="auto"/>
              <w:right w:val="single" w:sz="8" w:space="0" w:color="000000"/>
            </w:tcBorders>
            <w:noWrap/>
            <w:vAlign w:val="center"/>
          </w:tcPr>
          <w:p>
            <w:pPr>
              <w:rPr>
                <w:szCs w:val="24"/>
                <w:lang w:eastAsia="lt-LT"/>
              </w:rPr>
            </w:pPr>
          </w:p>
          <w:p>
            <w:pPr>
              <w:jc w:val="right"/>
              <w:rPr>
                <w:rFonts w:eastAsia="Calibri"/>
                <w:color w:val="000000"/>
                <w:szCs w:val="24"/>
                <w:lang w:eastAsia="lt-LT"/>
              </w:rPr>
            </w:pPr>
            <w:r>
              <w:rPr>
                <w:rFonts w:eastAsia="Calibri"/>
                <w:color w:val="000000"/>
                <w:szCs w:val="24"/>
                <w:lang w:eastAsia="lt-LT"/>
              </w:rPr>
              <w:t>4 982 000</w:t>
            </w:r>
          </w:p>
        </w:tc>
        <w:tc>
          <w:tcPr>
            <w:tcW w:w="393" w:type="pct"/>
            <w:gridSpan w:val="3"/>
            <w:tcBorders>
              <w:top w:val="nil"/>
              <w:left w:val="nil"/>
              <w:bottom w:val="single" w:sz="4"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747 300</w:t>
            </w:r>
          </w:p>
        </w:tc>
        <w:tc>
          <w:tcPr>
            <w:tcW w:w="405" w:type="pct"/>
            <w:gridSpan w:val="4"/>
            <w:tcBorders>
              <w:top w:val="single" w:sz="8" w:space="0" w:color="auto"/>
              <w:left w:val="nil"/>
              <w:bottom w:val="single" w:sz="4"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747 300</w:t>
            </w:r>
          </w:p>
        </w:tc>
        <w:tc>
          <w:tcPr>
            <w:tcW w:w="463" w:type="pct"/>
            <w:gridSpan w:val="3"/>
            <w:tcBorders>
              <w:top w:val="nil"/>
              <w:left w:val="nil"/>
              <w:bottom w:val="single" w:sz="4"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478" w:type="pct"/>
            <w:gridSpan w:val="4"/>
            <w:tcBorders>
              <w:top w:val="single" w:sz="8" w:space="0" w:color="auto"/>
              <w:left w:val="nil"/>
              <w:bottom w:val="single" w:sz="4"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44" w:type="pct"/>
            <w:gridSpan w:val="3"/>
            <w:tcBorders>
              <w:top w:val="nil"/>
              <w:left w:val="nil"/>
              <w:bottom w:val="single" w:sz="4"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70" w:type="pct"/>
            <w:gridSpan w:val="5"/>
            <w:tcBorders>
              <w:top w:val="single" w:sz="8" w:space="0" w:color="auto"/>
              <w:left w:val="nil"/>
              <w:bottom w:val="single" w:sz="4"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307" w:type="pct"/>
            <w:gridSpan w:val="2"/>
            <w:tcBorders>
              <w:top w:val="nil"/>
              <w:left w:val="nil"/>
              <w:bottom w:val="single" w:sz="4"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558" w:type="pct"/>
            <w:gridSpan w:val="4"/>
            <w:tcBorders>
              <w:top w:val="single" w:sz="8" w:space="0" w:color="auto"/>
              <w:left w:val="nil"/>
              <w:bottom w:val="single" w:sz="4" w:space="0" w:color="auto"/>
              <w:right w:val="single" w:sz="8" w:space="0" w:color="000000"/>
            </w:tcBorders>
            <w:noWrap/>
            <w:vAlign w:val="center"/>
          </w:tcPr>
          <w:p>
            <w:pPr>
              <w:jc w:val="right"/>
              <w:rPr>
                <w:rFonts w:eastAsia="Calibri"/>
                <w:color w:val="000000"/>
                <w:szCs w:val="24"/>
                <w:lang w:eastAsia="lt-LT"/>
              </w:rPr>
            </w:pPr>
            <w:r>
              <w:rPr>
                <w:rFonts w:eastAsia="Calibri"/>
                <w:color w:val="000000"/>
                <w:szCs w:val="24"/>
                <w:lang w:eastAsia="lt-LT"/>
              </w:rPr>
              <w:t>0</w:t>
            </w:r>
          </w:p>
        </w:tc>
        <w:tc>
          <w:tcPr>
            <w:tcW w:w="657" w:type="pct"/>
            <w:gridSpan w:val="4"/>
            <w:tcBorders>
              <w:top w:val="nil"/>
              <w:left w:val="nil"/>
              <w:bottom w:val="single" w:sz="4" w:space="0" w:color="auto"/>
              <w:right w:val="single" w:sz="8" w:space="0" w:color="auto"/>
            </w:tcBorders>
            <w:noWrap/>
            <w:vAlign w:val="center"/>
          </w:tcPr>
          <w:p>
            <w:pPr>
              <w:jc w:val="right"/>
              <w:rPr>
                <w:rFonts w:eastAsia="Calibri"/>
                <w:color w:val="000000"/>
                <w:szCs w:val="24"/>
                <w:lang w:eastAsia="lt-LT"/>
              </w:rPr>
            </w:pPr>
            <w:r>
              <w:rPr>
                <w:rFonts w:eastAsia="Calibri"/>
                <w:color w:val="000000"/>
                <w:szCs w:val="24"/>
                <w:lang w:eastAsia="lt-LT"/>
              </w:rPr>
              <w:t>4 234 700</w:t>
            </w:r>
          </w:p>
        </w:tc>
      </w:tr>
    </w:tbl>
    <w:p>
      <w:pPr/>
    </w:p>
    <w:p>
      <w:pPr>
        <w:ind w:firstLine="720"/>
        <w:rPr>
          <w:rFonts w:ascii="Arial" w:hAnsi="Arial" w:cs="Arial"/>
          <w:sz w:val="20"/>
          <w:lang w:eastAsia="lt-LT"/>
        </w:rPr>
      </w:pPr>
    </w:p>
    <w:tbl>
      <w:tblPr>
        <w:tblW w:w="5723" w:type="pct"/>
        <w:tblLayout w:type="fixed"/>
        <w:tblCellMar>
          <w:left w:w="115" w:type="dxa"/>
          <w:right w:w="115" w:type="dxa"/>
        </w:tblCellMar>
        <w:tblLook w:val="04A0" w:firstRow="1" w:lastRow="0" w:firstColumn="1" w:lastColumn="0" w:noHBand="0" w:noVBand="1"/>
      </w:tblPr>
      <w:tblGrid>
        <w:gridCol w:w="334"/>
        <w:gridCol w:w="946"/>
        <w:gridCol w:w="1161"/>
        <w:gridCol w:w="24"/>
        <w:gridCol w:w="226"/>
        <w:gridCol w:w="1305"/>
        <w:gridCol w:w="1038"/>
        <w:gridCol w:w="250"/>
        <w:gridCol w:w="2035"/>
        <w:gridCol w:w="190"/>
        <w:gridCol w:w="60"/>
        <w:gridCol w:w="729"/>
        <w:gridCol w:w="160"/>
        <w:gridCol w:w="1356"/>
        <w:gridCol w:w="344"/>
        <w:gridCol w:w="678"/>
        <w:gridCol w:w="893"/>
        <w:gridCol w:w="581"/>
        <w:gridCol w:w="102"/>
        <w:gridCol w:w="1308"/>
        <w:gridCol w:w="1429"/>
      </w:tblGrid>
      <w:tr>
        <w:trPr>
          <w:trHeight w:val="20"/>
        </w:trPr>
        <w:tc>
          <w:tcPr>
            <w:tcW w:w="112" w:type="pct"/>
            <w:tcBorders>
              <w:left w:val="nil"/>
              <w:bottom w:val="nil"/>
              <w:right w:val="nil"/>
            </w:tcBorders>
            <w:noWrap/>
            <w:vAlign w:val="bottom"/>
          </w:tcPr>
          <w:p>
            <w:pPr>
              <w:ind w:firstLine="720"/>
              <w:jc w:val="both"/>
              <w:rPr>
                <w:rFonts w:eastAsia="Calibri"/>
                <w:color w:val="000000"/>
                <w:sz w:val="20"/>
                <w:szCs w:val="24"/>
                <w:lang w:eastAsia="lt-LT"/>
              </w:rPr>
            </w:pPr>
          </w:p>
        </w:tc>
        <w:tc>
          <w:tcPr>
            <w:tcW w:w="314" w:type="pct"/>
            <w:tcBorders>
              <w:left w:val="nil"/>
              <w:bottom w:val="nil"/>
              <w:right w:val="nil"/>
            </w:tcBorders>
            <w:noWrap/>
            <w:vAlign w:val="bottom"/>
          </w:tcPr>
          <w:p>
            <w:pPr>
              <w:jc w:val="both"/>
              <w:rPr>
                <w:rFonts w:eastAsia="Calibri"/>
                <w:color w:val="000000"/>
                <w:szCs w:val="24"/>
                <w:lang w:eastAsia="lt-LT"/>
              </w:rPr>
            </w:pPr>
          </w:p>
        </w:tc>
        <w:tc>
          <w:tcPr>
            <w:tcW w:w="385" w:type="pct"/>
            <w:noWrap/>
            <w:vAlign w:val="bottom"/>
          </w:tcPr>
          <w:p>
            <w:pPr>
              <w:jc w:val="both"/>
              <w:rPr>
                <w:rFonts w:eastAsia="Calibri"/>
                <w:szCs w:val="24"/>
                <w:lang w:eastAsia="lt-LT"/>
              </w:rPr>
            </w:pPr>
          </w:p>
        </w:tc>
        <w:tc>
          <w:tcPr>
            <w:tcW w:w="75" w:type="pct"/>
            <w:gridSpan w:val="2"/>
            <w:noWrap/>
            <w:vAlign w:val="bottom"/>
          </w:tcPr>
          <w:p>
            <w:pPr>
              <w:jc w:val="both"/>
              <w:rPr>
                <w:rFonts w:eastAsia="Calibri"/>
                <w:szCs w:val="24"/>
                <w:lang w:eastAsia="lt-LT"/>
              </w:rPr>
            </w:pPr>
          </w:p>
        </w:tc>
        <w:tc>
          <w:tcPr>
            <w:tcW w:w="431" w:type="pct"/>
            <w:noWrap/>
            <w:vAlign w:val="bottom"/>
          </w:tcPr>
          <w:p>
            <w:pPr>
              <w:jc w:val="both"/>
              <w:rPr>
                <w:rFonts w:eastAsia="Calibri"/>
                <w:szCs w:val="24"/>
                <w:lang w:eastAsia="lt-LT"/>
              </w:rPr>
            </w:pPr>
          </w:p>
        </w:tc>
        <w:tc>
          <w:tcPr>
            <w:tcW w:w="344" w:type="pct"/>
            <w:noWrap/>
            <w:vAlign w:val="bottom"/>
          </w:tcPr>
          <w:p>
            <w:pPr>
              <w:jc w:val="both"/>
              <w:rPr>
                <w:rFonts w:eastAsia="Calibri"/>
                <w:szCs w:val="24"/>
                <w:lang w:eastAsia="lt-LT"/>
              </w:rPr>
            </w:pPr>
          </w:p>
        </w:tc>
        <w:tc>
          <w:tcPr>
            <w:tcW w:w="75" w:type="pct"/>
            <w:noWrap/>
            <w:vAlign w:val="bottom"/>
          </w:tcPr>
          <w:p>
            <w:pPr>
              <w:jc w:val="both"/>
              <w:rPr>
                <w:rFonts w:eastAsia="Calibri"/>
                <w:szCs w:val="24"/>
                <w:lang w:eastAsia="lt-LT"/>
              </w:rPr>
            </w:pPr>
          </w:p>
        </w:tc>
        <w:tc>
          <w:tcPr>
            <w:tcW w:w="673" w:type="pct"/>
            <w:noWrap/>
            <w:vAlign w:val="bottom"/>
          </w:tcPr>
          <w:p>
            <w:pPr>
              <w:jc w:val="both"/>
              <w:rPr>
                <w:rFonts w:eastAsia="Calibri"/>
                <w:szCs w:val="24"/>
                <w:lang w:eastAsia="lt-LT"/>
              </w:rPr>
            </w:pPr>
          </w:p>
        </w:tc>
        <w:tc>
          <w:tcPr>
            <w:tcW w:w="75" w:type="pct"/>
            <w:gridSpan w:val="2"/>
            <w:noWrap/>
            <w:vAlign w:val="bottom"/>
          </w:tcPr>
          <w:p>
            <w:pPr>
              <w:jc w:val="both"/>
              <w:rPr>
                <w:rFonts w:eastAsia="Calibri"/>
                <w:szCs w:val="24"/>
                <w:lang w:eastAsia="lt-LT"/>
              </w:rPr>
            </w:pPr>
          </w:p>
        </w:tc>
        <w:tc>
          <w:tcPr>
            <w:tcW w:w="296" w:type="pct"/>
            <w:gridSpan w:val="2"/>
            <w:noWrap/>
            <w:vAlign w:val="bottom"/>
          </w:tcPr>
          <w:p>
            <w:pPr>
              <w:jc w:val="both"/>
              <w:rPr>
                <w:rFonts w:eastAsia="Calibri"/>
                <w:szCs w:val="24"/>
                <w:lang w:eastAsia="lt-LT"/>
              </w:rPr>
            </w:pPr>
          </w:p>
        </w:tc>
        <w:tc>
          <w:tcPr>
            <w:tcW w:w="449" w:type="pct"/>
            <w:noWrap/>
            <w:vAlign w:val="bottom"/>
          </w:tcPr>
          <w:p>
            <w:pPr>
              <w:jc w:val="both"/>
              <w:rPr>
                <w:rFonts w:eastAsia="Calibri"/>
                <w:szCs w:val="24"/>
                <w:lang w:eastAsia="lt-LT"/>
              </w:rPr>
            </w:pPr>
          </w:p>
        </w:tc>
        <w:tc>
          <w:tcPr>
            <w:tcW w:w="115" w:type="pct"/>
            <w:noWrap/>
            <w:vAlign w:val="bottom"/>
          </w:tcPr>
          <w:p>
            <w:pPr>
              <w:jc w:val="both"/>
              <w:rPr>
                <w:rFonts w:eastAsia="Calibri"/>
                <w:szCs w:val="24"/>
                <w:lang w:eastAsia="lt-LT"/>
              </w:rPr>
            </w:pPr>
          </w:p>
        </w:tc>
        <w:tc>
          <w:tcPr>
            <w:tcW w:w="521" w:type="pct"/>
            <w:gridSpan w:val="2"/>
            <w:noWrap/>
            <w:vAlign w:val="bottom"/>
          </w:tcPr>
          <w:p>
            <w:pPr>
              <w:jc w:val="both"/>
              <w:rPr>
                <w:rFonts w:eastAsia="Calibri"/>
                <w:szCs w:val="24"/>
                <w:lang w:eastAsia="lt-LT"/>
              </w:rPr>
            </w:pPr>
          </w:p>
        </w:tc>
        <w:tc>
          <w:tcPr>
            <w:tcW w:w="228" w:type="pct"/>
            <w:gridSpan w:val="2"/>
            <w:noWrap/>
            <w:vAlign w:val="bottom"/>
          </w:tcPr>
          <w:p>
            <w:pPr>
              <w:jc w:val="both"/>
              <w:rPr>
                <w:rFonts w:eastAsia="Calibri"/>
                <w:szCs w:val="24"/>
                <w:lang w:eastAsia="lt-LT"/>
              </w:rPr>
            </w:pPr>
          </w:p>
        </w:tc>
        <w:tc>
          <w:tcPr>
            <w:tcW w:w="905" w:type="pct"/>
            <w:gridSpan w:val="2"/>
            <w:noWrap/>
            <w:vAlign w:val="bottom"/>
          </w:tcPr>
          <w:p>
            <w:pPr>
              <w:jc w:val="both"/>
              <w:rPr>
                <w:rFonts w:eastAsia="Calibri"/>
                <w:szCs w:val="24"/>
                <w:lang w:eastAsia="lt-LT"/>
              </w:rPr>
            </w:pPr>
          </w:p>
        </w:tc>
      </w:tr>
      <w:tr>
        <w:trPr>
          <w:gridAfter w:val="1"/>
          <w:wAfter w:w="473" w:type="pct"/>
          <w:trHeight w:val="20"/>
        </w:trPr>
        <w:tc>
          <w:tcPr>
            <w:tcW w:w="426"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bCs/>
                <w:color w:val="000000"/>
                <w:sz w:val="22"/>
                <w:szCs w:val="22"/>
                <w:lang w:eastAsia="lt-LT"/>
              </w:rPr>
            </w:pPr>
            <w:r>
              <w:rPr>
                <w:rFonts w:eastAsia="Calibri"/>
                <w:b/>
                <w:bCs/>
                <w:color w:val="000000"/>
                <w:sz w:val="22"/>
                <w:szCs w:val="22"/>
                <w:lang w:eastAsia="lt-LT"/>
              </w:rPr>
              <w:t>Iš viso pagal 1.1 uždavinį (Eur):</w:t>
            </w:r>
          </w:p>
        </w:tc>
        <w:tc>
          <w:tcPr>
            <w:tcW w:w="8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Valstybės biudžeto lėšos:</w:t>
            </w:r>
          </w:p>
        </w:tc>
        <w:tc>
          <w:tcPr>
            <w:tcW w:w="114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Savivaldybės biudžeto lėšos:</w:t>
            </w:r>
          </w:p>
        </w:tc>
        <w:tc>
          <w:tcPr>
            <w:tcW w:w="76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Kitos viešosios lėšos:</w:t>
            </w:r>
          </w:p>
        </w:tc>
        <w:tc>
          <w:tcPr>
            <w:tcW w:w="82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Privačios lėšos:</w:t>
            </w:r>
          </w:p>
        </w:tc>
        <w:tc>
          <w:tcPr>
            <w:tcW w:w="46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ES lėšos</w:t>
            </w:r>
          </w:p>
        </w:tc>
      </w:tr>
      <w:tr>
        <w:trPr>
          <w:gridAfter w:val="1"/>
          <w:wAfter w:w="473" w:type="pct"/>
          <w:trHeight w:val="20"/>
        </w:trPr>
        <w:tc>
          <w:tcPr>
            <w:tcW w:w="426" w:type="pct"/>
            <w:gridSpan w:val="2"/>
            <w:vMerge/>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Cs/>
                <w:color w:val="000000"/>
                <w:sz w:val="22"/>
                <w:szCs w:val="22"/>
                <w:lang w:eastAsia="lt-LT"/>
              </w:rPr>
            </w:pPr>
          </w:p>
        </w:tc>
        <w:tc>
          <w:tcPr>
            <w:tcW w:w="39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344" w:type="pc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80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26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34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48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46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color w:val="000000"/>
                <w:sz w:val="22"/>
                <w:szCs w:val="22"/>
                <w:lang w:eastAsia="lt-LT"/>
              </w:rPr>
            </w:pPr>
          </w:p>
        </w:tc>
      </w:tr>
      <w:tr>
        <w:trPr>
          <w:gridAfter w:val="1"/>
          <w:wAfter w:w="473" w:type="pct"/>
          <w:trHeight w:val="20"/>
        </w:trPr>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eastAsia="Calibri"/>
                <w:b/>
                <w:color w:val="000000"/>
                <w:sz w:val="22"/>
                <w:szCs w:val="22"/>
                <w:lang w:eastAsia="lt-LT"/>
              </w:rPr>
            </w:pPr>
            <w:r>
              <w:rPr>
                <w:rFonts w:eastAsia="Calibri"/>
                <w:b/>
                <w:color w:val="000000"/>
                <w:sz w:val="22"/>
                <w:szCs w:val="22"/>
                <w:lang w:eastAsia="lt-LT"/>
              </w:rPr>
              <w:t>70 429 999</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6 783 411</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6 783 411</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4 717 851</w:t>
            </w:r>
          </w:p>
        </w:tc>
        <w:tc>
          <w:tcPr>
            <w:tcW w:w="8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4 717 851</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0</w:t>
            </w:r>
          </w:p>
        </w:tc>
        <w:tc>
          <w:tcPr>
            <w:tcW w:w="5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0</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1 823 689</w:t>
            </w:r>
          </w:p>
        </w:tc>
        <w:tc>
          <w:tcPr>
            <w:tcW w:w="4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rPr>
                <w:b/>
                <w:sz w:val="22"/>
                <w:szCs w:val="22"/>
                <w:lang w:eastAsia="lt-LT"/>
              </w:rPr>
            </w:pPr>
          </w:p>
          <w:p>
            <w:pPr>
              <w:jc w:val="center"/>
              <w:rPr>
                <w:rFonts w:eastAsia="Calibri"/>
                <w:b/>
                <w:sz w:val="22"/>
                <w:szCs w:val="22"/>
                <w:lang w:eastAsia="lt-LT"/>
              </w:rPr>
            </w:pPr>
            <w:r>
              <w:rPr>
                <w:rFonts w:eastAsia="Calibri"/>
                <w:b/>
                <w:color w:val="000000"/>
                <w:sz w:val="22"/>
                <w:szCs w:val="22"/>
                <w:lang w:eastAsia="lt-LT"/>
              </w:rPr>
              <w:t>1 823 689</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rPr>
                <w:b/>
                <w:sz w:val="22"/>
                <w:szCs w:val="22"/>
                <w:lang w:eastAsia="lt-LT"/>
              </w:rPr>
            </w:pPr>
          </w:p>
          <w:p>
            <w:pPr>
              <w:jc w:val="center"/>
              <w:rPr>
                <w:rFonts w:eastAsia="Calibri"/>
                <w:b/>
                <w:sz w:val="22"/>
                <w:szCs w:val="22"/>
                <w:lang w:eastAsia="lt-LT"/>
              </w:rPr>
            </w:pPr>
            <w:r>
              <w:rPr>
                <w:rFonts w:eastAsia="Calibri"/>
                <w:b/>
                <w:sz w:val="22"/>
                <w:szCs w:val="22"/>
                <w:lang w:eastAsia="lt-LT"/>
              </w:rPr>
              <w:t>57 105 048</w:t>
            </w:r>
          </w:p>
        </w:tc>
      </w:tr>
    </w:tbl>
    <w:p>
      <w:pPr/>
    </w:p>
    <w:tbl>
      <w:tblPr>
        <w:tblW w:w="5183" w:type="pct"/>
        <w:tblLayout w:type="fixed"/>
        <w:tblCellMar>
          <w:left w:w="115" w:type="dxa"/>
          <w:right w:w="115" w:type="dxa"/>
        </w:tblCellMar>
        <w:tblLook w:val="04A0" w:firstRow="1" w:lastRow="0" w:firstColumn="1" w:lastColumn="0" w:noHBand="0" w:noVBand="1"/>
      </w:tblPr>
      <w:tblGrid>
        <w:gridCol w:w="250"/>
        <w:gridCol w:w="73"/>
        <w:gridCol w:w="2"/>
        <w:gridCol w:w="106"/>
        <w:gridCol w:w="15"/>
        <w:gridCol w:w="348"/>
        <w:gridCol w:w="89"/>
        <w:gridCol w:w="80"/>
        <w:gridCol w:w="8"/>
        <w:gridCol w:w="310"/>
        <w:gridCol w:w="9"/>
        <w:gridCol w:w="5"/>
        <w:gridCol w:w="245"/>
        <w:gridCol w:w="5"/>
        <w:gridCol w:w="81"/>
        <w:gridCol w:w="30"/>
        <w:gridCol w:w="233"/>
        <w:gridCol w:w="87"/>
        <w:gridCol w:w="43"/>
        <w:gridCol w:w="83"/>
        <w:gridCol w:w="53"/>
        <w:gridCol w:w="30"/>
        <w:gridCol w:w="22"/>
        <w:gridCol w:w="143"/>
        <w:gridCol w:w="64"/>
        <w:gridCol w:w="130"/>
        <w:gridCol w:w="40"/>
        <w:gridCol w:w="14"/>
        <w:gridCol w:w="67"/>
        <w:gridCol w:w="117"/>
        <w:gridCol w:w="76"/>
        <w:gridCol w:w="23"/>
        <w:gridCol w:w="47"/>
        <w:gridCol w:w="176"/>
        <w:gridCol w:w="47"/>
        <w:gridCol w:w="1"/>
        <w:gridCol w:w="45"/>
        <w:gridCol w:w="16"/>
        <w:gridCol w:w="143"/>
        <w:gridCol w:w="91"/>
        <w:gridCol w:w="16"/>
        <w:gridCol w:w="60"/>
        <w:gridCol w:w="154"/>
        <w:gridCol w:w="201"/>
        <w:gridCol w:w="3"/>
        <w:gridCol w:w="77"/>
        <w:gridCol w:w="34"/>
        <w:gridCol w:w="250"/>
        <w:gridCol w:w="819"/>
        <w:gridCol w:w="25"/>
        <w:gridCol w:w="4"/>
        <w:gridCol w:w="9"/>
        <w:gridCol w:w="10"/>
        <w:gridCol w:w="2"/>
        <w:gridCol w:w="17"/>
        <w:gridCol w:w="11"/>
        <w:gridCol w:w="22"/>
        <w:gridCol w:w="26"/>
        <w:gridCol w:w="124"/>
        <w:gridCol w:w="27"/>
        <w:gridCol w:w="8"/>
        <w:gridCol w:w="29"/>
        <w:gridCol w:w="33"/>
        <w:gridCol w:w="251"/>
        <w:gridCol w:w="9"/>
        <w:gridCol w:w="22"/>
        <w:gridCol w:w="41"/>
        <w:gridCol w:w="405"/>
        <w:gridCol w:w="87"/>
        <w:gridCol w:w="310"/>
        <w:gridCol w:w="555"/>
        <w:gridCol w:w="36"/>
        <w:gridCol w:w="115"/>
        <w:gridCol w:w="155"/>
        <w:gridCol w:w="93"/>
        <w:gridCol w:w="2"/>
        <w:gridCol w:w="7"/>
        <w:gridCol w:w="33"/>
        <w:gridCol w:w="32"/>
        <w:gridCol w:w="3"/>
        <w:gridCol w:w="15"/>
        <w:gridCol w:w="65"/>
        <w:gridCol w:w="65"/>
        <w:gridCol w:w="284"/>
        <w:gridCol w:w="250"/>
        <w:gridCol w:w="22"/>
        <w:gridCol w:w="7"/>
        <w:gridCol w:w="70"/>
        <w:gridCol w:w="22"/>
        <w:gridCol w:w="59"/>
        <w:gridCol w:w="98"/>
        <w:gridCol w:w="71"/>
        <w:gridCol w:w="113"/>
        <w:gridCol w:w="259"/>
        <w:gridCol w:w="232"/>
        <w:gridCol w:w="337"/>
        <w:gridCol w:w="9"/>
        <w:gridCol w:w="99"/>
        <w:gridCol w:w="7"/>
        <w:gridCol w:w="49"/>
        <w:gridCol w:w="162"/>
        <w:gridCol w:w="35"/>
        <w:gridCol w:w="4"/>
        <w:gridCol w:w="49"/>
        <w:gridCol w:w="63"/>
        <w:gridCol w:w="398"/>
        <w:gridCol w:w="60"/>
        <w:gridCol w:w="60"/>
        <w:gridCol w:w="130"/>
        <w:gridCol w:w="17"/>
        <w:gridCol w:w="140"/>
        <w:gridCol w:w="111"/>
        <w:gridCol w:w="29"/>
        <w:gridCol w:w="183"/>
        <w:gridCol w:w="26"/>
        <w:gridCol w:w="9"/>
        <w:gridCol w:w="4"/>
        <w:gridCol w:w="29"/>
        <w:gridCol w:w="14"/>
        <w:gridCol w:w="74"/>
        <w:gridCol w:w="52"/>
        <w:gridCol w:w="42"/>
        <w:gridCol w:w="35"/>
        <w:gridCol w:w="121"/>
        <w:gridCol w:w="201"/>
        <w:gridCol w:w="7"/>
        <w:gridCol w:w="46"/>
        <w:gridCol w:w="6"/>
        <w:gridCol w:w="328"/>
        <w:gridCol w:w="101"/>
        <w:gridCol w:w="71"/>
        <w:gridCol w:w="4"/>
        <w:gridCol w:w="22"/>
        <w:gridCol w:w="18"/>
        <w:gridCol w:w="35"/>
        <w:gridCol w:w="47"/>
        <w:gridCol w:w="122"/>
        <w:gridCol w:w="292"/>
        <w:gridCol w:w="51"/>
        <w:gridCol w:w="15"/>
        <w:gridCol w:w="15"/>
        <w:gridCol w:w="220"/>
        <w:gridCol w:w="15"/>
        <w:gridCol w:w="20"/>
        <w:gridCol w:w="243"/>
        <w:gridCol w:w="296"/>
      </w:tblGrid>
      <w:tr>
        <w:trPr>
          <w:gridAfter w:val="1"/>
          <w:wAfter w:w="116" w:type="pct"/>
          <w:trHeight w:val="20"/>
        </w:trPr>
        <w:tc>
          <w:tcPr>
            <w:tcW w:w="292" w:type="pct"/>
            <w:gridSpan w:val="6"/>
            <w:tcBorders>
              <w:top w:val="nil"/>
              <w:left w:val="nil"/>
              <w:bottom w:val="nil"/>
              <w:right w:val="nil"/>
            </w:tcBorders>
            <w:shd w:val="clear" w:color="auto" w:fill="auto"/>
            <w:noWrap/>
            <w:vAlign w:val="bottom"/>
          </w:tcPr>
          <w:p>
            <w:pPr>
              <w:ind w:firstLine="720"/>
              <w:rPr>
                <w:color w:val="000000"/>
                <w:sz w:val="20"/>
                <w:szCs w:val="24"/>
                <w:lang w:eastAsia="lt-LT"/>
              </w:rPr>
            </w:pPr>
          </w:p>
        </w:tc>
        <w:tc>
          <w:tcPr>
            <w:tcW w:w="176" w:type="pct"/>
            <w:gridSpan w:val="6"/>
            <w:tcBorders>
              <w:top w:val="nil"/>
              <w:left w:val="nil"/>
              <w:bottom w:val="nil"/>
              <w:right w:val="nil"/>
            </w:tcBorders>
            <w:shd w:val="clear" w:color="auto" w:fill="auto"/>
            <w:vAlign w:val="center"/>
          </w:tcPr>
          <w:p>
            <w:pPr>
              <w:jc w:val="center"/>
              <w:rPr>
                <w:color w:val="000000"/>
                <w:szCs w:val="24"/>
                <w:lang w:eastAsia="lt-LT"/>
              </w:rPr>
            </w:pPr>
          </w:p>
        </w:tc>
        <w:tc>
          <w:tcPr>
            <w:tcW w:w="83" w:type="pct"/>
            <w:gridSpan w:val="2"/>
            <w:tcBorders>
              <w:top w:val="nil"/>
              <w:left w:val="nil"/>
              <w:bottom w:val="nil"/>
              <w:right w:val="nil"/>
            </w:tcBorders>
            <w:shd w:val="clear" w:color="auto" w:fill="auto"/>
            <w:vAlign w:val="center"/>
          </w:tcPr>
          <w:p>
            <w:pPr>
              <w:rPr>
                <w:color w:val="000000"/>
                <w:szCs w:val="24"/>
                <w:lang w:eastAsia="lt-LT"/>
              </w:rPr>
            </w:pPr>
          </w:p>
        </w:tc>
        <w:tc>
          <w:tcPr>
            <w:tcW w:w="127" w:type="pct"/>
            <w:gridSpan w:val="3"/>
            <w:tcBorders>
              <w:top w:val="nil"/>
              <w:left w:val="nil"/>
              <w:bottom w:val="nil"/>
              <w:right w:val="nil"/>
            </w:tcBorders>
            <w:shd w:val="clear" w:color="auto" w:fill="auto"/>
            <w:vAlign w:val="center"/>
          </w:tcPr>
          <w:p>
            <w:pPr>
              <w:jc w:val="center"/>
              <w:rPr>
                <w:color w:val="000000"/>
                <w:szCs w:val="24"/>
                <w:lang w:eastAsia="lt-LT"/>
              </w:rPr>
            </w:pPr>
          </w:p>
        </w:tc>
        <w:tc>
          <w:tcPr>
            <w:tcW w:w="350" w:type="pct"/>
            <w:gridSpan w:val="14"/>
            <w:tcBorders>
              <w:top w:val="nil"/>
              <w:left w:val="nil"/>
              <w:bottom w:val="nil"/>
              <w:right w:val="nil"/>
            </w:tcBorders>
            <w:shd w:val="clear" w:color="auto" w:fill="auto"/>
            <w:vAlign w:val="center"/>
          </w:tcPr>
          <w:p>
            <w:pPr>
              <w:jc w:val="center"/>
              <w:rPr>
                <w:color w:val="000000"/>
                <w:szCs w:val="24"/>
                <w:lang w:eastAsia="lt-LT"/>
              </w:rPr>
            </w:pPr>
          </w:p>
        </w:tc>
        <w:tc>
          <w:tcPr>
            <w:tcW w:w="421" w:type="pct"/>
            <w:gridSpan w:val="16"/>
            <w:tcBorders>
              <w:top w:val="nil"/>
              <w:left w:val="nil"/>
              <w:bottom w:val="nil"/>
              <w:right w:val="nil"/>
            </w:tcBorders>
            <w:shd w:val="clear" w:color="auto" w:fill="auto"/>
            <w:vAlign w:val="center"/>
          </w:tcPr>
          <w:p>
            <w:pPr>
              <w:rPr>
                <w:color w:val="000000"/>
                <w:szCs w:val="24"/>
                <w:lang w:eastAsia="lt-LT"/>
              </w:rPr>
            </w:pPr>
          </w:p>
        </w:tc>
        <w:tc>
          <w:tcPr>
            <w:tcW w:w="84" w:type="pct"/>
            <w:tcBorders>
              <w:top w:val="nil"/>
              <w:left w:val="nil"/>
              <w:bottom w:val="nil"/>
              <w:right w:val="nil"/>
            </w:tcBorders>
            <w:shd w:val="clear" w:color="auto" w:fill="auto"/>
            <w:vAlign w:val="center"/>
          </w:tcPr>
          <w:p>
            <w:pPr>
              <w:jc w:val="center"/>
              <w:rPr>
                <w:color w:val="000000"/>
                <w:szCs w:val="24"/>
                <w:lang w:eastAsia="lt-LT"/>
              </w:rPr>
            </w:pPr>
          </w:p>
        </w:tc>
        <w:tc>
          <w:tcPr>
            <w:tcW w:w="410" w:type="pct"/>
            <w:gridSpan w:val="14"/>
            <w:tcBorders>
              <w:top w:val="nil"/>
              <w:left w:val="nil"/>
              <w:bottom w:val="nil"/>
              <w:right w:val="nil"/>
            </w:tcBorders>
            <w:shd w:val="clear" w:color="auto" w:fill="auto"/>
            <w:vAlign w:val="center"/>
          </w:tcPr>
          <w:p>
            <w:pPr>
              <w:jc w:val="center"/>
              <w:rPr>
                <w:color w:val="000000"/>
                <w:szCs w:val="24"/>
                <w:lang w:eastAsia="lt-LT"/>
              </w:rPr>
            </w:pPr>
          </w:p>
        </w:tc>
        <w:tc>
          <w:tcPr>
            <w:tcW w:w="281" w:type="pct"/>
            <w:gridSpan w:val="6"/>
            <w:tcBorders>
              <w:top w:val="nil"/>
              <w:left w:val="nil"/>
              <w:bottom w:val="nil"/>
              <w:right w:val="nil"/>
            </w:tcBorders>
            <w:shd w:val="clear" w:color="auto" w:fill="auto"/>
            <w:vAlign w:val="center"/>
          </w:tcPr>
          <w:p>
            <w:pPr>
              <w:jc w:val="center"/>
              <w:rPr>
                <w:color w:val="000000"/>
                <w:szCs w:val="24"/>
                <w:lang w:eastAsia="lt-LT"/>
              </w:rPr>
            </w:pPr>
          </w:p>
        </w:tc>
        <w:tc>
          <w:tcPr>
            <w:tcW w:w="363" w:type="pct"/>
            <w:gridSpan w:val="4"/>
            <w:tcBorders>
              <w:top w:val="nil"/>
              <w:left w:val="nil"/>
              <w:bottom w:val="nil"/>
              <w:right w:val="nil"/>
            </w:tcBorders>
            <w:shd w:val="clear" w:color="auto" w:fill="auto"/>
            <w:vAlign w:val="center"/>
          </w:tcPr>
          <w:p>
            <w:pPr>
              <w:rPr>
                <w:color w:val="000000"/>
                <w:szCs w:val="24"/>
                <w:lang w:eastAsia="lt-LT"/>
              </w:rPr>
            </w:pPr>
          </w:p>
        </w:tc>
        <w:tc>
          <w:tcPr>
            <w:tcW w:w="472" w:type="pct"/>
            <w:gridSpan w:val="18"/>
            <w:tcBorders>
              <w:top w:val="nil"/>
              <w:left w:val="nil"/>
              <w:bottom w:val="nil"/>
              <w:right w:val="nil"/>
            </w:tcBorders>
            <w:shd w:val="clear" w:color="auto" w:fill="auto"/>
            <w:vAlign w:val="center"/>
          </w:tcPr>
          <w:p>
            <w:pPr>
              <w:jc w:val="center"/>
              <w:rPr>
                <w:color w:val="000000"/>
                <w:szCs w:val="24"/>
                <w:lang w:eastAsia="lt-LT"/>
              </w:rPr>
            </w:pPr>
          </w:p>
        </w:tc>
        <w:tc>
          <w:tcPr>
            <w:tcW w:w="286" w:type="pct"/>
            <w:gridSpan w:val="5"/>
            <w:tcBorders>
              <w:top w:val="nil"/>
              <w:left w:val="nil"/>
              <w:bottom w:val="nil"/>
              <w:right w:val="nil"/>
            </w:tcBorders>
            <w:shd w:val="clear" w:color="auto" w:fill="auto"/>
            <w:vAlign w:val="center"/>
          </w:tcPr>
          <w:p>
            <w:pPr>
              <w:jc w:val="center"/>
              <w:rPr>
                <w:color w:val="000000"/>
                <w:szCs w:val="24"/>
                <w:lang w:eastAsia="lt-LT"/>
              </w:rPr>
            </w:pPr>
          </w:p>
        </w:tc>
        <w:tc>
          <w:tcPr>
            <w:tcW w:w="293" w:type="pct"/>
            <w:gridSpan w:val="10"/>
            <w:tcBorders>
              <w:top w:val="nil"/>
              <w:left w:val="nil"/>
              <w:bottom w:val="nil"/>
              <w:right w:val="nil"/>
            </w:tcBorders>
            <w:shd w:val="clear" w:color="auto" w:fill="auto"/>
            <w:vAlign w:val="center"/>
          </w:tcPr>
          <w:p>
            <w:pPr>
              <w:jc w:val="center"/>
              <w:rPr>
                <w:color w:val="000000"/>
                <w:szCs w:val="24"/>
                <w:lang w:eastAsia="lt-LT"/>
              </w:rPr>
            </w:pPr>
          </w:p>
        </w:tc>
        <w:tc>
          <w:tcPr>
            <w:tcW w:w="436" w:type="pct"/>
            <w:gridSpan w:val="14"/>
            <w:tcBorders>
              <w:top w:val="nil"/>
              <w:left w:val="nil"/>
              <w:bottom w:val="nil"/>
              <w:right w:val="nil"/>
            </w:tcBorders>
            <w:shd w:val="clear" w:color="auto" w:fill="auto"/>
            <w:vAlign w:val="center"/>
          </w:tcPr>
          <w:p>
            <w:pPr>
              <w:jc w:val="center"/>
              <w:rPr>
                <w:color w:val="000000"/>
                <w:szCs w:val="24"/>
                <w:lang w:eastAsia="lt-LT"/>
              </w:rPr>
            </w:pPr>
          </w:p>
        </w:tc>
        <w:tc>
          <w:tcPr>
            <w:tcW w:w="372" w:type="pct"/>
            <w:gridSpan w:val="11"/>
            <w:tcBorders>
              <w:top w:val="nil"/>
              <w:left w:val="nil"/>
              <w:bottom w:val="nil"/>
              <w:right w:val="nil"/>
            </w:tcBorders>
            <w:shd w:val="clear" w:color="auto" w:fill="auto"/>
            <w:vAlign w:val="center"/>
          </w:tcPr>
          <w:p>
            <w:pPr>
              <w:jc w:val="center"/>
              <w:rPr>
                <w:color w:val="000000"/>
                <w:szCs w:val="24"/>
                <w:lang w:eastAsia="lt-LT"/>
              </w:rPr>
            </w:pPr>
          </w:p>
        </w:tc>
        <w:tc>
          <w:tcPr>
            <w:tcW w:w="437" w:type="pct"/>
            <w:gridSpan w:val="15"/>
            <w:tcBorders>
              <w:top w:val="nil"/>
              <w:left w:val="nil"/>
              <w:bottom w:val="nil"/>
              <w:right w:val="nil"/>
            </w:tcBorders>
            <w:shd w:val="clear" w:color="auto" w:fill="auto"/>
            <w:vAlign w:val="center"/>
          </w:tcPr>
          <w:p>
            <w:pPr>
              <w:jc w:val="center"/>
              <w:rPr>
                <w:color w:val="000000"/>
                <w:szCs w:val="24"/>
                <w:lang w:eastAsia="lt-LT"/>
              </w:rPr>
            </w:pPr>
          </w:p>
        </w:tc>
      </w:tr>
      <w:tr>
        <w:trPr>
          <w:trHeight w:val="20"/>
        </w:trPr>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4881" w:type="pct"/>
            <w:gridSpan w:val="144"/>
            <w:tcBorders>
              <w:top w:val="nil"/>
              <w:left w:val="nil"/>
              <w:bottom w:val="nil"/>
              <w:right w:val="nil"/>
            </w:tcBorders>
            <w:shd w:val="clear" w:color="auto" w:fill="auto"/>
            <w:noWrap/>
            <w:vAlign w:val="center"/>
          </w:tcPr>
          <w:p>
            <w:pPr>
              <w:rPr>
                <w:b/>
                <w:bCs/>
                <w:color w:val="000000"/>
                <w:szCs w:val="24"/>
                <w:u w:val="single"/>
                <w:lang w:eastAsia="lt-LT"/>
              </w:rPr>
            </w:pPr>
            <w:r>
              <w:rPr>
                <w:b/>
                <w:bCs/>
                <w:color w:val="000000"/>
                <w:szCs w:val="24"/>
                <w:u w:val="single"/>
                <w:lang w:eastAsia="lt-LT"/>
              </w:rPr>
              <w:t>1.2. Uždavinys: Didinti tikslinių teritorijų patrauklumą gyventojams, kompleksiškai gerinant ir plėtojant viešąją infrastruktūrą</w:t>
            </w:r>
          </w:p>
        </w:tc>
      </w:tr>
      <w:tr>
        <w:trPr>
          <w:trHeight w:val="20"/>
        </w:trPr>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4881" w:type="pct"/>
            <w:gridSpan w:val="144"/>
            <w:tcBorders>
              <w:top w:val="nil"/>
              <w:left w:val="nil"/>
              <w:bottom w:val="nil"/>
              <w:right w:val="nil"/>
            </w:tcBorders>
            <w:shd w:val="clear" w:color="auto" w:fill="auto"/>
            <w:vAlign w:val="center"/>
          </w:tcPr>
          <w:p>
            <w:pPr>
              <w:rPr>
                <w:b/>
                <w:bCs/>
                <w:color w:val="000000"/>
                <w:szCs w:val="24"/>
                <w:u w:val="single"/>
                <w:lang w:eastAsia="lt-LT"/>
              </w:rPr>
            </w:pPr>
          </w:p>
          <w:p>
            <w:pPr>
              <w:jc w:val="both"/>
              <w:rPr>
                <w:b/>
                <w:bCs/>
                <w:color w:val="000000"/>
                <w:szCs w:val="24"/>
                <w:u w:val="single"/>
                <w:lang w:eastAsia="lt-LT"/>
              </w:rPr>
            </w:pPr>
            <w:r>
              <w:rPr>
                <w:b/>
                <w:bCs/>
                <w:color w:val="000000"/>
                <w:szCs w:val="24"/>
                <w:u w:val="single"/>
                <w:lang w:eastAsia="lt-LT"/>
              </w:rPr>
              <w:t xml:space="preserve">1.2.1v veiksmas: Žaliakalnio ikimokyklinio ir priešmokyklinio ugdymo įstaigų modernizavimas didinant paslaugų prieinamumą </w:t>
            </w:r>
            <w:r>
              <w:rPr>
                <w:bCs/>
                <w:color w:val="000000"/>
                <w:szCs w:val="24"/>
                <w:lang w:eastAsia="lt-LT"/>
              </w:rPr>
              <w:t>(Kauno lopšelis-darželis „Svirnelis“, Kauno mokykla-darželis „Rūtelė“, Kauno Žaliakalnio lopšelis-darželis)</w:t>
            </w:r>
          </w:p>
        </w:tc>
      </w:tr>
      <w:tr>
        <w:trPr>
          <w:gridAfter w:val="8"/>
          <w:wAfter w:w="337" w:type="pct"/>
          <w:trHeight w:val="20"/>
        </w:trPr>
        <w:tc>
          <w:tcPr>
            <w:tcW w:w="119"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49" w:type="pct"/>
            <w:gridSpan w:val="10"/>
            <w:tcBorders>
              <w:top w:val="nil"/>
              <w:left w:val="nil"/>
              <w:bottom w:val="single" w:sz="8" w:space="0" w:color="auto"/>
              <w:right w:val="nil"/>
            </w:tcBorders>
            <w:shd w:val="clear" w:color="auto" w:fill="auto"/>
            <w:noWrap/>
            <w:vAlign w:val="bottom"/>
          </w:tcPr>
          <w:p>
            <w:pPr>
              <w:rPr>
                <w:color w:val="000000"/>
                <w:szCs w:val="24"/>
                <w:lang w:eastAsia="lt-LT"/>
              </w:rPr>
            </w:pPr>
          </w:p>
        </w:tc>
        <w:tc>
          <w:tcPr>
            <w:tcW w:w="404" w:type="pct"/>
            <w:gridSpan w:val="13"/>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451" w:type="pct"/>
            <w:gridSpan w:val="16"/>
            <w:tcBorders>
              <w:top w:val="nil"/>
              <w:left w:val="nil"/>
              <w:bottom w:val="nil"/>
              <w:right w:val="nil"/>
            </w:tcBorders>
            <w:shd w:val="clear" w:color="auto" w:fill="auto"/>
            <w:noWrap/>
            <w:vAlign w:val="bottom"/>
          </w:tcPr>
          <w:p>
            <w:pPr>
              <w:rPr>
                <w:color w:val="000000"/>
                <w:szCs w:val="24"/>
                <w:lang w:eastAsia="lt-LT"/>
              </w:rPr>
            </w:pPr>
          </w:p>
        </w:tc>
        <w:tc>
          <w:tcPr>
            <w:tcW w:w="443" w:type="pct"/>
            <w:gridSpan w:val="9"/>
            <w:tcBorders>
              <w:top w:val="nil"/>
              <w:left w:val="nil"/>
              <w:bottom w:val="nil"/>
              <w:right w:val="nil"/>
            </w:tcBorders>
            <w:shd w:val="clear" w:color="auto" w:fill="auto"/>
            <w:noWrap/>
            <w:vAlign w:val="bottom"/>
          </w:tcPr>
          <w:p>
            <w:pPr>
              <w:rPr>
                <w:color w:val="000000"/>
                <w:szCs w:val="24"/>
                <w:lang w:eastAsia="lt-LT"/>
              </w:rPr>
            </w:pPr>
          </w:p>
        </w:tc>
        <w:tc>
          <w:tcPr>
            <w:tcW w:w="86" w:type="pct"/>
            <w:gridSpan w:val="8"/>
            <w:tcBorders>
              <w:top w:val="nil"/>
              <w:left w:val="nil"/>
              <w:bottom w:val="nil"/>
              <w:right w:val="nil"/>
            </w:tcBorders>
            <w:shd w:val="clear" w:color="auto" w:fill="auto"/>
            <w:noWrap/>
            <w:vAlign w:val="bottom"/>
          </w:tcPr>
          <w:p>
            <w:pPr>
              <w:rPr>
                <w:color w:val="000000"/>
                <w:szCs w:val="24"/>
                <w:lang w:eastAsia="lt-LT"/>
              </w:rPr>
            </w:pPr>
          </w:p>
        </w:tc>
        <w:tc>
          <w:tcPr>
            <w:tcW w:w="744" w:type="pct"/>
            <w:gridSpan w:val="12"/>
            <w:tcBorders>
              <w:top w:val="nil"/>
              <w:left w:val="nil"/>
              <w:bottom w:val="nil"/>
              <w:right w:val="nil"/>
            </w:tcBorders>
            <w:shd w:val="clear" w:color="auto" w:fill="auto"/>
            <w:noWrap/>
            <w:vAlign w:val="bottom"/>
          </w:tcPr>
          <w:p>
            <w:pPr>
              <w:rPr>
                <w:color w:val="000000"/>
                <w:szCs w:val="24"/>
                <w:lang w:eastAsia="lt-LT"/>
              </w:rPr>
            </w:pPr>
          </w:p>
        </w:tc>
        <w:tc>
          <w:tcPr>
            <w:tcW w:w="84" w:type="pct"/>
            <w:gridSpan w:val="8"/>
            <w:tcBorders>
              <w:top w:val="nil"/>
              <w:left w:val="nil"/>
              <w:bottom w:val="nil"/>
              <w:right w:val="nil"/>
            </w:tcBorders>
            <w:shd w:val="clear" w:color="auto" w:fill="auto"/>
            <w:noWrap/>
            <w:vAlign w:val="bottom"/>
          </w:tcPr>
          <w:p>
            <w:pPr>
              <w:rPr>
                <w:color w:val="000000"/>
                <w:szCs w:val="24"/>
                <w:lang w:eastAsia="lt-LT"/>
              </w:rPr>
            </w:pPr>
          </w:p>
        </w:tc>
        <w:tc>
          <w:tcPr>
            <w:tcW w:w="325" w:type="pct"/>
            <w:gridSpan w:val="9"/>
            <w:tcBorders>
              <w:top w:val="nil"/>
              <w:left w:val="nil"/>
              <w:bottom w:val="nil"/>
              <w:right w:val="nil"/>
            </w:tcBorders>
            <w:shd w:val="clear" w:color="auto" w:fill="auto"/>
            <w:noWrap/>
            <w:vAlign w:val="bottom"/>
          </w:tcPr>
          <w:p>
            <w:pPr>
              <w:rPr>
                <w:color w:val="000000"/>
                <w:szCs w:val="24"/>
                <w:lang w:eastAsia="lt-LT"/>
              </w:rPr>
            </w:pPr>
          </w:p>
        </w:tc>
        <w:tc>
          <w:tcPr>
            <w:tcW w:w="415" w:type="pct"/>
            <w:gridSpan w:val="8"/>
            <w:tcBorders>
              <w:top w:val="nil"/>
              <w:left w:val="nil"/>
              <w:bottom w:val="nil"/>
              <w:right w:val="nil"/>
            </w:tcBorders>
            <w:shd w:val="clear" w:color="auto" w:fill="auto"/>
            <w:noWrap/>
            <w:vAlign w:val="bottom"/>
          </w:tcPr>
          <w:p>
            <w:pPr>
              <w:rPr>
                <w:color w:val="000000"/>
                <w:szCs w:val="24"/>
                <w:lang w:eastAsia="lt-LT"/>
              </w:rPr>
            </w:pPr>
          </w:p>
        </w:tc>
        <w:tc>
          <w:tcPr>
            <w:tcW w:w="313" w:type="pct"/>
            <w:gridSpan w:val="9"/>
            <w:tcBorders>
              <w:top w:val="nil"/>
              <w:left w:val="nil"/>
              <w:bottom w:val="nil"/>
              <w:right w:val="nil"/>
            </w:tcBorders>
            <w:shd w:val="clear" w:color="auto" w:fill="auto"/>
            <w:noWrap/>
            <w:vAlign w:val="bottom"/>
          </w:tcPr>
          <w:p>
            <w:pPr>
              <w:rPr>
                <w:color w:val="000000"/>
                <w:szCs w:val="24"/>
                <w:lang w:eastAsia="lt-LT"/>
              </w:rPr>
            </w:pPr>
          </w:p>
        </w:tc>
        <w:tc>
          <w:tcPr>
            <w:tcW w:w="460" w:type="pct"/>
            <w:gridSpan w:val="19"/>
            <w:tcBorders>
              <w:top w:val="nil"/>
              <w:left w:val="nil"/>
              <w:bottom w:val="nil"/>
              <w:right w:val="nil"/>
            </w:tcBorders>
            <w:shd w:val="clear" w:color="auto" w:fill="auto"/>
            <w:noWrap/>
            <w:vAlign w:val="bottom"/>
          </w:tcPr>
          <w:p>
            <w:pPr>
              <w:rPr>
                <w:color w:val="000000"/>
                <w:szCs w:val="24"/>
                <w:lang w:eastAsia="lt-LT"/>
              </w:rPr>
            </w:pPr>
          </w:p>
        </w:tc>
        <w:tc>
          <w:tcPr>
            <w:tcW w:w="387" w:type="pct"/>
            <w:gridSpan w:val="11"/>
            <w:tcBorders>
              <w:top w:val="nil"/>
              <w:left w:val="nil"/>
              <w:bottom w:val="nil"/>
              <w:right w:val="nil"/>
            </w:tcBorders>
            <w:shd w:val="clear" w:color="auto" w:fill="auto"/>
            <w:noWrap/>
            <w:vAlign w:val="bottom"/>
          </w:tcPr>
          <w:p>
            <w:pPr>
              <w:rPr>
                <w:color w:val="000000"/>
                <w:szCs w:val="24"/>
                <w:lang w:eastAsia="lt-LT"/>
              </w:rPr>
            </w:pPr>
          </w:p>
        </w:tc>
      </w:tr>
      <w:tr>
        <w:trPr>
          <w:trHeight w:val="1012"/>
        </w:trPr>
        <w:tc>
          <w:tcPr>
            <w:tcW w:w="468"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47" w:type="pct"/>
            <w:gridSpan w:val="1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933"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3" w:type="pct"/>
            <w:gridSpan w:val="2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665" w:type="pct"/>
            <w:gridSpan w:val="5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593" w:type="pct"/>
            <w:gridSpan w:val="17"/>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8" w:type="pct"/>
            <w:gridSpan w:val="12"/>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47" w:type="pct"/>
            <w:gridSpan w:val="1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933" w:type="pct"/>
            <w:gridSpan w:val="2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93" w:type="pct"/>
            <w:gridSpan w:val="2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ŠMM</w:t>
            </w:r>
          </w:p>
        </w:tc>
        <w:tc>
          <w:tcPr>
            <w:tcW w:w="1665" w:type="pct"/>
            <w:gridSpan w:val="5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593" w:type="pct"/>
            <w:gridSpan w:val="17"/>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8"/>
          <w:wAfter w:w="337" w:type="pct"/>
          <w:trHeight w:val="20"/>
        </w:trPr>
        <w:tc>
          <w:tcPr>
            <w:tcW w:w="119"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49" w:type="pct"/>
            <w:gridSpan w:val="10"/>
            <w:tcBorders>
              <w:top w:val="single" w:sz="8" w:space="0" w:color="auto"/>
              <w:left w:val="nil"/>
              <w:bottom w:val="nil"/>
              <w:right w:val="nil"/>
            </w:tcBorders>
            <w:shd w:val="clear" w:color="auto" w:fill="auto"/>
            <w:noWrap/>
            <w:vAlign w:val="bottom"/>
          </w:tcPr>
          <w:p>
            <w:pPr>
              <w:rPr>
                <w:color w:val="000000"/>
                <w:szCs w:val="24"/>
                <w:lang w:eastAsia="lt-LT"/>
              </w:rPr>
            </w:pPr>
          </w:p>
        </w:tc>
        <w:tc>
          <w:tcPr>
            <w:tcW w:w="404" w:type="pct"/>
            <w:gridSpan w:val="13"/>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451" w:type="pct"/>
            <w:gridSpan w:val="16"/>
            <w:tcBorders>
              <w:top w:val="nil"/>
              <w:left w:val="nil"/>
              <w:bottom w:val="nil"/>
              <w:right w:val="nil"/>
            </w:tcBorders>
            <w:shd w:val="clear" w:color="auto" w:fill="auto"/>
            <w:noWrap/>
            <w:vAlign w:val="bottom"/>
          </w:tcPr>
          <w:p>
            <w:pPr>
              <w:rPr>
                <w:color w:val="000000"/>
                <w:szCs w:val="24"/>
                <w:lang w:eastAsia="lt-LT"/>
              </w:rPr>
            </w:pPr>
          </w:p>
        </w:tc>
        <w:tc>
          <w:tcPr>
            <w:tcW w:w="443" w:type="pct"/>
            <w:gridSpan w:val="9"/>
            <w:tcBorders>
              <w:top w:val="nil"/>
              <w:left w:val="nil"/>
              <w:bottom w:val="nil"/>
              <w:right w:val="nil"/>
            </w:tcBorders>
            <w:shd w:val="clear" w:color="auto" w:fill="auto"/>
            <w:noWrap/>
            <w:vAlign w:val="bottom"/>
          </w:tcPr>
          <w:p>
            <w:pPr>
              <w:rPr>
                <w:color w:val="000000"/>
                <w:szCs w:val="24"/>
                <w:lang w:eastAsia="lt-LT"/>
              </w:rPr>
            </w:pPr>
          </w:p>
        </w:tc>
        <w:tc>
          <w:tcPr>
            <w:tcW w:w="86" w:type="pct"/>
            <w:gridSpan w:val="8"/>
            <w:tcBorders>
              <w:top w:val="nil"/>
              <w:left w:val="nil"/>
              <w:bottom w:val="nil"/>
              <w:right w:val="nil"/>
            </w:tcBorders>
            <w:shd w:val="clear" w:color="auto" w:fill="auto"/>
            <w:noWrap/>
            <w:vAlign w:val="bottom"/>
          </w:tcPr>
          <w:p>
            <w:pPr>
              <w:rPr>
                <w:color w:val="000000"/>
                <w:szCs w:val="24"/>
                <w:lang w:eastAsia="lt-LT"/>
              </w:rPr>
            </w:pPr>
          </w:p>
        </w:tc>
        <w:tc>
          <w:tcPr>
            <w:tcW w:w="744" w:type="pct"/>
            <w:gridSpan w:val="12"/>
            <w:tcBorders>
              <w:top w:val="nil"/>
              <w:left w:val="nil"/>
              <w:bottom w:val="nil"/>
              <w:right w:val="nil"/>
            </w:tcBorders>
            <w:shd w:val="clear" w:color="auto" w:fill="auto"/>
            <w:noWrap/>
            <w:vAlign w:val="bottom"/>
          </w:tcPr>
          <w:p>
            <w:pPr>
              <w:rPr>
                <w:color w:val="000000"/>
                <w:szCs w:val="24"/>
                <w:lang w:eastAsia="lt-LT"/>
              </w:rPr>
            </w:pPr>
          </w:p>
        </w:tc>
        <w:tc>
          <w:tcPr>
            <w:tcW w:w="84" w:type="pct"/>
            <w:gridSpan w:val="8"/>
            <w:tcBorders>
              <w:top w:val="nil"/>
              <w:left w:val="nil"/>
              <w:bottom w:val="nil"/>
              <w:right w:val="nil"/>
            </w:tcBorders>
            <w:shd w:val="clear" w:color="auto" w:fill="auto"/>
            <w:noWrap/>
            <w:vAlign w:val="bottom"/>
          </w:tcPr>
          <w:p>
            <w:pPr>
              <w:rPr>
                <w:color w:val="000000"/>
                <w:szCs w:val="24"/>
                <w:lang w:eastAsia="lt-LT"/>
              </w:rPr>
            </w:pPr>
          </w:p>
        </w:tc>
        <w:tc>
          <w:tcPr>
            <w:tcW w:w="325" w:type="pct"/>
            <w:gridSpan w:val="9"/>
            <w:tcBorders>
              <w:top w:val="nil"/>
              <w:left w:val="nil"/>
              <w:bottom w:val="nil"/>
              <w:right w:val="nil"/>
            </w:tcBorders>
            <w:shd w:val="clear" w:color="auto" w:fill="auto"/>
            <w:noWrap/>
            <w:vAlign w:val="bottom"/>
          </w:tcPr>
          <w:p>
            <w:pPr>
              <w:rPr>
                <w:color w:val="000000"/>
                <w:szCs w:val="24"/>
                <w:lang w:eastAsia="lt-LT"/>
              </w:rPr>
            </w:pPr>
          </w:p>
        </w:tc>
        <w:tc>
          <w:tcPr>
            <w:tcW w:w="415" w:type="pct"/>
            <w:gridSpan w:val="8"/>
            <w:tcBorders>
              <w:top w:val="nil"/>
              <w:left w:val="nil"/>
              <w:bottom w:val="nil"/>
              <w:right w:val="nil"/>
            </w:tcBorders>
            <w:shd w:val="clear" w:color="auto" w:fill="auto"/>
            <w:noWrap/>
            <w:vAlign w:val="bottom"/>
          </w:tcPr>
          <w:p>
            <w:pPr>
              <w:rPr>
                <w:color w:val="000000"/>
                <w:szCs w:val="24"/>
                <w:lang w:eastAsia="lt-LT"/>
              </w:rPr>
            </w:pPr>
          </w:p>
        </w:tc>
        <w:tc>
          <w:tcPr>
            <w:tcW w:w="313" w:type="pct"/>
            <w:gridSpan w:val="9"/>
            <w:tcBorders>
              <w:top w:val="nil"/>
              <w:left w:val="nil"/>
              <w:bottom w:val="nil"/>
              <w:right w:val="nil"/>
            </w:tcBorders>
            <w:shd w:val="clear" w:color="auto" w:fill="auto"/>
            <w:noWrap/>
            <w:vAlign w:val="bottom"/>
          </w:tcPr>
          <w:p>
            <w:pPr>
              <w:rPr>
                <w:color w:val="000000"/>
                <w:szCs w:val="24"/>
                <w:lang w:eastAsia="lt-LT"/>
              </w:rPr>
            </w:pPr>
          </w:p>
        </w:tc>
        <w:tc>
          <w:tcPr>
            <w:tcW w:w="460" w:type="pct"/>
            <w:gridSpan w:val="19"/>
            <w:tcBorders>
              <w:top w:val="nil"/>
              <w:left w:val="nil"/>
              <w:bottom w:val="nil"/>
              <w:right w:val="nil"/>
            </w:tcBorders>
            <w:shd w:val="clear" w:color="auto" w:fill="auto"/>
            <w:noWrap/>
            <w:vAlign w:val="bottom"/>
          </w:tcPr>
          <w:p>
            <w:pPr>
              <w:rPr>
                <w:color w:val="000000"/>
                <w:szCs w:val="24"/>
                <w:lang w:eastAsia="lt-LT"/>
              </w:rPr>
            </w:pPr>
          </w:p>
        </w:tc>
        <w:tc>
          <w:tcPr>
            <w:tcW w:w="387" w:type="pct"/>
            <w:gridSpan w:val="1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4288" w:type="pct"/>
            <w:gridSpan w:val="127"/>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1.2.1v Veiksmo lėšų poreikis ir finansavimo šaltiniai:</w:t>
            </w:r>
          </w:p>
        </w:tc>
        <w:tc>
          <w:tcPr>
            <w:tcW w:w="593" w:type="pct"/>
            <w:gridSpan w:val="17"/>
            <w:tcBorders>
              <w:top w:val="nil"/>
              <w:left w:val="nil"/>
              <w:bottom w:val="nil"/>
              <w:right w:val="nil"/>
            </w:tcBorders>
            <w:shd w:val="clear" w:color="auto" w:fill="auto"/>
            <w:noWrap/>
            <w:vAlign w:val="bottom"/>
          </w:tcPr>
          <w:p>
            <w:pPr>
              <w:rPr>
                <w:color w:val="000000"/>
                <w:szCs w:val="24"/>
                <w:lang w:eastAsia="lt-LT"/>
              </w:rPr>
            </w:pPr>
          </w:p>
        </w:tc>
      </w:tr>
      <w:tr>
        <w:trPr>
          <w:gridAfter w:val="8"/>
          <w:wAfter w:w="337" w:type="pct"/>
          <w:trHeight w:val="20"/>
        </w:trPr>
        <w:tc>
          <w:tcPr>
            <w:tcW w:w="119"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49" w:type="pct"/>
            <w:gridSpan w:val="10"/>
            <w:tcBorders>
              <w:top w:val="nil"/>
              <w:left w:val="nil"/>
              <w:bottom w:val="single" w:sz="8" w:space="0" w:color="auto"/>
              <w:right w:val="nil"/>
            </w:tcBorders>
            <w:shd w:val="clear" w:color="auto" w:fill="auto"/>
            <w:noWrap/>
            <w:vAlign w:val="bottom"/>
          </w:tcPr>
          <w:p>
            <w:pPr>
              <w:rPr>
                <w:color w:val="000000"/>
                <w:szCs w:val="24"/>
                <w:lang w:eastAsia="lt-LT"/>
              </w:rPr>
            </w:pPr>
          </w:p>
        </w:tc>
        <w:tc>
          <w:tcPr>
            <w:tcW w:w="404" w:type="pct"/>
            <w:gridSpan w:val="13"/>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451" w:type="pct"/>
            <w:gridSpan w:val="16"/>
            <w:tcBorders>
              <w:top w:val="nil"/>
              <w:left w:val="nil"/>
              <w:bottom w:val="nil"/>
              <w:right w:val="nil"/>
            </w:tcBorders>
            <w:shd w:val="clear" w:color="auto" w:fill="auto"/>
            <w:noWrap/>
            <w:vAlign w:val="bottom"/>
          </w:tcPr>
          <w:p>
            <w:pPr>
              <w:rPr>
                <w:color w:val="000000"/>
                <w:szCs w:val="24"/>
                <w:lang w:eastAsia="lt-LT"/>
              </w:rPr>
            </w:pPr>
          </w:p>
        </w:tc>
        <w:tc>
          <w:tcPr>
            <w:tcW w:w="443" w:type="pct"/>
            <w:gridSpan w:val="9"/>
            <w:tcBorders>
              <w:top w:val="nil"/>
              <w:left w:val="nil"/>
              <w:bottom w:val="nil"/>
              <w:right w:val="nil"/>
            </w:tcBorders>
            <w:shd w:val="clear" w:color="auto" w:fill="auto"/>
            <w:noWrap/>
            <w:vAlign w:val="bottom"/>
          </w:tcPr>
          <w:p>
            <w:pPr>
              <w:rPr>
                <w:color w:val="000000"/>
                <w:szCs w:val="24"/>
                <w:lang w:eastAsia="lt-LT"/>
              </w:rPr>
            </w:pPr>
          </w:p>
        </w:tc>
        <w:tc>
          <w:tcPr>
            <w:tcW w:w="86" w:type="pct"/>
            <w:gridSpan w:val="8"/>
            <w:tcBorders>
              <w:top w:val="nil"/>
              <w:left w:val="nil"/>
              <w:bottom w:val="nil"/>
              <w:right w:val="nil"/>
            </w:tcBorders>
            <w:shd w:val="clear" w:color="auto" w:fill="auto"/>
            <w:noWrap/>
            <w:vAlign w:val="bottom"/>
          </w:tcPr>
          <w:p>
            <w:pPr>
              <w:rPr>
                <w:color w:val="000000"/>
                <w:szCs w:val="24"/>
                <w:lang w:eastAsia="lt-LT"/>
              </w:rPr>
            </w:pPr>
          </w:p>
        </w:tc>
        <w:tc>
          <w:tcPr>
            <w:tcW w:w="744" w:type="pct"/>
            <w:gridSpan w:val="12"/>
            <w:tcBorders>
              <w:top w:val="nil"/>
              <w:left w:val="nil"/>
              <w:bottom w:val="nil"/>
              <w:right w:val="nil"/>
            </w:tcBorders>
            <w:shd w:val="clear" w:color="auto" w:fill="auto"/>
            <w:noWrap/>
            <w:vAlign w:val="bottom"/>
          </w:tcPr>
          <w:p>
            <w:pPr>
              <w:rPr>
                <w:color w:val="000000"/>
                <w:szCs w:val="24"/>
                <w:lang w:eastAsia="lt-LT"/>
              </w:rPr>
            </w:pPr>
          </w:p>
        </w:tc>
        <w:tc>
          <w:tcPr>
            <w:tcW w:w="84" w:type="pct"/>
            <w:gridSpan w:val="8"/>
            <w:tcBorders>
              <w:top w:val="nil"/>
              <w:left w:val="nil"/>
              <w:bottom w:val="nil"/>
              <w:right w:val="nil"/>
            </w:tcBorders>
            <w:shd w:val="clear" w:color="auto" w:fill="auto"/>
            <w:noWrap/>
            <w:vAlign w:val="bottom"/>
          </w:tcPr>
          <w:p>
            <w:pPr>
              <w:rPr>
                <w:color w:val="000000"/>
                <w:szCs w:val="24"/>
                <w:lang w:eastAsia="lt-LT"/>
              </w:rPr>
            </w:pPr>
          </w:p>
        </w:tc>
        <w:tc>
          <w:tcPr>
            <w:tcW w:w="325" w:type="pct"/>
            <w:gridSpan w:val="9"/>
            <w:tcBorders>
              <w:top w:val="nil"/>
              <w:left w:val="nil"/>
              <w:bottom w:val="nil"/>
              <w:right w:val="nil"/>
            </w:tcBorders>
            <w:shd w:val="clear" w:color="auto" w:fill="auto"/>
            <w:noWrap/>
            <w:vAlign w:val="bottom"/>
          </w:tcPr>
          <w:p>
            <w:pPr>
              <w:rPr>
                <w:color w:val="000000"/>
                <w:szCs w:val="24"/>
                <w:lang w:eastAsia="lt-LT"/>
              </w:rPr>
            </w:pPr>
          </w:p>
        </w:tc>
        <w:tc>
          <w:tcPr>
            <w:tcW w:w="415" w:type="pct"/>
            <w:gridSpan w:val="8"/>
            <w:tcBorders>
              <w:top w:val="nil"/>
              <w:left w:val="nil"/>
              <w:bottom w:val="nil"/>
              <w:right w:val="nil"/>
            </w:tcBorders>
            <w:shd w:val="clear" w:color="auto" w:fill="auto"/>
            <w:noWrap/>
            <w:vAlign w:val="bottom"/>
          </w:tcPr>
          <w:p>
            <w:pPr>
              <w:rPr>
                <w:color w:val="000000"/>
                <w:szCs w:val="24"/>
                <w:lang w:eastAsia="lt-LT"/>
              </w:rPr>
            </w:pPr>
          </w:p>
        </w:tc>
        <w:tc>
          <w:tcPr>
            <w:tcW w:w="313" w:type="pct"/>
            <w:gridSpan w:val="9"/>
            <w:tcBorders>
              <w:top w:val="nil"/>
              <w:left w:val="nil"/>
              <w:bottom w:val="nil"/>
              <w:right w:val="nil"/>
            </w:tcBorders>
            <w:shd w:val="clear" w:color="auto" w:fill="auto"/>
            <w:noWrap/>
            <w:vAlign w:val="bottom"/>
          </w:tcPr>
          <w:p>
            <w:pPr>
              <w:rPr>
                <w:color w:val="000000"/>
                <w:szCs w:val="24"/>
                <w:lang w:eastAsia="lt-LT"/>
              </w:rPr>
            </w:pPr>
          </w:p>
        </w:tc>
        <w:tc>
          <w:tcPr>
            <w:tcW w:w="460" w:type="pct"/>
            <w:gridSpan w:val="19"/>
            <w:tcBorders>
              <w:top w:val="nil"/>
              <w:left w:val="nil"/>
              <w:bottom w:val="nil"/>
              <w:right w:val="nil"/>
            </w:tcBorders>
            <w:shd w:val="clear" w:color="auto" w:fill="auto"/>
            <w:noWrap/>
            <w:vAlign w:val="bottom"/>
          </w:tcPr>
          <w:p>
            <w:pPr>
              <w:rPr>
                <w:color w:val="000000"/>
                <w:szCs w:val="24"/>
                <w:lang w:eastAsia="lt-LT"/>
              </w:rPr>
            </w:pPr>
          </w:p>
        </w:tc>
        <w:tc>
          <w:tcPr>
            <w:tcW w:w="387" w:type="pct"/>
            <w:gridSpan w:val="1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8" w:type="pct"/>
            <w:gridSpan w:val="12"/>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8"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962" w:type="pct"/>
            <w:gridSpan w:val="2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1134" w:type="pct"/>
            <w:gridSpan w:val="2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08" w:type="pct"/>
            <w:gridSpan w:val="3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89" w:type="pct"/>
            <w:gridSpan w:val="10"/>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8" w:type="pct"/>
            <w:gridSpan w:val="12"/>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404"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34" w:type="pct"/>
            <w:gridSpan w:val="2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3" w:type="pct"/>
            <w:gridSpan w:val="9"/>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20" w:type="pct"/>
            <w:gridSpan w:val="16"/>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73" w:type="pct"/>
            <w:gridSpan w:val="9"/>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61" w:type="pct"/>
            <w:gridSpan w:val="2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93"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15" w:type="pct"/>
            <w:gridSpan w:val="2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9" w:type="pct"/>
            <w:gridSpan w:val="10"/>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8"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634 036</w:t>
            </w:r>
          </w:p>
        </w:tc>
        <w:tc>
          <w:tcPr>
            <w:tcW w:w="404" w:type="pct"/>
            <w:gridSpan w:val="1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47 553</w:t>
            </w:r>
          </w:p>
        </w:tc>
        <w:tc>
          <w:tcPr>
            <w:tcW w:w="534" w:type="pct"/>
            <w:gridSpan w:val="2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47 553</w:t>
            </w:r>
          </w:p>
        </w:tc>
        <w:tc>
          <w:tcPr>
            <w:tcW w:w="443"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47 553</w:t>
            </w:r>
          </w:p>
        </w:tc>
        <w:tc>
          <w:tcPr>
            <w:tcW w:w="520" w:type="pct"/>
            <w:gridSpan w:val="16"/>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47 553</w:t>
            </w:r>
          </w:p>
        </w:tc>
        <w:tc>
          <w:tcPr>
            <w:tcW w:w="373"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61" w:type="pct"/>
            <w:gridSpan w:val="2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293"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15" w:type="pct"/>
            <w:gridSpan w:val="2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9" w:type="pct"/>
            <w:gridSpan w:val="10"/>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538 930</w:t>
            </w:r>
          </w:p>
        </w:tc>
      </w:tr>
      <w:tr>
        <w:trPr>
          <w:gridAfter w:val="8"/>
          <w:wAfter w:w="337" w:type="pct"/>
          <w:trHeight w:val="470"/>
        </w:trPr>
        <w:tc>
          <w:tcPr>
            <w:tcW w:w="119"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49" w:type="pct"/>
            <w:gridSpan w:val="10"/>
            <w:tcBorders>
              <w:top w:val="single" w:sz="8" w:space="0" w:color="auto"/>
              <w:left w:val="nil"/>
              <w:bottom w:val="nil"/>
              <w:right w:val="nil"/>
            </w:tcBorders>
            <w:shd w:val="clear" w:color="auto" w:fill="auto"/>
            <w:noWrap/>
            <w:vAlign w:val="bottom"/>
          </w:tcPr>
          <w:p>
            <w:pPr>
              <w:rPr>
                <w:color w:val="000000"/>
                <w:szCs w:val="24"/>
                <w:lang w:eastAsia="lt-LT"/>
              </w:rPr>
            </w:pPr>
          </w:p>
        </w:tc>
        <w:tc>
          <w:tcPr>
            <w:tcW w:w="404" w:type="pct"/>
            <w:gridSpan w:val="13"/>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451" w:type="pct"/>
            <w:gridSpan w:val="16"/>
            <w:tcBorders>
              <w:top w:val="nil"/>
              <w:left w:val="nil"/>
              <w:bottom w:val="nil"/>
              <w:right w:val="nil"/>
            </w:tcBorders>
            <w:shd w:val="clear" w:color="auto" w:fill="auto"/>
            <w:noWrap/>
            <w:vAlign w:val="bottom"/>
          </w:tcPr>
          <w:p>
            <w:pPr>
              <w:rPr>
                <w:color w:val="000000"/>
                <w:szCs w:val="24"/>
                <w:lang w:eastAsia="lt-LT"/>
              </w:rPr>
            </w:pPr>
          </w:p>
        </w:tc>
        <w:tc>
          <w:tcPr>
            <w:tcW w:w="443" w:type="pct"/>
            <w:gridSpan w:val="9"/>
            <w:tcBorders>
              <w:top w:val="nil"/>
              <w:left w:val="nil"/>
              <w:bottom w:val="nil"/>
              <w:right w:val="nil"/>
            </w:tcBorders>
            <w:shd w:val="clear" w:color="auto" w:fill="auto"/>
            <w:noWrap/>
            <w:vAlign w:val="bottom"/>
          </w:tcPr>
          <w:p>
            <w:pPr>
              <w:rPr>
                <w:color w:val="000000"/>
                <w:szCs w:val="24"/>
                <w:lang w:eastAsia="lt-LT"/>
              </w:rPr>
            </w:pPr>
          </w:p>
        </w:tc>
        <w:tc>
          <w:tcPr>
            <w:tcW w:w="86" w:type="pct"/>
            <w:gridSpan w:val="8"/>
            <w:tcBorders>
              <w:top w:val="nil"/>
              <w:left w:val="nil"/>
              <w:bottom w:val="nil"/>
              <w:right w:val="nil"/>
            </w:tcBorders>
            <w:shd w:val="clear" w:color="auto" w:fill="auto"/>
            <w:noWrap/>
            <w:vAlign w:val="bottom"/>
          </w:tcPr>
          <w:p>
            <w:pPr>
              <w:rPr>
                <w:color w:val="000000"/>
                <w:szCs w:val="24"/>
                <w:lang w:eastAsia="lt-LT"/>
              </w:rPr>
            </w:pPr>
          </w:p>
        </w:tc>
        <w:tc>
          <w:tcPr>
            <w:tcW w:w="744" w:type="pct"/>
            <w:gridSpan w:val="12"/>
            <w:tcBorders>
              <w:top w:val="nil"/>
              <w:left w:val="nil"/>
              <w:bottom w:val="nil"/>
              <w:right w:val="nil"/>
            </w:tcBorders>
            <w:shd w:val="clear" w:color="auto" w:fill="auto"/>
            <w:noWrap/>
            <w:vAlign w:val="bottom"/>
          </w:tcPr>
          <w:p>
            <w:pPr>
              <w:rPr>
                <w:color w:val="000000"/>
                <w:szCs w:val="24"/>
                <w:lang w:eastAsia="lt-LT"/>
              </w:rPr>
            </w:pPr>
          </w:p>
        </w:tc>
        <w:tc>
          <w:tcPr>
            <w:tcW w:w="84" w:type="pct"/>
            <w:gridSpan w:val="8"/>
            <w:tcBorders>
              <w:top w:val="nil"/>
              <w:left w:val="nil"/>
              <w:bottom w:val="nil"/>
              <w:right w:val="nil"/>
            </w:tcBorders>
            <w:shd w:val="clear" w:color="auto" w:fill="auto"/>
            <w:noWrap/>
            <w:vAlign w:val="bottom"/>
          </w:tcPr>
          <w:p>
            <w:pPr>
              <w:rPr>
                <w:color w:val="000000"/>
                <w:szCs w:val="24"/>
                <w:lang w:eastAsia="lt-LT"/>
              </w:rPr>
            </w:pPr>
          </w:p>
        </w:tc>
        <w:tc>
          <w:tcPr>
            <w:tcW w:w="325" w:type="pct"/>
            <w:gridSpan w:val="9"/>
            <w:tcBorders>
              <w:top w:val="nil"/>
              <w:left w:val="nil"/>
              <w:bottom w:val="nil"/>
              <w:right w:val="nil"/>
            </w:tcBorders>
            <w:shd w:val="clear" w:color="auto" w:fill="auto"/>
            <w:noWrap/>
            <w:vAlign w:val="bottom"/>
          </w:tcPr>
          <w:p>
            <w:pPr>
              <w:rPr>
                <w:color w:val="000000"/>
                <w:szCs w:val="24"/>
                <w:lang w:eastAsia="lt-LT"/>
              </w:rPr>
            </w:pPr>
          </w:p>
        </w:tc>
        <w:tc>
          <w:tcPr>
            <w:tcW w:w="415" w:type="pct"/>
            <w:gridSpan w:val="8"/>
            <w:tcBorders>
              <w:top w:val="nil"/>
              <w:left w:val="nil"/>
              <w:bottom w:val="nil"/>
              <w:right w:val="nil"/>
            </w:tcBorders>
            <w:shd w:val="clear" w:color="auto" w:fill="auto"/>
            <w:noWrap/>
            <w:vAlign w:val="bottom"/>
          </w:tcPr>
          <w:p>
            <w:pPr>
              <w:rPr>
                <w:color w:val="000000"/>
                <w:szCs w:val="24"/>
                <w:lang w:eastAsia="lt-LT"/>
              </w:rPr>
            </w:pPr>
          </w:p>
        </w:tc>
        <w:tc>
          <w:tcPr>
            <w:tcW w:w="313" w:type="pct"/>
            <w:gridSpan w:val="9"/>
            <w:tcBorders>
              <w:top w:val="nil"/>
              <w:left w:val="nil"/>
              <w:bottom w:val="nil"/>
              <w:right w:val="nil"/>
            </w:tcBorders>
            <w:shd w:val="clear" w:color="auto" w:fill="auto"/>
            <w:noWrap/>
            <w:vAlign w:val="bottom"/>
          </w:tcPr>
          <w:p>
            <w:pPr>
              <w:rPr>
                <w:color w:val="000000"/>
                <w:szCs w:val="24"/>
                <w:lang w:eastAsia="lt-LT"/>
              </w:rPr>
            </w:pPr>
          </w:p>
        </w:tc>
        <w:tc>
          <w:tcPr>
            <w:tcW w:w="460" w:type="pct"/>
            <w:gridSpan w:val="19"/>
            <w:tcBorders>
              <w:top w:val="nil"/>
              <w:left w:val="nil"/>
              <w:bottom w:val="nil"/>
              <w:right w:val="nil"/>
            </w:tcBorders>
            <w:shd w:val="clear" w:color="auto" w:fill="auto"/>
            <w:noWrap/>
            <w:vAlign w:val="bottom"/>
          </w:tcPr>
          <w:p>
            <w:pPr>
              <w:rPr>
                <w:color w:val="000000"/>
                <w:szCs w:val="24"/>
                <w:lang w:eastAsia="lt-LT"/>
              </w:rPr>
            </w:pPr>
          </w:p>
        </w:tc>
        <w:tc>
          <w:tcPr>
            <w:tcW w:w="387" w:type="pct"/>
            <w:gridSpan w:val="1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4881" w:type="pct"/>
            <w:gridSpan w:val="144"/>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1.2.2v veiksmas: Žaliakalnio bendrojo ugdymo įstaigų modernizavimas didinant paslaugų efektyvumą </w:t>
            </w:r>
            <w:r>
              <w:rPr>
                <w:bCs/>
                <w:color w:val="000000"/>
                <w:szCs w:val="24"/>
                <w:lang w:eastAsia="lt-LT"/>
              </w:rPr>
              <w:t>(Jono Jablonskio gimnazija, Žaliakalnio progimnazija, KTU licėjus)</w:t>
            </w:r>
          </w:p>
        </w:tc>
      </w:tr>
      <w:tr>
        <w:trPr>
          <w:gridAfter w:val="8"/>
          <w:wAfter w:w="337" w:type="pct"/>
          <w:trHeight w:val="20"/>
        </w:trPr>
        <w:tc>
          <w:tcPr>
            <w:tcW w:w="119"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49" w:type="pct"/>
            <w:gridSpan w:val="10"/>
            <w:tcBorders>
              <w:top w:val="nil"/>
              <w:left w:val="nil"/>
              <w:bottom w:val="single" w:sz="8" w:space="0" w:color="auto"/>
              <w:right w:val="nil"/>
            </w:tcBorders>
            <w:shd w:val="clear" w:color="auto" w:fill="auto"/>
            <w:noWrap/>
            <w:vAlign w:val="bottom"/>
          </w:tcPr>
          <w:p>
            <w:pPr>
              <w:rPr>
                <w:color w:val="000000"/>
                <w:szCs w:val="24"/>
                <w:lang w:eastAsia="lt-LT"/>
              </w:rPr>
            </w:pPr>
          </w:p>
        </w:tc>
        <w:tc>
          <w:tcPr>
            <w:tcW w:w="404" w:type="pct"/>
            <w:gridSpan w:val="13"/>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451" w:type="pct"/>
            <w:gridSpan w:val="16"/>
            <w:tcBorders>
              <w:top w:val="nil"/>
              <w:left w:val="nil"/>
              <w:bottom w:val="nil"/>
              <w:right w:val="nil"/>
            </w:tcBorders>
            <w:shd w:val="clear" w:color="auto" w:fill="auto"/>
            <w:noWrap/>
            <w:vAlign w:val="bottom"/>
          </w:tcPr>
          <w:p>
            <w:pPr>
              <w:rPr>
                <w:color w:val="000000"/>
                <w:szCs w:val="24"/>
                <w:lang w:eastAsia="lt-LT"/>
              </w:rPr>
            </w:pPr>
          </w:p>
        </w:tc>
        <w:tc>
          <w:tcPr>
            <w:tcW w:w="443" w:type="pct"/>
            <w:gridSpan w:val="9"/>
            <w:tcBorders>
              <w:top w:val="nil"/>
              <w:left w:val="nil"/>
              <w:bottom w:val="nil"/>
              <w:right w:val="nil"/>
            </w:tcBorders>
            <w:shd w:val="clear" w:color="auto" w:fill="auto"/>
            <w:noWrap/>
            <w:vAlign w:val="bottom"/>
          </w:tcPr>
          <w:p>
            <w:pPr>
              <w:rPr>
                <w:color w:val="000000"/>
                <w:szCs w:val="24"/>
                <w:lang w:eastAsia="lt-LT"/>
              </w:rPr>
            </w:pPr>
          </w:p>
        </w:tc>
        <w:tc>
          <w:tcPr>
            <w:tcW w:w="86" w:type="pct"/>
            <w:gridSpan w:val="8"/>
            <w:tcBorders>
              <w:top w:val="nil"/>
              <w:left w:val="nil"/>
              <w:bottom w:val="nil"/>
              <w:right w:val="nil"/>
            </w:tcBorders>
            <w:shd w:val="clear" w:color="auto" w:fill="auto"/>
            <w:noWrap/>
            <w:vAlign w:val="bottom"/>
          </w:tcPr>
          <w:p>
            <w:pPr>
              <w:rPr>
                <w:color w:val="000000"/>
                <w:szCs w:val="24"/>
                <w:lang w:eastAsia="lt-LT"/>
              </w:rPr>
            </w:pPr>
          </w:p>
        </w:tc>
        <w:tc>
          <w:tcPr>
            <w:tcW w:w="744" w:type="pct"/>
            <w:gridSpan w:val="12"/>
            <w:tcBorders>
              <w:top w:val="nil"/>
              <w:left w:val="nil"/>
              <w:bottom w:val="nil"/>
              <w:right w:val="nil"/>
            </w:tcBorders>
            <w:shd w:val="clear" w:color="auto" w:fill="auto"/>
            <w:noWrap/>
            <w:vAlign w:val="bottom"/>
          </w:tcPr>
          <w:p>
            <w:pPr>
              <w:rPr>
                <w:color w:val="000000"/>
                <w:szCs w:val="24"/>
                <w:lang w:eastAsia="lt-LT"/>
              </w:rPr>
            </w:pPr>
          </w:p>
        </w:tc>
        <w:tc>
          <w:tcPr>
            <w:tcW w:w="84" w:type="pct"/>
            <w:gridSpan w:val="8"/>
            <w:tcBorders>
              <w:top w:val="nil"/>
              <w:left w:val="nil"/>
              <w:bottom w:val="nil"/>
              <w:right w:val="nil"/>
            </w:tcBorders>
            <w:shd w:val="clear" w:color="auto" w:fill="auto"/>
            <w:noWrap/>
            <w:vAlign w:val="bottom"/>
          </w:tcPr>
          <w:p>
            <w:pPr>
              <w:rPr>
                <w:color w:val="000000"/>
                <w:szCs w:val="24"/>
                <w:lang w:eastAsia="lt-LT"/>
              </w:rPr>
            </w:pPr>
          </w:p>
        </w:tc>
        <w:tc>
          <w:tcPr>
            <w:tcW w:w="325" w:type="pct"/>
            <w:gridSpan w:val="9"/>
            <w:tcBorders>
              <w:top w:val="nil"/>
              <w:left w:val="nil"/>
              <w:bottom w:val="nil"/>
              <w:right w:val="nil"/>
            </w:tcBorders>
            <w:shd w:val="clear" w:color="auto" w:fill="auto"/>
            <w:noWrap/>
            <w:vAlign w:val="bottom"/>
          </w:tcPr>
          <w:p>
            <w:pPr>
              <w:rPr>
                <w:color w:val="000000"/>
                <w:szCs w:val="24"/>
                <w:lang w:eastAsia="lt-LT"/>
              </w:rPr>
            </w:pPr>
          </w:p>
        </w:tc>
        <w:tc>
          <w:tcPr>
            <w:tcW w:w="415" w:type="pct"/>
            <w:gridSpan w:val="8"/>
            <w:tcBorders>
              <w:top w:val="nil"/>
              <w:left w:val="nil"/>
              <w:bottom w:val="nil"/>
              <w:right w:val="nil"/>
            </w:tcBorders>
            <w:shd w:val="clear" w:color="auto" w:fill="auto"/>
            <w:noWrap/>
            <w:vAlign w:val="bottom"/>
          </w:tcPr>
          <w:p>
            <w:pPr>
              <w:rPr>
                <w:color w:val="000000"/>
                <w:szCs w:val="24"/>
                <w:lang w:eastAsia="lt-LT"/>
              </w:rPr>
            </w:pPr>
          </w:p>
        </w:tc>
        <w:tc>
          <w:tcPr>
            <w:tcW w:w="313" w:type="pct"/>
            <w:gridSpan w:val="9"/>
            <w:tcBorders>
              <w:top w:val="nil"/>
              <w:left w:val="nil"/>
              <w:bottom w:val="nil"/>
              <w:right w:val="nil"/>
            </w:tcBorders>
            <w:shd w:val="clear" w:color="auto" w:fill="auto"/>
            <w:noWrap/>
            <w:vAlign w:val="bottom"/>
          </w:tcPr>
          <w:p>
            <w:pPr>
              <w:rPr>
                <w:color w:val="000000"/>
                <w:szCs w:val="24"/>
                <w:lang w:eastAsia="lt-LT"/>
              </w:rPr>
            </w:pPr>
          </w:p>
        </w:tc>
        <w:tc>
          <w:tcPr>
            <w:tcW w:w="460" w:type="pct"/>
            <w:gridSpan w:val="19"/>
            <w:tcBorders>
              <w:top w:val="nil"/>
              <w:left w:val="nil"/>
              <w:bottom w:val="nil"/>
              <w:right w:val="nil"/>
            </w:tcBorders>
            <w:shd w:val="clear" w:color="auto" w:fill="auto"/>
            <w:noWrap/>
            <w:vAlign w:val="bottom"/>
          </w:tcPr>
          <w:p>
            <w:pPr>
              <w:rPr>
                <w:color w:val="000000"/>
                <w:szCs w:val="24"/>
                <w:lang w:eastAsia="lt-LT"/>
              </w:rPr>
            </w:pPr>
          </w:p>
        </w:tc>
        <w:tc>
          <w:tcPr>
            <w:tcW w:w="387" w:type="pct"/>
            <w:gridSpan w:val="1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8"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447" w:type="pct"/>
            <w:gridSpan w:val="1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933"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3" w:type="pct"/>
            <w:gridSpan w:val="2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665" w:type="pct"/>
            <w:gridSpan w:val="5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593" w:type="pct"/>
            <w:gridSpan w:val="17"/>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8" w:type="pct"/>
            <w:gridSpan w:val="12"/>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447" w:type="pct"/>
            <w:gridSpan w:val="1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933" w:type="pct"/>
            <w:gridSpan w:val="2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93" w:type="pct"/>
            <w:gridSpan w:val="2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ŠMM</w:t>
            </w:r>
          </w:p>
        </w:tc>
        <w:tc>
          <w:tcPr>
            <w:tcW w:w="1665" w:type="pct"/>
            <w:gridSpan w:val="5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593" w:type="pct"/>
            <w:gridSpan w:val="17"/>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8"/>
          <w:wAfter w:w="337" w:type="pct"/>
          <w:trHeight w:val="20"/>
        </w:trPr>
        <w:tc>
          <w:tcPr>
            <w:tcW w:w="119"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49" w:type="pct"/>
            <w:gridSpan w:val="10"/>
            <w:tcBorders>
              <w:top w:val="single" w:sz="8" w:space="0" w:color="auto"/>
              <w:left w:val="nil"/>
              <w:bottom w:val="nil"/>
              <w:right w:val="nil"/>
            </w:tcBorders>
            <w:shd w:val="clear" w:color="auto" w:fill="auto"/>
            <w:noWrap/>
            <w:vAlign w:val="bottom"/>
          </w:tcPr>
          <w:p>
            <w:pPr>
              <w:rPr>
                <w:color w:val="000000"/>
                <w:szCs w:val="24"/>
                <w:lang w:eastAsia="lt-LT"/>
              </w:rPr>
            </w:pPr>
          </w:p>
        </w:tc>
        <w:tc>
          <w:tcPr>
            <w:tcW w:w="404" w:type="pct"/>
            <w:gridSpan w:val="13"/>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451" w:type="pct"/>
            <w:gridSpan w:val="16"/>
            <w:tcBorders>
              <w:top w:val="nil"/>
              <w:left w:val="nil"/>
              <w:bottom w:val="nil"/>
              <w:right w:val="nil"/>
            </w:tcBorders>
            <w:shd w:val="clear" w:color="auto" w:fill="auto"/>
            <w:noWrap/>
            <w:vAlign w:val="bottom"/>
          </w:tcPr>
          <w:p>
            <w:pPr>
              <w:rPr>
                <w:color w:val="000000"/>
                <w:szCs w:val="24"/>
                <w:lang w:eastAsia="lt-LT"/>
              </w:rPr>
            </w:pPr>
          </w:p>
        </w:tc>
        <w:tc>
          <w:tcPr>
            <w:tcW w:w="443" w:type="pct"/>
            <w:gridSpan w:val="9"/>
            <w:tcBorders>
              <w:top w:val="nil"/>
              <w:left w:val="nil"/>
              <w:bottom w:val="nil"/>
              <w:right w:val="nil"/>
            </w:tcBorders>
            <w:shd w:val="clear" w:color="auto" w:fill="auto"/>
            <w:noWrap/>
            <w:vAlign w:val="bottom"/>
          </w:tcPr>
          <w:p>
            <w:pPr>
              <w:rPr>
                <w:color w:val="000000"/>
                <w:szCs w:val="24"/>
                <w:lang w:eastAsia="lt-LT"/>
              </w:rPr>
            </w:pPr>
          </w:p>
        </w:tc>
        <w:tc>
          <w:tcPr>
            <w:tcW w:w="86" w:type="pct"/>
            <w:gridSpan w:val="8"/>
            <w:tcBorders>
              <w:top w:val="nil"/>
              <w:left w:val="nil"/>
              <w:bottom w:val="nil"/>
              <w:right w:val="nil"/>
            </w:tcBorders>
            <w:shd w:val="clear" w:color="auto" w:fill="auto"/>
            <w:noWrap/>
            <w:vAlign w:val="bottom"/>
          </w:tcPr>
          <w:p>
            <w:pPr>
              <w:rPr>
                <w:color w:val="000000"/>
                <w:szCs w:val="24"/>
                <w:lang w:eastAsia="lt-LT"/>
              </w:rPr>
            </w:pPr>
          </w:p>
        </w:tc>
        <w:tc>
          <w:tcPr>
            <w:tcW w:w="744" w:type="pct"/>
            <w:gridSpan w:val="12"/>
            <w:tcBorders>
              <w:top w:val="nil"/>
              <w:left w:val="nil"/>
              <w:bottom w:val="nil"/>
              <w:right w:val="nil"/>
            </w:tcBorders>
            <w:shd w:val="clear" w:color="auto" w:fill="auto"/>
            <w:noWrap/>
            <w:vAlign w:val="bottom"/>
          </w:tcPr>
          <w:p>
            <w:pPr>
              <w:rPr>
                <w:color w:val="000000"/>
                <w:szCs w:val="24"/>
                <w:lang w:eastAsia="lt-LT"/>
              </w:rPr>
            </w:pPr>
          </w:p>
        </w:tc>
        <w:tc>
          <w:tcPr>
            <w:tcW w:w="84" w:type="pct"/>
            <w:gridSpan w:val="8"/>
            <w:tcBorders>
              <w:top w:val="nil"/>
              <w:left w:val="nil"/>
              <w:bottom w:val="nil"/>
              <w:right w:val="nil"/>
            </w:tcBorders>
            <w:shd w:val="clear" w:color="auto" w:fill="auto"/>
            <w:noWrap/>
            <w:vAlign w:val="bottom"/>
          </w:tcPr>
          <w:p>
            <w:pPr>
              <w:rPr>
                <w:color w:val="000000"/>
                <w:szCs w:val="24"/>
                <w:lang w:eastAsia="lt-LT"/>
              </w:rPr>
            </w:pPr>
          </w:p>
        </w:tc>
        <w:tc>
          <w:tcPr>
            <w:tcW w:w="325" w:type="pct"/>
            <w:gridSpan w:val="9"/>
            <w:tcBorders>
              <w:top w:val="nil"/>
              <w:left w:val="nil"/>
              <w:bottom w:val="nil"/>
              <w:right w:val="nil"/>
            </w:tcBorders>
            <w:shd w:val="clear" w:color="auto" w:fill="auto"/>
            <w:noWrap/>
            <w:vAlign w:val="bottom"/>
          </w:tcPr>
          <w:p>
            <w:pPr>
              <w:rPr>
                <w:color w:val="000000"/>
                <w:szCs w:val="24"/>
                <w:lang w:eastAsia="lt-LT"/>
              </w:rPr>
            </w:pPr>
          </w:p>
        </w:tc>
        <w:tc>
          <w:tcPr>
            <w:tcW w:w="415" w:type="pct"/>
            <w:gridSpan w:val="8"/>
            <w:tcBorders>
              <w:top w:val="nil"/>
              <w:left w:val="nil"/>
              <w:bottom w:val="nil"/>
              <w:right w:val="nil"/>
            </w:tcBorders>
            <w:shd w:val="clear" w:color="auto" w:fill="auto"/>
            <w:noWrap/>
            <w:vAlign w:val="bottom"/>
          </w:tcPr>
          <w:p>
            <w:pPr>
              <w:rPr>
                <w:color w:val="000000"/>
                <w:szCs w:val="24"/>
                <w:lang w:eastAsia="lt-LT"/>
              </w:rPr>
            </w:pPr>
          </w:p>
        </w:tc>
        <w:tc>
          <w:tcPr>
            <w:tcW w:w="313" w:type="pct"/>
            <w:gridSpan w:val="9"/>
            <w:tcBorders>
              <w:top w:val="nil"/>
              <w:left w:val="nil"/>
              <w:bottom w:val="nil"/>
              <w:right w:val="nil"/>
            </w:tcBorders>
            <w:shd w:val="clear" w:color="auto" w:fill="auto"/>
            <w:noWrap/>
            <w:vAlign w:val="bottom"/>
          </w:tcPr>
          <w:p>
            <w:pPr>
              <w:rPr>
                <w:color w:val="000000"/>
                <w:szCs w:val="24"/>
                <w:lang w:eastAsia="lt-LT"/>
              </w:rPr>
            </w:pPr>
          </w:p>
        </w:tc>
        <w:tc>
          <w:tcPr>
            <w:tcW w:w="460" w:type="pct"/>
            <w:gridSpan w:val="19"/>
            <w:tcBorders>
              <w:top w:val="nil"/>
              <w:left w:val="nil"/>
              <w:bottom w:val="nil"/>
              <w:right w:val="nil"/>
            </w:tcBorders>
            <w:shd w:val="clear" w:color="auto" w:fill="auto"/>
            <w:noWrap/>
            <w:vAlign w:val="bottom"/>
          </w:tcPr>
          <w:p>
            <w:pPr>
              <w:rPr>
                <w:color w:val="000000"/>
                <w:szCs w:val="24"/>
                <w:lang w:eastAsia="lt-LT"/>
              </w:rPr>
            </w:pPr>
          </w:p>
        </w:tc>
        <w:tc>
          <w:tcPr>
            <w:tcW w:w="387" w:type="pct"/>
            <w:gridSpan w:val="1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9" w:type="pct"/>
            <w:gridSpan w:val="2"/>
            <w:tcBorders>
              <w:top w:val="nil"/>
              <w:left w:val="nil"/>
              <w:bottom w:val="nil"/>
              <w:right w:val="nil"/>
            </w:tcBorders>
            <w:shd w:val="clear" w:color="auto" w:fill="auto"/>
            <w:noWrap/>
            <w:vAlign w:val="bottom"/>
          </w:tcPr>
          <w:p>
            <w:pPr>
              <w:rPr>
                <w:color w:val="000000"/>
                <w:szCs w:val="24"/>
                <w:lang w:eastAsia="lt-LT"/>
              </w:rPr>
            </w:pPr>
          </w:p>
        </w:tc>
        <w:tc>
          <w:tcPr>
            <w:tcW w:w="4288" w:type="pct"/>
            <w:gridSpan w:val="127"/>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1.2.2v Veiksmo lėšų poreikis ir finansavimo šaltiniai:</w:t>
            </w:r>
          </w:p>
        </w:tc>
        <w:tc>
          <w:tcPr>
            <w:tcW w:w="593" w:type="pct"/>
            <w:gridSpan w:val="17"/>
            <w:tcBorders>
              <w:top w:val="nil"/>
              <w:left w:val="nil"/>
              <w:bottom w:val="nil"/>
              <w:right w:val="nil"/>
            </w:tcBorders>
            <w:shd w:val="clear" w:color="auto" w:fill="auto"/>
            <w:noWrap/>
            <w:vAlign w:val="bottom"/>
          </w:tcPr>
          <w:p>
            <w:pPr>
              <w:rPr>
                <w:color w:val="000000"/>
                <w:szCs w:val="24"/>
                <w:lang w:eastAsia="lt-LT"/>
              </w:rPr>
            </w:pPr>
          </w:p>
        </w:tc>
      </w:tr>
      <w:tr>
        <w:trPr>
          <w:gridAfter w:val="8"/>
          <w:wAfter w:w="337" w:type="pct"/>
          <w:trHeight w:val="20"/>
        </w:trPr>
        <w:tc>
          <w:tcPr>
            <w:tcW w:w="119" w:type="pct"/>
            <w:gridSpan w:val="2"/>
            <w:tcBorders>
              <w:top w:val="nil"/>
              <w:left w:val="nil"/>
              <w:bottom w:val="single" w:sz="4" w:space="0" w:color="auto"/>
              <w:right w:val="nil"/>
            </w:tcBorders>
            <w:shd w:val="clear" w:color="auto" w:fill="auto"/>
            <w:noWrap/>
            <w:vAlign w:val="bottom"/>
          </w:tcPr>
          <w:p>
            <w:pPr>
              <w:rPr>
                <w:color w:val="000000"/>
                <w:szCs w:val="24"/>
                <w:lang w:eastAsia="lt-LT"/>
              </w:rPr>
            </w:pPr>
          </w:p>
        </w:tc>
        <w:tc>
          <w:tcPr>
            <w:tcW w:w="349" w:type="pct"/>
            <w:gridSpan w:val="10"/>
            <w:tcBorders>
              <w:top w:val="nil"/>
              <w:left w:val="nil"/>
              <w:bottom w:val="single" w:sz="4" w:space="0" w:color="auto"/>
              <w:right w:val="nil"/>
            </w:tcBorders>
            <w:shd w:val="clear" w:color="auto" w:fill="auto"/>
            <w:noWrap/>
            <w:vAlign w:val="bottom"/>
          </w:tcPr>
          <w:p>
            <w:pPr>
              <w:rPr>
                <w:color w:val="000000"/>
                <w:szCs w:val="24"/>
                <w:lang w:eastAsia="lt-LT"/>
              </w:rPr>
            </w:pPr>
          </w:p>
        </w:tc>
        <w:tc>
          <w:tcPr>
            <w:tcW w:w="404" w:type="pct"/>
            <w:gridSpan w:val="13"/>
            <w:tcBorders>
              <w:top w:val="nil"/>
              <w:left w:val="nil"/>
              <w:bottom w:val="single" w:sz="4" w:space="0" w:color="auto"/>
              <w:right w:val="nil"/>
            </w:tcBorders>
            <w:shd w:val="clear" w:color="auto" w:fill="auto"/>
            <w:noWrap/>
            <w:vAlign w:val="bottom"/>
          </w:tcPr>
          <w:p>
            <w:pPr>
              <w:rPr>
                <w:color w:val="000000"/>
                <w:szCs w:val="24"/>
                <w:lang w:eastAsia="lt-LT"/>
              </w:rPr>
            </w:pPr>
          </w:p>
        </w:tc>
        <w:tc>
          <w:tcPr>
            <w:tcW w:w="83" w:type="pct"/>
            <w:gridSpan w:val="4"/>
            <w:tcBorders>
              <w:top w:val="nil"/>
              <w:left w:val="nil"/>
              <w:bottom w:val="single" w:sz="4" w:space="0" w:color="auto"/>
              <w:right w:val="nil"/>
            </w:tcBorders>
            <w:shd w:val="clear" w:color="auto" w:fill="auto"/>
            <w:noWrap/>
            <w:vAlign w:val="bottom"/>
          </w:tcPr>
          <w:p>
            <w:pPr>
              <w:rPr>
                <w:color w:val="000000"/>
                <w:szCs w:val="24"/>
                <w:lang w:eastAsia="lt-LT"/>
              </w:rPr>
            </w:pPr>
          </w:p>
        </w:tc>
        <w:tc>
          <w:tcPr>
            <w:tcW w:w="451" w:type="pct"/>
            <w:gridSpan w:val="16"/>
            <w:tcBorders>
              <w:top w:val="nil"/>
              <w:left w:val="nil"/>
              <w:bottom w:val="single" w:sz="4" w:space="0" w:color="auto"/>
              <w:right w:val="nil"/>
            </w:tcBorders>
            <w:shd w:val="clear" w:color="auto" w:fill="auto"/>
            <w:noWrap/>
            <w:vAlign w:val="bottom"/>
          </w:tcPr>
          <w:p>
            <w:pPr>
              <w:rPr>
                <w:color w:val="000000"/>
                <w:szCs w:val="24"/>
                <w:lang w:eastAsia="lt-LT"/>
              </w:rPr>
            </w:pPr>
          </w:p>
        </w:tc>
        <w:tc>
          <w:tcPr>
            <w:tcW w:w="443" w:type="pct"/>
            <w:gridSpan w:val="9"/>
            <w:tcBorders>
              <w:top w:val="nil"/>
              <w:left w:val="nil"/>
              <w:bottom w:val="single" w:sz="4" w:space="0" w:color="auto"/>
              <w:right w:val="nil"/>
            </w:tcBorders>
            <w:shd w:val="clear" w:color="auto" w:fill="auto"/>
            <w:noWrap/>
            <w:vAlign w:val="bottom"/>
          </w:tcPr>
          <w:p>
            <w:pPr>
              <w:rPr>
                <w:color w:val="000000"/>
                <w:szCs w:val="24"/>
                <w:lang w:eastAsia="lt-LT"/>
              </w:rPr>
            </w:pPr>
          </w:p>
        </w:tc>
        <w:tc>
          <w:tcPr>
            <w:tcW w:w="86" w:type="pct"/>
            <w:gridSpan w:val="8"/>
            <w:tcBorders>
              <w:top w:val="nil"/>
              <w:left w:val="nil"/>
              <w:bottom w:val="single" w:sz="4" w:space="0" w:color="auto"/>
              <w:right w:val="nil"/>
            </w:tcBorders>
            <w:shd w:val="clear" w:color="auto" w:fill="auto"/>
            <w:noWrap/>
            <w:vAlign w:val="bottom"/>
          </w:tcPr>
          <w:p>
            <w:pPr>
              <w:rPr>
                <w:color w:val="000000"/>
                <w:szCs w:val="24"/>
                <w:lang w:eastAsia="lt-LT"/>
              </w:rPr>
            </w:pPr>
          </w:p>
        </w:tc>
        <w:tc>
          <w:tcPr>
            <w:tcW w:w="744" w:type="pct"/>
            <w:gridSpan w:val="12"/>
            <w:tcBorders>
              <w:top w:val="nil"/>
              <w:left w:val="nil"/>
              <w:bottom w:val="single" w:sz="4" w:space="0" w:color="auto"/>
              <w:right w:val="nil"/>
            </w:tcBorders>
            <w:shd w:val="clear" w:color="auto" w:fill="auto"/>
            <w:noWrap/>
            <w:vAlign w:val="bottom"/>
          </w:tcPr>
          <w:p>
            <w:pPr>
              <w:rPr>
                <w:color w:val="000000"/>
                <w:szCs w:val="24"/>
                <w:lang w:eastAsia="lt-LT"/>
              </w:rPr>
            </w:pPr>
          </w:p>
        </w:tc>
        <w:tc>
          <w:tcPr>
            <w:tcW w:w="84" w:type="pct"/>
            <w:gridSpan w:val="8"/>
            <w:tcBorders>
              <w:top w:val="nil"/>
              <w:left w:val="nil"/>
              <w:bottom w:val="single" w:sz="4" w:space="0" w:color="auto"/>
              <w:right w:val="nil"/>
            </w:tcBorders>
            <w:shd w:val="clear" w:color="auto" w:fill="auto"/>
            <w:noWrap/>
            <w:vAlign w:val="bottom"/>
          </w:tcPr>
          <w:p>
            <w:pPr>
              <w:rPr>
                <w:color w:val="000000"/>
                <w:szCs w:val="24"/>
                <w:lang w:eastAsia="lt-LT"/>
              </w:rPr>
            </w:pPr>
          </w:p>
        </w:tc>
        <w:tc>
          <w:tcPr>
            <w:tcW w:w="325" w:type="pct"/>
            <w:gridSpan w:val="9"/>
            <w:tcBorders>
              <w:top w:val="nil"/>
              <w:left w:val="nil"/>
              <w:bottom w:val="single" w:sz="4" w:space="0" w:color="auto"/>
              <w:right w:val="nil"/>
            </w:tcBorders>
            <w:shd w:val="clear" w:color="auto" w:fill="auto"/>
            <w:noWrap/>
            <w:vAlign w:val="bottom"/>
          </w:tcPr>
          <w:p>
            <w:pPr>
              <w:rPr>
                <w:color w:val="000000"/>
                <w:szCs w:val="24"/>
                <w:lang w:eastAsia="lt-LT"/>
              </w:rPr>
            </w:pPr>
          </w:p>
        </w:tc>
        <w:tc>
          <w:tcPr>
            <w:tcW w:w="415" w:type="pct"/>
            <w:gridSpan w:val="8"/>
            <w:tcBorders>
              <w:top w:val="nil"/>
              <w:left w:val="nil"/>
              <w:bottom w:val="single" w:sz="4" w:space="0" w:color="auto"/>
              <w:right w:val="nil"/>
            </w:tcBorders>
            <w:shd w:val="clear" w:color="auto" w:fill="auto"/>
            <w:noWrap/>
            <w:vAlign w:val="bottom"/>
          </w:tcPr>
          <w:p>
            <w:pPr>
              <w:rPr>
                <w:color w:val="000000"/>
                <w:szCs w:val="24"/>
                <w:lang w:eastAsia="lt-LT"/>
              </w:rPr>
            </w:pPr>
          </w:p>
        </w:tc>
        <w:tc>
          <w:tcPr>
            <w:tcW w:w="313" w:type="pct"/>
            <w:gridSpan w:val="9"/>
            <w:tcBorders>
              <w:top w:val="nil"/>
              <w:left w:val="nil"/>
              <w:bottom w:val="single" w:sz="4" w:space="0" w:color="auto"/>
              <w:right w:val="nil"/>
            </w:tcBorders>
            <w:shd w:val="clear" w:color="auto" w:fill="auto"/>
            <w:noWrap/>
            <w:vAlign w:val="bottom"/>
          </w:tcPr>
          <w:p>
            <w:pPr>
              <w:rPr>
                <w:color w:val="000000"/>
                <w:szCs w:val="24"/>
                <w:lang w:eastAsia="lt-LT"/>
              </w:rPr>
            </w:pPr>
          </w:p>
        </w:tc>
        <w:tc>
          <w:tcPr>
            <w:tcW w:w="460" w:type="pct"/>
            <w:gridSpan w:val="19"/>
            <w:tcBorders>
              <w:top w:val="nil"/>
              <w:left w:val="nil"/>
              <w:bottom w:val="single" w:sz="4" w:space="0" w:color="auto"/>
              <w:right w:val="nil"/>
            </w:tcBorders>
            <w:shd w:val="clear" w:color="auto" w:fill="auto"/>
            <w:noWrap/>
            <w:vAlign w:val="bottom"/>
          </w:tcPr>
          <w:p>
            <w:pPr>
              <w:rPr>
                <w:color w:val="000000"/>
                <w:szCs w:val="24"/>
                <w:lang w:eastAsia="lt-LT"/>
              </w:rPr>
            </w:pPr>
          </w:p>
        </w:tc>
        <w:tc>
          <w:tcPr>
            <w:tcW w:w="387" w:type="pct"/>
            <w:gridSpan w:val="11"/>
            <w:tcBorders>
              <w:top w:val="nil"/>
              <w:left w:val="nil"/>
              <w:bottom w:val="single" w:sz="4" w:space="0" w:color="auto"/>
              <w:right w:val="nil"/>
            </w:tcBorders>
            <w:shd w:val="clear" w:color="auto" w:fill="auto"/>
            <w:noWrap/>
            <w:vAlign w:val="bottom"/>
          </w:tcPr>
          <w:p>
            <w:pPr>
              <w:rPr>
                <w:color w:val="000000"/>
                <w:szCs w:val="24"/>
                <w:lang w:eastAsia="lt-LT"/>
              </w:rPr>
            </w:pPr>
          </w:p>
        </w:tc>
      </w:tr>
      <w:tr>
        <w:trPr>
          <w:trHeight w:val="20"/>
        </w:trPr>
        <w:tc>
          <w:tcPr>
            <w:tcW w:w="468" w:type="pct"/>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8" w:type="pct"/>
            <w:gridSpan w:val="33"/>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962" w:type="pct"/>
            <w:gridSpan w:val="25"/>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1134" w:type="pct"/>
            <w:gridSpan w:val="29"/>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08"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Privačios lėšos:</w:t>
            </w:r>
          </w:p>
        </w:tc>
        <w:tc>
          <w:tcPr>
            <w:tcW w:w="489" w:type="pct"/>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8" w:type="pct"/>
            <w:gridSpan w:val="12"/>
            <w:vMerge/>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p>
        </w:tc>
        <w:tc>
          <w:tcPr>
            <w:tcW w:w="404"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34" w:type="pct"/>
            <w:gridSpan w:val="20"/>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44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20"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3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61" w:type="pct"/>
            <w:gridSpan w:val="20"/>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29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15" w:type="pct"/>
            <w:gridSpan w:val="29"/>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Iš jų bendrasis finansavimas</w:t>
            </w:r>
          </w:p>
        </w:tc>
        <w:tc>
          <w:tcPr>
            <w:tcW w:w="489" w:type="pct"/>
            <w:gridSpan w:val="10"/>
            <w:vMerge/>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p>
        </w:tc>
      </w:tr>
      <w:tr>
        <w:trPr>
          <w:trHeight w:val="20"/>
        </w:trPr>
        <w:tc>
          <w:tcPr>
            <w:tcW w:w="468"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812 882</w:t>
            </w:r>
          </w:p>
        </w:tc>
        <w:tc>
          <w:tcPr>
            <w:tcW w:w="404"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60 966</w:t>
            </w:r>
          </w:p>
        </w:tc>
        <w:tc>
          <w:tcPr>
            <w:tcW w:w="534" w:type="pct"/>
            <w:gridSpan w:val="20"/>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60 966</w:t>
            </w:r>
          </w:p>
        </w:tc>
        <w:tc>
          <w:tcPr>
            <w:tcW w:w="443"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60 966</w:t>
            </w:r>
          </w:p>
        </w:tc>
        <w:tc>
          <w:tcPr>
            <w:tcW w:w="52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60 966</w:t>
            </w:r>
          </w:p>
        </w:tc>
        <w:tc>
          <w:tcPr>
            <w:tcW w:w="373"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61" w:type="pct"/>
            <w:gridSpan w:val="20"/>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29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15" w:type="pct"/>
            <w:gridSpan w:val="29"/>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8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4"/>
                <w:lang w:eastAsia="lt-LT"/>
              </w:rPr>
            </w:pPr>
            <w:r>
              <w:rPr>
                <w:color w:val="000000"/>
                <w:szCs w:val="24"/>
                <w:lang w:eastAsia="lt-LT"/>
              </w:rPr>
              <w:t>690 950</w:t>
            </w:r>
          </w:p>
        </w:tc>
      </w:tr>
      <w:tr>
        <w:trPr>
          <w:gridAfter w:val="8"/>
          <w:wAfter w:w="337" w:type="pct"/>
          <w:trHeight w:val="20"/>
        </w:trPr>
        <w:tc>
          <w:tcPr>
            <w:tcW w:w="119"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49" w:type="pct"/>
            <w:gridSpan w:val="10"/>
            <w:tcBorders>
              <w:top w:val="single" w:sz="4" w:space="0" w:color="auto"/>
              <w:left w:val="nil"/>
              <w:bottom w:val="nil"/>
              <w:right w:val="nil"/>
            </w:tcBorders>
            <w:shd w:val="clear" w:color="auto" w:fill="auto"/>
            <w:noWrap/>
            <w:vAlign w:val="bottom"/>
          </w:tcPr>
          <w:p>
            <w:pPr>
              <w:rPr>
                <w:color w:val="000000"/>
                <w:szCs w:val="24"/>
                <w:lang w:eastAsia="lt-LT"/>
              </w:rPr>
            </w:pPr>
          </w:p>
        </w:tc>
        <w:tc>
          <w:tcPr>
            <w:tcW w:w="404" w:type="pct"/>
            <w:gridSpan w:val="13"/>
            <w:tcBorders>
              <w:top w:val="single" w:sz="4" w:space="0" w:color="auto"/>
              <w:left w:val="nil"/>
              <w:bottom w:val="nil"/>
              <w:right w:val="nil"/>
            </w:tcBorders>
            <w:shd w:val="clear" w:color="auto" w:fill="auto"/>
            <w:noWrap/>
            <w:vAlign w:val="bottom"/>
          </w:tcPr>
          <w:p>
            <w:pPr>
              <w:rPr>
                <w:color w:val="000000"/>
                <w:szCs w:val="24"/>
                <w:lang w:eastAsia="lt-LT"/>
              </w:rPr>
            </w:pPr>
          </w:p>
        </w:tc>
        <w:tc>
          <w:tcPr>
            <w:tcW w:w="83" w:type="pct"/>
            <w:gridSpan w:val="4"/>
            <w:tcBorders>
              <w:top w:val="single" w:sz="4" w:space="0" w:color="auto"/>
              <w:left w:val="nil"/>
              <w:bottom w:val="nil"/>
              <w:right w:val="nil"/>
            </w:tcBorders>
            <w:shd w:val="clear" w:color="auto" w:fill="auto"/>
            <w:noWrap/>
            <w:vAlign w:val="bottom"/>
          </w:tcPr>
          <w:p>
            <w:pPr>
              <w:rPr>
                <w:color w:val="000000"/>
                <w:szCs w:val="24"/>
                <w:lang w:eastAsia="lt-LT"/>
              </w:rPr>
            </w:pPr>
          </w:p>
        </w:tc>
        <w:tc>
          <w:tcPr>
            <w:tcW w:w="451" w:type="pct"/>
            <w:gridSpan w:val="16"/>
            <w:tcBorders>
              <w:top w:val="single" w:sz="4" w:space="0" w:color="auto"/>
              <w:left w:val="nil"/>
              <w:bottom w:val="nil"/>
              <w:right w:val="nil"/>
            </w:tcBorders>
            <w:shd w:val="clear" w:color="auto" w:fill="auto"/>
            <w:noWrap/>
            <w:vAlign w:val="bottom"/>
          </w:tcPr>
          <w:p>
            <w:pPr>
              <w:rPr>
                <w:color w:val="000000"/>
                <w:szCs w:val="24"/>
                <w:lang w:eastAsia="lt-LT"/>
              </w:rPr>
            </w:pPr>
          </w:p>
        </w:tc>
        <w:tc>
          <w:tcPr>
            <w:tcW w:w="443" w:type="pct"/>
            <w:gridSpan w:val="9"/>
            <w:tcBorders>
              <w:top w:val="single" w:sz="4" w:space="0" w:color="auto"/>
              <w:left w:val="nil"/>
              <w:bottom w:val="nil"/>
              <w:right w:val="nil"/>
            </w:tcBorders>
            <w:shd w:val="clear" w:color="auto" w:fill="auto"/>
            <w:noWrap/>
            <w:vAlign w:val="bottom"/>
          </w:tcPr>
          <w:p>
            <w:pPr>
              <w:rPr>
                <w:color w:val="000000"/>
                <w:szCs w:val="24"/>
                <w:lang w:eastAsia="lt-LT"/>
              </w:rPr>
            </w:pPr>
          </w:p>
        </w:tc>
        <w:tc>
          <w:tcPr>
            <w:tcW w:w="86" w:type="pct"/>
            <w:gridSpan w:val="8"/>
            <w:tcBorders>
              <w:top w:val="single" w:sz="4" w:space="0" w:color="auto"/>
              <w:left w:val="nil"/>
              <w:bottom w:val="nil"/>
              <w:right w:val="nil"/>
            </w:tcBorders>
            <w:shd w:val="clear" w:color="auto" w:fill="auto"/>
            <w:noWrap/>
            <w:vAlign w:val="bottom"/>
          </w:tcPr>
          <w:p>
            <w:pPr>
              <w:rPr>
                <w:color w:val="000000"/>
                <w:szCs w:val="24"/>
                <w:lang w:eastAsia="lt-LT"/>
              </w:rPr>
            </w:pPr>
          </w:p>
        </w:tc>
        <w:tc>
          <w:tcPr>
            <w:tcW w:w="744" w:type="pct"/>
            <w:gridSpan w:val="12"/>
            <w:tcBorders>
              <w:top w:val="single" w:sz="4" w:space="0" w:color="auto"/>
              <w:left w:val="nil"/>
              <w:bottom w:val="nil"/>
              <w:right w:val="nil"/>
            </w:tcBorders>
            <w:shd w:val="clear" w:color="auto" w:fill="auto"/>
            <w:noWrap/>
            <w:vAlign w:val="bottom"/>
          </w:tcPr>
          <w:p>
            <w:pPr>
              <w:rPr>
                <w:color w:val="000000"/>
                <w:szCs w:val="24"/>
                <w:lang w:eastAsia="lt-LT"/>
              </w:rPr>
            </w:pPr>
          </w:p>
        </w:tc>
        <w:tc>
          <w:tcPr>
            <w:tcW w:w="84" w:type="pct"/>
            <w:gridSpan w:val="8"/>
            <w:tcBorders>
              <w:top w:val="single" w:sz="4" w:space="0" w:color="auto"/>
              <w:left w:val="nil"/>
              <w:bottom w:val="nil"/>
              <w:right w:val="nil"/>
            </w:tcBorders>
            <w:shd w:val="clear" w:color="auto" w:fill="auto"/>
            <w:noWrap/>
            <w:vAlign w:val="bottom"/>
          </w:tcPr>
          <w:p>
            <w:pPr>
              <w:rPr>
                <w:color w:val="000000"/>
                <w:szCs w:val="24"/>
                <w:lang w:eastAsia="lt-LT"/>
              </w:rPr>
            </w:pPr>
          </w:p>
        </w:tc>
        <w:tc>
          <w:tcPr>
            <w:tcW w:w="325" w:type="pct"/>
            <w:gridSpan w:val="9"/>
            <w:tcBorders>
              <w:top w:val="single" w:sz="4" w:space="0" w:color="auto"/>
              <w:left w:val="nil"/>
              <w:bottom w:val="nil"/>
              <w:right w:val="nil"/>
            </w:tcBorders>
            <w:shd w:val="clear" w:color="auto" w:fill="auto"/>
            <w:noWrap/>
            <w:vAlign w:val="bottom"/>
          </w:tcPr>
          <w:p>
            <w:pPr>
              <w:rPr>
                <w:color w:val="000000"/>
                <w:szCs w:val="24"/>
                <w:lang w:eastAsia="lt-LT"/>
              </w:rPr>
            </w:pPr>
          </w:p>
        </w:tc>
        <w:tc>
          <w:tcPr>
            <w:tcW w:w="415" w:type="pct"/>
            <w:gridSpan w:val="8"/>
            <w:tcBorders>
              <w:top w:val="single" w:sz="4" w:space="0" w:color="auto"/>
              <w:left w:val="nil"/>
              <w:bottom w:val="nil"/>
              <w:right w:val="nil"/>
            </w:tcBorders>
            <w:shd w:val="clear" w:color="auto" w:fill="auto"/>
            <w:noWrap/>
            <w:vAlign w:val="bottom"/>
          </w:tcPr>
          <w:p>
            <w:pPr>
              <w:rPr>
                <w:color w:val="000000"/>
                <w:szCs w:val="24"/>
                <w:lang w:eastAsia="lt-LT"/>
              </w:rPr>
            </w:pPr>
          </w:p>
        </w:tc>
        <w:tc>
          <w:tcPr>
            <w:tcW w:w="313" w:type="pct"/>
            <w:gridSpan w:val="9"/>
            <w:tcBorders>
              <w:top w:val="single" w:sz="4" w:space="0" w:color="auto"/>
              <w:left w:val="nil"/>
              <w:bottom w:val="nil"/>
              <w:right w:val="nil"/>
            </w:tcBorders>
            <w:shd w:val="clear" w:color="auto" w:fill="auto"/>
            <w:noWrap/>
            <w:vAlign w:val="bottom"/>
          </w:tcPr>
          <w:p>
            <w:pPr>
              <w:rPr>
                <w:color w:val="000000"/>
                <w:szCs w:val="24"/>
                <w:lang w:eastAsia="lt-LT"/>
              </w:rPr>
            </w:pPr>
          </w:p>
        </w:tc>
        <w:tc>
          <w:tcPr>
            <w:tcW w:w="460" w:type="pct"/>
            <w:gridSpan w:val="19"/>
            <w:tcBorders>
              <w:top w:val="single" w:sz="4" w:space="0" w:color="auto"/>
              <w:left w:val="nil"/>
              <w:bottom w:val="nil"/>
              <w:right w:val="nil"/>
            </w:tcBorders>
            <w:shd w:val="clear" w:color="auto" w:fill="auto"/>
            <w:noWrap/>
            <w:vAlign w:val="bottom"/>
          </w:tcPr>
          <w:p>
            <w:pPr>
              <w:rPr>
                <w:color w:val="000000"/>
                <w:szCs w:val="24"/>
                <w:lang w:eastAsia="lt-LT"/>
              </w:rPr>
            </w:pPr>
          </w:p>
        </w:tc>
        <w:tc>
          <w:tcPr>
            <w:tcW w:w="387" w:type="pct"/>
            <w:gridSpan w:val="11"/>
            <w:tcBorders>
              <w:top w:val="single" w:sz="4" w:space="0" w:color="auto"/>
              <w:left w:val="nil"/>
              <w:bottom w:val="nil"/>
              <w:right w:val="nil"/>
            </w:tcBorders>
            <w:shd w:val="clear" w:color="auto" w:fill="auto"/>
            <w:noWrap/>
            <w:vAlign w:val="bottom"/>
          </w:tcPr>
          <w:p>
            <w:pPr>
              <w:rPr>
                <w:color w:val="000000"/>
                <w:szCs w:val="24"/>
                <w:lang w:eastAsia="lt-LT"/>
              </w:rPr>
            </w:pPr>
          </w:p>
        </w:tc>
      </w:tr>
      <w:tr>
        <w:trPr>
          <w:trHeight w:val="20"/>
        </w:trPr>
        <w:tc>
          <w:tcPr>
            <w:tcW w:w="119" w:type="pct"/>
            <w:gridSpan w:val="2"/>
            <w:tcBorders>
              <w:top w:val="nil"/>
              <w:left w:val="nil"/>
              <w:bottom w:val="nil"/>
              <w:right w:val="nil"/>
            </w:tcBorders>
            <w:shd w:val="clear" w:color="auto" w:fill="auto"/>
            <w:noWrap/>
            <w:vAlign w:val="bottom"/>
          </w:tcPr>
          <w:p>
            <w:pPr>
              <w:jc w:val="center"/>
              <w:rPr>
                <w:color w:val="000000"/>
                <w:szCs w:val="24"/>
                <w:lang w:eastAsia="lt-LT"/>
              </w:rPr>
            </w:pPr>
          </w:p>
        </w:tc>
        <w:tc>
          <w:tcPr>
            <w:tcW w:w="4881" w:type="pct"/>
            <w:gridSpan w:val="144"/>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1.2.3v veiksmas: Žaliakalnio švietimo įstaigų modernizavimas plėtojant vaikų ir jaunimo neformalaus ugdymo galimybes </w:t>
            </w:r>
            <w:r>
              <w:rPr>
                <w:bCs/>
                <w:color w:val="000000"/>
                <w:szCs w:val="24"/>
                <w:lang w:eastAsia="lt-LT"/>
              </w:rPr>
              <w:t>(A. Kačanausko vaikų muzikos mokykla)</w:t>
            </w:r>
          </w:p>
        </w:tc>
      </w:tr>
      <w:tr>
        <w:trPr>
          <w:gridAfter w:val="16"/>
          <w:wAfter w:w="553" w:type="pct"/>
          <w:trHeight w:val="20"/>
        </w:trPr>
        <w:tc>
          <w:tcPr>
            <w:tcW w:w="468" w:type="pct"/>
            <w:gridSpan w:val="12"/>
            <w:tcBorders>
              <w:top w:val="nil"/>
              <w:left w:val="nil"/>
              <w:bottom w:val="single" w:sz="8" w:space="0" w:color="auto"/>
              <w:right w:val="nil"/>
            </w:tcBorders>
            <w:shd w:val="clear" w:color="auto" w:fill="auto"/>
            <w:noWrap/>
            <w:vAlign w:val="bottom"/>
          </w:tcPr>
          <w:p>
            <w:pPr>
              <w:rPr>
                <w:color w:val="000000"/>
                <w:szCs w:val="24"/>
                <w:lang w:eastAsia="lt-LT"/>
              </w:rPr>
            </w:pPr>
          </w:p>
        </w:tc>
        <w:tc>
          <w:tcPr>
            <w:tcW w:w="83" w:type="pct"/>
            <w:gridSpan w:val="2"/>
            <w:tcBorders>
              <w:top w:val="nil"/>
              <w:left w:val="nil"/>
              <w:bottom w:val="nil"/>
              <w:right w:val="nil"/>
            </w:tcBorders>
            <w:shd w:val="clear" w:color="auto" w:fill="auto"/>
            <w:noWrap/>
            <w:vAlign w:val="bottom"/>
          </w:tcPr>
          <w:p>
            <w:pPr>
              <w:rPr>
                <w:color w:val="000000"/>
                <w:szCs w:val="24"/>
                <w:lang w:eastAsia="lt-LT"/>
              </w:rPr>
            </w:pPr>
          </w:p>
        </w:tc>
        <w:tc>
          <w:tcPr>
            <w:tcW w:w="382" w:type="pct"/>
            <w:gridSpan w:val="14"/>
            <w:tcBorders>
              <w:top w:val="nil"/>
              <w:left w:val="nil"/>
              <w:bottom w:val="nil"/>
              <w:right w:val="nil"/>
            </w:tcBorders>
            <w:shd w:val="clear" w:color="auto" w:fill="auto"/>
            <w:noWrap/>
            <w:vAlign w:val="bottom"/>
          </w:tcPr>
          <w:p>
            <w:pPr>
              <w:rPr>
                <w:color w:val="000000"/>
                <w:szCs w:val="24"/>
                <w:lang w:eastAsia="lt-LT"/>
              </w:rPr>
            </w:pPr>
          </w:p>
        </w:tc>
        <w:tc>
          <w:tcPr>
            <w:tcW w:w="205" w:type="pct"/>
            <w:gridSpan w:val="7"/>
            <w:tcBorders>
              <w:top w:val="nil"/>
              <w:left w:val="nil"/>
              <w:bottom w:val="nil"/>
              <w:right w:val="nil"/>
            </w:tcBorders>
            <w:shd w:val="clear" w:color="auto" w:fill="auto"/>
            <w:noWrap/>
            <w:vAlign w:val="bottom"/>
          </w:tcPr>
          <w:p>
            <w:pPr>
              <w:rPr>
                <w:color w:val="000000"/>
                <w:szCs w:val="24"/>
                <w:lang w:eastAsia="lt-LT"/>
              </w:rPr>
            </w:pPr>
          </w:p>
        </w:tc>
        <w:tc>
          <w:tcPr>
            <w:tcW w:w="137" w:type="pct"/>
            <w:gridSpan w:val="7"/>
            <w:tcBorders>
              <w:top w:val="nil"/>
              <w:left w:val="nil"/>
              <w:bottom w:val="nil"/>
              <w:right w:val="nil"/>
            </w:tcBorders>
            <w:shd w:val="clear" w:color="auto" w:fill="auto"/>
            <w:noWrap/>
            <w:vAlign w:val="bottom"/>
          </w:tcPr>
          <w:p>
            <w:pPr>
              <w:rPr>
                <w:color w:val="000000"/>
                <w:szCs w:val="24"/>
                <w:lang w:eastAsia="lt-LT"/>
              </w:rPr>
            </w:pPr>
          </w:p>
        </w:tc>
        <w:tc>
          <w:tcPr>
            <w:tcW w:w="581" w:type="pct"/>
            <w:gridSpan w:val="13"/>
            <w:tcBorders>
              <w:top w:val="nil"/>
              <w:left w:val="nil"/>
              <w:bottom w:val="nil"/>
              <w:right w:val="nil"/>
            </w:tcBorders>
            <w:shd w:val="clear" w:color="auto" w:fill="auto"/>
            <w:noWrap/>
            <w:vAlign w:val="bottom"/>
          </w:tcPr>
          <w:p>
            <w:pPr>
              <w:rPr>
                <w:color w:val="000000"/>
                <w:szCs w:val="24"/>
                <w:lang w:eastAsia="lt-LT"/>
              </w:rPr>
            </w:pPr>
          </w:p>
        </w:tc>
        <w:tc>
          <w:tcPr>
            <w:tcW w:w="219" w:type="pct"/>
            <w:gridSpan w:val="12"/>
            <w:tcBorders>
              <w:top w:val="nil"/>
              <w:left w:val="nil"/>
              <w:bottom w:val="nil"/>
              <w:right w:val="nil"/>
            </w:tcBorders>
            <w:shd w:val="clear" w:color="auto" w:fill="auto"/>
            <w:noWrap/>
            <w:vAlign w:val="bottom"/>
          </w:tcPr>
          <w:p>
            <w:pPr>
              <w:rPr>
                <w:color w:val="000000"/>
                <w:szCs w:val="24"/>
                <w:lang w:eastAsia="lt-LT"/>
              </w:rPr>
            </w:pPr>
          </w:p>
        </w:tc>
        <w:tc>
          <w:tcPr>
            <w:tcW w:w="674" w:type="pct"/>
            <w:gridSpan w:val="14"/>
            <w:tcBorders>
              <w:top w:val="nil"/>
              <w:left w:val="nil"/>
              <w:bottom w:val="nil"/>
              <w:right w:val="nil"/>
            </w:tcBorders>
            <w:shd w:val="clear" w:color="auto" w:fill="auto"/>
            <w:noWrap/>
            <w:vAlign w:val="bottom"/>
          </w:tcPr>
          <w:p>
            <w:pPr>
              <w:rPr>
                <w:color w:val="000000"/>
                <w:szCs w:val="24"/>
                <w:lang w:eastAsia="lt-LT"/>
              </w:rPr>
            </w:pPr>
          </w:p>
        </w:tc>
        <w:tc>
          <w:tcPr>
            <w:tcW w:w="287" w:type="pct"/>
            <w:gridSpan w:val="8"/>
            <w:tcBorders>
              <w:top w:val="nil"/>
              <w:left w:val="nil"/>
              <w:bottom w:val="nil"/>
              <w:right w:val="nil"/>
            </w:tcBorders>
            <w:shd w:val="clear" w:color="auto" w:fill="auto"/>
            <w:noWrap/>
            <w:vAlign w:val="bottom"/>
          </w:tcPr>
          <w:p>
            <w:pPr>
              <w:rPr>
                <w:color w:val="000000"/>
                <w:szCs w:val="24"/>
                <w:lang w:eastAsia="lt-LT"/>
              </w:rPr>
            </w:pPr>
          </w:p>
        </w:tc>
        <w:tc>
          <w:tcPr>
            <w:tcW w:w="223" w:type="pct"/>
            <w:gridSpan w:val="5"/>
            <w:tcBorders>
              <w:top w:val="nil"/>
              <w:left w:val="nil"/>
              <w:bottom w:val="nil"/>
              <w:right w:val="nil"/>
            </w:tcBorders>
            <w:shd w:val="clear" w:color="auto" w:fill="auto"/>
            <w:noWrap/>
            <w:vAlign w:val="bottom"/>
          </w:tcPr>
          <w:p>
            <w:pPr>
              <w:rPr>
                <w:color w:val="000000"/>
                <w:szCs w:val="24"/>
                <w:lang w:eastAsia="lt-LT"/>
              </w:rPr>
            </w:pPr>
          </w:p>
        </w:tc>
        <w:tc>
          <w:tcPr>
            <w:tcW w:w="525" w:type="pct"/>
            <w:gridSpan w:val="12"/>
            <w:tcBorders>
              <w:top w:val="nil"/>
              <w:left w:val="nil"/>
              <w:bottom w:val="nil"/>
              <w:right w:val="nil"/>
            </w:tcBorders>
            <w:shd w:val="clear" w:color="auto" w:fill="auto"/>
            <w:noWrap/>
            <w:vAlign w:val="bottom"/>
          </w:tcPr>
          <w:p>
            <w:pPr>
              <w:rPr>
                <w:color w:val="000000"/>
                <w:szCs w:val="24"/>
                <w:lang w:eastAsia="lt-LT"/>
              </w:rPr>
            </w:pPr>
          </w:p>
        </w:tc>
        <w:tc>
          <w:tcPr>
            <w:tcW w:w="84" w:type="pct"/>
            <w:gridSpan w:val="3"/>
            <w:tcBorders>
              <w:top w:val="nil"/>
              <w:left w:val="nil"/>
              <w:bottom w:val="nil"/>
              <w:right w:val="nil"/>
            </w:tcBorders>
            <w:shd w:val="clear" w:color="auto" w:fill="auto"/>
            <w:noWrap/>
            <w:vAlign w:val="bottom"/>
          </w:tcPr>
          <w:p>
            <w:pPr>
              <w:rPr>
                <w:color w:val="000000"/>
                <w:szCs w:val="24"/>
                <w:lang w:eastAsia="lt-LT"/>
              </w:rPr>
            </w:pPr>
          </w:p>
        </w:tc>
        <w:tc>
          <w:tcPr>
            <w:tcW w:w="234" w:type="pct"/>
            <w:gridSpan w:val="11"/>
            <w:tcBorders>
              <w:top w:val="nil"/>
              <w:left w:val="nil"/>
              <w:bottom w:val="nil"/>
              <w:right w:val="nil"/>
            </w:tcBorders>
            <w:shd w:val="clear" w:color="auto" w:fill="auto"/>
            <w:noWrap/>
            <w:vAlign w:val="bottom"/>
          </w:tcPr>
          <w:p>
            <w:pPr>
              <w:rPr>
                <w:color w:val="000000"/>
                <w:szCs w:val="24"/>
                <w:lang w:eastAsia="lt-LT"/>
              </w:rPr>
            </w:pPr>
          </w:p>
        </w:tc>
        <w:tc>
          <w:tcPr>
            <w:tcW w:w="343" w:type="pct"/>
            <w:gridSpan w:val="10"/>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8" w:type="pct"/>
            <w:gridSpan w:val="12"/>
            <w:tcBorders>
              <w:top w:val="single" w:sz="8" w:space="0" w:color="auto"/>
              <w:left w:val="single" w:sz="8" w:space="0" w:color="auto"/>
              <w:bottom w:val="single" w:sz="4"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70" w:type="pct"/>
            <w:gridSpan w:val="20"/>
            <w:tcBorders>
              <w:top w:val="single" w:sz="8" w:space="0" w:color="auto"/>
              <w:left w:val="nil"/>
              <w:bottom w:val="single" w:sz="4"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10" w:type="pct"/>
            <w:gridSpan w:val="22"/>
            <w:tcBorders>
              <w:top w:val="single" w:sz="8" w:space="0" w:color="auto"/>
              <w:left w:val="nil"/>
              <w:bottom w:val="single" w:sz="4"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946" w:type="pct"/>
            <w:gridSpan w:val="29"/>
            <w:tcBorders>
              <w:top w:val="single" w:sz="8" w:space="0" w:color="auto"/>
              <w:left w:val="nil"/>
              <w:bottom w:val="single" w:sz="4"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91" w:type="pct"/>
            <w:gridSpan w:val="45"/>
            <w:tcBorders>
              <w:top w:val="single" w:sz="8" w:space="0" w:color="auto"/>
              <w:left w:val="nil"/>
              <w:bottom w:val="single" w:sz="4"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4" w:type="pct"/>
            <w:gridSpan w:val="18"/>
            <w:tcBorders>
              <w:top w:val="single" w:sz="8" w:space="0" w:color="auto"/>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8"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2016</w:t>
            </w:r>
          </w:p>
        </w:tc>
        <w:tc>
          <w:tcPr>
            <w:tcW w:w="570" w:type="pct"/>
            <w:gridSpan w:val="20"/>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2017</w:t>
            </w:r>
          </w:p>
        </w:tc>
        <w:tc>
          <w:tcPr>
            <w:tcW w:w="810"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4"/>
                <w:lang w:eastAsia="lt-LT"/>
              </w:rPr>
            </w:pPr>
            <w:r>
              <w:rPr>
                <w:color w:val="000000"/>
                <w:szCs w:val="24"/>
                <w:lang w:eastAsia="lt-LT"/>
              </w:rPr>
              <w:t>KMSA</w:t>
            </w:r>
          </w:p>
        </w:tc>
        <w:tc>
          <w:tcPr>
            <w:tcW w:w="946" w:type="pct"/>
            <w:gridSpan w:val="29"/>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ŠMM</w:t>
            </w:r>
          </w:p>
        </w:tc>
        <w:tc>
          <w:tcPr>
            <w:tcW w:w="1491" w:type="pct"/>
            <w:gridSpan w:val="45"/>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714" w:type="pct"/>
            <w:gridSpan w:val="18"/>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8"/>
          <w:wAfter w:w="337" w:type="pct"/>
          <w:trHeight w:val="20"/>
        </w:trPr>
        <w:tc>
          <w:tcPr>
            <w:tcW w:w="112" w:type="pct"/>
            <w:gridSpan w:val="2"/>
            <w:tcBorders>
              <w:top w:val="single" w:sz="4" w:space="0" w:color="auto"/>
              <w:left w:val="nil"/>
              <w:bottom w:val="nil"/>
              <w:right w:val="nil"/>
            </w:tcBorders>
            <w:shd w:val="clear" w:color="auto" w:fill="auto"/>
            <w:noWrap/>
            <w:vAlign w:val="bottom"/>
          </w:tcPr>
          <w:p>
            <w:pPr>
              <w:rPr>
                <w:color w:val="000000"/>
                <w:szCs w:val="24"/>
                <w:lang w:eastAsia="lt-LT"/>
              </w:rPr>
            </w:pPr>
          </w:p>
        </w:tc>
        <w:tc>
          <w:tcPr>
            <w:tcW w:w="357" w:type="pct"/>
            <w:gridSpan w:val="10"/>
            <w:tcBorders>
              <w:top w:val="single" w:sz="4" w:space="0" w:color="auto"/>
              <w:left w:val="nil"/>
              <w:bottom w:val="nil"/>
              <w:right w:val="nil"/>
            </w:tcBorders>
            <w:shd w:val="clear" w:color="auto" w:fill="auto"/>
            <w:noWrap/>
            <w:vAlign w:val="bottom"/>
          </w:tcPr>
          <w:p>
            <w:pPr>
              <w:rPr>
                <w:color w:val="000000"/>
                <w:szCs w:val="24"/>
                <w:lang w:eastAsia="lt-LT"/>
              </w:rPr>
            </w:pPr>
          </w:p>
        </w:tc>
        <w:tc>
          <w:tcPr>
            <w:tcW w:w="243" w:type="pct"/>
            <w:gridSpan w:val="6"/>
            <w:tcBorders>
              <w:top w:val="single" w:sz="4" w:space="0" w:color="auto"/>
              <w:left w:val="nil"/>
              <w:bottom w:val="nil"/>
              <w:right w:val="nil"/>
            </w:tcBorders>
            <w:shd w:val="clear" w:color="auto" w:fill="auto"/>
            <w:noWrap/>
            <w:vAlign w:val="bottom"/>
          </w:tcPr>
          <w:p>
            <w:pPr>
              <w:rPr>
                <w:color w:val="000000"/>
                <w:szCs w:val="24"/>
                <w:lang w:eastAsia="lt-LT"/>
              </w:rPr>
            </w:pPr>
          </w:p>
        </w:tc>
        <w:tc>
          <w:tcPr>
            <w:tcW w:w="288" w:type="pct"/>
            <w:gridSpan w:val="12"/>
            <w:tcBorders>
              <w:top w:val="single" w:sz="4" w:space="0" w:color="auto"/>
              <w:left w:val="nil"/>
              <w:bottom w:val="nil"/>
              <w:right w:val="nil"/>
            </w:tcBorders>
            <w:shd w:val="clear" w:color="auto" w:fill="auto"/>
            <w:noWrap/>
            <w:vAlign w:val="bottom"/>
          </w:tcPr>
          <w:p>
            <w:pPr>
              <w:rPr>
                <w:color w:val="000000"/>
                <w:szCs w:val="24"/>
                <w:lang w:eastAsia="lt-LT"/>
              </w:rPr>
            </w:pPr>
          </w:p>
        </w:tc>
        <w:tc>
          <w:tcPr>
            <w:tcW w:w="408" w:type="pct"/>
            <w:gridSpan w:val="15"/>
            <w:tcBorders>
              <w:top w:val="single" w:sz="4" w:space="0" w:color="auto"/>
              <w:left w:val="nil"/>
              <w:bottom w:val="nil"/>
              <w:right w:val="nil"/>
            </w:tcBorders>
            <w:shd w:val="clear" w:color="auto" w:fill="auto"/>
            <w:noWrap/>
            <w:vAlign w:val="bottom"/>
          </w:tcPr>
          <w:p>
            <w:pPr>
              <w:rPr>
                <w:color w:val="000000"/>
                <w:szCs w:val="24"/>
                <w:lang w:eastAsia="lt-LT"/>
              </w:rPr>
            </w:pPr>
          </w:p>
        </w:tc>
        <w:tc>
          <w:tcPr>
            <w:tcW w:w="426" w:type="pct"/>
            <w:gridSpan w:val="4"/>
            <w:tcBorders>
              <w:top w:val="single" w:sz="4" w:space="0" w:color="auto"/>
              <w:left w:val="nil"/>
              <w:bottom w:val="nil"/>
              <w:right w:val="nil"/>
            </w:tcBorders>
            <w:shd w:val="clear" w:color="auto" w:fill="auto"/>
            <w:noWrap/>
            <w:vAlign w:val="bottom"/>
          </w:tcPr>
          <w:p>
            <w:pPr>
              <w:rPr>
                <w:color w:val="000000"/>
                <w:szCs w:val="24"/>
                <w:lang w:eastAsia="lt-LT"/>
              </w:rPr>
            </w:pPr>
          </w:p>
        </w:tc>
        <w:tc>
          <w:tcPr>
            <w:tcW w:w="86" w:type="pct"/>
            <w:gridSpan w:val="10"/>
            <w:tcBorders>
              <w:top w:val="single" w:sz="4" w:space="0" w:color="auto"/>
              <w:left w:val="nil"/>
              <w:bottom w:val="nil"/>
              <w:right w:val="nil"/>
            </w:tcBorders>
            <w:shd w:val="clear" w:color="auto" w:fill="auto"/>
            <w:noWrap/>
            <w:vAlign w:val="bottom"/>
          </w:tcPr>
          <w:p>
            <w:pPr>
              <w:rPr>
                <w:color w:val="000000"/>
                <w:szCs w:val="24"/>
                <w:lang w:eastAsia="lt-LT"/>
              </w:rPr>
            </w:pPr>
          </w:p>
        </w:tc>
        <w:tc>
          <w:tcPr>
            <w:tcW w:w="661" w:type="pct"/>
            <w:gridSpan w:val="13"/>
            <w:tcBorders>
              <w:top w:val="single" w:sz="4" w:space="0" w:color="auto"/>
              <w:left w:val="nil"/>
              <w:bottom w:val="nil"/>
              <w:right w:val="nil"/>
            </w:tcBorders>
            <w:shd w:val="clear" w:color="auto" w:fill="auto"/>
            <w:noWrap/>
            <w:vAlign w:val="bottom"/>
          </w:tcPr>
          <w:p>
            <w:pPr>
              <w:rPr>
                <w:color w:val="000000"/>
                <w:szCs w:val="24"/>
                <w:lang w:eastAsia="lt-LT"/>
              </w:rPr>
            </w:pPr>
          </w:p>
        </w:tc>
        <w:tc>
          <w:tcPr>
            <w:tcW w:w="472" w:type="pct"/>
            <w:gridSpan w:val="18"/>
            <w:tcBorders>
              <w:top w:val="single" w:sz="4" w:space="0" w:color="auto"/>
              <w:left w:val="nil"/>
              <w:bottom w:val="nil"/>
              <w:right w:val="nil"/>
            </w:tcBorders>
            <w:shd w:val="clear" w:color="auto" w:fill="auto"/>
            <w:noWrap/>
            <w:vAlign w:val="bottom"/>
          </w:tcPr>
          <w:p>
            <w:pPr>
              <w:rPr>
                <w:color w:val="000000"/>
                <w:szCs w:val="24"/>
                <w:lang w:eastAsia="lt-LT"/>
              </w:rPr>
            </w:pPr>
          </w:p>
        </w:tc>
        <w:tc>
          <w:tcPr>
            <w:tcW w:w="452" w:type="pct"/>
            <w:gridSpan w:val="9"/>
            <w:tcBorders>
              <w:top w:val="single" w:sz="4" w:space="0" w:color="auto"/>
              <w:left w:val="nil"/>
              <w:bottom w:val="nil"/>
              <w:right w:val="nil"/>
            </w:tcBorders>
            <w:shd w:val="clear" w:color="auto" w:fill="auto"/>
            <w:noWrap/>
            <w:vAlign w:val="bottom"/>
          </w:tcPr>
          <w:p>
            <w:pPr>
              <w:rPr>
                <w:color w:val="000000"/>
                <w:szCs w:val="24"/>
                <w:lang w:eastAsia="lt-LT"/>
              </w:rPr>
            </w:pPr>
          </w:p>
        </w:tc>
        <w:tc>
          <w:tcPr>
            <w:tcW w:w="85" w:type="pct"/>
            <w:gridSpan w:val="4"/>
            <w:tcBorders>
              <w:top w:val="single" w:sz="4" w:space="0" w:color="auto"/>
              <w:left w:val="nil"/>
              <w:bottom w:val="nil"/>
              <w:right w:val="nil"/>
            </w:tcBorders>
            <w:shd w:val="clear" w:color="auto" w:fill="auto"/>
            <w:noWrap/>
            <w:vAlign w:val="bottom"/>
          </w:tcPr>
          <w:p>
            <w:pPr>
              <w:rPr>
                <w:color w:val="000000"/>
                <w:szCs w:val="24"/>
                <w:lang w:eastAsia="lt-LT"/>
              </w:rPr>
            </w:pPr>
          </w:p>
        </w:tc>
        <w:tc>
          <w:tcPr>
            <w:tcW w:w="506" w:type="pct"/>
            <w:gridSpan w:val="17"/>
            <w:tcBorders>
              <w:top w:val="single" w:sz="4" w:space="0" w:color="auto"/>
              <w:left w:val="nil"/>
              <w:bottom w:val="nil"/>
              <w:right w:val="nil"/>
            </w:tcBorders>
            <w:shd w:val="clear" w:color="auto" w:fill="auto"/>
            <w:noWrap/>
            <w:vAlign w:val="bottom"/>
          </w:tcPr>
          <w:p>
            <w:pPr>
              <w:rPr>
                <w:color w:val="000000"/>
                <w:szCs w:val="24"/>
                <w:lang w:eastAsia="lt-LT"/>
              </w:rPr>
            </w:pPr>
          </w:p>
        </w:tc>
        <w:tc>
          <w:tcPr>
            <w:tcW w:w="87" w:type="pct"/>
            <w:gridSpan w:val="4"/>
            <w:tcBorders>
              <w:top w:val="single" w:sz="4" w:space="0" w:color="auto"/>
              <w:left w:val="nil"/>
              <w:bottom w:val="nil"/>
              <w:right w:val="nil"/>
            </w:tcBorders>
            <w:shd w:val="clear" w:color="auto" w:fill="auto"/>
            <w:noWrap/>
            <w:vAlign w:val="bottom"/>
          </w:tcPr>
          <w:p>
            <w:pPr>
              <w:rPr>
                <w:color w:val="000000"/>
                <w:szCs w:val="24"/>
                <w:lang w:eastAsia="lt-LT"/>
              </w:rPr>
            </w:pPr>
          </w:p>
        </w:tc>
        <w:tc>
          <w:tcPr>
            <w:tcW w:w="482" w:type="pct"/>
            <w:gridSpan w:val="14"/>
            <w:tcBorders>
              <w:top w:val="single" w:sz="4" w:space="0" w:color="auto"/>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2"/>
            <w:tcBorders>
              <w:top w:val="nil"/>
              <w:left w:val="nil"/>
              <w:bottom w:val="nil"/>
              <w:right w:val="nil"/>
            </w:tcBorders>
            <w:shd w:val="clear" w:color="auto" w:fill="auto"/>
            <w:noWrap/>
            <w:vAlign w:val="bottom"/>
          </w:tcPr>
          <w:p>
            <w:pPr>
              <w:rPr>
                <w:color w:val="000000"/>
                <w:szCs w:val="24"/>
                <w:lang w:eastAsia="lt-LT"/>
              </w:rPr>
            </w:pPr>
          </w:p>
        </w:tc>
        <w:tc>
          <w:tcPr>
            <w:tcW w:w="4155" w:type="pct"/>
            <w:gridSpan w:val="1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1.2.3v Veiksmo lėšų poreikis ir finansavimo šaltiniai:</w:t>
            </w:r>
          </w:p>
        </w:tc>
        <w:tc>
          <w:tcPr>
            <w:tcW w:w="734" w:type="pct"/>
            <w:gridSpan w:val="20"/>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7" w:type="pct"/>
            <w:gridSpan w:val="11"/>
            <w:tcBorders>
              <w:top w:val="nil"/>
              <w:left w:val="nil"/>
              <w:bottom w:val="nil"/>
              <w:right w:val="nil"/>
            </w:tcBorders>
            <w:shd w:val="clear" w:color="auto" w:fill="auto"/>
            <w:noWrap/>
            <w:vAlign w:val="bottom"/>
          </w:tcPr>
          <w:p>
            <w:pPr>
              <w:rPr>
                <w:color w:val="000000"/>
                <w:szCs w:val="24"/>
                <w:lang w:eastAsia="lt-LT"/>
              </w:rPr>
            </w:pPr>
          </w:p>
        </w:tc>
        <w:tc>
          <w:tcPr>
            <w:tcW w:w="391"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9" w:type="pct"/>
            <w:gridSpan w:val="11"/>
            <w:tcBorders>
              <w:top w:val="nil"/>
              <w:left w:val="nil"/>
              <w:bottom w:val="nil"/>
              <w:right w:val="nil"/>
            </w:tcBorders>
            <w:shd w:val="clear" w:color="auto" w:fill="auto"/>
            <w:noWrap/>
            <w:vAlign w:val="bottom"/>
          </w:tcPr>
          <w:p>
            <w:pPr>
              <w:rPr>
                <w:color w:val="000000"/>
                <w:szCs w:val="24"/>
                <w:lang w:eastAsia="lt-LT"/>
              </w:rPr>
            </w:pPr>
          </w:p>
        </w:tc>
        <w:tc>
          <w:tcPr>
            <w:tcW w:w="641" w:type="pct"/>
            <w:gridSpan w:val="10"/>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399" w:type="pct"/>
            <w:gridSpan w:val="14"/>
            <w:tcBorders>
              <w:top w:val="nil"/>
              <w:left w:val="nil"/>
              <w:bottom w:val="nil"/>
              <w:right w:val="nil"/>
            </w:tcBorders>
            <w:shd w:val="clear" w:color="auto" w:fill="auto"/>
            <w:noWrap/>
            <w:vAlign w:val="bottom"/>
          </w:tcPr>
          <w:p>
            <w:pPr>
              <w:rPr>
                <w:color w:val="000000"/>
                <w:szCs w:val="24"/>
                <w:lang w:eastAsia="lt-LT"/>
              </w:rPr>
            </w:pPr>
          </w:p>
        </w:tc>
        <w:tc>
          <w:tcPr>
            <w:tcW w:w="514" w:type="pct"/>
            <w:gridSpan w:val="14"/>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41 059</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6 159</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6 159</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34 900</w:t>
            </w:r>
          </w:p>
        </w:tc>
      </w:tr>
      <w:tr>
        <w:trPr>
          <w:trHeight w:val="603"/>
        </w:trPr>
        <w:tc>
          <w:tcPr>
            <w:tcW w:w="112" w:type="pct"/>
            <w:gridSpan w:val="3"/>
            <w:tcBorders>
              <w:top w:val="nil"/>
              <w:left w:val="nil"/>
              <w:bottom w:val="nil"/>
              <w:right w:val="nil"/>
            </w:tcBorders>
            <w:shd w:val="clear" w:color="auto" w:fill="auto"/>
            <w:noWrap/>
            <w:vAlign w:val="bottom"/>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1.2.4v veiksmas: Aleksoto ikimokyklinio ir priešmokyklinio ugdymo įstaigų modernizavimas didinant paslaugų prieinamumą</w:t>
            </w:r>
            <w:r>
              <w:rPr>
                <w:bCs/>
                <w:color w:val="000000"/>
                <w:szCs w:val="24"/>
                <w:lang w:eastAsia="lt-LT"/>
              </w:rPr>
              <w:t xml:space="preserve"> (Kauno Aleksoto lopšelis-darželis, Kauno lopšelis-darželis „Boružėlė“, Kauno Tirkiliškių lopšelis-darželis, Kauno Tirkiliškių mokykla – darželis)</w:t>
            </w:r>
          </w:p>
        </w:tc>
      </w:tr>
      <w:tr>
        <w:trPr>
          <w:gridAfter w:val="2"/>
          <w:wAfter w:w="202" w:type="pct"/>
          <w:trHeight w:val="20"/>
        </w:trPr>
        <w:tc>
          <w:tcPr>
            <w:tcW w:w="470" w:type="pct"/>
            <w:gridSpan w:val="11"/>
            <w:tcBorders>
              <w:top w:val="nil"/>
              <w:left w:val="nil"/>
              <w:bottom w:val="single" w:sz="8" w:space="0" w:color="auto"/>
              <w:right w:val="nil"/>
            </w:tcBorders>
            <w:shd w:val="clear" w:color="auto" w:fill="auto"/>
            <w:noWrap/>
            <w:vAlign w:val="bottom"/>
          </w:tcPr>
          <w:p>
            <w:pPr>
              <w:rPr>
                <w:color w:val="000000"/>
                <w:szCs w:val="24"/>
                <w:lang w:eastAsia="lt-LT"/>
              </w:rPr>
            </w:pPr>
          </w:p>
        </w:tc>
        <w:tc>
          <w:tcPr>
            <w:tcW w:w="83" w:type="pct"/>
            <w:gridSpan w:val="2"/>
            <w:tcBorders>
              <w:top w:val="nil"/>
              <w:left w:val="nil"/>
              <w:bottom w:val="nil"/>
              <w:right w:val="nil"/>
            </w:tcBorders>
            <w:shd w:val="clear" w:color="auto" w:fill="auto"/>
            <w:noWrap/>
            <w:vAlign w:val="bottom"/>
          </w:tcPr>
          <w:p>
            <w:pPr>
              <w:rPr>
                <w:color w:val="000000"/>
                <w:szCs w:val="24"/>
                <w:lang w:eastAsia="lt-LT"/>
              </w:rPr>
            </w:pPr>
          </w:p>
        </w:tc>
        <w:tc>
          <w:tcPr>
            <w:tcW w:w="391" w:type="pct"/>
            <w:gridSpan w:val="14"/>
            <w:tcBorders>
              <w:top w:val="nil"/>
              <w:left w:val="nil"/>
              <w:bottom w:val="nil"/>
              <w:right w:val="nil"/>
            </w:tcBorders>
            <w:shd w:val="clear" w:color="auto" w:fill="auto"/>
            <w:noWrap/>
            <w:vAlign w:val="bottom"/>
          </w:tcPr>
          <w:p>
            <w:pPr>
              <w:rPr>
                <w:color w:val="000000"/>
                <w:szCs w:val="24"/>
                <w:lang w:eastAsia="lt-LT"/>
              </w:rPr>
            </w:pPr>
          </w:p>
        </w:tc>
        <w:tc>
          <w:tcPr>
            <w:tcW w:w="209" w:type="pct"/>
            <w:gridSpan w:val="9"/>
            <w:tcBorders>
              <w:top w:val="nil"/>
              <w:left w:val="nil"/>
              <w:bottom w:val="nil"/>
              <w:right w:val="nil"/>
            </w:tcBorders>
            <w:shd w:val="clear" w:color="auto" w:fill="auto"/>
            <w:noWrap/>
            <w:vAlign w:val="bottom"/>
          </w:tcPr>
          <w:p>
            <w:pPr>
              <w:rPr>
                <w:color w:val="000000"/>
                <w:szCs w:val="24"/>
                <w:lang w:eastAsia="lt-LT"/>
              </w:rPr>
            </w:pPr>
          </w:p>
        </w:tc>
        <w:tc>
          <w:tcPr>
            <w:tcW w:w="289" w:type="pct"/>
            <w:gridSpan w:val="10"/>
            <w:tcBorders>
              <w:top w:val="nil"/>
              <w:left w:val="nil"/>
              <w:bottom w:val="nil"/>
              <w:right w:val="nil"/>
            </w:tcBorders>
            <w:shd w:val="clear" w:color="auto" w:fill="auto"/>
            <w:noWrap/>
            <w:vAlign w:val="bottom"/>
          </w:tcPr>
          <w:p>
            <w:pPr>
              <w:rPr>
                <w:color w:val="000000"/>
                <w:szCs w:val="24"/>
                <w:lang w:eastAsia="lt-LT"/>
              </w:rPr>
            </w:pPr>
          </w:p>
        </w:tc>
        <w:tc>
          <w:tcPr>
            <w:tcW w:w="447" w:type="pct"/>
            <w:gridSpan w:val="12"/>
            <w:tcBorders>
              <w:top w:val="nil"/>
              <w:left w:val="nil"/>
              <w:bottom w:val="nil"/>
              <w:right w:val="nil"/>
            </w:tcBorders>
            <w:shd w:val="clear" w:color="auto" w:fill="auto"/>
            <w:noWrap/>
            <w:vAlign w:val="bottom"/>
          </w:tcPr>
          <w:p>
            <w:pPr>
              <w:rPr>
                <w:color w:val="000000"/>
                <w:szCs w:val="24"/>
                <w:lang w:eastAsia="lt-LT"/>
              </w:rPr>
            </w:pPr>
          </w:p>
        </w:tc>
        <w:tc>
          <w:tcPr>
            <w:tcW w:w="171" w:type="pct"/>
            <w:gridSpan w:val="6"/>
            <w:tcBorders>
              <w:top w:val="nil"/>
              <w:left w:val="nil"/>
              <w:bottom w:val="nil"/>
              <w:right w:val="nil"/>
            </w:tcBorders>
            <w:shd w:val="clear" w:color="auto" w:fill="auto"/>
            <w:noWrap/>
            <w:vAlign w:val="bottom"/>
          </w:tcPr>
          <w:p>
            <w:pPr>
              <w:rPr>
                <w:color w:val="000000"/>
                <w:szCs w:val="24"/>
                <w:lang w:eastAsia="lt-LT"/>
              </w:rPr>
            </w:pPr>
          </w:p>
        </w:tc>
        <w:tc>
          <w:tcPr>
            <w:tcW w:w="583" w:type="pct"/>
            <w:gridSpan w:val="9"/>
            <w:tcBorders>
              <w:top w:val="nil"/>
              <w:left w:val="nil"/>
              <w:bottom w:val="nil"/>
              <w:right w:val="nil"/>
            </w:tcBorders>
            <w:shd w:val="clear" w:color="auto" w:fill="auto"/>
            <w:noWrap/>
            <w:vAlign w:val="bottom"/>
          </w:tcPr>
          <w:p>
            <w:pPr>
              <w:rPr>
                <w:color w:val="000000"/>
                <w:szCs w:val="24"/>
                <w:lang w:eastAsia="lt-LT"/>
              </w:rPr>
            </w:pPr>
          </w:p>
        </w:tc>
        <w:tc>
          <w:tcPr>
            <w:tcW w:w="279" w:type="pct"/>
            <w:gridSpan w:val="11"/>
            <w:tcBorders>
              <w:top w:val="nil"/>
              <w:left w:val="nil"/>
              <w:bottom w:val="nil"/>
              <w:right w:val="nil"/>
            </w:tcBorders>
            <w:shd w:val="clear" w:color="auto" w:fill="auto"/>
            <w:noWrap/>
            <w:vAlign w:val="bottom"/>
          </w:tcPr>
          <w:p>
            <w:pPr>
              <w:rPr>
                <w:color w:val="000000"/>
                <w:szCs w:val="24"/>
                <w:lang w:eastAsia="lt-LT"/>
              </w:rPr>
            </w:pPr>
          </w:p>
        </w:tc>
        <w:tc>
          <w:tcPr>
            <w:tcW w:w="621" w:type="pct"/>
            <w:gridSpan w:val="16"/>
            <w:tcBorders>
              <w:top w:val="nil"/>
              <w:left w:val="nil"/>
              <w:bottom w:val="nil"/>
              <w:right w:val="nil"/>
            </w:tcBorders>
            <w:shd w:val="clear" w:color="auto" w:fill="auto"/>
            <w:noWrap/>
            <w:vAlign w:val="bottom"/>
          </w:tcPr>
          <w:p>
            <w:pPr>
              <w:rPr>
                <w:color w:val="000000"/>
                <w:szCs w:val="24"/>
                <w:lang w:eastAsia="lt-LT"/>
              </w:rPr>
            </w:pPr>
          </w:p>
        </w:tc>
        <w:tc>
          <w:tcPr>
            <w:tcW w:w="84" w:type="pct"/>
            <w:gridSpan w:val="4"/>
            <w:tcBorders>
              <w:top w:val="nil"/>
              <w:left w:val="nil"/>
              <w:bottom w:val="nil"/>
              <w:right w:val="nil"/>
            </w:tcBorders>
            <w:shd w:val="clear" w:color="auto" w:fill="auto"/>
            <w:noWrap/>
            <w:vAlign w:val="bottom"/>
          </w:tcPr>
          <w:p>
            <w:pPr>
              <w:rPr>
                <w:color w:val="000000"/>
                <w:szCs w:val="24"/>
                <w:lang w:eastAsia="lt-LT"/>
              </w:rPr>
            </w:pPr>
          </w:p>
        </w:tc>
        <w:tc>
          <w:tcPr>
            <w:tcW w:w="267" w:type="pct"/>
            <w:gridSpan w:val="6"/>
            <w:tcBorders>
              <w:top w:val="nil"/>
              <w:left w:val="nil"/>
              <w:bottom w:val="nil"/>
              <w:right w:val="nil"/>
            </w:tcBorders>
            <w:shd w:val="clear" w:color="auto" w:fill="auto"/>
            <w:noWrap/>
            <w:vAlign w:val="bottom"/>
          </w:tcPr>
          <w:p>
            <w:pPr>
              <w:rPr>
                <w:color w:val="000000"/>
                <w:szCs w:val="24"/>
                <w:lang w:eastAsia="lt-LT"/>
              </w:rPr>
            </w:pPr>
          </w:p>
        </w:tc>
        <w:tc>
          <w:tcPr>
            <w:tcW w:w="238" w:type="pct"/>
            <w:gridSpan w:val="11"/>
            <w:tcBorders>
              <w:top w:val="nil"/>
              <w:left w:val="nil"/>
              <w:bottom w:val="nil"/>
              <w:right w:val="nil"/>
            </w:tcBorders>
            <w:shd w:val="clear" w:color="auto" w:fill="auto"/>
            <w:noWrap/>
            <w:vAlign w:val="bottom"/>
          </w:tcPr>
          <w:p>
            <w:pPr>
              <w:rPr>
                <w:color w:val="000000"/>
                <w:szCs w:val="24"/>
                <w:lang w:eastAsia="lt-LT"/>
              </w:rPr>
            </w:pPr>
          </w:p>
        </w:tc>
        <w:tc>
          <w:tcPr>
            <w:tcW w:w="664" w:type="pct"/>
            <w:gridSpan w:val="2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ŠMM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1.2.4v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634 036</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47 553</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47 553</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47 553</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47 553</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538 930</w:t>
            </w:r>
          </w:p>
        </w:tc>
      </w:tr>
      <w:tr>
        <w:trPr>
          <w:trHeight w:val="20"/>
        </w:trPr>
        <w:tc>
          <w:tcPr>
            <w:tcW w:w="112" w:type="pct"/>
            <w:gridSpan w:val="3"/>
            <w:tcBorders>
              <w:top w:val="single" w:sz="8" w:space="0" w:color="auto"/>
              <w:left w:val="nil"/>
              <w:bottom w:val="nil"/>
              <w:right w:val="nil"/>
            </w:tcBorders>
            <w:shd w:val="clear" w:color="auto" w:fill="auto"/>
            <w:noWrap/>
            <w:vAlign w:val="center"/>
          </w:tcPr>
          <w:p>
            <w:pPr>
              <w:rPr>
                <w:color w:val="000000"/>
                <w:szCs w:val="24"/>
                <w:lang w:eastAsia="lt-LT"/>
              </w:rPr>
            </w:pPr>
          </w:p>
        </w:tc>
        <w:tc>
          <w:tcPr>
            <w:tcW w:w="4880" w:type="pct"/>
            <w:gridSpan w:val="143"/>
            <w:tcBorders>
              <w:top w:val="single" w:sz="8" w:space="0" w:color="auto"/>
              <w:left w:val="nil"/>
              <w:bottom w:val="nil"/>
              <w:right w:val="nil"/>
            </w:tcBorders>
            <w:shd w:val="clear" w:color="auto" w:fill="auto"/>
            <w:vAlign w:val="center"/>
          </w:tcPr>
          <w:p>
            <w:pPr>
              <w:rPr>
                <w:b/>
                <w:bCs/>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1.2.5v veiksmas: Aleksoto bendrojo ugdymo įstaigų modernizavimas didinant paslaugų efektyvumą </w:t>
            </w:r>
            <w:r>
              <w:rPr>
                <w:bCs/>
                <w:color w:val="000000"/>
                <w:szCs w:val="24"/>
                <w:lang w:eastAsia="lt-LT"/>
              </w:rPr>
              <w:t>(Kauno Šv. Pranciškaus gimnazija, Kauno J. Dobkevičiaus progimnazija)</w:t>
            </w: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ŠMM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1.2.5v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812 882</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60 966</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60 966</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60 966</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60 966</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690 950</w:t>
            </w: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1.2.6v veiksmas: Susietos teritorijos (centro) įstaigų modernizavimas plėtojant vaikų ir jaunimo neformalaus ugdymo galimybes</w:t>
            </w:r>
            <w:r>
              <w:rPr>
                <w:bCs/>
                <w:color w:val="000000"/>
                <w:szCs w:val="24"/>
                <w:lang w:eastAsia="lt-LT"/>
              </w:rPr>
              <w:t xml:space="preserve"> (Kauno moksleivių techninės kūrybos centro pastato ir jo mokymo bazės modernizavimas)</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ŠMM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1.2.6v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41 059</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6 159</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6 159</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34 900</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1.2.7v veiksmas: Kauno žiemos sporto mokyklos „Baltų Ainiai“ pritaikymas bendruomenės ir miesto gyventojų aktyviam laisvalaikio užimtumui </w:t>
            </w: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 Žiemos sporto mokyklos „Baltų Ainiai“</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ŠMM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1.2.7v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1 981 251</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114 310</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114 310</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1 219 185</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647 756</w:t>
            </w:r>
          </w:p>
        </w:tc>
      </w:tr>
      <w:tr>
        <w:trPr>
          <w:gridAfter w:val="2"/>
          <w:wAfter w:w="202" w:type="pct"/>
          <w:trHeight w:val="20"/>
        </w:trPr>
        <w:tc>
          <w:tcPr>
            <w:tcW w:w="319" w:type="pct"/>
            <w:gridSpan w:val="7"/>
            <w:tcBorders>
              <w:top w:val="nil"/>
              <w:left w:val="nil"/>
              <w:bottom w:val="nil"/>
              <w:right w:val="nil"/>
            </w:tcBorders>
            <w:shd w:val="clear" w:color="auto" w:fill="auto"/>
            <w:noWrap/>
            <w:vAlign w:val="center"/>
          </w:tcPr>
          <w:p>
            <w:pPr>
              <w:jc w:val="right"/>
              <w:rPr>
                <w:color w:val="000000"/>
                <w:szCs w:val="24"/>
                <w:lang w:eastAsia="lt-LT"/>
              </w:rPr>
            </w:pPr>
          </w:p>
        </w:tc>
        <w:tc>
          <w:tcPr>
            <w:tcW w:w="151" w:type="pct"/>
            <w:gridSpan w:val="4"/>
            <w:tcBorders>
              <w:top w:val="nil"/>
              <w:left w:val="nil"/>
              <w:bottom w:val="nil"/>
              <w:right w:val="nil"/>
            </w:tcBorders>
            <w:shd w:val="clear" w:color="auto" w:fill="auto"/>
            <w:noWrap/>
            <w:vAlign w:val="center"/>
          </w:tcPr>
          <w:p>
            <w:pPr>
              <w:jc w:val="right"/>
              <w:rPr>
                <w:color w:val="000000"/>
                <w:szCs w:val="24"/>
                <w:lang w:eastAsia="lt-LT"/>
              </w:rPr>
            </w:pPr>
          </w:p>
        </w:tc>
        <w:tc>
          <w:tcPr>
            <w:tcW w:w="83"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210" w:type="pct"/>
            <w:gridSpan w:val="7"/>
            <w:tcBorders>
              <w:top w:val="nil"/>
              <w:left w:val="nil"/>
              <w:bottom w:val="nil"/>
              <w:right w:val="nil"/>
            </w:tcBorders>
            <w:shd w:val="clear" w:color="auto" w:fill="auto"/>
            <w:noWrap/>
            <w:vAlign w:val="center"/>
          </w:tcPr>
          <w:p>
            <w:pPr>
              <w:jc w:val="right"/>
              <w:rPr>
                <w:color w:val="000000"/>
                <w:szCs w:val="24"/>
                <w:lang w:eastAsia="lt-LT"/>
              </w:rPr>
            </w:pPr>
          </w:p>
        </w:tc>
        <w:tc>
          <w:tcPr>
            <w:tcW w:w="374" w:type="pct"/>
            <w:gridSpan w:val="14"/>
            <w:tcBorders>
              <w:top w:val="nil"/>
              <w:left w:val="nil"/>
              <w:bottom w:val="nil"/>
              <w:right w:val="nil"/>
            </w:tcBorders>
            <w:shd w:val="clear" w:color="auto" w:fill="auto"/>
            <w:noWrap/>
            <w:vAlign w:val="center"/>
          </w:tcPr>
          <w:p>
            <w:pPr>
              <w:jc w:val="right"/>
              <w:rPr>
                <w:color w:val="000000"/>
                <w:szCs w:val="24"/>
                <w:lang w:eastAsia="lt-LT"/>
              </w:rPr>
            </w:pPr>
          </w:p>
        </w:tc>
        <w:tc>
          <w:tcPr>
            <w:tcW w:w="85" w:type="pct"/>
            <w:gridSpan w:val="5"/>
            <w:tcBorders>
              <w:top w:val="nil"/>
              <w:left w:val="nil"/>
              <w:bottom w:val="nil"/>
              <w:right w:val="nil"/>
            </w:tcBorders>
            <w:shd w:val="clear" w:color="auto" w:fill="auto"/>
            <w:noWrap/>
            <w:vAlign w:val="center"/>
          </w:tcPr>
          <w:p>
            <w:pPr>
              <w:jc w:val="right"/>
              <w:rPr>
                <w:color w:val="000000"/>
                <w:szCs w:val="24"/>
                <w:lang w:eastAsia="lt-LT"/>
              </w:rPr>
            </w:pPr>
          </w:p>
        </w:tc>
        <w:tc>
          <w:tcPr>
            <w:tcW w:w="640" w:type="pct"/>
            <w:gridSpan w:val="14"/>
            <w:tcBorders>
              <w:top w:val="nil"/>
              <w:left w:val="nil"/>
              <w:bottom w:val="nil"/>
              <w:right w:val="nil"/>
            </w:tcBorders>
            <w:shd w:val="clear" w:color="auto" w:fill="auto"/>
            <w:noWrap/>
            <w:vAlign w:val="center"/>
          </w:tcPr>
          <w:p>
            <w:pPr>
              <w:jc w:val="right"/>
              <w:rPr>
                <w:color w:val="000000"/>
                <w:szCs w:val="24"/>
                <w:lang w:eastAsia="lt-LT"/>
              </w:rPr>
            </w:pPr>
          </w:p>
        </w:tc>
        <w:tc>
          <w:tcPr>
            <w:tcW w:w="407" w:type="pct"/>
            <w:gridSpan w:val="16"/>
            <w:tcBorders>
              <w:top w:val="nil"/>
              <w:left w:val="nil"/>
              <w:bottom w:val="nil"/>
              <w:right w:val="nil"/>
            </w:tcBorders>
            <w:shd w:val="clear" w:color="auto" w:fill="auto"/>
            <w:noWrap/>
            <w:vAlign w:val="center"/>
          </w:tcPr>
          <w:p>
            <w:pPr>
              <w:jc w:val="right"/>
              <w:rPr>
                <w:color w:val="000000"/>
                <w:szCs w:val="24"/>
                <w:lang w:eastAsia="lt-LT"/>
              </w:rPr>
            </w:pPr>
          </w:p>
        </w:tc>
        <w:tc>
          <w:tcPr>
            <w:tcW w:w="314"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150" w:type="pct"/>
            <w:gridSpan w:val="5"/>
            <w:tcBorders>
              <w:top w:val="nil"/>
              <w:left w:val="nil"/>
              <w:bottom w:val="nil"/>
              <w:right w:val="nil"/>
            </w:tcBorders>
            <w:shd w:val="clear" w:color="auto" w:fill="auto"/>
            <w:noWrap/>
            <w:vAlign w:val="center"/>
          </w:tcPr>
          <w:p>
            <w:pPr>
              <w:jc w:val="right"/>
              <w:rPr>
                <w:color w:val="000000"/>
                <w:szCs w:val="24"/>
                <w:lang w:eastAsia="lt-LT"/>
              </w:rPr>
            </w:pPr>
          </w:p>
        </w:tc>
        <w:tc>
          <w:tcPr>
            <w:tcW w:w="788" w:type="pct"/>
            <w:gridSpan w:val="22"/>
            <w:tcBorders>
              <w:top w:val="nil"/>
              <w:left w:val="nil"/>
              <w:bottom w:val="nil"/>
              <w:right w:val="nil"/>
            </w:tcBorders>
            <w:shd w:val="clear" w:color="auto" w:fill="auto"/>
            <w:noWrap/>
            <w:vAlign w:val="center"/>
          </w:tcPr>
          <w:p>
            <w:pPr>
              <w:jc w:val="right"/>
              <w:rPr>
                <w:color w:val="000000"/>
                <w:szCs w:val="24"/>
                <w:lang w:eastAsia="lt-LT"/>
              </w:rPr>
            </w:pPr>
          </w:p>
        </w:tc>
        <w:tc>
          <w:tcPr>
            <w:tcW w:w="85" w:type="pct"/>
            <w:gridSpan w:val="4"/>
            <w:tcBorders>
              <w:top w:val="nil"/>
              <w:left w:val="nil"/>
              <w:bottom w:val="nil"/>
              <w:right w:val="nil"/>
            </w:tcBorders>
            <w:shd w:val="clear" w:color="auto" w:fill="auto"/>
            <w:noWrap/>
            <w:vAlign w:val="center"/>
          </w:tcPr>
          <w:p>
            <w:pPr>
              <w:jc w:val="right"/>
              <w:rPr>
                <w:color w:val="000000"/>
                <w:szCs w:val="24"/>
                <w:lang w:eastAsia="lt-LT"/>
              </w:rPr>
            </w:pPr>
          </w:p>
        </w:tc>
        <w:tc>
          <w:tcPr>
            <w:tcW w:w="465" w:type="pct"/>
            <w:gridSpan w:val="14"/>
            <w:tcBorders>
              <w:top w:val="nil"/>
              <w:left w:val="nil"/>
              <w:bottom w:val="nil"/>
              <w:right w:val="nil"/>
            </w:tcBorders>
            <w:shd w:val="clear" w:color="auto" w:fill="auto"/>
            <w:noWrap/>
            <w:vAlign w:val="center"/>
          </w:tcPr>
          <w:p>
            <w:pPr>
              <w:jc w:val="right"/>
              <w:rPr>
                <w:color w:val="000000"/>
                <w:szCs w:val="24"/>
                <w:lang w:eastAsia="lt-LT"/>
              </w:rPr>
            </w:pPr>
          </w:p>
        </w:tc>
        <w:tc>
          <w:tcPr>
            <w:tcW w:w="84" w:type="pct"/>
            <w:gridSpan w:val="7"/>
            <w:tcBorders>
              <w:top w:val="nil"/>
              <w:left w:val="nil"/>
              <w:bottom w:val="nil"/>
              <w:right w:val="nil"/>
            </w:tcBorders>
            <w:shd w:val="clear" w:color="auto" w:fill="auto"/>
            <w:noWrap/>
            <w:vAlign w:val="center"/>
          </w:tcPr>
          <w:p>
            <w:pPr>
              <w:jc w:val="right"/>
              <w:rPr>
                <w:color w:val="000000"/>
                <w:szCs w:val="24"/>
                <w:lang w:eastAsia="lt-LT"/>
              </w:rPr>
            </w:pPr>
          </w:p>
        </w:tc>
        <w:tc>
          <w:tcPr>
            <w:tcW w:w="557" w:type="pct"/>
            <w:gridSpan w:val="18"/>
            <w:tcBorders>
              <w:top w:val="nil"/>
              <w:left w:val="nil"/>
              <w:bottom w:val="nil"/>
              <w:right w:val="nil"/>
            </w:tcBorders>
            <w:shd w:val="clear" w:color="auto" w:fill="auto"/>
            <w:noWrap/>
            <w:vAlign w:val="center"/>
          </w:tcPr>
          <w:p>
            <w:pPr>
              <w:jc w:val="right"/>
              <w:rPr>
                <w:color w:val="000000"/>
                <w:szCs w:val="24"/>
                <w:lang w:eastAsia="lt-LT"/>
              </w:rPr>
            </w:pPr>
          </w:p>
        </w:tc>
        <w:tc>
          <w:tcPr>
            <w:tcW w:w="86" w:type="pct"/>
            <w:gridSpan w:val="3"/>
            <w:tcBorders>
              <w:top w:val="nil"/>
              <w:left w:val="nil"/>
              <w:bottom w:val="nil"/>
              <w:right w:val="nil"/>
            </w:tcBorders>
            <w:shd w:val="clear" w:color="auto" w:fill="auto"/>
            <w:noWrap/>
            <w:vAlign w:val="center"/>
          </w:tcPr>
          <w:p>
            <w:pPr>
              <w:jc w:val="right"/>
              <w:rPr>
                <w:color w:val="000000"/>
                <w:szCs w:val="24"/>
                <w:lang w:eastAsia="lt-LT"/>
              </w:rPr>
            </w:pPr>
          </w:p>
        </w:tc>
      </w:tr>
      <w:tr>
        <w:trPr>
          <w:trHeight w:val="20"/>
        </w:trPr>
        <w:tc>
          <w:tcPr>
            <w:tcW w:w="83" w:type="pct"/>
            <w:tcBorders>
              <w:top w:val="nil"/>
              <w:left w:val="nil"/>
              <w:bottom w:val="nil"/>
              <w:right w:val="nil"/>
            </w:tcBorders>
            <w:shd w:val="clear" w:color="auto" w:fill="auto"/>
            <w:noWrap/>
            <w:vAlign w:val="bottom"/>
          </w:tcPr>
          <w:p>
            <w:pPr>
              <w:rPr>
                <w:color w:val="000000"/>
                <w:szCs w:val="24"/>
                <w:lang w:eastAsia="lt-LT"/>
              </w:rPr>
            </w:pPr>
          </w:p>
        </w:tc>
        <w:tc>
          <w:tcPr>
            <w:tcW w:w="4908" w:type="pct"/>
            <w:gridSpan w:val="145"/>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 2.8v veiksmas: Neries upės kairiajame kranto šlaite buitinių nuotekų kanalizacijos tinklų plėtra </w:t>
            </w:r>
            <w:r>
              <w:rPr>
                <w:bCs/>
                <w:color w:val="000000"/>
                <w:szCs w:val="24"/>
                <w:lang w:eastAsia="lt-LT"/>
              </w:rPr>
              <w:t>(Širvintų 2 takas, Puntuko g., Žemaičių g. nuo Nr. 118 iki Nr. 128 ir nuo Nr. 151 iki Nr. 172, Vyšnių g., Ievų takas, Algirdo g. nuo Nr. 4 iki Nr. 52, Tvirtovės alėja nuo Savanorių pr. iki Nr. 35, Kalniečių g. nuo A. Kačanausko g. iki Tvirtovės al., Kalniečių g. nuo Nr. 90 iki Tvirtovės al., Varėnos, Obuolių g., Limos takas, Tvirtovės al. (tarp Nuokalnės g. ir Savanorių pr.), Radvilėnų pl. (nuo Nr. 14 iki J. Basanavičiaus al.), Lašo g., Iniciatorių g., Purienų g. (nuo Kalniečių g. iki S. Lozoraičio g.), Gerviečių g., Jaunimo a.) Biržų g., Kapsų g.)</w:t>
            </w: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UAB „Kauno vandenys“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5.3.2. Padidinti vandens tiekimo ir nuotekų tvarkymo paslaugų prieinamumą ir sistemos efektyvumą</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1.2.8v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755 950</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377 975</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377 975</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377 975</w:t>
            </w: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p>
            <w:pPr>
              <w:rPr>
                <w:color w:val="000000"/>
                <w:szCs w:val="24"/>
                <w:lang w:eastAsia="lt-LT"/>
              </w:rPr>
            </w:pPr>
          </w:p>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1.2.9v veiksmas: Neries upės kairiajame kranto šlaite esančių buitinių nuotekų tinklų rekonstrukcija </w:t>
            </w:r>
            <w:r>
              <w:rPr>
                <w:bCs/>
                <w:color w:val="000000"/>
                <w:szCs w:val="24"/>
                <w:u w:val="single"/>
                <w:lang w:eastAsia="lt-LT"/>
              </w:rPr>
              <w:t>(</w:t>
            </w:r>
            <w:r>
              <w:rPr>
                <w:bCs/>
                <w:color w:val="000000"/>
                <w:szCs w:val="24"/>
                <w:lang w:eastAsia="lt-LT"/>
              </w:rPr>
              <w:t>Anykščių g. (nuo Nr. 14 iki Zanavykų g.); Kapsų g.(nuo Rokiškio g. iki Zanavykų g.); Zarasų g. (nuo Nr. 24a iki Žemaičių g.); Zanavykų g. (nuo Anykščių g. iki Nr. 47 ir nuo Nr. 47 iki Jonavos g.); Darbininkų g. (nuo Zanavykų g. iki P. Dovydaičio g.)</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UAB „Kauno vandenys“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5.3.2. Padidinti vandens tiekimo ir nuotekų tvarkymo paslaugų prieinamumą ir sistemos efektyvumą</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1.2.9v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330 000</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165 000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165 000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165 000</w:t>
            </w: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rPr>
                <w:b/>
                <w:bCs/>
                <w:color w:val="000000"/>
                <w:szCs w:val="24"/>
                <w:u w:val="single"/>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1.2.10v veiksmas: Lietaus nuotekų sistemų rekonstrukcija ir plėtra</w:t>
            </w:r>
            <w:r>
              <w:rPr>
                <w:bCs/>
                <w:color w:val="000000"/>
                <w:szCs w:val="24"/>
                <w:lang w:eastAsia="lt-LT"/>
              </w:rPr>
              <w:t xml:space="preserve"> (plėtra: </w:t>
            </w:r>
            <w:r>
              <w:rPr>
                <w:color w:val="000000"/>
                <w:szCs w:val="24"/>
                <w:lang w:eastAsia="lt-LT"/>
              </w:rPr>
              <w:t xml:space="preserve">Širvintų takas 2, </w:t>
            </w:r>
            <w:r>
              <w:rPr>
                <w:bCs/>
                <w:color w:val="000000"/>
                <w:szCs w:val="24"/>
                <w:lang w:eastAsia="lt-LT"/>
              </w:rPr>
              <w:t>Anykščių g. nuo Širvintų g., Zanavykų g. nuo Anykščių g., Širvintų g. nuo Zarasų g. iki Nr. 62, Biržų g., Žemaičių g. nuo P. Kalpoko g., Obuolių g., Kupiškio g., Žalioji g., Telšių g., Varėnos g., Raseinių g., A. Mackevičiaus g.). Rekonstrukcija: Kapsų g. (nuo Nr. 118 iki Jonavos g. padidinant skersmenį)</w:t>
            </w: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UAB „Kauno vandenys“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5.1.1. Sumažinti dėl klimato kaitos atsirandančius nuostolius</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1.2.10v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926 000</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138 900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138 900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787 100</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1.2.11v veiksmas: </w:t>
            </w:r>
            <w:r>
              <w:rPr>
                <w:b/>
                <w:color w:val="000000"/>
                <w:szCs w:val="24"/>
                <w:u w:val="single"/>
                <w:lang w:eastAsia="lt-LT"/>
              </w:rPr>
              <w:t xml:space="preserve">Lietaus nuotekų sistemų įrengimas Aleksoto tikslinėje teritorijoje </w:t>
            </w:r>
            <w:r>
              <w:rPr>
                <w:color w:val="000000"/>
                <w:szCs w:val="24"/>
                <w:lang w:eastAsia="lt-LT"/>
              </w:rPr>
              <w:t>(J. Čapliko g., J. Petruičio g., K. Sprangausko g., Raitininkų g., Gurguolių g., Kėkštų g., Akacijų g., Alyvų g., Alšėngirės g., Alšėnų g., Ančios g., Antakalnio g., Astrų g., Aukštoji g., J. Bakanausko g., Balbieriškio g. nuo Nr. 31, Barzdų g., Bitininkų g. nuo Nr. 26, Blindžių g., Bublių g., V. Čarneckio g., J. Damijonaičio g., Daugėliškių g., J. Dobkevičiaus g., Dragių g. nuo Nr. 1 iki Nr. 25d, Dūkšto g., Dvarų g., Erdvės g. nuo Nr. 1 iki Nr. 10, P. Galaunės g., Garliavos takas, S. Dariaus ir S. Girėno g., Gižų g., K. Grybausko g., Griškabūdžio g., Gudelių g., P. Gudyno g., Gulbių g., M. Yčo g., Ilgoji g., Yliškių g., Jonučių g., Kanalo g., Karklų g., Kaštonų g., Kėkštų g., Kmynų g., Kreivoji g., J. Kriščiūno g., Krosnos g., J. Kumpio g., Kuopos g.)</w:t>
            </w: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UAB „Kauno vandenys“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5.1.1. Sumažinti dėl klimato kaitos atsirandančius nuostolius</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1.2.11v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5 104 000</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765 600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765 600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4 338 400</w:t>
            </w:r>
          </w:p>
        </w:tc>
      </w:tr>
      <w:tr>
        <w:trPr>
          <w:trHeight w:val="20"/>
        </w:trPr>
        <w:tc>
          <w:tcPr>
            <w:tcW w:w="112" w:type="pct"/>
            <w:gridSpan w:val="3"/>
            <w:tcBorders>
              <w:top w:val="single" w:sz="8" w:space="0" w:color="auto"/>
              <w:left w:val="nil"/>
              <w:bottom w:val="nil"/>
              <w:right w:val="nil"/>
            </w:tcBorders>
            <w:shd w:val="clear" w:color="auto" w:fill="auto"/>
            <w:noWrap/>
            <w:vAlign w:val="bottom"/>
          </w:tcPr>
          <w:p>
            <w:pPr>
              <w:rPr>
                <w:color w:val="000000"/>
                <w:szCs w:val="24"/>
                <w:lang w:eastAsia="lt-LT"/>
              </w:rPr>
            </w:pPr>
          </w:p>
        </w:tc>
        <w:tc>
          <w:tcPr>
            <w:tcW w:w="359" w:type="pct"/>
            <w:gridSpan w:val="8"/>
            <w:tcBorders>
              <w:top w:val="single" w:sz="8" w:space="0" w:color="auto"/>
              <w:left w:val="nil"/>
              <w:bottom w:val="nil"/>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880" w:type="pct"/>
            <w:gridSpan w:val="143"/>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1.2.12v veiksmas: Aleksoto gatvių nuotekų tinklų rekonstrukcija </w:t>
            </w:r>
            <w:r>
              <w:rPr>
                <w:bCs/>
                <w:color w:val="000000"/>
                <w:szCs w:val="24"/>
                <w:lang w:eastAsia="lt-LT"/>
              </w:rPr>
              <w:t>(</w:t>
            </w:r>
            <w:r>
              <w:rPr>
                <w:bCs/>
                <w:szCs w:val="24"/>
                <w:lang w:eastAsia="lt-LT"/>
              </w:rPr>
              <w:t>Rąžės g. nuotekų tinklo prijungimas prie nuotekų tinklo Seniavos pl. (į nuotekų siurblinę Nr. 106), buitinių nuotekų magistralės iš Garliavos rekonstrukcija – Slankų g. (nuo Žilvičių g. iki Kiečių g.), Kiečių g. (nuo Slankų g. iki Žemoji g.), Žemoji g. (nuo Kiečių g. iki Blindžių g.), Blindžių g. (nuo Žemoji g. iki Lygioji g. Nr. 31), Bitininkų g. (nuo Lygioji g. Nr. 31 iki Europos pr</w:t>
            </w:r>
            <w:r>
              <w:rPr>
                <w:bCs/>
                <w:color w:val="000000"/>
                <w:szCs w:val="24"/>
                <w:lang w:eastAsia="lt-LT"/>
              </w:rPr>
              <w:t>.)</w:t>
            </w: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46" w:type="pct"/>
            <w:gridSpan w:val="19"/>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37" w:type="pct"/>
            <w:gridSpan w:val="20"/>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17" w:type="pct"/>
            <w:gridSpan w:val="21"/>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46" w:type="pct"/>
            <w:gridSpan w:val="1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37" w:type="pct"/>
            <w:gridSpan w:val="20"/>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UAB „Kauno vandenys“</w:t>
            </w:r>
          </w:p>
        </w:tc>
        <w:tc>
          <w:tcPr>
            <w:tcW w:w="896" w:type="pct"/>
            <w:gridSpan w:val="28"/>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526" w:type="pct"/>
            <w:gridSpan w:val="47"/>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5.3.2. Padidinti vandens tiekimo ir nuotekų tvarkymo paslaugų prieinamumą ir sistemos efektyvumą</w:t>
            </w:r>
          </w:p>
        </w:tc>
        <w:tc>
          <w:tcPr>
            <w:tcW w:w="717" w:type="pct"/>
            <w:gridSpan w:val="21"/>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12" w:type="pct"/>
            <w:gridSpan w:val="3"/>
            <w:tcBorders>
              <w:top w:val="nil"/>
              <w:left w:val="nil"/>
              <w:bottom w:val="nil"/>
              <w:right w:val="nil"/>
            </w:tcBorders>
            <w:shd w:val="clear" w:color="auto" w:fill="auto"/>
            <w:noWrap/>
            <w:vAlign w:val="center"/>
          </w:tcPr>
          <w:p>
            <w:pPr>
              <w:rPr>
                <w:color w:val="000000"/>
                <w:szCs w:val="24"/>
                <w:lang w:eastAsia="lt-LT"/>
              </w:rPr>
            </w:pPr>
          </w:p>
        </w:tc>
        <w:tc>
          <w:tcPr>
            <w:tcW w:w="2472" w:type="pct"/>
            <w:gridSpan w:val="68"/>
            <w:tcBorders>
              <w:top w:val="nil"/>
              <w:left w:val="nil"/>
              <w:bottom w:val="nil"/>
              <w:right w:val="nil"/>
            </w:tcBorders>
            <w:shd w:val="clear" w:color="auto" w:fill="auto"/>
            <w:noWrap/>
            <w:vAlign w:val="center"/>
          </w:tcPr>
          <w:p>
            <w:pPr>
              <w:rPr>
                <w:b/>
                <w:bCs/>
                <w:color w:val="000000"/>
                <w:szCs w:val="24"/>
                <w:lang w:eastAsia="lt-LT"/>
              </w:rPr>
            </w:pPr>
          </w:p>
        </w:tc>
        <w:tc>
          <w:tcPr>
            <w:tcW w:w="469" w:type="pct"/>
            <w:gridSpan w:val="17"/>
            <w:tcBorders>
              <w:top w:val="nil"/>
              <w:left w:val="nil"/>
              <w:bottom w:val="nil"/>
              <w:right w:val="nil"/>
            </w:tcBorders>
            <w:shd w:val="clear" w:color="auto" w:fill="auto"/>
            <w:noWrap/>
            <w:vAlign w:val="center"/>
          </w:tcPr>
          <w:p>
            <w:pPr>
              <w:rPr>
                <w:color w:val="000000"/>
                <w:szCs w:val="24"/>
                <w:lang w:eastAsia="lt-LT"/>
              </w:rPr>
            </w:pPr>
          </w:p>
        </w:tc>
        <w:tc>
          <w:tcPr>
            <w:tcW w:w="83" w:type="pct"/>
            <w:gridSpan w:val="4"/>
            <w:tcBorders>
              <w:top w:val="nil"/>
              <w:left w:val="nil"/>
              <w:bottom w:val="nil"/>
              <w:right w:val="nil"/>
            </w:tcBorders>
            <w:shd w:val="clear" w:color="auto" w:fill="auto"/>
            <w:noWrap/>
            <w:vAlign w:val="center"/>
          </w:tcPr>
          <w:p>
            <w:pPr>
              <w:rPr>
                <w:color w:val="000000"/>
                <w:szCs w:val="24"/>
                <w:lang w:eastAsia="lt-LT"/>
              </w:rPr>
            </w:pPr>
          </w:p>
        </w:tc>
        <w:tc>
          <w:tcPr>
            <w:tcW w:w="385" w:type="pct"/>
            <w:gridSpan w:val="6"/>
            <w:tcBorders>
              <w:top w:val="nil"/>
              <w:left w:val="nil"/>
              <w:bottom w:val="nil"/>
              <w:right w:val="nil"/>
            </w:tcBorders>
            <w:shd w:val="clear" w:color="auto" w:fill="auto"/>
            <w:noWrap/>
            <w:vAlign w:val="center"/>
          </w:tcPr>
          <w:p>
            <w:pPr>
              <w:rPr>
                <w:color w:val="000000"/>
                <w:szCs w:val="24"/>
                <w:lang w:eastAsia="lt-LT"/>
              </w:rPr>
            </w:pPr>
          </w:p>
        </w:tc>
        <w:tc>
          <w:tcPr>
            <w:tcW w:w="476" w:type="pct"/>
            <w:gridSpan w:val="15"/>
            <w:tcBorders>
              <w:top w:val="nil"/>
              <w:left w:val="nil"/>
              <w:bottom w:val="nil"/>
              <w:right w:val="nil"/>
            </w:tcBorders>
            <w:shd w:val="clear" w:color="auto" w:fill="auto"/>
            <w:noWrap/>
            <w:vAlign w:val="center"/>
          </w:tcPr>
          <w:p>
            <w:pPr>
              <w:rPr>
                <w:color w:val="000000"/>
                <w:szCs w:val="24"/>
                <w:lang w:eastAsia="lt-LT"/>
              </w:rPr>
            </w:pPr>
          </w:p>
        </w:tc>
        <w:tc>
          <w:tcPr>
            <w:tcW w:w="85" w:type="pct"/>
            <w:gridSpan w:val="5"/>
            <w:tcBorders>
              <w:top w:val="nil"/>
              <w:left w:val="nil"/>
              <w:bottom w:val="nil"/>
              <w:right w:val="nil"/>
            </w:tcBorders>
            <w:shd w:val="clear" w:color="auto" w:fill="auto"/>
            <w:noWrap/>
            <w:vAlign w:val="center"/>
          </w:tcPr>
          <w:p>
            <w:pPr>
              <w:rPr>
                <w:color w:val="000000"/>
                <w:szCs w:val="24"/>
                <w:lang w:eastAsia="lt-LT"/>
              </w:rPr>
            </w:pPr>
          </w:p>
        </w:tc>
        <w:tc>
          <w:tcPr>
            <w:tcW w:w="409" w:type="pct"/>
            <w:gridSpan w:val="15"/>
            <w:tcBorders>
              <w:top w:val="nil"/>
              <w:left w:val="nil"/>
              <w:bottom w:val="nil"/>
              <w:right w:val="nil"/>
            </w:tcBorders>
            <w:shd w:val="clear" w:color="auto" w:fill="auto"/>
            <w:noWrap/>
            <w:vAlign w:val="center"/>
          </w:tcPr>
          <w:p>
            <w:pPr>
              <w:rPr>
                <w:color w:val="000000"/>
                <w:szCs w:val="24"/>
                <w:lang w:eastAsia="lt-LT"/>
              </w:rPr>
            </w:pPr>
          </w:p>
        </w:tc>
        <w:tc>
          <w:tcPr>
            <w:tcW w:w="504" w:type="pct"/>
            <w:gridSpan w:val="13"/>
            <w:tcBorders>
              <w:top w:val="nil"/>
              <w:left w:val="nil"/>
              <w:bottom w:val="nil"/>
              <w:right w:val="nil"/>
            </w:tcBorders>
            <w:shd w:val="clear" w:color="auto" w:fill="auto"/>
            <w:noWrap/>
            <w:vAlign w:val="center"/>
          </w:tcPr>
          <w:p>
            <w:pPr>
              <w:rPr>
                <w:color w:val="000000"/>
                <w:szCs w:val="24"/>
                <w:lang w:eastAsia="lt-LT"/>
              </w:rPr>
            </w:pPr>
          </w:p>
        </w:tc>
      </w:tr>
      <w:tr>
        <w:trPr>
          <w:trHeight w:val="20"/>
        </w:trPr>
        <w:tc>
          <w:tcPr>
            <w:tcW w:w="112" w:type="pct"/>
            <w:gridSpan w:val="3"/>
            <w:tcBorders>
              <w:top w:val="nil"/>
              <w:left w:val="nil"/>
              <w:bottom w:val="nil"/>
              <w:right w:val="nil"/>
            </w:tcBorders>
            <w:shd w:val="clear" w:color="auto" w:fill="auto"/>
            <w:noWrap/>
            <w:vAlign w:val="bottom"/>
          </w:tcPr>
          <w:p>
            <w:pPr>
              <w:rPr>
                <w:color w:val="000000"/>
                <w:szCs w:val="24"/>
                <w:lang w:eastAsia="lt-LT"/>
              </w:rPr>
            </w:pPr>
          </w:p>
        </w:tc>
        <w:tc>
          <w:tcPr>
            <w:tcW w:w="4162" w:type="pct"/>
            <w:gridSpan w:val="12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1.2.12v Veiksmo lėšų poreikis ir finansavimo šaltiniai:</w:t>
            </w:r>
          </w:p>
        </w:tc>
        <w:tc>
          <w:tcPr>
            <w:tcW w:w="717" w:type="pct"/>
            <w:gridSpan w:val="21"/>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12"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359" w:type="pct"/>
            <w:gridSpan w:val="8"/>
            <w:tcBorders>
              <w:top w:val="nil"/>
              <w:left w:val="nil"/>
              <w:bottom w:val="single" w:sz="8" w:space="0" w:color="auto"/>
              <w:right w:val="nil"/>
            </w:tcBorders>
            <w:shd w:val="clear" w:color="auto" w:fill="auto"/>
            <w:noWrap/>
            <w:vAlign w:val="bottom"/>
          </w:tcPr>
          <w:p>
            <w:pPr>
              <w:rPr>
                <w:color w:val="000000"/>
                <w:szCs w:val="24"/>
                <w:lang w:eastAsia="lt-LT"/>
              </w:rPr>
            </w:pPr>
          </w:p>
        </w:tc>
        <w:tc>
          <w:tcPr>
            <w:tcW w:w="261" w:type="pct"/>
            <w:gridSpan w:val="8"/>
            <w:tcBorders>
              <w:top w:val="nil"/>
              <w:left w:val="nil"/>
              <w:bottom w:val="nil"/>
              <w:right w:val="nil"/>
            </w:tcBorders>
            <w:shd w:val="clear" w:color="auto" w:fill="auto"/>
            <w:noWrap/>
            <w:vAlign w:val="bottom"/>
          </w:tcPr>
          <w:p>
            <w:pPr>
              <w:rPr>
                <w:color w:val="000000"/>
                <w:szCs w:val="24"/>
                <w:lang w:eastAsia="lt-LT"/>
              </w:rPr>
            </w:pPr>
          </w:p>
        </w:tc>
        <w:tc>
          <w:tcPr>
            <w:tcW w:w="285" w:type="pct"/>
            <w:gridSpan w:val="11"/>
            <w:tcBorders>
              <w:top w:val="nil"/>
              <w:left w:val="nil"/>
              <w:bottom w:val="nil"/>
              <w:right w:val="nil"/>
            </w:tcBorders>
            <w:shd w:val="clear" w:color="auto" w:fill="auto"/>
            <w:noWrap/>
            <w:vAlign w:val="bottom"/>
          </w:tcPr>
          <w:p>
            <w:pPr>
              <w:rPr>
                <w:color w:val="000000"/>
                <w:szCs w:val="24"/>
                <w:lang w:eastAsia="lt-LT"/>
              </w:rPr>
            </w:pPr>
          </w:p>
        </w:tc>
        <w:tc>
          <w:tcPr>
            <w:tcW w:w="393" w:type="pct"/>
            <w:gridSpan w:val="14"/>
            <w:tcBorders>
              <w:top w:val="nil"/>
              <w:left w:val="nil"/>
              <w:bottom w:val="nil"/>
              <w:right w:val="nil"/>
            </w:tcBorders>
            <w:shd w:val="clear" w:color="auto" w:fill="auto"/>
            <w:noWrap/>
            <w:vAlign w:val="bottom"/>
          </w:tcPr>
          <w:p>
            <w:pPr>
              <w:rPr>
                <w:color w:val="000000"/>
                <w:szCs w:val="24"/>
                <w:lang w:eastAsia="lt-LT"/>
              </w:rPr>
            </w:pPr>
          </w:p>
        </w:tc>
        <w:tc>
          <w:tcPr>
            <w:tcW w:w="444" w:type="pct"/>
            <w:gridSpan w:val="6"/>
            <w:tcBorders>
              <w:top w:val="nil"/>
              <w:left w:val="nil"/>
              <w:bottom w:val="nil"/>
              <w:right w:val="nil"/>
            </w:tcBorders>
            <w:shd w:val="clear" w:color="auto" w:fill="auto"/>
            <w:noWrap/>
            <w:vAlign w:val="bottom"/>
          </w:tcPr>
          <w:p>
            <w:pPr>
              <w:rPr>
                <w:color w:val="000000"/>
                <w:szCs w:val="24"/>
                <w:lang w:eastAsia="lt-LT"/>
              </w:rPr>
            </w:pPr>
          </w:p>
        </w:tc>
        <w:tc>
          <w:tcPr>
            <w:tcW w:w="86" w:type="pct"/>
            <w:gridSpan w:val="10"/>
            <w:tcBorders>
              <w:top w:val="nil"/>
              <w:left w:val="nil"/>
              <w:bottom w:val="nil"/>
              <w:right w:val="nil"/>
            </w:tcBorders>
            <w:shd w:val="clear" w:color="auto" w:fill="auto"/>
            <w:noWrap/>
            <w:vAlign w:val="bottom"/>
          </w:tcPr>
          <w:p>
            <w:pPr>
              <w:rPr>
                <w:color w:val="000000"/>
                <w:szCs w:val="24"/>
                <w:lang w:eastAsia="lt-LT"/>
              </w:rPr>
            </w:pPr>
          </w:p>
        </w:tc>
        <w:tc>
          <w:tcPr>
            <w:tcW w:w="645" w:type="pct"/>
            <w:gridSpan w:val="11"/>
            <w:tcBorders>
              <w:top w:val="nil"/>
              <w:left w:val="nil"/>
              <w:bottom w:val="nil"/>
              <w:right w:val="nil"/>
            </w:tcBorders>
            <w:shd w:val="clear" w:color="auto" w:fill="auto"/>
            <w:noWrap/>
            <w:vAlign w:val="bottom"/>
          </w:tcPr>
          <w:p>
            <w:pPr>
              <w:rPr>
                <w:color w:val="000000"/>
                <w:szCs w:val="24"/>
                <w:lang w:eastAsia="lt-LT"/>
              </w:rPr>
            </w:pPr>
          </w:p>
        </w:tc>
        <w:tc>
          <w:tcPr>
            <w:tcW w:w="469" w:type="pct"/>
            <w:gridSpan w:val="17"/>
            <w:tcBorders>
              <w:top w:val="nil"/>
              <w:left w:val="nil"/>
              <w:bottom w:val="nil"/>
              <w:right w:val="nil"/>
            </w:tcBorders>
            <w:shd w:val="clear" w:color="auto" w:fill="auto"/>
            <w:noWrap/>
            <w:vAlign w:val="bottom"/>
          </w:tcPr>
          <w:p>
            <w:pPr>
              <w:rPr>
                <w:color w:val="000000"/>
                <w:szCs w:val="24"/>
                <w:lang w:eastAsia="lt-LT"/>
              </w:rPr>
            </w:pPr>
          </w:p>
        </w:tc>
        <w:tc>
          <w:tcPr>
            <w:tcW w:w="83" w:type="pct"/>
            <w:gridSpan w:val="4"/>
            <w:tcBorders>
              <w:top w:val="nil"/>
              <w:left w:val="nil"/>
              <w:bottom w:val="nil"/>
              <w:right w:val="nil"/>
            </w:tcBorders>
            <w:shd w:val="clear" w:color="auto" w:fill="auto"/>
            <w:noWrap/>
            <w:vAlign w:val="bottom"/>
          </w:tcPr>
          <w:p>
            <w:pPr>
              <w:rPr>
                <w:color w:val="000000"/>
                <w:szCs w:val="24"/>
                <w:lang w:eastAsia="lt-LT"/>
              </w:rPr>
            </w:pPr>
          </w:p>
        </w:tc>
        <w:tc>
          <w:tcPr>
            <w:tcW w:w="385" w:type="pct"/>
            <w:gridSpan w:val="6"/>
            <w:tcBorders>
              <w:top w:val="nil"/>
              <w:left w:val="nil"/>
              <w:bottom w:val="nil"/>
              <w:right w:val="nil"/>
            </w:tcBorders>
            <w:shd w:val="clear" w:color="auto" w:fill="auto"/>
            <w:noWrap/>
            <w:vAlign w:val="bottom"/>
          </w:tcPr>
          <w:p>
            <w:pPr>
              <w:rPr>
                <w:color w:val="000000"/>
                <w:szCs w:val="24"/>
                <w:lang w:eastAsia="lt-LT"/>
              </w:rPr>
            </w:pPr>
          </w:p>
        </w:tc>
        <w:tc>
          <w:tcPr>
            <w:tcW w:w="476" w:type="pct"/>
            <w:gridSpan w:val="15"/>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9" w:type="pct"/>
            <w:gridSpan w:val="15"/>
            <w:tcBorders>
              <w:top w:val="nil"/>
              <w:left w:val="nil"/>
              <w:bottom w:val="nil"/>
              <w:right w:val="nil"/>
            </w:tcBorders>
            <w:shd w:val="clear" w:color="auto" w:fill="auto"/>
            <w:noWrap/>
            <w:vAlign w:val="bottom"/>
          </w:tcPr>
          <w:p>
            <w:pPr>
              <w:rPr>
                <w:color w:val="000000"/>
                <w:szCs w:val="24"/>
                <w:lang w:eastAsia="lt-LT"/>
              </w:rPr>
            </w:pPr>
          </w:p>
        </w:tc>
        <w:tc>
          <w:tcPr>
            <w:tcW w:w="504" w:type="pct"/>
            <w:gridSpan w:val="13"/>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70" w:type="pct"/>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39"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174"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38" w:type="pct"/>
            <w:gridSpan w:val="2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42" w:type="pct"/>
            <w:gridSpan w:val="3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28" w:type="pct"/>
            <w:gridSpan w:val="9"/>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70" w:type="pct"/>
            <w:gridSpan w:val="11"/>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261" w:type="pct"/>
            <w:gridSpan w:val="8"/>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78" w:type="pct"/>
            <w:gridSpan w:val="2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4" w:type="pct"/>
            <w:gridSpan w:val="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731" w:type="pct"/>
            <w:gridSpan w:val="21"/>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9" w:type="pct"/>
            <w:gridSpan w:val="17"/>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8" w:type="pct"/>
            <w:gridSpan w:val="10"/>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64" w:type="pct"/>
            <w:gridSpan w:val="15"/>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78" w:type="pct"/>
            <w:gridSpan w:val="2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28" w:type="pct"/>
            <w:gridSpan w:val="9"/>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7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396 000</w:t>
            </w:r>
          </w:p>
        </w:tc>
        <w:tc>
          <w:tcPr>
            <w:tcW w:w="261" w:type="pct"/>
            <w:gridSpan w:val="8"/>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78" w:type="pct"/>
            <w:gridSpan w:val="2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4" w:type="pct"/>
            <w:gridSpan w:val="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731" w:type="pct"/>
            <w:gridSpan w:val="21"/>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69" w:type="pct"/>
            <w:gridSpan w:val="17"/>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198 000</w:t>
            </w:r>
          </w:p>
        </w:tc>
        <w:tc>
          <w:tcPr>
            <w:tcW w:w="468" w:type="pct"/>
            <w:gridSpan w:val="10"/>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198 000</w:t>
            </w:r>
          </w:p>
        </w:tc>
        <w:tc>
          <w:tcPr>
            <w:tcW w:w="464" w:type="pct"/>
            <w:gridSpan w:val="15"/>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78" w:type="pct"/>
            <w:gridSpan w:val="2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28" w:type="pct"/>
            <w:gridSpan w:val="9"/>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198 000</w:t>
            </w:r>
          </w:p>
        </w:tc>
      </w:tr>
      <w:tr>
        <w:trPr>
          <w:trHeight w:val="20"/>
        </w:trPr>
        <w:tc>
          <w:tcPr>
            <w:tcW w:w="4991" w:type="pct"/>
            <w:gridSpan w:val="146"/>
            <w:tcBorders>
              <w:top w:val="single" w:sz="8" w:space="0" w:color="auto"/>
              <w:left w:val="nil"/>
              <w:bottom w:val="nil"/>
              <w:right w:val="nil"/>
            </w:tcBorders>
            <w:shd w:val="clear" w:color="auto" w:fill="auto"/>
            <w:noWrap/>
            <w:vAlign w:val="bottom"/>
          </w:tcPr>
          <w:p>
            <w:pPr>
              <w:rPr>
                <w:color w:val="000000"/>
                <w:szCs w:val="24"/>
                <w:lang w:eastAsia="lt-LT"/>
              </w:rPr>
            </w:pPr>
          </w:p>
          <w:tbl>
            <w:tblPr>
              <w:tblW w:w="5022" w:type="pct"/>
              <w:tblLayout w:type="fixed"/>
              <w:tblCellMar>
                <w:left w:w="115" w:type="dxa"/>
                <w:right w:w="115" w:type="dxa"/>
              </w:tblCellMar>
              <w:tblLook w:val="04A0" w:firstRow="1" w:lastRow="0" w:firstColumn="1" w:lastColumn="0" w:noHBand="0" w:noVBand="1"/>
            </w:tblPr>
            <w:tblGrid>
              <w:gridCol w:w="467"/>
              <w:gridCol w:w="789"/>
              <w:gridCol w:w="982"/>
              <w:gridCol w:w="772"/>
              <w:gridCol w:w="818"/>
              <w:gridCol w:w="1087"/>
              <w:gridCol w:w="883"/>
              <w:gridCol w:w="859"/>
              <w:gridCol w:w="1081"/>
              <w:gridCol w:w="948"/>
              <w:gridCol w:w="631"/>
              <w:gridCol w:w="634"/>
              <w:gridCol w:w="704"/>
              <w:gridCol w:w="975"/>
              <w:gridCol w:w="1918"/>
            </w:tblGrid>
            <w:tr>
              <w:trPr>
                <w:trHeight w:val="20"/>
              </w:trPr>
              <w:tc>
                <w:tcPr>
                  <w:tcW w:w="172" w:type="pct"/>
                  <w:tcBorders>
                    <w:top w:val="nil"/>
                    <w:left w:val="nil"/>
                    <w:bottom w:val="nil"/>
                    <w:right w:val="nil"/>
                  </w:tcBorders>
                  <w:shd w:val="clear" w:color="auto" w:fill="auto"/>
                  <w:noWrap/>
                  <w:vAlign w:val="bottom"/>
                </w:tcPr>
                <w:p>
                  <w:pPr>
                    <w:rPr>
                      <w:color w:val="FF0000"/>
                      <w:szCs w:val="24"/>
                      <w:lang w:eastAsia="lt-LT"/>
                    </w:rPr>
                  </w:pPr>
                </w:p>
              </w:tc>
              <w:tc>
                <w:tcPr>
                  <w:tcW w:w="4828" w:type="pct"/>
                  <w:gridSpan w:val="14"/>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1.2.13v veiksmas: </w:t>
                  </w:r>
                  <w:r>
                    <w:rPr>
                      <w:b/>
                      <w:color w:val="000000"/>
                      <w:szCs w:val="24"/>
                      <w:u w:val="single"/>
                      <w:lang w:eastAsia="lt-LT"/>
                    </w:rPr>
                    <w:t>Komunalinių atliekų konteinerių aikštelių įrengimas Kauno mieste</w:t>
                  </w:r>
                </w:p>
              </w:tc>
            </w:tr>
            <w:tr>
              <w:trPr>
                <w:trHeight w:val="20"/>
              </w:trPr>
              <w:tc>
                <w:tcPr>
                  <w:tcW w:w="172" w:type="pct"/>
                  <w:tcBorders>
                    <w:top w:val="nil"/>
                    <w:left w:val="nil"/>
                    <w:bottom w:val="single" w:sz="8" w:space="0" w:color="auto"/>
                    <w:right w:val="nil"/>
                  </w:tcBorders>
                  <w:shd w:val="clear" w:color="auto" w:fill="auto"/>
                  <w:noWrap/>
                  <w:vAlign w:val="bottom"/>
                </w:tcPr>
                <w:p>
                  <w:pPr>
                    <w:rPr>
                      <w:color w:val="FF0000"/>
                      <w:szCs w:val="24"/>
                      <w:lang w:eastAsia="lt-LT"/>
                    </w:rPr>
                  </w:pPr>
                </w:p>
              </w:tc>
              <w:tc>
                <w:tcPr>
                  <w:tcW w:w="291" w:type="pct"/>
                  <w:tcBorders>
                    <w:top w:val="nil"/>
                    <w:left w:val="nil"/>
                    <w:bottom w:val="single" w:sz="8" w:space="0" w:color="auto"/>
                    <w:right w:val="nil"/>
                  </w:tcBorders>
                  <w:shd w:val="clear" w:color="auto" w:fill="auto"/>
                  <w:noWrap/>
                  <w:vAlign w:val="bottom"/>
                </w:tcPr>
                <w:p>
                  <w:pPr>
                    <w:rPr>
                      <w:color w:val="FF0000"/>
                      <w:szCs w:val="24"/>
                      <w:lang w:eastAsia="lt-LT"/>
                    </w:rPr>
                  </w:pPr>
                </w:p>
              </w:tc>
              <w:tc>
                <w:tcPr>
                  <w:tcW w:w="362" w:type="pct"/>
                  <w:tcBorders>
                    <w:top w:val="nil"/>
                    <w:left w:val="nil"/>
                    <w:bottom w:val="nil"/>
                    <w:right w:val="nil"/>
                  </w:tcBorders>
                  <w:shd w:val="clear" w:color="auto" w:fill="auto"/>
                  <w:noWrap/>
                  <w:vAlign w:val="bottom"/>
                </w:tcPr>
                <w:p>
                  <w:pPr>
                    <w:rPr>
                      <w:color w:val="000000"/>
                      <w:szCs w:val="24"/>
                      <w:lang w:eastAsia="lt-LT"/>
                    </w:rPr>
                  </w:pPr>
                </w:p>
              </w:tc>
              <w:tc>
                <w:tcPr>
                  <w:tcW w:w="285" w:type="pct"/>
                  <w:tcBorders>
                    <w:top w:val="nil"/>
                    <w:left w:val="nil"/>
                    <w:bottom w:val="nil"/>
                    <w:right w:val="nil"/>
                  </w:tcBorders>
                  <w:shd w:val="clear" w:color="auto" w:fill="auto"/>
                  <w:noWrap/>
                  <w:vAlign w:val="bottom"/>
                </w:tcPr>
                <w:p>
                  <w:pPr>
                    <w:rPr>
                      <w:color w:val="000000"/>
                      <w:szCs w:val="24"/>
                      <w:lang w:eastAsia="lt-LT"/>
                    </w:rPr>
                  </w:pPr>
                </w:p>
              </w:tc>
              <w:tc>
                <w:tcPr>
                  <w:tcW w:w="302" w:type="pct"/>
                  <w:tcBorders>
                    <w:top w:val="nil"/>
                    <w:left w:val="nil"/>
                    <w:bottom w:val="nil"/>
                    <w:right w:val="nil"/>
                  </w:tcBorders>
                  <w:shd w:val="clear" w:color="auto" w:fill="auto"/>
                  <w:noWrap/>
                  <w:vAlign w:val="bottom"/>
                </w:tcPr>
                <w:p>
                  <w:pPr>
                    <w:rPr>
                      <w:color w:val="000000"/>
                      <w:szCs w:val="24"/>
                      <w:lang w:eastAsia="lt-LT"/>
                    </w:rPr>
                  </w:pPr>
                </w:p>
              </w:tc>
              <w:tc>
                <w:tcPr>
                  <w:tcW w:w="401" w:type="pct"/>
                  <w:tcBorders>
                    <w:top w:val="nil"/>
                    <w:left w:val="nil"/>
                    <w:bottom w:val="nil"/>
                    <w:right w:val="nil"/>
                  </w:tcBorders>
                  <w:shd w:val="clear" w:color="auto" w:fill="auto"/>
                  <w:noWrap/>
                  <w:vAlign w:val="bottom"/>
                </w:tcPr>
                <w:p>
                  <w:pPr>
                    <w:rPr>
                      <w:color w:val="000000"/>
                      <w:szCs w:val="24"/>
                      <w:lang w:eastAsia="lt-LT"/>
                    </w:rPr>
                  </w:pPr>
                </w:p>
              </w:tc>
              <w:tc>
                <w:tcPr>
                  <w:tcW w:w="326" w:type="pct"/>
                  <w:tcBorders>
                    <w:top w:val="nil"/>
                    <w:left w:val="nil"/>
                    <w:bottom w:val="nil"/>
                    <w:right w:val="nil"/>
                  </w:tcBorders>
                  <w:shd w:val="clear" w:color="auto" w:fill="auto"/>
                  <w:noWrap/>
                  <w:vAlign w:val="bottom"/>
                </w:tcPr>
                <w:p>
                  <w:pPr>
                    <w:rPr>
                      <w:color w:val="000000"/>
                      <w:szCs w:val="24"/>
                      <w:lang w:eastAsia="lt-LT"/>
                    </w:rPr>
                  </w:pPr>
                </w:p>
              </w:tc>
              <w:tc>
                <w:tcPr>
                  <w:tcW w:w="317" w:type="pct"/>
                  <w:tcBorders>
                    <w:top w:val="nil"/>
                    <w:left w:val="nil"/>
                    <w:bottom w:val="nil"/>
                    <w:right w:val="nil"/>
                  </w:tcBorders>
                  <w:shd w:val="clear" w:color="auto" w:fill="auto"/>
                  <w:noWrap/>
                  <w:vAlign w:val="bottom"/>
                </w:tcPr>
                <w:p>
                  <w:pPr>
                    <w:rPr>
                      <w:color w:val="000000"/>
                      <w:szCs w:val="24"/>
                      <w:lang w:eastAsia="lt-LT"/>
                    </w:rPr>
                  </w:pPr>
                </w:p>
              </w:tc>
              <w:tc>
                <w:tcPr>
                  <w:tcW w:w="399" w:type="pct"/>
                  <w:tcBorders>
                    <w:top w:val="nil"/>
                    <w:left w:val="nil"/>
                    <w:bottom w:val="nil"/>
                    <w:right w:val="nil"/>
                  </w:tcBorders>
                  <w:shd w:val="clear" w:color="auto" w:fill="auto"/>
                  <w:noWrap/>
                  <w:vAlign w:val="bottom"/>
                </w:tcPr>
                <w:p>
                  <w:pPr>
                    <w:rPr>
                      <w:color w:val="000000"/>
                      <w:szCs w:val="24"/>
                      <w:lang w:eastAsia="lt-LT"/>
                    </w:rPr>
                  </w:pPr>
                </w:p>
              </w:tc>
              <w:tc>
                <w:tcPr>
                  <w:tcW w:w="350" w:type="pct"/>
                  <w:tcBorders>
                    <w:top w:val="nil"/>
                    <w:left w:val="nil"/>
                    <w:bottom w:val="nil"/>
                    <w:right w:val="nil"/>
                  </w:tcBorders>
                  <w:shd w:val="clear" w:color="auto" w:fill="auto"/>
                  <w:noWrap/>
                  <w:vAlign w:val="bottom"/>
                </w:tcPr>
                <w:p>
                  <w:pPr>
                    <w:rPr>
                      <w:color w:val="000000"/>
                      <w:szCs w:val="24"/>
                      <w:lang w:eastAsia="lt-LT"/>
                    </w:rPr>
                  </w:pPr>
                </w:p>
              </w:tc>
              <w:tc>
                <w:tcPr>
                  <w:tcW w:w="233" w:type="pct"/>
                  <w:tcBorders>
                    <w:top w:val="nil"/>
                    <w:left w:val="nil"/>
                    <w:bottom w:val="nil"/>
                    <w:right w:val="nil"/>
                  </w:tcBorders>
                  <w:shd w:val="clear" w:color="auto" w:fill="auto"/>
                  <w:noWrap/>
                  <w:vAlign w:val="bottom"/>
                </w:tcPr>
                <w:p>
                  <w:pPr>
                    <w:rPr>
                      <w:color w:val="000000"/>
                      <w:szCs w:val="24"/>
                      <w:lang w:eastAsia="lt-LT"/>
                    </w:rPr>
                  </w:pPr>
                </w:p>
              </w:tc>
              <w:tc>
                <w:tcPr>
                  <w:tcW w:w="234" w:type="pct"/>
                  <w:tcBorders>
                    <w:top w:val="nil"/>
                    <w:left w:val="nil"/>
                    <w:bottom w:val="nil"/>
                    <w:right w:val="nil"/>
                  </w:tcBorders>
                  <w:shd w:val="clear" w:color="auto" w:fill="auto"/>
                  <w:noWrap/>
                  <w:vAlign w:val="bottom"/>
                </w:tcPr>
                <w:p>
                  <w:pPr>
                    <w:rPr>
                      <w:color w:val="000000"/>
                      <w:szCs w:val="24"/>
                      <w:lang w:eastAsia="lt-LT"/>
                    </w:rPr>
                  </w:pPr>
                </w:p>
              </w:tc>
              <w:tc>
                <w:tcPr>
                  <w:tcW w:w="260" w:type="pct"/>
                  <w:tcBorders>
                    <w:top w:val="nil"/>
                    <w:left w:val="nil"/>
                    <w:bottom w:val="nil"/>
                    <w:right w:val="nil"/>
                  </w:tcBorders>
                  <w:shd w:val="clear" w:color="auto" w:fill="auto"/>
                  <w:noWrap/>
                  <w:vAlign w:val="bottom"/>
                </w:tcPr>
                <w:p>
                  <w:pPr>
                    <w:rPr>
                      <w:color w:val="000000"/>
                      <w:szCs w:val="24"/>
                      <w:lang w:eastAsia="lt-LT"/>
                    </w:rPr>
                  </w:pPr>
                </w:p>
              </w:tc>
              <w:tc>
                <w:tcPr>
                  <w:tcW w:w="359" w:type="pct"/>
                  <w:tcBorders>
                    <w:top w:val="nil"/>
                    <w:left w:val="nil"/>
                    <w:bottom w:val="nil"/>
                    <w:right w:val="nil"/>
                  </w:tcBorders>
                  <w:shd w:val="clear" w:color="auto" w:fill="auto"/>
                  <w:noWrap/>
                  <w:vAlign w:val="bottom"/>
                </w:tcPr>
                <w:p>
                  <w:pPr>
                    <w:rPr>
                      <w:color w:val="000000"/>
                      <w:szCs w:val="24"/>
                      <w:lang w:eastAsia="lt-LT"/>
                    </w:rPr>
                  </w:pPr>
                </w:p>
              </w:tc>
              <w:tc>
                <w:tcPr>
                  <w:tcW w:w="708" w:type="pct"/>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47" w:type="pct"/>
                  <w:gridSpan w:val="2"/>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703" w:type="pct"/>
                  <w:gridSpan w:val="2"/>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1042" w:type="pct"/>
                  <w:gridSpan w:val="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436"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708" w:type="pct"/>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3"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47" w:type="pct"/>
                  <w:gridSpan w:val="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703" w:type="pct"/>
                  <w:gridSpan w:val="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1042" w:type="pct"/>
                  <w:gridSpan w:val="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436"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5.2.1. Sumažinti sąvartynuose šalinamų komunalinių atliekų kiekį ir užtikrinti tinkamą radioaktyvių atliekų saugojimą</w:t>
                  </w:r>
                </w:p>
              </w:tc>
              <w:tc>
                <w:tcPr>
                  <w:tcW w:w="708" w:type="pct"/>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72" w:type="pct"/>
                  <w:tcBorders>
                    <w:top w:val="single" w:sz="8" w:space="0" w:color="auto"/>
                    <w:left w:val="nil"/>
                    <w:bottom w:val="nil"/>
                    <w:right w:val="nil"/>
                  </w:tcBorders>
                  <w:shd w:val="clear" w:color="auto" w:fill="auto"/>
                  <w:noWrap/>
                  <w:vAlign w:val="bottom"/>
                </w:tcPr>
                <w:p>
                  <w:pPr>
                    <w:rPr>
                      <w:b/>
                      <w:color w:val="000000"/>
                      <w:szCs w:val="24"/>
                      <w:lang w:eastAsia="lt-LT"/>
                    </w:rPr>
                  </w:pPr>
                </w:p>
              </w:tc>
              <w:tc>
                <w:tcPr>
                  <w:tcW w:w="291"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362" w:type="pct"/>
                  <w:tcBorders>
                    <w:top w:val="nil"/>
                    <w:left w:val="nil"/>
                    <w:bottom w:val="nil"/>
                    <w:right w:val="nil"/>
                  </w:tcBorders>
                  <w:shd w:val="clear" w:color="auto" w:fill="auto"/>
                  <w:noWrap/>
                  <w:vAlign w:val="bottom"/>
                </w:tcPr>
                <w:p>
                  <w:pPr>
                    <w:rPr>
                      <w:color w:val="000000"/>
                      <w:szCs w:val="24"/>
                      <w:lang w:eastAsia="lt-LT"/>
                    </w:rPr>
                  </w:pPr>
                </w:p>
              </w:tc>
              <w:tc>
                <w:tcPr>
                  <w:tcW w:w="285" w:type="pct"/>
                  <w:tcBorders>
                    <w:top w:val="nil"/>
                    <w:left w:val="nil"/>
                    <w:bottom w:val="nil"/>
                    <w:right w:val="nil"/>
                  </w:tcBorders>
                  <w:shd w:val="clear" w:color="auto" w:fill="auto"/>
                  <w:noWrap/>
                  <w:vAlign w:val="bottom"/>
                </w:tcPr>
                <w:p>
                  <w:pPr>
                    <w:rPr>
                      <w:color w:val="000000"/>
                      <w:szCs w:val="24"/>
                      <w:lang w:eastAsia="lt-LT"/>
                    </w:rPr>
                  </w:pPr>
                </w:p>
              </w:tc>
              <w:tc>
                <w:tcPr>
                  <w:tcW w:w="302" w:type="pct"/>
                  <w:tcBorders>
                    <w:top w:val="nil"/>
                    <w:left w:val="nil"/>
                    <w:bottom w:val="nil"/>
                    <w:right w:val="nil"/>
                  </w:tcBorders>
                  <w:shd w:val="clear" w:color="auto" w:fill="auto"/>
                  <w:noWrap/>
                  <w:vAlign w:val="bottom"/>
                </w:tcPr>
                <w:p>
                  <w:pPr>
                    <w:rPr>
                      <w:color w:val="000000"/>
                      <w:szCs w:val="24"/>
                      <w:lang w:eastAsia="lt-LT"/>
                    </w:rPr>
                  </w:pPr>
                </w:p>
              </w:tc>
              <w:tc>
                <w:tcPr>
                  <w:tcW w:w="401" w:type="pct"/>
                  <w:tcBorders>
                    <w:top w:val="nil"/>
                    <w:left w:val="nil"/>
                    <w:bottom w:val="nil"/>
                    <w:right w:val="nil"/>
                  </w:tcBorders>
                  <w:shd w:val="clear" w:color="auto" w:fill="auto"/>
                  <w:noWrap/>
                  <w:vAlign w:val="bottom"/>
                </w:tcPr>
                <w:p>
                  <w:pPr>
                    <w:rPr>
                      <w:color w:val="000000"/>
                      <w:szCs w:val="24"/>
                      <w:lang w:eastAsia="lt-LT"/>
                    </w:rPr>
                  </w:pPr>
                </w:p>
              </w:tc>
              <w:tc>
                <w:tcPr>
                  <w:tcW w:w="326" w:type="pct"/>
                  <w:tcBorders>
                    <w:top w:val="nil"/>
                    <w:left w:val="nil"/>
                    <w:bottom w:val="nil"/>
                    <w:right w:val="nil"/>
                  </w:tcBorders>
                  <w:shd w:val="clear" w:color="auto" w:fill="auto"/>
                  <w:noWrap/>
                  <w:vAlign w:val="bottom"/>
                </w:tcPr>
                <w:p>
                  <w:pPr>
                    <w:rPr>
                      <w:color w:val="000000"/>
                      <w:szCs w:val="24"/>
                      <w:lang w:eastAsia="lt-LT"/>
                    </w:rPr>
                  </w:pPr>
                </w:p>
              </w:tc>
              <w:tc>
                <w:tcPr>
                  <w:tcW w:w="317" w:type="pct"/>
                  <w:tcBorders>
                    <w:top w:val="nil"/>
                    <w:left w:val="nil"/>
                    <w:bottom w:val="nil"/>
                    <w:right w:val="nil"/>
                  </w:tcBorders>
                  <w:shd w:val="clear" w:color="auto" w:fill="auto"/>
                  <w:noWrap/>
                  <w:vAlign w:val="bottom"/>
                </w:tcPr>
                <w:p>
                  <w:pPr>
                    <w:rPr>
                      <w:color w:val="000000"/>
                      <w:szCs w:val="24"/>
                      <w:lang w:eastAsia="lt-LT"/>
                    </w:rPr>
                  </w:pPr>
                </w:p>
              </w:tc>
              <w:tc>
                <w:tcPr>
                  <w:tcW w:w="399" w:type="pct"/>
                  <w:tcBorders>
                    <w:top w:val="nil"/>
                    <w:left w:val="nil"/>
                    <w:bottom w:val="nil"/>
                    <w:right w:val="nil"/>
                  </w:tcBorders>
                  <w:shd w:val="clear" w:color="auto" w:fill="auto"/>
                  <w:noWrap/>
                  <w:vAlign w:val="bottom"/>
                </w:tcPr>
                <w:p>
                  <w:pPr>
                    <w:rPr>
                      <w:color w:val="000000"/>
                      <w:szCs w:val="24"/>
                      <w:lang w:eastAsia="lt-LT"/>
                    </w:rPr>
                  </w:pPr>
                </w:p>
              </w:tc>
              <w:tc>
                <w:tcPr>
                  <w:tcW w:w="350" w:type="pct"/>
                  <w:tcBorders>
                    <w:top w:val="nil"/>
                    <w:left w:val="nil"/>
                    <w:bottom w:val="nil"/>
                    <w:right w:val="nil"/>
                  </w:tcBorders>
                  <w:shd w:val="clear" w:color="auto" w:fill="auto"/>
                  <w:noWrap/>
                  <w:vAlign w:val="bottom"/>
                </w:tcPr>
                <w:p>
                  <w:pPr>
                    <w:rPr>
                      <w:color w:val="000000"/>
                      <w:szCs w:val="24"/>
                      <w:lang w:eastAsia="lt-LT"/>
                    </w:rPr>
                  </w:pPr>
                </w:p>
              </w:tc>
              <w:tc>
                <w:tcPr>
                  <w:tcW w:w="233" w:type="pct"/>
                  <w:tcBorders>
                    <w:top w:val="nil"/>
                    <w:left w:val="nil"/>
                    <w:bottom w:val="nil"/>
                    <w:right w:val="nil"/>
                  </w:tcBorders>
                  <w:shd w:val="clear" w:color="auto" w:fill="auto"/>
                  <w:noWrap/>
                  <w:vAlign w:val="bottom"/>
                </w:tcPr>
                <w:p>
                  <w:pPr>
                    <w:rPr>
                      <w:color w:val="000000"/>
                      <w:szCs w:val="24"/>
                      <w:lang w:eastAsia="lt-LT"/>
                    </w:rPr>
                  </w:pPr>
                </w:p>
              </w:tc>
              <w:tc>
                <w:tcPr>
                  <w:tcW w:w="234" w:type="pct"/>
                  <w:tcBorders>
                    <w:top w:val="nil"/>
                    <w:left w:val="nil"/>
                    <w:bottom w:val="nil"/>
                    <w:right w:val="nil"/>
                  </w:tcBorders>
                  <w:shd w:val="clear" w:color="auto" w:fill="auto"/>
                  <w:noWrap/>
                  <w:vAlign w:val="bottom"/>
                </w:tcPr>
                <w:p>
                  <w:pPr>
                    <w:rPr>
                      <w:color w:val="000000"/>
                      <w:szCs w:val="24"/>
                      <w:lang w:eastAsia="lt-LT"/>
                    </w:rPr>
                  </w:pPr>
                </w:p>
              </w:tc>
              <w:tc>
                <w:tcPr>
                  <w:tcW w:w="260" w:type="pct"/>
                  <w:tcBorders>
                    <w:top w:val="nil"/>
                    <w:left w:val="nil"/>
                    <w:bottom w:val="nil"/>
                    <w:right w:val="nil"/>
                  </w:tcBorders>
                  <w:shd w:val="clear" w:color="auto" w:fill="auto"/>
                  <w:noWrap/>
                  <w:vAlign w:val="bottom"/>
                </w:tcPr>
                <w:p>
                  <w:pPr>
                    <w:rPr>
                      <w:color w:val="000000"/>
                      <w:szCs w:val="24"/>
                      <w:lang w:eastAsia="lt-LT"/>
                    </w:rPr>
                  </w:pPr>
                </w:p>
              </w:tc>
              <w:tc>
                <w:tcPr>
                  <w:tcW w:w="359" w:type="pct"/>
                  <w:tcBorders>
                    <w:top w:val="nil"/>
                    <w:left w:val="nil"/>
                    <w:bottom w:val="nil"/>
                    <w:right w:val="nil"/>
                  </w:tcBorders>
                  <w:shd w:val="clear" w:color="auto" w:fill="auto"/>
                  <w:noWrap/>
                  <w:vAlign w:val="bottom"/>
                </w:tcPr>
                <w:p>
                  <w:pPr>
                    <w:rPr>
                      <w:color w:val="000000"/>
                      <w:szCs w:val="24"/>
                      <w:lang w:eastAsia="lt-LT"/>
                    </w:rPr>
                  </w:pPr>
                </w:p>
              </w:tc>
              <w:tc>
                <w:tcPr>
                  <w:tcW w:w="708" w:type="pct"/>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72" w:type="pct"/>
                  <w:tcBorders>
                    <w:top w:val="nil"/>
                    <w:left w:val="nil"/>
                    <w:bottom w:val="nil"/>
                    <w:right w:val="nil"/>
                  </w:tcBorders>
                  <w:shd w:val="clear" w:color="auto" w:fill="auto"/>
                  <w:noWrap/>
                  <w:vAlign w:val="bottom"/>
                </w:tcPr>
                <w:p>
                  <w:pPr>
                    <w:rPr>
                      <w:b/>
                      <w:color w:val="000000"/>
                      <w:szCs w:val="24"/>
                      <w:lang w:eastAsia="lt-LT"/>
                    </w:rPr>
                  </w:pPr>
                </w:p>
              </w:tc>
              <w:tc>
                <w:tcPr>
                  <w:tcW w:w="4120" w:type="pct"/>
                  <w:gridSpan w:val="13"/>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u w:val="single"/>
                      <w:lang w:eastAsia="lt-LT"/>
                    </w:rPr>
                    <w:t xml:space="preserve">1.2.13v </w:t>
                  </w:r>
                  <w:r>
                    <w:rPr>
                      <w:b/>
                      <w:bCs/>
                      <w:color w:val="000000"/>
                      <w:szCs w:val="24"/>
                      <w:lang w:eastAsia="lt-LT"/>
                    </w:rPr>
                    <w:t>Veiksmo lėšų poreikis ir finansavimo šaltiniai:</w:t>
                  </w:r>
                </w:p>
              </w:tc>
              <w:tc>
                <w:tcPr>
                  <w:tcW w:w="708" w:type="pct"/>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72" w:type="pct"/>
                  <w:tcBorders>
                    <w:top w:val="nil"/>
                    <w:left w:val="nil"/>
                    <w:bottom w:val="single" w:sz="8" w:space="0" w:color="auto"/>
                    <w:right w:val="nil"/>
                  </w:tcBorders>
                  <w:shd w:val="clear" w:color="auto" w:fill="auto"/>
                  <w:noWrap/>
                  <w:vAlign w:val="bottom"/>
                </w:tcPr>
                <w:p>
                  <w:pPr>
                    <w:rPr>
                      <w:b/>
                      <w:color w:val="000000"/>
                      <w:szCs w:val="24"/>
                      <w:lang w:eastAsia="lt-LT"/>
                    </w:rPr>
                  </w:pPr>
                </w:p>
              </w:tc>
              <w:tc>
                <w:tcPr>
                  <w:tcW w:w="291"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62" w:type="pct"/>
                  <w:tcBorders>
                    <w:top w:val="nil"/>
                    <w:left w:val="nil"/>
                    <w:bottom w:val="nil"/>
                    <w:right w:val="nil"/>
                  </w:tcBorders>
                  <w:shd w:val="clear" w:color="auto" w:fill="auto"/>
                  <w:noWrap/>
                  <w:vAlign w:val="bottom"/>
                </w:tcPr>
                <w:p>
                  <w:pPr>
                    <w:rPr>
                      <w:color w:val="000000"/>
                      <w:szCs w:val="24"/>
                      <w:lang w:eastAsia="lt-LT"/>
                    </w:rPr>
                  </w:pPr>
                </w:p>
              </w:tc>
              <w:tc>
                <w:tcPr>
                  <w:tcW w:w="285" w:type="pct"/>
                  <w:tcBorders>
                    <w:top w:val="nil"/>
                    <w:left w:val="nil"/>
                    <w:bottom w:val="nil"/>
                    <w:right w:val="nil"/>
                  </w:tcBorders>
                  <w:shd w:val="clear" w:color="auto" w:fill="auto"/>
                  <w:noWrap/>
                  <w:vAlign w:val="bottom"/>
                </w:tcPr>
                <w:p>
                  <w:pPr>
                    <w:rPr>
                      <w:color w:val="000000"/>
                      <w:szCs w:val="24"/>
                      <w:lang w:eastAsia="lt-LT"/>
                    </w:rPr>
                  </w:pPr>
                </w:p>
              </w:tc>
              <w:tc>
                <w:tcPr>
                  <w:tcW w:w="302" w:type="pct"/>
                  <w:tcBorders>
                    <w:top w:val="nil"/>
                    <w:left w:val="nil"/>
                    <w:bottom w:val="nil"/>
                    <w:right w:val="nil"/>
                  </w:tcBorders>
                  <w:shd w:val="clear" w:color="auto" w:fill="auto"/>
                  <w:noWrap/>
                  <w:vAlign w:val="bottom"/>
                </w:tcPr>
                <w:p>
                  <w:pPr>
                    <w:rPr>
                      <w:color w:val="000000"/>
                      <w:szCs w:val="24"/>
                      <w:lang w:eastAsia="lt-LT"/>
                    </w:rPr>
                  </w:pPr>
                </w:p>
              </w:tc>
              <w:tc>
                <w:tcPr>
                  <w:tcW w:w="401" w:type="pct"/>
                  <w:tcBorders>
                    <w:top w:val="nil"/>
                    <w:left w:val="nil"/>
                    <w:bottom w:val="nil"/>
                    <w:right w:val="nil"/>
                  </w:tcBorders>
                  <w:shd w:val="clear" w:color="auto" w:fill="auto"/>
                  <w:noWrap/>
                  <w:vAlign w:val="bottom"/>
                </w:tcPr>
                <w:p>
                  <w:pPr>
                    <w:rPr>
                      <w:color w:val="000000"/>
                      <w:szCs w:val="24"/>
                      <w:lang w:eastAsia="lt-LT"/>
                    </w:rPr>
                  </w:pPr>
                </w:p>
              </w:tc>
              <w:tc>
                <w:tcPr>
                  <w:tcW w:w="326" w:type="pct"/>
                  <w:tcBorders>
                    <w:top w:val="nil"/>
                    <w:left w:val="nil"/>
                    <w:bottom w:val="nil"/>
                    <w:right w:val="nil"/>
                  </w:tcBorders>
                  <w:shd w:val="clear" w:color="auto" w:fill="auto"/>
                  <w:noWrap/>
                  <w:vAlign w:val="bottom"/>
                </w:tcPr>
                <w:p>
                  <w:pPr>
                    <w:rPr>
                      <w:color w:val="000000"/>
                      <w:szCs w:val="24"/>
                      <w:lang w:eastAsia="lt-LT"/>
                    </w:rPr>
                  </w:pPr>
                </w:p>
              </w:tc>
              <w:tc>
                <w:tcPr>
                  <w:tcW w:w="317" w:type="pct"/>
                  <w:tcBorders>
                    <w:top w:val="nil"/>
                    <w:left w:val="nil"/>
                    <w:bottom w:val="nil"/>
                    <w:right w:val="nil"/>
                  </w:tcBorders>
                  <w:shd w:val="clear" w:color="auto" w:fill="auto"/>
                  <w:noWrap/>
                  <w:vAlign w:val="bottom"/>
                </w:tcPr>
                <w:p>
                  <w:pPr>
                    <w:rPr>
                      <w:color w:val="000000"/>
                      <w:szCs w:val="24"/>
                      <w:lang w:eastAsia="lt-LT"/>
                    </w:rPr>
                  </w:pPr>
                </w:p>
              </w:tc>
              <w:tc>
                <w:tcPr>
                  <w:tcW w:w="399" w:type="pct"/>
                  <w:tcBorders>
                    <w:top w:val="nil"/>
                    <w:left w:val="nil"/>
                    <w:bottom w:val="nil"/>
                    <w:right w:val="nil"/>
                  </w:tcBorders>
                  <w:shd w:val="clear" w:color="auto" w:fill="auto"/>
                  <w:noWrap/>
                  <w:vAlign w:val="bottom"/>
                </w:tcPr>
                <w:p>
                  <w:pPr>
                    <w:rPr>
                      <w:color w:val="000000"/>
                      <w:szCs w:val="24"/>
                      <w:lang w:eastAsia="lt-LT"/>
                    </w:rPr>
                  </w:pPr>
                </w:p>
              </w:tc>
              <w:tc>
                <w:tcPr>
                  <w:tcW w:w="350" w:type="pct"/>
                  <w:tcBorders>
                    <w:top w:val="nil"/>
                    <w:left w:val="nil"/>
                    <w:bottom w:val="nil"/>
                    <w:right w:val="nil"/>
                  </w:tcBorders>
                  <w:shd w:val="clear" w:color="auto" w:fill="auto"/>
                  <w:noWrap/>
                  <w:vAlign w:val="bottom"/>
                </w:tcPr>
                <w:p>
                  <w:pPr>
                    <w:rPr>
                      <w:color w:val="000000"/>
                      <w:szCs w:val="24"/>
                      <w:lang w:eastAsia="lt-LT"/>
                    </w:rPr>
                  </w:pPr>
                </w:p>
              </w:tc>
              <w:tc>
                <w:tcPr>
                  <w:tcW w:w="233" w:type="pct"/>
                  <w:tcBorders>
                    <w:top w:val="nil"/>
                    <w:left w:val="nil"/>
                    <w:bottom w:val="nil"/>
                    <w:right w:val="nil"/>
                  </w:tcBorders>
                  <w:shd w:val="clear" w:color="auto" w:fill="auto"/>
                  <w:noWrap/>
                  <w:vAlign w:val="bottom"/>
                </w:tcPr>
                <w:p>
                  <w:pPr>
                    <w:rPr>
                      <w:color w:val="000000"/>
                      <w:szCs w:val="24"/>
                      <w:lang w:eastAsia="lt-LT"/>
                    </w:rPr>
                  </w:pPr>
                </w:p>
              </w:tc>
              <w:tc>
                <w:tcPr>
                  <w:tcW w:w="234" w:type="pct"/>
                  <w:tcBorders>
                    <w:top w:val="nil"/>
                    <w:left w:val="nil"/>
                    <w:bottom w:val="nil"/>
                    <w:right w:val="nil"/>
                  </w:tcBorders>
                  <w:shd w:val="clear" w:color="auto" w:fill="auto"/>
                  <w:noWrap/>
                  <w:vAlign w:val="bottom"/>
                </w:tcPr>
                <w:p>
                  <w:pPr>
                    <w:rPr>
                      <w:color w:val="000000"/>
                      <w:szCs w:val="24"/>
                      <w:lang w:eastAsia="lt-LT"/>
                    </w:rPr>
                  </w:pPr>
                </w:p>
              </w:tc>
              <w:tc>
                <w:tcPr>
                  <w:tcW w:w="260" w:type="pct"/>
                  <w:tcBorders>
                    <w:top w:val="nil"/>
                    <w:left w:val="nil"/>
                    <w:bottom w:val="nil"/>
                    <w:right w:val="nil"/>
                  </w:tcBorders>
                  <w:shd w:val="clear" w:color="auto" w:fill="auto"/>
                  <w:noWrap/>
                  <w:vAlign w:val="bottom"/>
                </w:tcPr>
                <w:p>
                  <w:pPr>
                    <w:rPr>
                      <w:color w:val="000000"/>
                      <w:szCs w:val="24"/>
                      <w:lang w:eastAsia="lt-LT"/>
                    </w:rPr>
                  </w:pPr>
                </w:p>
              </w:tc>
              <w:tc>
                <w:tcPr>
                  <w:tcW w:w="359" w:type="pct"/>
                  <w:tcBorders>
                    <w:top w:val="nil"/>
                    <w:left w:val="nil"/>
                    <w:bottom w:val="nil"/>
                    <w:right w:val="nil"/>
                  </w:tcBorders>
                  <w:shd w:val="clear" w:color="auto" w:fill="auto"/>
                  <w:noWrap/>
                  <w:vAlign w:val="bottom"/>
                </w:tcPr>
                <w:p>
                  <w:pPr>
                    <w:rPr>
                      <w:color w:val="000000"/>
                      <w:szCs w:val="24"/>
                      <w:lang w:eastAsia="lt-LT"/>
                    </w:rPr>
                  </w:pPr>
                </w:p>
              </w:tc>
              <w:tc>
                <w:tcPr>
                  <w:tcW w:w="708" w:type="pct"/>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3"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949" w:type="pct"/>
                  <w:gridSpan w:val="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044" w:type="pct"/>
                  <w:gridSpan w:val="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982" w:type="pct"/>
                  <w:gridSpan w:val="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3" w:type="pct"/>
                  <w:gridSpan w:val="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70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3"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6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8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01"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43"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99"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83"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34"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619"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708" w:type="pct"/>
                  <w:vMerge/>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6 544 414</w:t>
                  </w:r>
                </w:p>
              </w:tc>
              <w:tc>
                <w:tcPr>
                  <w:tcW w:w="36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8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01" w:type="pct"/>
                  <w:tcBorders>
                    <w:top w:val="nil"/>
                    <w:left w:val="nil"/>
                    <w:bottom w:val="single" w:sz="8" w:space="0" w:color="auto"/>
                    <w:right w:val="single" w:sz="8" w:space="0" w:color="auto"/>
                  </w:tcBorders>
                  <w:shd w:val="clear" w:color="auto" w:fill="auto"/>
                  <w:noWrap/>
                  <w:vAlign w:val="center"/>
                </w:tcPr>
                <w:p>
                  <w:pPr>
                    <w:jc w:val="right"/>
                    <w:rPr>
                      <w:color w:val="000000"/>
                      <w:sz w:val="22"/>
                      <w:szCs w:val="22"/>
                      <w:lang w:eastAsia="lt-LT"/>
                    </w:rPr>
                  </w:pPr>
                  <w:r>
                    <w:rPr>
                      <w:color w:val="000000"/>
                      <w:sz w:val="22"/>
                      <w:szCs w:val="22"/>
                      <w:lang w:eastAsia="lt-LT"/>
                    </w:rPr>
                    <w:t>1 736 607</w:t>
                  </w:r>
                </w:p>
              </w:tc>
              <w:tc>
                <w:tcPr>
                  <w:tcW w:w="643"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1 736 607</w:t>
                  </w:r>
                </w:p>
              </w:tc>
              <w:tc>
                <w:tcPr>
                  <w:tcW w:w="399"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83"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234"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619"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708"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4 807 807</w:t>
                  </w:r>
                </w:p>
              </w:tc>
            </w:tr>
          </w:tbl>
          <w:p>
            <w:pPr>
              <w:rPr>
                <w:color w:val="000000"/>
                <w:szCs w:val="24"/>
                <w:lang w:eastAsia="lt-LT"/>
              </w:rPr>
            </w:pPr>
          </w:p>
          <w:p>
            <w:pPr>
              <w:rPr>
                <w:color w:val="000000"/>
                <w:szCs w:val="24"/>
                <w:lang w:eastAsia="lt-LT"/>
              </w:rPr>
            </w:pPr>
          </w:p>
          <w:p>
            <w:pPr>
              <w:rPr>
                <w:color w:val="000000"/>
                <w:szCs w:val="24"/>
                <w:lang w:eastAsia="lt-LT"/>
              </w:rPr>
            </w:pPr>
          </w:p>
        </w:tc>
      </w:tr>
      <w:tr>
        <w:trPr>
          <w:trHeight w:val="20"/>
        </w:trPr>
        <w:tc>
          <w:tcPr>
            <w:tcW w:w="47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 pagal 1.2 uždavinį (Eur):</w:t>
            </w:r>
          </w:p>
        </w:tc>
        <w:tc>
          <w:tcPr>
            <w:tcW w:w="939" w:type="pct"/>
            <w:gridSpan w:val="33"/>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Valstybės biudžeto lėšos:</w:t>
            </w:r>
          </w:p>
        </w:tc>
        <w:tc>
          <w:tcPr>
            <w:tcW w:w="1174" w:type="pct"/>
            <w:gridSpan w:val="27"/>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Savivaldybės biudžeto lėšos:</w:t>
            </w:r>
          </w:p>
        </w:tc>
        <w:tc>
          <w:tcPr>
            <w:tcW w:w="938" w:type="pct"/>
            <w:gridSpan w:val="27"/>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Kitos viešosios lėšos:</w:t>
            </w:r>
          </w:p>
        </w:tc>
        <w:tc>
          <w:tcPr>
            <w:tcW w:w="991" w:type="pct"/>
            <w:gridSpan w:val="37"/>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Privačios lėšos:</w:t>
            </w:r>
          </w:p>
        </w:tc>
        <w:tc>
          <w:tcPr>
            <w:tcW w:w="47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ES lėšos</w:t>
            </w:r>
          </w:p>
        </w:tc>
      </w:tr>
      <w:tr>
        <w:trPr>
          <w:trHeight w:val="20"/>
        </w:trPr>
        <w:tc>
          <w:tcPr>
            <w:tcW w:w="47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p>
        </w:tc>
        <w:tc>
          <w:tcPr>
            <w:tcW w:w="387" w:type="pct"/>
            <w:gridSpan w:val="13"/>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52" w:type="pct"/>
            <w:gridSpan w:val="20"/>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469" w:type="pct"/>
            <w:gridSpan w:val="13"/>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705" w:type="pct"/>
            <w:gridSpan w:val="14"/>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429" w:type="pct"/>
            <w:gridSpan w:val="14"/>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08" w:type="pct"/>
            <w:gridSpan w:val="13"/>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423" w:type="pct"/>
            <w:gridSpan w:val="13"/>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68" w:type="pct"/>
            <w:gridSpan w:val="24"/>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47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p>
        </w:tc>
      </w:tr>
      <w:tr>
        <w:trPr>
          <w:trHeight w:val="20"/>
        </w:trPr>
        <w:tc>
          <w:tcPr>
            <w:tcW w:w="47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bCs/>
                <w:strike/>
                <w:color w:val="000000"/>
                <w:sz w:val="22"/>
                <w:szCs w:val="22"/>
                <w:highlight w:val="lightGray"/>
                <w:lang w:eastAsia="lt-LT"/>
              </w:rPr>
            </w:pPr>
          </w:p>
          <w:p>
            <w:pPr>
              <w:jc w:val="right"/>
              <w:rPr>
                <w:rFonts w:eastAsia="Calibri"/>
                <w:b/>
                <w:bCs/>
                <w:color w:val="000000"/>
                <w:sz w:val="22"/>
                <w:szCs w:val="22"/>
                <w:lang w:eastAsia="lt-LT"/>
              </w:rPr>
            </w:pPr>
            <w:r>
              <w:rPr>
                <w:rFonts w:eastAsia="Calibri"/>
                <w:b/>
                <w:bCs/>
                <w:color w:val="000000"/>
                <w:sz w:val="22"/>
                <w:szCs w:val="22"/>
                <w:lang w:eastAsia="lt-LT"/>
              </w:rPr>
              <w:t>19 013 569</w:t>
            </w:r>
          </w:p>
        </w:tc>
        <w:tc>
          <w:tcPr>
            <w:tcW w:w="387" w:type="pct"/>
            <w:gridSpan w:val="13"/>
            <w:tcBorders>
              <w:top w:val="nil"/>
              <w:left w:val="nil"/>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217 038</w:t>
            </w:r>
          </w:p>
        </w:tc>
        <w:tc>
          <w:tcPr>
            <w:tcW w:w="552" w:type="pct"/>
            <w:gridSpan w:val="20"/>
            <w:tcBorders>
              <w:top w:val="single" w:sz="4" w:space="0" w:color="auto"/>
              <w:left w:val="nil"/>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217 038</w:t>
            </w:r>
          </w:p>
        </w:tc>
        <w:tc>
          <w:tcPr>
            <w:tcW w:w="469" w:type="pct"/>
            <w:gridSpan w:val="13"/>
            <w:tcBorders>
              <w:top w:val="nil"/>
              <w:left w:val="nil"/>
              <w:bottom w:val="single" w:sz="4" w:space="0" w:color="auto"/>
              <w:right w:val="single" w:sz="4" w:space="0" w:color="auto"/>
            </w:tcBorders>
            <w:shd w:val="clear" w:color="auto" w:fill="auto"/>
          </w:tcPr>
          <w:p>
            <w:pPr>
              <w:rPr>
                <w:b/>
                <w:strike/>
                <w:color w:val="000000"/>
                <w:sz w:val="22"/>
                <w:szCs w:val="22"/>
                <w:highlight w:val="lightGray"/>
                <w:lang w:eastAsia="lt-LT"/>
              </w:rPr>
            </w:pPr>
          </w:p>
          <w:p>
            <w:pPr>
              <w:jc w:val="right"/>
              <w:rPr>
                <w:rFonts w:eastAsia="Calibri"/>
                <w:b/>
                <w:color w:val="000000"/>
                <w:sz w:val="22"/>
                <w:szCs w:val="22"/>
                <w:highlight w:val="lightGray"/>
                <w:lang w:eastAsia="lt-LT"/>
              </w:rPr>
            </w:pPr>
            <w:r>
              <w:rPr>
                <w:rFonts w:eastAsia="Calibri"/>
                <w:b/>
                <w:color w:val="000000"/>
                <w:sz w:val="22"/>
                <w:szCs w:val="22"/>
                <w:lang w:eastAsia="lt-LT"/>
              </w:rPr>
              <w:t>2 080 273</w:t>
            </w:r>
          </w:p>
        </w:tc>
        <w:tc>
          <w:tcPr>
            <w:tcW w:w="705" w:type="pct"/>
            <w:gridSpan w:val="14"/>
            <w:tcBorders>
              <w:top w:val="single" w:sz="4" w:space="0" w:color="auto"/>
              <w:left w:val="nil"/>
              <w:bottom w:val="single" w:sz="4" w:space="0" w:color="auto"/>
              <w:right w:val="single" w:sz="4" w:space="0" w:color="auto"/>
            </w:tcBorders>
            <w:shd w:val="clear" w:color="auto" w:fill="auto"/>
          </w:tcPr>
          <w:p>
            <w:pPr>
              <w:rPr>
                <w:b/>
                <w:strike/>
                <w:color w:val="000000"/>
                <w:sz w:val="22"/>
                <w:szCs w:val="22"/>
                <w:highlight w:val="lightGray"/>
                <w:lang w:eastAsia="lt-LT"/>
              </w:rPr>
            </w:pPr>
          </w:p>
          <w:p>
            <w:pPr>
              <w:jc w:val="right"/>
              <w:rPr>
                <w:rFonts w:eastAsia="Calibri"/>
                <w:b/>
                <w:strike/>
                <w:color w:val="000000"/>
                <w:sz w:val="22"/>
                <w:szCs w:val="22"/>
                <w:highlight w:val="lightGray"/>
                <w:lang w:eastAsia="lt-LT"/>
              </w:rPr>
            </w:pPr>
            <w:r>
              <w:rPr>
                <w:rFonts w:eastAsia="Calibri"/>
                <w:b/>
                <w:color w:val="000000"/>
                <w:sz w:val="22"/>
                <w:szCs w:val="22"/>
                <w:lang w:eastAsia="lt-LT"/>
              </w:rPr>
              <w:t>2 080 273</w:t>
            </w:r>
          </w:p>
        </w:tc>
        <w:tc>
          <w:tcPr>
            <w:tcW w:w="429" w:type="pct"/>
            <w:gridSpan w:val="14"/>
            <w:tcBorders>
              <w:top w:val="nil"/>
              <w:left w:val="nil"/>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2 864 660</w:t>
            </w:r>
          </w:p>
        </w:tc>
        <w:tc>
          <w:tcPr>
            <w:tcW w:w="508" w:type="pct"/>
            <w:gridSpan w:val="13"/>
            <w:tcBorders>
              <w:top w:val="single" w:sz="4" w:space="0" w:color="auto"/>
              <w:left w:val="nil"/>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1 645 475</w:t>
            </w:r>
          </w:p>
        </w:tc>
        <w:tc>
          <w:tcPr>
            <w:tcW w:w="423" w:type="pct"/>
            <w:gridSpan w:val="13"/>
            <w:tcBorders>
              <w:top w:val="nil"/>
              <w:left w:val="nil"/>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0</w:t>
            </w:r>
          </w:p>
        </w:tc>
        <w:tc>
          <w:tcPr>
            <w:tcW w:w="568" w:type="pct"/>
            <w:gridSpan w:val="24"/>
            <w:tcBorders>
              <w:top w:val="single" w:sz="4" w:space="0" w:color="auto"/>
              <w:left w:val="nil"/>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0</w:t>
            </w:r>
          </w:p>
        </w:tc>
        <w:tc>
          <w:tcPr>
            <w:tcW w:w="470" w:type="pct"/>
            <w:gridSpan w:val="11"/>
            <w:tcBorders>
              <w:top w:val="nil"/>
              <w:left w:val="nil"/>
              <w:bottom w:val="single" w:sz="4" w:space="0" w:color="auto"/>
              <w:right w:val="single" w:sz="4" w:space="0" w:color="auto"/>
            </w:tcBorders>
            <w:shd w:val="clear" w:color="auto" w:fill="auto"/>
          </w:tcPr>
          <w:p>
            <w:pPr>
              <w:rPr>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13 851 598</w:t>
            </w:r>
          </w:p>
        </w:tc>
      </w:tr>
      <w:tr>
        <w:trPr>
          <w:gridAfter w:val="3"/>
          <w:wAfter w:w="211" w:type="pct"/>
          <w:trHeight w:val="20"/>
        </w:trPr>
        <w:tc>
          <w:tcPr>
            <w:tcW w:w="353" w:type="pct"/>
            <w:gridSpan w:val="9"/>
            <w:tcBorders>
              <w:top w:val="nil"/>
              <w:left w:val="nil"/>
              <w:bottom w:val="nil"/>
              <w:right w:val="nil"/>
            </w:tcBorders>
            <w:shd w:val="clear" w:color="auto" w:fill="auto"/>
            <w:noWrap/>
            <w:vAlign w:val="bottom"/>
          </w:tcPr>
          <w:p>
            <w:pPr>
              <w:rPr>
                <w:color w:val="000000"/>
                <w:szCs w:val="24"/>
                <w:lang w:eastAsia="lt-LT"/>
              </w:rPr>
            </w:pPr>
          </w:p>
        </w:tc>
        <w:tc>
          <w:tcPr>
            <w:tcW w:w="116" w:type="pct"/>
            <w:gridSpan w:val="2"/>
            <w:tcBorders>
              <w:top w:val="nil"/>
              <w:left w:val="nil"/>
              <w:bottom w:val="nil"/>
              <w:right w:val="nil"/>
            </w:tcBorders>
            <w:shd w:val="clear" w:color="auto" w:fill="auto"/>
            <w:vAlign w:val="center"/>
          </w:tcPr>
          <w:p>
            <w:pPr>
              <w:jc w:val="center"/>
              <w:rPr>
                <w:color w:val="000000"/>
                <w:szCs w:val="24"/>
                <w:lang w:eastAsia="lt-LT"/>
              </w:rPr>
            </w:pPr>
          </w:p>
        </w:tc>
        <w:tc>
          <w:tcPr>
            <w:tcW w:w="127" w:type="pct"/>
            <w:gridSpan w:val="5"/>
            <w:tcBorders>
              <w:top w:val="nil"/>
              <w:left w:val="nil"/>
              <w:bottom w:val="nil"/>
              <w:right w:val="nil"/>
            </w:tcBorders>
            <w:shd w:val="clear" w:color="auto" w:fill="auto"/>
            <w:vAlign w:val="center"/>
          </w:tcPr>
          <w:p>
            <w:pPr>
              <w:jc w:val="center"/>
              <w:rPr>
                <w:color w:val="000000"/>
                <w:szCs w:val="24"/>
                <w:lang w:eastAsia="lt-LT"/>
              </w:rPr>
            </w:pPr>
          </w:p>
        </w:tc>
        <w:tc>
          <w:tcPr>
            <w:tcW w:w="206" w:type="pct"/>
            <w:gridSpan w:val="7"/>
            <w:tcBorders>
              <w:top w:val="nil"/>
              <w:left w:val="nil"/>
              <w:bottom w:val="nil"/>
              <w:right w:val="nil"/>
            </w:tcBorders>
            <w:shd w:val="clear" w:color="auto" w:fill="auto"/>
            <w:vAlign w:val="center"/>
          </w:tcPr>
          <w:p>
            <w:pPr>
              <w:jc w:val="center"/>
              <w:rPr>
                <w:color w:val="000000"/>
                <w:szCs w:val="24"/>
                <w:lang w:eastAsia="lt-LT"/>
              </w:rPr>
            </w:pPr>
          </w:p>
        </w:tc>
        <w:tc>
          <w:tcPr>
            <w:tcW w:w="371" w:type="pct"/>
            <w:gridSpan w:val="15"/>
            <w:tcBorders>
              <w:top w:val="nil"/>
              <w:left w:val="nil"/>
              <w:bottom w:val="nil"/>
              <w:right w:val="nil"/>
            </w:tcBorders>
            <w:shd w:val="clear" w:color="auto" w:fill="auto"/>
            <w:vAlign w:val="center"/>
          </w:tcPr>
          <w:p>
            <w:pPr>
              <w:jc w:val="center"/>
              <w:rPr>
                <w:color w:val="000000"/>
                <w:szCs w:val="24"/>
                <w:lang w:eastAsia="lt-LT"/>
              </w:rPr>
            </w:pPr>
          </w:p>
        </w:tc>
        <w:tc>
          <w:tcPr>
            <w:tcW w:w="84" w:type="pct"/>
            <w:gridSpan w:val="3"/>
            <w:tcBorders>
              <w:top w:val="nil"/>
              <w:left w:val="nil"/>
              <w:bottom w:val="nil"/>
              <w:right w:val="nil"/>
            </w:tcBorders>
            <w:shd w:val="clear" w:color="auto" w:fill="auto"/>
            <w:vAlign w:val="center"/>
          </w:tcPr>
          <w:p>
            <w:pPr>
              <w:jc w:val="center"/>
              <w:rPr>
                <w:color w:val="000000"/>
                <w:szCs w:val="24"/>
                <w:lang w:eastAsia="lt-LT"/>
              </w:rPr>
            </w:pPr>
          </w:p>
        </w:tc>
        <w:tc>
          <w:tcPr>
            <w:tcW w:w="601" w:type="pct"/>
            <w:gridSpan w:val="11"/>
            <w:tcBorders>
              <w:top w:val="nil"/>
              <w:left w:val="nil"/>
              <w:bottom w:val="nil"/>
              <w:right w:val="nil"/>
            </w:tcBorders>
            <w:shd w:val="clear" w:color="auto" w:fill="auto"/>
            <w:vAlign w:val="center"/>
          </w:tcPr>
          <w:p>
            <w:pPr>
              <w:jc w:val="center"/>
              <w:rPr>
                <w:color w:val="000000"/>
                <w:szCs w:val="24"/>
                <w:lang w:eastAsia="lt-LT"/>
              </w:rPr>
            </w:pPr>
          </w:p>
        </w:tc>
        <w:tc>
          <w:tcPr>
            <w:tcW w:w="214" w:type="pct"/>
            <w:gridSpan w:val="14"/>
            <w:tcBorders>
              <w:top w:val="nil"/>
              <w:left w:val="nil"/>
              <w:bottom w:val="nil"/>
              <w:right w:val="nil"/>
            </w:tcBorders>
            <w:shd w:val="clear" w:color="auto" w:fill="auto"/>
            <w:vAlign w:val="center"/>
          </w:tcPr>
          <w:p>
            <w:pPr>
              <w:jc w:val="center"/>
              <w:rPr>
                <w:color w:val="000000"/>
                <w:szCs w:val="24"/>
                <w:lang w:eastAsia="lt-LT"/>
              </w:rPr>
            </w:pPr>
          </w:p>
        </w:tc>
        <w:tc>
          <w:tcPr>
            <w:tcW w:w="664" w:type="pct"/>
            <w:gridSpan w:val="11"/>
            <w:tcBorders>
              <w:top w:val="nil"/>
              <w:left w:val="nil"/>
              <w:bottom w:val="nil"/>
              <w:right w:val="nil"/>
            </w:tcBorders>
            <w:shd w:val="clear" w:color="auto" w:fill="auto"/>
            <w:vAlign w:val="center"/>
          </w:tcPr>
          <w:p>
            <w:pPr>
              <w:jc w:val="center"/>
              <w:rPr>
                <w:color w:val="000000"/>
                <w:szCs w:val="24"/>
                <w:lang w:eastAsia="lt-LT"/>
              </w:rPr>
            </w:pPr>
          </w:p>
        </w:tc>
        <w:tc>
          <w:tcPr>
            <w:tcW w:w="288" w:type="pct"/>
            <w:gridSpan w:val="9"/>
            <w:tcBorders>
              <w:top w:val="nil"/>
              <w:left w:val="nil"/>
              <w:bottom w:val="nil"/>
              <w:right w:val="nil"/>
            </w:tcBorders>
            <w:shd w:val="clear" w:color="auto" w:fill="auto"/>
            <w:vAlign w:val="center"/>
          </w:tcPr>
          <w:p>
            <w:pPr>
              <w:jc w:val="center"/>
              <w:rPr>
                <w:color w:val="000000"/>
                <w:szCs w:val="24"/>
                <w:lang w:eastAsia="lt-LT"/>
              </w:rPr>
            </w:pPr>
          </w:p>
        </w:tc>
        <w:tc>
          <w:tcPr>
            <w:tcW w:w="461" w:type="pct"/>
            <w:gridSpan w:val="11"/>
            <w:tcBorders>
              <w:top w:val="nil"/>
              <w:left w:val="nil"/>
              <w:bottom w:val="nil"/>
              <w:right w:val="nil"/>
            </w:tcBorders>
            <w:shd w:val="clear" w:color="auto" w:fill="auto"/>
            <w:vAlign w:val="center"/>
          </w:tcPr>
          <w:p>
            <w:pPr>
              <w:jc w:val="center"/>
              <w:rPr>
                <w:color w:val="000000"/>
                <w:szCs w:val="24"/>
                <w:lang w:eastAsia="lt-LT"/>
              </w:rPr>
            </w:pPr>
          </w:p>
        </w:tc>
        <w:tc>
          <w:tcPr>
            <w:tcW w:w="120" w:type="pct"/>
            <w:gridSpan w:val="5"/>
            <w:tcBorders>
              <w:top w:val="nil"/>
              <w:left w:val="nil"/>
              <w:bottom w:val="nil"/>
              <w:right w:val="nil"/>
            </w:tcBorders>
            <w:shd w:val="clear" w:color="auto" w:fill="auto"/>
            <w:vAlign w:val="center"/>
          </w:tcPr>
          <w:p>
            <w:pPr>
              <w:jc w:val="center"/>
              <w:rPr>
                <w:color w:val="000000"/>
                <w:szCs w:val="24"/>
                <w:lang w:eastAsia="lt-LT"/>
              </w:rPr>
            </w:pPr>
          </w:p>
        </w:tc>
        <w:tc>
          <w:tcPr>
            <w:tcW w:w="462" w:type="pct"/>
            <w:gridSpan w:val="13"/>
            <w:tcBorders>
              <w:top w:val="nil"/>
              <w:left w:val="nil"/>
              <w:bottom w:val="nil"/>
              <w:right w:val="nil"/>
            </w:tcBorders>
            <w:shd w:val="clear" w:color="auto" w:fill="auto"/>
            <w:vAlign w:val="center"/>
          </w:tcPr>
          <w:p>
            <w:pPr>
              <w:jc w:val="center"/>
              <w:rPr>
                <w:color w:val="000000"/>
                <w:szCs w:val="24"/>
                <w:lang w:eastAsia="lt-LT"/>
              </w:rPr>
            </w:pPr>
          </w:p>
        </w:tc>
        <w:tc>
          <w:tcPr>
            <w:tcW w:w="85" w:type="pct"/>
            <w:gridSpan w:val="8"/>
            <w:tcBorders>
              <w:top w:val="nil"/>
              <w:left w:val="nil"/>
              <w:bottom w:val="nil"/>
              <w:right w:val="nil"/>
            </w:tcBorders>
            <w:shd w:val="clear" w:color="auto" w:fill="auto"/>
            <w:vAlign w:val="center"/>
          </w:tcPr>
          <w:p>
            <w:pPr>
              <w:jc w:val="center"/>
              <w:rPr>
                <w:color w:val="000000"/>
                <w:szCs w:val="24"/>
                <w:lang w:eastAsia="lt-LT"/>
              </w:rPr>
            </w:pPr>
          </w:p>
        </w:tc>
        <w:tc>
          <w:tcPr>
            <w:tcW w:w="552" w:type="pct"/>
            <w:gridSpan w:val="17"/>
            <w:tcBorders>
              <w:top w:val="nil"/>
              <w:left w:val="nil"/>
              <w:bottom w:val="nil"/>
              <w:right w:val="nil"/>
            </w:tcBorders>
            <w:shd w:val="clear" w:color="auto" w:fill="auto"/>
            <w:vAlign w:val="center"/>
          </w:tcPr>
          <w:p>
            <w:pPr>
              <w:jc w:val="center"/>
              <w:rPr>
                <w:color w:val="000000"/>
                <w:szCs w:val="24"/>
                <w:lang w:eastAsia="lt-LT"/>
              </w:rPr>
            </w:pPr>
          </w:p>
        </w:tc>
        <w:tc>
          <w:tcPr>
            <w:tcW w:w="84" w:type="pct"/>
            <w:gridSpan w:val="3"/>
            <w:tcBorders>
              <w:top w:val="nil"/>
              <w:left w:val="nil"/>
              <w:bottom w:val="nil"/>
              <w:right w:val="nil"/>
            </w:tcBorders>
            <w:shd w:val="clear" w:color="auto" w:fill="auto"/>
            <w:vAlign w:val="center"/>
          </w:tcPr>
          <w:p>
            <w:pPr>
              <w:jc w:val="center"/>
              <w:rPr>
                <w:color w:val="000000"/>
                <w:szCs w:val="24"/>
                <w:lang w:eastAsia="lt-LT"/>
              </w:rPr>
            </w:pPr>
          </w:p>
        </w:tc>
      </w:tr>
      <w:tr>
        <w:trPr>
          <w:trHeight w:val="20"/>
        </w:trPr>
        <w:tc>
          <w:tcPr>
            <w:tcW w:w="158" w:type="pct"/>
            <w:gridSpan w:val="5"/>
            <w:tcBorders>
              <w:top w:val="nil"/>
              <w:left w:val="nil"/>
              <w:bottom w:val="nil"/>
              <w:right w:val="nil"/>
            </w:tcBorders>
            <w:shd w:val="clear" w:color="auto" w:fill="auto"/>
            <w:noWrap/>
            <w:vAlign w:val="bottom"/>
          </w:tcPr>
          <w:p>
            <w:pPr>
              <w:rPr>
                <w:color w:val="000000"/>
                <w:szCs w:val="24"/>
                <w:lang w:eastAsia="lt-LT"/>
              </w:rPr>
            </w:pPr>
          </w:p>
        </w:tc>
        <w:tc>
          <w:tcPr>
            <w:tcW w:w="4818" w:type="pct"/>
            <w:gridSpan w:val="141"/>
            <w:tcBorders>
              <w:top w:val="nil"/>
              <w:left w:val="nil"/>
              <w:bottom w:val="nil"/>
              <w:right w:val="nil"/>
            </w:tcBorders>
            <w:shd w:val="clear" w:color="auto" w:fill="auto"/>
            <w:noWrap/>
            <w:vAlign w:val="center"/>
          </w:tcPr>
          <w:p>
            <w:pPr>
              <w:rPr>
                <w:b/>
                <w:bCs/>
                <w:color w:val="000000"/>
                <w:szCs w:val="24"/>
                <w:u w:val="single"/>
                <w:lang w:eastAsia="lt-LT"/>
              </w:rPr>
            </w:pPr>
            <w:r>
              <w:rPr>
                <w:b/>
                <w:bCs/>
                <w:color w:val="000000"/>
                <w:szCs w:val="24"/>
                <w:u w:val="single"/>
                <w:lang w:eastAsia="lt-LT"/>
              </w:rPr>
              <w:t>1.3. Uždavinys: Mažinti socialinę atskirtį, skatinant socialiai pažeidžiamų grupių integraciją ir sveiką gyvenimo būdą</w:t>
            </w:r>
          </w:p>
        </w:tc>
      </w:tr>
      <w:tr>
        <w:trPr>
          <w:trHeight w:val="20"/>
        </w:trPr>
        <w:tc>
          <w:tcPr>
            <w:tcW w:w="158" w:type="pct"/>
            <w:gridSpan w:val="5"/>
            <w:tcBorders>
              <w:top w:val="nil"/>
              <w:left w:val="nil"/>
              <w:bottom w:val="nil"/>
              <w:right w:val="nil"/>
            </w:tcBorders>
            <w:shd w:val="clear" w:color="auto" w:fill="auto"/>
            <w:noWrap/>
            <w:vAlign w:val="bottom"/>
          </w:tcPr>
          <w:p>
            <w:pPr>
              <w:rPr>
                <w:color w:val="000000"/>
                <w:szCs w:val="24"/>
                <w:lang w:eastAsia="lt-LT"/>
              </w:rPr>
            </w:pPr>
          </w:p>
        </w:tc>
        <w:tc>
          <w:tcPr>
            <w:tcW w:w="4818" w:type="pct"/>
            <w:gridSpan w:val="141"/>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1.3.1v veiksmas: Kauno kartų namų (Sąjungos a. 13A) infrastruktūros modernizavimas ir pritaikymas senyvo amžiaus asmenims</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SADM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8.1.1. Padidinti bendruomenėje teikiamų socialinių paslaugų dalį pereinant nuo institucinės globos prie bendruomeninių paslaugų</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1.3.1v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1 288 841</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193 326</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193 326</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1 095 515</w:t>
            </w:r>
          </w:p>
        </w:tc>
      </w:tr>
      <w:tr>
        <w:trPr>
          <w:trHeight w:val="6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481"/>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1.3.2v veiksmas: Energetiškai efektyvių būstų įsigijimas pagal socialinio būsto fondo plėtros programą</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SADM</w:t>
            </w:r>
          </w:p>
        </w:tc>
        <w:tc>
          <w:tcPr>
            <w:tcW w:w="1740" w:type="pct"/>
            <w:gridSpan w:val="54"/>
            <w:tcBorders>
              <w:top w:val="single" w:sz="8" w:space="0" w:color="auto"/>
              <w:left w:val="nil"/>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8.1.2. Padidinti socialinio būsto prieinamumą pažeidžiamiausioms gyventojų grupėms</w:t>
            </w:r>
          </w:p>
        </w:tc>
        <w:tc>
          <w:tcPr>
            <w:tcW w:w="47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single" w:sz="4" w:space="0" w:color="auto"/>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1.3.2v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6 716 939</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1 007 541</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1 007 541</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5 709 398</w:t>
            </w:r>
          </w:p>
        </w:tc>
      </w:tr>
      <w:tr>
        <w:trPr>
          <w:trHeight w:val="20"/>
        </w:trPr>
        <w:tc>
          <w:tcPr>
            <w:tcW w:w="4976" w:type="pct"/>
            <w:gridSpan w:val="146"/>
            <w:tcBorders>
              <w:top w:val="single" w:sz="8" w:space="0" w:color="auto"/>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1.3.3v veiksmas: Žaliakalnio NVO multifunkcinio centro įrengimas (Savanorių pr. 241A), pritaikant pastatą visuomenės poreikiams, siekiant aktyvinti bendruomenių socialinę, kultūrinę veiklą bei skatinti verslumą</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VRM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1.3.3v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1 500 000</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112 500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112 500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112 500</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112 500</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1 275 000</w:t>
            </w:r>
          </w:p>
        </w:tc>
      </w:tr>
      <w:tr>
        <w:trPr>
          <w:trHeight w:val="146"/>
        </w:trPr>
        <w:tc>
          <w:tcPr>
            <w:tcW w:w="158" w:type="pct"/>
            <w:gridSpan w:val="4"/>
            <w:tcBorders>
              <w:top w:val="nil"/>
              <w:left w:val="nil"/>
              <w:bottom w:val="nil"/>
              <w:right w:val="nil"/>
            </w:tcBorders>
            <w:shd w:val="clear" w:color="auto" w:fill="auto"/>
            <w:noWrap/>
            <w:vAlign w:val="center"/>
          </w:tcPr>
          <w:p>
            <w:pPr>
              <w:rPr>
                <w:color w:val="000000"/>
                <w:szCs w:val="24"/>
                <w:lang w:eastAsia="lt-LT"/>
              </w:rPr>
            </w:pPr>
          </w:p>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1.3.4v veiksmas: Kauno kultūros centro „Tautos namai“ infrastruktūros pritaikymas vietos bendruomenės reikmėms</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kultūros centras „Tautos namai“</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KM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7.1.1. Padidinti ūkinės veiklos įvairovę ir pagerinti sąlygas investicijų pritraukimui, siekiant kurti naujas darbo vietas tikslinėse teritorijose (miestuose)</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1.3.4v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1 027 512</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154 127</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154 127</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873 385</w:t>
            </w:r>
          </w:p>
        </w:tc>
      </w:tr>
      <w:tr>
        <w:trPr>
          <w:gridAfter w:val="4"/>
          <w:wAfter w:w="211" w:type="pct"/>
          <w:trHeight w:val="20"/>
        </w:trPr>
        <w:tc>
          <w:tcPr>
            <w:tcW w:w="353" w:type="pct"/>
            <w:gridSpan w:val="8"/>
            <w:tcBorders>
              <w:top w:val="nil"/>
              <w:left w:val="nil"/>
              <w:bottom w:val="nil"/>
              <w:right w:val="nil"/>
            </w:tcBorders>
            <w:shd w:val="clear" w:color="auto" w:fill="auto"/>
            <w:noWrap/>
            <w:vAlign w:val="center"/>
          </w:tcPr>
          <w:p>
            <w:pPr>
              <w:jc w:val="right"/>
              <w:rPr>
                <w:color w:val="000000"/>
                <w:szCs w:val="24"/>
                <w:lang w:eastAsia="lt-LT"/>
              </w:rPr>
            </w:pPr>
          </w:p>
        </w:tc>
        <w:tc>
          <w:tcPr>
            <w:tcW w:w="116"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127" w:type="pct"/>
            <w:gridSpan w:val="5"/>
            <w:tcBorders>
              <w:top w:val="nil"/>
              <w:left w:val="nil"/>
              <w:bottom w:val="nil"/>
              <w:right w:val="nil"/>
            </w:tcBorders>
            <w:shd w:val="clear" w:color="auto" w:fill="auto"/>
            <w:noWrap/>
            <w:vAlign w:val="center"/>
          </w:tcPr>
          <w:p>
            <w:pPr>
              <w:jc w:val="right"/>
              <w:rPr>
                <w:color w:val="000000"/>
                <w:szCs w:val="24"/>
                <w:lang w:eastAsia="lt-LT"/>
              </w:rPr>
            </w:pPr>
          </w:p>
        </w:tc>
        <w:tc>
          <w:tcPr>
            <w:tcW w:w="206" w:type="pct"/>
            <w:gridSpan w:val="7"/>
            <w:tcBorders>
              <w:top w:val="nil"/>
              <w:left w:val="nil"/>
              <w:bottom w:val="nil"/>
              <w:right w:val="nil"/>
            </w:tcBorders>
            <w:shd w:val="clear" w:color="auto" w:fill="auto"/>
            <w:noWrap/>
            <w:vAlign w:val="center"/>
          </w:tcPr>
          <w:p>
            <w:pPr>
              <w:jc w:val="right"/>
              <w:rPr>
                <w:color w:val="000000"/>
                <w:szCs w:val="24"/>
                <w:lang w:eastAsia="lt-LT"/>
              </w:rPr>
            </w:pPr>
          </w:p>
        </w:tc>
        <w:tc>
          <w:tcPr>
            <w:tcW w:w="371" w:type="pct"/>
            <w:gridSpan w:val="15"/>
            <w:tcBorders>
              <w:top w:val="nil"/>
              <w:left w:val="nil"/>
              <w:bottom w:val="nil"/>
              <w:right w:val="nil"/>
            </w:tcBorders>
            <w:shd w:val="clear" w:color="auto" w:fill="auto"/>
            <w:noWrap/>
            <w:vAlign w:val="center"/>
          </w:tcPr>
          <w:p>
            <w:pPr>
              <w:jc w:val="right"/>
              <w:rPr>
                <w:color w:val="000000"/>
                <w:szCs w:val="24"/>
                <w:lang w:eastAsia="lt-LT"/>
              </w:rPr>
            </w:pPr>
          </w:p>
        </w:tc>
        <w:tc>
          <w:tcPr>
            <w:tcW w:w="84" w:type="pct"/>
            <w:gridSpan w:val="3"/>
            <w:tcBorders>
              <w:top w:val="nil"/>
              <w:left w:val="nil"/>
              <w:bottom w:val="nil"/>
              <w:right w:val="nil"/>
            </w:tcBorders>
            <w:shd w:val="clear" w:color="auto" w:fill="auto"/>
            <w:noWrap/>
            <w:vAlign w:val="center"/>
          </w:tcPr>
          <w:p>
            <w:pPr>
              <w:jc w:val="right"/>
              <w:rPr>
                <w:color w:val="000000"/>
                <w:szCs w:val="24"/>
                <w:lang w:eastAsia="lt-LT"/>
              </w:rPr>
            </w:pPr>
          </w:p>
        </w:tc>
        <w:tc>
          <w:tcPr>
            <w:tcW w:w="601" w:type="pct"/>
            <w:gridSpan w:val="11"/>
            <w:tcBorders>
              <w:top w:val="nil"/>
              <w:left w:val="nil"/>
              <w:bottom w:val="nil"/>
              <w:right w:val="nil"/>
            </w:tcBorders>
            <w:shd w:val="clear" w:color="auto" w:fill="auto"/>
            <w:noWrap/>
            <w:vAlign w:val="center"/>
          </w:tcPr>
          <w:p>
            <w:pPr>
              <w:jc w:val="right"/>
              <w:rPr>
                <w:color w:val="000000"/>
                <w:szCs w:val="24"/>
                <w:lang w:eastAsia="lt-LT"/>
              </w:rPr>
            </w:pPr>
          </w:p>
        </w:tc>
        <w:tc>
          <w:tcPr>
            <w:tcW w:w="214" w:type="pct"/>
            <w:gridSpan w:val="14"/>
            <w:tcBorders>
              <w:top w:val="nil"/>
              <w:left w:val="nil"/>
              <w:bottom w:val="nil"/>
              <w:right w:val="nil"/>
            </w:tcBorders>
            <w:shd w:val="clear" w:color="auto" w:fill="auto"/>
            <w:noWrap/>
            <w:vAlign w:val="center"/>
          </w:tcPr>
          <w:p>
            <w:pPr>
              <w:jc w:val="right"/>
              <w:rPr>
                <w:color w:val="000000"/>
                <w:szCs w:val="24"/>
                <w:lang w:eastAsia="lt-LT"/>
              </w:rPr>
            </w:pPr>
          </w:p>
        </w:tc>
        <w:tc>
          <w:tcPr>
            <w:tcW w:w="664" w:type="pct"/>
            <w:gridSpan w:val="10"/>
            <w:tcBorders>
              <w:top w:val="nil"/>
              <w:left w:val="nil"/>
              <w:bottom w:val="nil"/>
              <w:right w:val="nil"/>
            </w:tcBorders>
            <w:shd w:val="clear" w:color="auto" w:fill="auto"/>
            <w:noWrap/>
            <w:vAlign w:val="center"/>
          </w:tcPr>
          <w:p>
            <w:pPr>
              <w:jc w:val="right"/>
              <w:rPr>
                <w:color w:val="000000"/>
                <w:szCs w:val="24"/>
                <w:lang w:eastAsia="lt-LT"/>
              </w:rPr>
            </w:pPr>
          </w:p>
        </w:tc>
        <w:tc>
          <w:tcPr>
            <w:tcW w:w="288" w:type="pct"/>
            <w:gridSpan w:val="12"/>
            <w:tcBorders>
              <w:top w:val="nil"/>
              <w:left w:val="nil"/>
              <w:bottom w:val="nil"/>
              <w:right w:val="nil"/>
            </w:tcBorders>
            <w:shd w:val="clear" w:color="auto" w:fill="auto"/>
            <w:noWrap/>
            <w:vAlign w:val="center"/>
          </w:tcPr>
          <w:p>
            <w:pPr>
              <w:jc w:val="right"/>
              <w:rPr>
                <w:color w:val="000000"/>
                <w:szCs w:val="24"/>
                <w:lang w:eastAsia="lt-LT"/>
              </w:rPr>
            </w:pPr>
          </w:p>
        </w:tc>
        <w:tc>
          <w:tcPr>
            <w:tcW w:w="461" w:type="pct"/>
            <w:gridSpan w:val="9"/>
            <w:tcBorders>
              <w:top w:val="nil"/>
              <w:left w:val="nil"/>
              <w:bottom w:val="nil"/>
              <w:right w:val="nil"/>
            </w:tcBorders>
            <w:shd w:val="clear" w:color="auto" w:fill="auto"/>
            <w:noWrap/>
            <w:vAlign w:val="center"/>
          </w:tcPr>
          <w:p>
            <w:pPr>
              <w:jc w:val="right"/>
              <w:rPr>
                <w:color w:val="000000"/>
                <w:szCs w:val="24"/>
                <w:lang w:eastAsia="lt-LT"/>
              </w:rPr>
            </w:pPr>
          </w:p>
        </w:tc>
        <w:tc>
          <w:tcPr>
            <w:tcW w:w="120" w:type="pct"/>
            <w:gridSpan w:val="5"/>
            <w:tcBorders>
              <w:top w:val="nil"/>
              <w:left w:val="nil"/>
              <w:bottom w:val="nil"/>
              <w:right w:val="nil"/>
            </w:tcBorders>
            <w:shd w:val="clear" w:color="auto" w:fill="auto"/>
            <w:noWrap/>
            <w:vAlign w:val="center"/>
          </w:tcPr>
          <w:p>
            <w:pPr>
              <w:jc w:val="right"/>
              <w:rPr>
                <w:color w:val="000000"/>
                <w:szCs w:val="24"/>
                <w:lang w:eastAsia="lt-LT"/>
              </w:rPr>
            </w:pPr>
          </w:p>
        </w:tc>
        <w:tc>
          <w:tcPr>
            <w:tcW w:w="462" w:type="pct"/>
            <w:gridSpan w:val="13"/>
            <w:tcBorders>
              <w:top w:val="nil"/>
              <w:left w:val="nil"/>
              <w:bottom w:val="nil"/>
              <w:right w:val="nil"/>
            </w:tcBorders>
            <w:shd w:val="clear" w:color="auto" w:fill="auto"/>
            <w:noWrap/>
            <w:vAlign w:val="center"/>
          </w:tcPr>
          <w:p>
            <w:pPr>
              <w:jc w:val="right"/>
              <w:rPr>
                <w:color w:val="000000"/>
                <w:szCs w:val="24"/>
                <w:lang w:eastAsia="lt-LT"/>
              </w:rPr>
            </w:pPr>
          </w:p>
        </w:tc>
        <w:tc>
          <w:tcPr>
            <w:tcW w:w="85" w:type="pct"/>
            <w:gridSpan w:val="8"/>
            <w:tcBorders>
              <w:top w:val="nil"/>
              <w:left w:val="nil"/>
              <w:bottom w:val="nil"/>
              <w:right w:val="nil"/>
            </w:tcBorders>
            <w:shd w:val="clear" w:color="auto" w:fill="auto"/>
            <w:noWrap/>
            <w:vAlign w:val="center"/>
          </w:tcPr>
          <w:p>
            <w:pPr>
              <w:jc w:val="right"/>
              <w:rPr>
                <w:color w:val="000000"/>
                <w:szCs w:val="24"/>
                <w:lang w:eastAsia="lt-LT"/>
              </w:rPr>
            </w:pPr>
          </w:p>
        </w:tc>
        <w:tc>
          <w:tcPr>
            <w:tcW w:w="552" w:type="pct"/>
            <w:gridSpan w:val="17"/>
            <w:tcBorders>
              <w:top w:val="nil"/>
              <w:left w:val="nil"/>
              <w:bottom w:val="nil"/>
              <w:right w:val="nil"/>
            </w:tcBorders>
            <w:shd w:val="clear" w:color="auto" w:fill="auto"/>
            <w:noWrap/>
            <w:vAlign w:val="center"/>
          </w:tcPr>
          <w:p>
            <w:pPr>
              <w:jc w:val="right"/>
              <w:rPr>
                <w:color w:val="000000"/>
                <w:szCs w:val="24"/>
                <w:lang w:eastAsia="lt-LT"/>
              </w:rPr>
            </w:pPr>
          </w:p>
        </w:tc>
        <w:tc>
          <w:tcPr>
            <w:tcW w:w="84" w:type="pct"/>
            <w:gridSpan w:val="3"/>
            <w:tcBorders>
              <w:top w:val="nil"/>
              <w:left w:val="nil"/>
              <w:bottom w:val="nil"/>
              <w:right w:val="nil"/>
            </w:tcBorders>
            <w:shd w:val="clear" w:color="auto" w:fill="auto"/>
            <w:noWrap/>
            <w:vAlign w:val="center"/>
          </w:tcPr>
          <w:p>
            <w:pPr>
              <w:jc w:val="right"/>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center"/>
          </w:tcPr>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1.3.5v veiksmas: Vyresnio amžiaus žmonių sveikatos gerinimas ir sveiko senėjimo skatinimas Kauno mieste</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1.3.5v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17 841</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2 676</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2 676</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15 165</w:t>
            </w:r>
          </w:p>
        </w:tc>
      </w:tr>
      <w:tr>
        <w:trPr>
          <w:trHeight w:val="20"/>
        </w:trPr>
        <w:tc>
          <w:tcPr>
            <w:tcW w:w="158" w:type="pct"/>
            <w:gridSpan w:val="4"/>
            <w:tcBorders>
              <w:top w:val="nil"/>
              <w:left w:val="nil"/>
              <w:bottom w:val="nil"/>
              <w:right w:val="nil"/>
            </w:tcBorders>
            <w:shd w:val="clear" w:color="auto" w:fill="auto"/>
            <w:noWrap/>
            <w:vAlign w:val="center"/>
          </w:tcPr>
          <w:p>
            <w:pPr>
              <w:rPr>
                <w:color w:val="000000"/>
                <w:szCs w:val="24"/>
                <w:lang w:eastAsia="lt-LT"/>
              </w:rPr>
            </w:pPr>
          </w:p>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1.3.6v veiksmas: Psichikos sveikatos gerinimas vyresniame amžiuje Kauno mieste</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1.3.6v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21 406</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3 211</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3 211</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18 195</w:t>
            </w:r>
          </w:p>
        </w:tc>
      </w:tr>
      <w:tr>
        <w:trPr>
          <w:trHeight w:val="20"/>
        </w:trPr>
        <w:tc>
          <w:tcPr>
            <w:tcW w:w="158" w:type="pct"/>
            <w:gridSpan w:val="4"/>
            <w:tcBorders>
              <w:top w:val="single" w:sz="8" w:space="0" w:color="auto"/>
              <w:left w:val="nil"/>
              <w:bottom w:val="nil"/>
              <w:right w:val="nil"/>
            </w:tcBorders>
            <w:shd w:val="clear" w:color="auto" w:fill="auto"/>
            <w:noWrap/>
            <w:vAlign w:val="center"/>
          </w:tcPr>
          <w:p>
            <w:pPr>
              <w:rPr>
                <w:color w:val="000000"/>
                <w:szCs w:val="24"/>
                <w:lang w:eastAsia="lt-LT"/>
              </w:rPr>
            </w:pPr>
          </w:p>
        </w:tc>
        <w:tc>
          <w:tcPr>
            <w:tcW w:w="4818" w:type="pct"/>
            <w:gridSpan w:val="142"/>
            <w:tcBorders>
              <w:top w:val="single" w:sz="8" w:space="0" w:color="auto"/>
              <w:left w:val="nil"/>
              <w:bottom w:val="nil"/>
              <w:right w:val="nil"/>
            </w:tcBorders>
            <w:shd w:val="clear" w:color="auto" w:fill="auto"/>
            <w:noWrap/>
            <w:vAlign w:val="center"/>
          </w:tcPr>
          <w:p>
            <w:pPr>
              <w:rPr>
                <w:b/>
                <w:bCs/>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center"/>
          </w:tcPr>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1.3.7v veiksmas: Informacijos sklaida siekiant gerinti Kauno miesto gyventojų žinias apie tuberkuliozės keliamą grėsmę, ypatingą dėmesį skiriant pasiekti rizikos grupėse esančius gyventojus</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1.3.7v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28 541</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4 281</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4 281</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24 260</w:t>
            </w:r>
          </w:p>
        </w:tc>
      </w:tr>
      <w:tr>
        <w:trPr>
          <w:trHeight w:val="20"/>
        </w:trPr>
        <w:tc>
          <w:tcPr>
            <w:tcW w:w="158" w:type="pct"/>
            <w:gridSpan w:val="4"/>
            <w:tcBorders>
              <w:top w:val="nil"/>
              <w:left w:val="nil"/>
              <w:bottom w:val="nil"/>
              <w:right w:val="nil"/>
            </w:tcBorders>
            <w:shd w:val="clear" w:color="auto" w:fill="auto"/>
            <w:noWrap/>
            <w:vAlign w:val="center"/>
          </w:tcPr>
          <w:p>
            <w:pPr>
              <w:rPr>
                <w:color w:val="000000"/>
                <w:szCs w:val="24"/>
                <w:lang w:eastAsia="lt-LT"/>
              </w:rPr>
            </w:pPr>
          </w:p>
          <w:p>
            <w:pPr>
              <w:rPr>
                <w:color w:val="000000"/>
                <w:szCs w:val="24"/>
                <w:lang w:eastAsia="lt-LT"/>
              </w:rPr>
            </w:pPr>
          </w:p>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1.3.8v veiksmas: Vaikų, lankančių Kauno ikimokyklines ugdymo įstaigas sveikatos saugojimas ir stiprinimas </w:t>
            </w:r>
            <w:r>
              <w:rPr>
                <w:bCs/>
                <w:color w:val="000000"/>
                <w:szCs w:val="24"/>
                <w:lang w:eastAsia="lt-LT"/>
              </w:rPr>
              <w:t>(vykdant Kauno miesto vaikų statistiškai vyraujančių ligų prevenciją, įgyvendinant sveikos gyvensenos stiprinimo ir ugdymo iniciatyvas)</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818" w:type="pct"/>
            <w:gridSpan w:val="142"/>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1.3.8v Veiksmo lėšų poreikis ir finansavimo šaltiniai:</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14 271</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2 141</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2 141</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12 130</w:t>
            </w:r>
          </w:p>
        </w:tc>
      </w:tr>
      <w:tr>
        <w:trPr>
          <w:gridAfter w:val="4"/>
          <w:wAfter w:w="211" w:type="pct"/>
          <w:trHeight w:val="20"/>
        </w:trPr>
        <w:tc>
          <w:tcPr>
            <w:tcW w:w="353" w:type="pct"/>
            <w:gridSpan w:val="8"/>
            <w:tcBorders>
              <w:top w:val="nil"/>
              <w:left w:val="nil"/>
              <w:bottom w:val="nil"/>
              <w:right w:val="nil"/>
            </w:tcBorders>
            <w:shd w:val="clear" w:color="auto" w:fill="auto"/>
            <w:noWrap/>
            <w:vAlign w:val="center"/>
          </w:tcPr>
          <w:p>
            <w:pPr>
              <w:jc w:val="right"/>
              <w:rPr>
                <w:color w:val="000000"/>
                <w:szCs w:val="24"/>
                <w:lang w:eastAsia="lt-LT"/>
              </w:rPr>
            </w:pPr>
          </w:p>
        </w:tc>
        <w:tc>
          <w:tcPr>
            <w:tcW w:w="116"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127" w:type="pct"/>
            <w:gridSpan w:val="5"/>
            <w:tcBorders>
              <w:top w:val="nil"/>
              <w:left w:val="nil"/>
              <w:bottom w:val="nil"/>
              <w:right w:val="nil"/>
            </w:tcBorders>
            <w:shd w:val="clear" w:color="auto" w:fill="auto"/>
            <w:noWrap/>
            <w:vAlign w:val="center"/>
          </w:tcPr>
          <w:p>
            <w:pPr>
              <w:jc w:val="right"/>
              <w:rPr>
                <w:color w:val="000000"/>
                <w:szCs w:val="24"/>
                <w:lang w:eastAsia="lt-LT"/>
              </w:rPr>
            </w:pPr>
          </w:p>
        </w:tc>
        <w:tc>
          <w:tcPr>
            <w:tcW w:w="206" w:type="pct"/>
            <w:gridSpan w:val="7"/>
            <w:tcBorders>
              <w:top w:val="nil"/>
              <w:left w:val="nil"/>
              <w:bottom w:val="nil"/>
              <w:right w:val="nil"/>
            </w:tcBorders>
            <w:shd w:val="clear" w:color="auto" w:fill="auto"/>
            <w:noWrap/>
            <w:vAlign w:val="center"/>
          </w:tcPr>
          <w:p>
            <w:pPr>
              <w:jc w:val="right"/>
              <w:rPr>
                <w:color w:val="000000"/>
                <w:szCs w:val="24"/>
                <w:lang w:eastAsia="lt-LT"/>
              </w:rPr>
            </w:pPr>
          </w:p>
        </w:tc>
        <w:tc>
          <w:tcPr>
            <w:tcW w:w="371" w:type="pct"/>
            <w:gridSpan w:val="15"/>
            <w:tcBorders>
              <w:top w:val="nil"/>
              <w:left w:val="nil"/>
              <w:bottom w:val="nil"/>
              <w:right w:val="nil"/>
            </w:tcBorders>
            <w:shd w:val="clear" w:color="auto" w:fill="auto"/>
            <w:noWrap/>
            <w:vAlign w:val="center"/>
          </w:tcPr>
          <w:p>
            <w:pPr>
              <w:jc w:val="right"/>
              <w:rPr>
                <w:color w:val="000000"/>
                <w:szCs w:val="24"/>
                <w:lang w:eastAsia="lt-LT"/>
              </w:rPr>
            </w:pPr>
          </w:p>
        </w:tc>
        <w:tc>
          <w:tcPr>
            <w:tcW w:w="84" w:type="pct"/>
            <w:gridSpan w:val="3"/>
            <w:tcBorders>
              <w:top w:val="nil"/>
              <w:left w:val="nil"/>
              <w:bottom w:val="nil"/>
              <w:right w:val="nil"/>
            </w:tcBorders>
            <w:shd w:val="clear" w:color="auto" w:fill="auto"/>
            <w:noWrap/>
            <w:vAlign w:val="center"/>
          </w:tcPr>
          <w:p>
            <w:pPr>
              <w:jc w:val="right"/>
              <w:rPr>
                <w:color w:val="000000"/>
                <w:szCs w:val="24"/>
                <w:lang w:eastAsia="lt-LT"/>
              </w:rPr>
            </w:pPr>
          </w:p>
        </w:tc>
        <w:tc>
          <w:tcPr>
            <w:tcW w:w="601" w:type="pct"/>
            <w:gridSpan w:val="11"/>
            <w:tcBorders>
              <w:top w:val="nil"/>
              <w:left w:val="nil"/>
              <w:bottom w:val="nil"/>
              <w:right w:val="nil"/>
            </w:tcBorders>
            <w:shd w:val="clear" w:color="auto" w:fill="auto"/>
            <w:noWrap/>
            <w:vAlign w:val="center"/>
          </w:tcPr>
          <w:p>
            <w:pPr>
              <w:jc w:val="right"/>
              <w:rPr>
                <w:color w:val="000000"/>
                <w:szCs w:val="24"/>
                <w:lang w:eastAsia="lt-LT"/>
              </w:rPr>
            </w:pPr>
          </w:p>
        </w:tc>
        <w:tc>
          <w:tcPr>
            <w:tcW w:w="214" w:type="pct"/>
            <w:gridSpan w:val="14"/>
            <w:tcBorders>
              <w:top w:val="nil"/>
              <w:left w:val="nil"/>
              <w:bottom w:val="nil"/>
              <w:right w:val="nil"/>
            </w:tcBorders>
            <w:shd w:val="clear" w:color="auto" w:fill="auto"/>
            <w:noWrap/>
            <w:vAlign w:val="center"/>
          </w:tcPr>
          <w:p>
            <w:pPr>
              <w:jc w:val="right"/>
              <w:rPr>
                <w:color w:val="000000"/>
                <w:szCs w:val="24"/>
                <w:lang w:eastAsia="lt-LT"/>
              </w:rPr>
            </w:pPr>
          </w:p>
        </w:tc>
        <w:tc>
          <w:tcPr>
            <w:tcW w:w="664" w:type="pct"/>
            <w:gridSpan w:val="10"/>
            <w:tcBorders>
              <w:top w:val="nil"/>
              <w:left w:val="nil"/>
              <w:bottom w:val="nil"/>
              <w:right w:val="nil"/>
            </w:tcBorders>
            <w:shd w:val="clear" w:color="auto" w:fill="auto"/>
            <w:noWrap/>
            <w:vAlign w:val="center"/>
          </w:tcPr>
          <w:p>
            <w:pPr>
              <w:jc w:val="right"/>
              <w:rPr>
                <w:color w:val="000000"/>
                <w:szCs w:val="24"/>
                <w:lang w:eastAsia="lt-LT"/>
              </w:rPr>
            </w:pPr>
          </w:p>
        </w:tc>
        <w:tc>
          <w:tcPr>
            <w:tcW w:w="288" w:type="pct"/>
            <w:gridSpan w:val="12"/>
            <w:tcBorders>
              <w:top w:val="nil"/>
              <w:left w:val="nil"/>
              <w:bottom w:val="nil"/>
              <w:right w:val="nil"/>
            </w:tcBorders>
            <w:shd w:val="clear" w:color="auto" w:fill="auto"/>
            <w:noWrap/>
            <w:vAlign w:val="center"/>
          </w:tcPr>
          <w:p>
            <w:pPr>
              <w:jc w:val="right"/>
              <w:rPr>
                <w:color w:val="000000"/>
                <w:szCs w:val="24"/>
                <w:lang w:eastAsia="lt-LT"/>
              </w:rPr>
            </w:pPr>
          </w:p>
        </w:tc>
        <w:tc>
          <w:tcPr>
            <w:tcW w:w="461" w:type="pct"/>
            <w:gridSpan w:val="9"/>
            <w:tcBorders>
              <w:top w:val="nil"/>
              <w:left w:val="nil"/>
              <w:bottom w:val="nil"/>
              <w:right w:val="nil"/>
            </w:tcBorders>
            <w:shd w:val="clear" w:color="auto" w:fill="auto"/>
            <w:noWrap/>
            <w:vAlign w:val="center"/>
          </w:tcPr>
          <w:p>
            <w:pPr>
              <w:jc w:val="right"/>
              <w:rPr>
                <w:color w:val="000000"/>
                <w:szCs w:val="24"/>
                <w:lang w:eastAsia="lt-LT"/>
              </w:rPr>
            </w:pPr>
          </w:p>
        </w:tc>
        <w:tc>
          <w:tcPr>
            <w:tcW w:w="120" w:type="pct"/>
            <w:gridSpan w:val="5"/>
            <w:tcBorders>
              <w:top w:val="nil"/>
              <w:left w:val="nil"/>
              <w:bottom w:val="nil"/>
              <w:right w:val="nil"/>
            </w:tcBorders>
            <w:shd w:val="clear" w:color="auto" w:fill="auto"/>
            <w:noWrap/>
            <w:vAlign w:val="center"/>
          </w:tcPr>
          <w:p>
            <w:pPr>
              <w:jc w:val="right"/>
              <w:rPr>
                <w:color w:val="000000"/>
                <w:szCs w:val="24"/>
                <w:lang w:eastAsia="lt-LT"/>
              </w:rPr>
            </w:pPr>
          </w:p>
        </w:tc>
        <w:tc>
          <w:tcPr>
            <w:tcW w:w="462" w:type="pct"/>
            <w:gridSpan w:val="13"/>
            <w:tcBorders>
              <w:top w:val="nil"/>
              <w:left w:val="nil"/>
              <w:bottom w:val="nil"/>
              <w:right w:val="nil"/>
            </w:tcBorders>
            <w:shd w:val="clear" w:color="auto" w:fill="auto"/>
            <w:noWrap/>
            <w:vAlign w:val="center"/>
          </w:tcPr>
          <w:p>
            <w:pPr>
              <w:jc w:val="right"/>
              <w:rPr>
                <w:color w:val="000000"/>
                <w:szCs w:val="24"/>
                <w:lang w:eastAsia="lt-LT"/>
              </w:rPr>
            </w:pPr>
          </w:p>
        </w:tc>
        <w:tc>
          <w:tcPr>
            <w:tcW w:w="85" w:type="pct"/>
            <w:gridSpan w:val="8"/>
            <w:tcBorders>
              <w:top w:val="nil"/>
              <w:left w:val="nil"/>
              <w:bottom w:val="nil"/>
              <w:right w:val="nil"/>
            </w:tcBorders>
            <w:shd w:val="clear" w:color="auto" w:fill="auto"/>
            <w:noWrap/>
            <w:vAlign w:val="center"/>
          </w:tcPr>
          <w:p>
            <w:pPr>
              <w:jc w:val="right"/>
              <w:rPr>
                <w:color w:val="000000"/>
                <w:szCs w:val="24"/>
                <w:lang w:eastAsia="lt-LT"/>
              </w:rPr>
            </w:pPr>
          </w:p>
        </w:tc>
        <w:tc>
          <w:tcPr>
            <w:tcW w:w="552" w:type="pct"/>
            <w:gridSpan w:val="17"/>
            <w:tcBorders>
              <w:top w:val="nil"/>
              <w:left w:val="nil"/>
              <w:bottom w:val="nil"/>
              <w:right w:val="nil"/>
            </w:tcBorders>
            <w:shd w:val="clear" w:color="auto" w:fill="auto"/>
            <w:noWrap/>
            <w:vAlign w:val="center"/>
          </w:tcPr>
          <w:p>
            <w:pPr>
              <w:jc w:val="right"/>
              <w:rPr>
                <w:color w:val="000000"/>
                <w:szCs w:val="24"/>
                <w:lang w:eastAsia="lt-LT"/>
              </w:rPr>
            </w:pPr>
          </w:p>
        </w:tc>
        <w:tc>
          <w:tcPr>
            <w:tcW w:w="84" w:type="pct"/>
            <w:gridSpan w:val="3"/>
            <w:tcBorders>
              <w:top w:val="nil"/>
              <w:left w:val="nil"/>
              <w:bottom w:val="nil"/>
              <w:right w:val="nil"/>
            </w:tcBorders>
            <w:shd w:val="clear" w:color="auto" w:fill="auto"/>
            <w:noWrap/>
            <w:vAlign w:val="center"/>
          </w:tcPr>
          <w:p>
            <w:pPr>
              <w:jc w:val="right"/>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center"/>
          </w:tcPr>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1.3.9v veiksmas: Vyresnių nei 60 metų gyventojų sveikatos saugojimas ir stiprinimas, vykdant griuvimų prevenciją Kauno mieste</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47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single" w:sz="4" w:space="0" w:color="auto"/>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1.3.9v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28 541</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4 281</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4 281</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24 260</w:t>
            </w:r>
          </w:p>
        </w:tc>
      </w:tr>
      <w:tr>
        <w:trPr>
          <w:trHeight w:val="20"/>
        </w:trPr>
        <w:tc>
          <w:tcPr>
            <w:tcW w:w="158" w:type="pct"/>
            <w:gridSpan w:val="4"/>
            <w:tcBorders>
              <w:top w:val="nil"/>
              <w:left w:val="nil"/>
              <w:bottom w:val="nil"/>
              <w:right w:val="nil"/>
            </w:tcBorders>
            <w:shd w:val="clear" w:color="auto" w:fill="auto"/>
            <w:noWrap/>
            <w:vAlign w:val="center"/>
          </w:tcPr>
          <w:p>
            <w:pPr>
              <w:rPr>
                <w:color w:val="000000"/>
                <w:szCs w:val="24"/>
                <w:lang w:eastAsia="lt-LT"/>
              </w:rPr>
            </w:pPr>
          </w:p>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p>
          <w:p>
            <w:pPr>
              <w:rPr>
                <w:b/>
                <w:bCs/>
                <w:color w:val="000000"/>
                <w:szCs w:val="24"/>
                <w:u w:val="single"/>
                <w:lang w:eastAsia="lt-LT"/>
              </w:rPr>
            </w:pPr>
            <w:r>
              <w:rPr>
                <w:b/>
                <w:bCs/>
                <w:color w:val="000000"/>
                <w:szCs w:val="24"/>
                <w:u w:val="single"/>
                <w:lang w:eastAsia="lt-LT"/>
              </w:rPr>
              <w:t>1.3.10v veiksmas: Vaikų sveikatos saugojimas ir stiprinimas, vykdant nelaimingų atsitikimų, sužalojimų, traumų ir skendimų prevenciją Kauno mieste</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Kauno miesto savivaldybės visuomenės sveikatos biuras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8.4.2. Sumažinti sveikatos netolygumus, gerinant sveikatos priežiūros kokybę ir prieinamumą tikslinėms gyventojų grupėms ir skatinti sveiką senėjimą</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1.3.10v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28 541</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4 281</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4 281</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24 260</w:t>
            </w:r>
          </w:p>
        </w:tc>
      </w:tr>
      <w:tr>
        <w:trPr>
          <w:trHeight w:val="20"/>
        </w:trPr>
        <w:tc>
          <w:tcPr>
            <w:tcW w:w="4976" w:type="pct"/>
            <w:gridSpan w:val="146"/>
            <w:tcBorders>
              <w:top w:val="single" w:sz="8" w:space="0" w:color="auto"/>
              <w:left w:val="nil"/>
              <w:bottom w:val="nil"/>
              <w:right w:val="nil"/>
            </w:tcBorders>
            <w:shd w:val="clear" w:color="auto" w:fill="auto"/>
            <w:noWrap/>
            <w:vAlign w:val="center"/>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1.3.11v veiksmas: Pirminės sveikatos priežiūros paslaugų neįgaliesiems ir vyresnio amžiaus asmenims kokybės ir prieinamumo gerinimas VšĮ Kauno Centro poliklinikoje </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VšĮ Kauno Centro poliklinika</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8.1.3. Pagerinti sveikatos priežiūros kokybę ir prieinamumą tikslinėms gyventojų grupėms bei sumažinti sveikatos netolygumus</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1.3.11v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886 360</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132 960</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132 960</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753 400</w:t>
            </w: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p>
            <w:pPr>
              <w:rPr>
                <w:color w:val="000000"/>
                <w:szCs w:val="24"/>
                <w:lang w:eastAsia="lt-LT"/>
              </w:rPr>
            </w:pPr>
          </w:p>
        </w:tc>
        <w:tc>
          <w:tcPr>
            <w:tcW w:w="4818" w:type="pct"/>
            <w:gridSpan w:val="142"/>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1.3.12v veiksmas: Viešosios įstaigos Kauno Kalniečių poliklinikos efektyvios ir kokybiškos sveikatos priežiūros prieinamumo gerinimas neįgaliesiems ir vyresnio amžiaus žmonėms</w:t>
            </w: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604"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803" w:type="pct"/>
            <w:gridSpan w:val="23"/>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0" w:type="pct"/>
            <w:gridSpan w:val="12"/>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04"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803" w:type="pct"/>
            <w:gridSpan w:val="2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VšĮ Kauno Kalniečių poliklinika</w:t>
            </w:r>
          </w:p>
        </w:tc>
        <w:tc>
          <w:tcPr>
            <w:tcW w:w="888" w:type="pct"/>
            <w:gridSpan w:val="2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SAM</w:t>
            </w:r>
          </w:p>
        </w:tc>
        <w:tc>
          <w:tcPr>
            <w:tcW w:w="1740" w:type="pct"/>
            <w:gridSpan w:val="5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8.1.3. Pagerinti sveikatos priežiūros kokybę ir prieinamumą tikslinėms gyventojų grupėms bei sumažinti sveikatos netolygumus</w:t>
            </w:r>
          </w:p>
        </w:tc>
        <w:tc>
          <w:tcPr>
            <w:tcW w:w="470" w:type="pct"/>
            <w:gridSpan w:val="12"/>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158" w:type="pct"/>
            <w:gridSpan w:val="4"/>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6"/>
            <w:tcBorders>
              <w:top w:val="single" w:sz="8" w:space="0" w:color="auto"/>
              <w:left w:val="nil"/>
              <w:bottom w:val="nil"/>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nil"/>
              <w:right w:val="nil"/>
            </w:tcBorders>
            <w:shd w:val="clear" w:color="auto" w:fill="auto"/>
            <w:noWrap/>
            <w:vAlign w:val="bottom"/>
          </w:tcPr>
          <w:p>
            <w:pPr>
              <w:rPr>
                <w:color w:val="000000"/>
                <w:szCs w:val="24"/>
                <w:lang w:eastAsia="lt-LT"/>
              </w:rPr>
            </w:pPr>
          </w:p>
        </w:tc>
        <w:tc>
          <w:tcPr>
            <w:tcW w:w="4348" w:type="pct"/>
            <w:gridSpan w:val="130"/>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1.3.12v Veiksmo lėšų poreikis ir finansavimo šaltiniai:</w:t>
            </w:r>
          </w:p>
        </w:tc>
        <w:tc>
          <w:tcPr>
            <w:tcW w:w="470" w:type="pct"/>
            <w:gridSpan w:val="12"/>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158" w:type="pct"/>
            <w:gridSpan w:val="4"/>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6"/>
            <w:tcBorders>
              <w:top w:val="nil"/>
              <w:left w:val="nil"/>
              <w:bottom w:val="single" w:sz="8" w:space="0" w:color="auto"/>
              <w:right w:val="nil"/>
            </w:tcBorders>
            <w:shd w:val="clear" w:color="auto" w:fill="auto"/>
            <w:noWrap/>
            <w:vAlign w:val="bottom"/>
          </w:tcPr>
          <w:p>
            <w:pPr>
              <w:rPr>
                <w:color w:val="000000"/>
                <w:szCs w:val="24"/>
                <w:lang w:eastAsia="lt-LT"/>
              </w:rPr>
            </w:pPr>
          </w:p>
        </w:tc>
        <w:tc>
          <w:tcPr>
            <w:tcW w:w="321" w:type="pct"/>
            <w:gridSpan w:val="11"/>
            <w:tcBorders>
              <w:top w:val="nil"/>
              <w:left w:val="nil"/>
              <w:bottom w:val="nil"/>
              <w:right w:val="nil"/>
            </w:tcBorders>
            <w:shd w:val="clear" w:color="auto" w:fill="auto"/>
            <w:noWrap/>
            <w:vAlign w:val="bottom"/>
          </w:tcPr>
          <w:p>
            <w:pPr>
              <w:rPr>
                <w:color w:val="000000"/>
                <w:szCs w:val="24"/>
                <w:lang w:eastAsia="lt-LT"/>
              </w:rPr>
            </w:pPr>
          </w:p>
        </w:tc>
        <w:tc>
          <w:tcPr>
            <w:tcW w:w="284" w:type="pct"/>
            <w:gridSpan w:val="12"/>
            <w:tcBorders>
              <w:top w:val="nil"/>
              <w:left w:val="nil"/>
              <w:bottom w:val="nil"/>
              <w:right w:val="nil"/>
            </w:tcBorders>
            <w:shd w:val="clear" w:color="auto" w:fill="auto"/>
            <w:noWrap/>
            <w:vAlign w:val="bottom"/>
          </w:tcPr>
          <w:p>
            <w:pPr>
              <w:rPr>
                <w:color w:val="000000"/>
                <w:szCs w:val="24"/>
                <w:lang w:eastAsia="lt-LT"/>
              </w:rPr>
            </w:pPr>
          </w:p>
        </w:tc>
        <w:tc>
          <w:tcPr>
            <w:tcW w:w="268" w:type="pct"/>
            <w:gridSpan w:val="10"/>
            <w:tcBorders>
              <w:top w:val="nil"/>
              <w:left w:val="nil"/>
              <w:bottom w:val="nil"/>
              <w:right w:val="nil"/>
            </w:tcBorders>
            <w:shd w:val="clear" w:color="auto" w:fill="auto"/>
            <w:noWrap/>
            <w:vAlign w:val="bottom"/>
          </w:tcPr>
          <w:p>
            <w:pPr>
              <w:rPr>
                <w:color w:val="000000"/>
                <w:szCs w:val="24"/>
                <w:lang w:eastAsia="lt-LT"/>
              </w:rPr>
            </w:pPr>
          </w:p>
        </w:tc>
        <w:tc>
          <w:tcPr>
            <w:tcW w:w="535" w:type="pct"/>
            <w:gridSpan w:val="13"/>
            <w:tcBorders>
              <w:top w:val="nil"/>
              <w:left w:val="nil"/>
              <w:bottom w:val="nil"/>
              <w:right w:val="nil"/>
            </w:tcBorders>
            <w:shd w:val="clear" w:color="auto" w:fill="auto"/>
            <w:noWrap/>
            <w:vAlign w:val="bottom"/>
          </w:tcPr>
          <w:p>
            <w:pPr>
              <w:rPr>
                <w:color w:val="000000"/>
                <w:szCs w:val="24"/>
                <w:lang w:eastAsia="lt-LT"/>
              </w:rPr>
            </w:pPr>
          </w:p>
        </w:tc>
        <w:tc>
          <w:tcPr>
            <w:tcW w:w="99" w:type="pct"/>
            <w:gridSpan w:val="7"/>
            <w:tcBorders>
              <w:top w:val="nil"/>
              <w:left w:val="nil"/>
              <w:bottom w:val="nil"/>
              <w:right w:val="nil"/>
            </w:tcBorders>
            <w:shd w:val="clear" w:color="auto" w:fill="auto"/>
            <w:noWrap/>
            <w:vAlign w:val="bottom"/>
          </w:tcPr>
          <w:p>
            <w:pPr>
              <w:rPr>
                <w:color w:val="000000"/>
                <w:szCs w:val="24"/>
                <w:lang w:eastAsia="lt-LT"/>
              </w:rPr>
            </w:pPr>
          </w:p>
        </w:tc>
        <w:tc>
          <w:tcPr>
            <w:tcW w:w="760" w:type="pct"/>
            <w:gridSpan w:val="12"/>
            <w:tcBorders>
              <w:top w:val="nil"/>
              <w:left w:val="nil"/>
              <w:bottom w:val="nil"/>
              <w:right w:val="nil"/>
            </w:tcBorders>
            <w:shd w:val="clear" w:color="auto" w:fill="auto"/>
            <w:noWrap/>
            <w:vAlign w:val="bottom"/>
          </w:tcPr>
          <w:p>
            <w:pPr>
              <w:rPr>
                <w:color w:val="000000"/>
                <w:szCs w:val="24"/>
                <w:lang w:eastAsia="lt-LT"/>
              </w:rPr>
            </w:pPr>
          </w:p>
        </w:tc>
        <w:tc>
          <w:tcPr>
            <w:tcW w:w="288" w:type="pct"/>
            <w:gridSpan w:val="12"/>
            <w:tcBorders>
              <w:top w:val="nil"/>
              <w:left w:val="nil"/>
              <w:bottom w:val="nil"/>
              <w:right w:val="nil"/>
            </w:tcBorders>
            <w:shd w:val="clear" w:color="auto" w:fill="auto"/>
            <w:noWrap/>
            <w:vAlign w:val="bottom"/>
          </w:tcPr>
          <w:p>
            <w:pPr>
              <w:rPr>
                <w:color w:val="000000"/>
                <w:szCs w:val="24"/>
                <w:lang w:eastAsia="lt-LT"/>
              </w:rPr>
            </w:pPr>
          </w:p>
        </w:tc>
        <w:tc>
          <w:tcPr>
            <w:tcW w:w="159" w:type="pct"/>
            <w:gridSpan w:val="6"/>
            <w:tcBorders>
              <w:top w:val="nil"/>
              <w:left w:val="nil"/>
              <w:bottom w:val="nil"/>
              <w:right w:val="nil"/>
            </w:tcBorders>
            <w:shd w:val="clear" w:color="auto" w:fill="auto"/>
            <w:noWrap/>
            <w:vAlign w:val="bottom"/>
          </w:tcPr>
          <w:p>
            <w:pPr>
              <w:rPr>
                <w:color w:val="000000"/>
                <w:szCs w:val="24"/>
                <w:lang w:eastAsia="lt-LT"/>
              </w:rPr>
            </w:pPr>
          </w:p>
        </w:tc>
        <w:tc>
          <w:tcPr>
            <w:tcW w:w="303" w:type="pct"/>
            <w:gridSpan w:val="3"/>
            <w:tcBorders>
              <w:top w:val="nil"/>
              <w:left w:val="nil"/>
              <w:bottom w:val="nil"/>
              <w:right w:val="nil"/>
            </w:tcBorders>
            <w:shd w:val="clear" w:color="auto" w:fill="auto"/>
            <w:noWrap/>
            <w:vAlign w:val="bottom"/>
          </w:tcPr>
          <w:p>
            <w:pPr>
              <w:rPr>
                <w:color w:val="000000"/>
                <w:szCs w:val="24"/>
                <w:lang w:eastAsia="lt-LT"/>
              </w:rPr>
            </w:pPr>
          </w:p>
        </w:tc>
        <w:tc>
          <w:tcPr>
            <w:tcW w:w="510" w:type="pct"/>
            <w:gridSpan w:val="16"/>
            <w:tcBorders>
              <w:top w:val="nil"/>
              <w:left w:val="nil"/>
              <w:bottom w:val="nil"/>
              <w:right w:val="nil"/>
            </w:tcBorders>
            <w:shd w:val="clear" w:color="auto" w:fill="auto"/>
            <w:noWrap/>
            <w:vAlign w:val="bottom"/>
          </w:tcPr>
          <w:p>
            <w:pPr>
              <w:rPr>
                <w:color w:val="000000"/>
                <w:szCs w:val="24"/>
                <w:lang w:eastAsia="lt-LT"/>
              </w:rPr>
            </w:pPr>
          </w:p>
        </w:tc>
        <w:tc>
          <w:tcPr>
            <w:tcW w:w="85" w:type="pct"/>
            <w:gridSpan w:val="5"/>
            <w:tcBorders>
              <w:top w:val="nil"/>
              <w:left w:val="nil"/>
              <w:bottom w:val="nil"/>
              <w:right w:val="nil"/>
            </w:tcBorders>
            <w:shd w:val="clear" w:color="auto" w:fill="auto"/>
            <w:noWrap/>
            <w:vAlign w:val="bottom"/>
          </w:tcPr>
          <w:p>
            <w:pPr>
              <w:rPr>
                <w:color w:val="000000"/>
                <w:szCs w:val="24"/>
                <w:lang w:eastAsia="lt-LT"/>
              </w:rPr>
            </w:pPr>
          </w:p>
        </w:tc>
        <w:tc>
          <w:tcPr>
            <w:tcW w:w="407" w:type="pct"/>
            <w:gridSpan w:val="14"/>
            <w:tcBorders>
              <w:top w:val="nil"/>
              <w:left w:val="nil"/>
              <w:bottom w:val="nil"/>
              <w:right w:val="nil"/>
            </w:tcBorders>
            <w:shd w:val="clear" w:color="auto" w:fill="auto"/>
            <w:noWrap/>
            <w:vAlign w:val="bottom"/>
          </w:tcPr>
          <w:p>
            <w:pPr>
              <w:rPr>
                <w:color w:val="000000"/>
                <w:szCs w:val="24"/>
                <w:lang w:eastAsia="lt-LT"/>
              </w:rPr>
            </w:pPr>
          </w:p>
        </w:tc>
        <w:tc>
          <w:tcPr>
            <w:tcW w:w="487" w:type="pct"/>
            <w:gridSpan w:val="15"/>
            <w:tcBorders>
              <w:top w:val="nil"/>
              <w:left w:val="nil"/>
              <w:bottom w:val="nil"/>
              <w:right w:val="nil"/>
            </w:tcBorders>
            <w:shd w:val="clear" w:color="auto" w:fill="auto"/>
            <w:noWrap/>
            <w:vAlign w:val="bottom"/>
          </w:tcPr>
          <w:p>
            <w:pPr>
              <w:rPr>
                <w:color w:val="000000"/>
                <w:szCs w:val="24"/>
                <w:lang w:eastAsia="lt-LT"/>
              </w:rPr>
            </w:pPr>
          </w:p>
        </w:tc>
      </w:tr>
      <w:tr>
        <w:trPr>
          <w:trHeight w:val="20"/>
        </w:trPr>
        <w:tc>
          <w:tcPr>
            <w:tcW w:w="469" w:type="pct"/>
            <w:gridSpan w:val="10"/>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73" w:type="pct"/>
            <w:gridSpan w:val="33"/>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394" w:type="pct"/>
            <w:gridSpan w:val="32"/>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50" w:type="pct"/>
            <w:gridSpan w:val="21"/>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1019" w:type="pct"/>
            <w:gridSpan w:val="38"/>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trHeight w:val="20"/>
        </w:trPr>
        <w:tc>
          <w:tcPr>
            <w:tcW w:w="469" w:type="pct"/>
            <w:gridSpan w:val="10"/>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21" w:type="pct"/>
            <w:gridSpan w:val="11"/>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52"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35" w:type="pct"/>
            <w:gridSpan w:val="13"/>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59" w:type="pct"/>
            <w:gridSpan w:val="1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88" w:type="pct"/>
            <w:gridSpan w:val="1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6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510" w:type="pct"/>
            <w:gridSpan w:val="16"/>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9" w:type="pct"/>
            <w:gridSpan w:val="2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70" w:type="pct"/>
            <w:gridSpan w:val="12"/>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trHeight w:val="20"/>
        </w:trPr>
        <w:tc>
          <w:tcPr>
            <w:tcW w:w="469"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868 860</w:t>
            </w:r>
          </w:p>
        </w:tc>
        <w:tc>
          <w:tcPr>
            <w:tcW w:w="321" w:type="pct"/>
            <w:gridSpan w:val="11"/>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52"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35" w:type="pct"/>
            <w:gridSpan w:val="13"/>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130 330</w:t>
            </w:r>
          </w:p>
        </w:tc>
        <w:tc>
          <w:tcPr>
            <w:tcW w:w="859" w:type="pct"/>
            <w:gridSpan w:val="19"/>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130 330</w:t>
            </w:r>
          </w:p>
        </w:tc>
        <w:tc>
          <w:tcPr>
            <w:tcW w:w="288"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61" w:type="pct"/>
            <w:gridSpan w:val="9"/>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510" w:type="pct"/>
            <w:gridSpan w:val="16"/>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9" w:type="pct"/>
            <w:gridSpan w:val="2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70" w:type="pct"/>
            <w:gridSpan w:val="1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738 530</w:t>
            </w:r>
          </w:p>
        </w:tc>
      </w:tr>
    </w:tbl>
    <w:p>
      <w:pPr/>
    </w:p>
    <w:p>
      <w:pPr>
        <w:ind w:firstLine="720"/>
        <w:rPr>
          <w:rFonts w:ascii="Arial" w:hAnsi="Arial" w:cs="Arial"/>
          <w:sz w:val="20"/>
          <w:lang w:eastAsia="lt-LT"/>
        </w:rPr>
      </w:pPr>
    </w:p>
    <w:tbl>
      <w:tblPr>
        <w:tblW w:w="5156" w:type="pct"/>
        <w:tblLayout w:type="fixed"/>
        <w:tblCellMar>
          <w:left w:w="115" w:type="dxa"/>
          <w:right w:w="115" w:type="dxa"/>
        </w:tblCellMar>
        <w:tblLook w:val="04A0" w:firstRow="1" w:lastRow="0" w:firstColumn="1" w:lastColumn="0" w:noHBand="0" w:noVBand="1"/>
      </w:tblPr>
      <w:tblGrid>
        <w:gridCol w:w="428"/>
        <w:gridCol w:w="879"/>
        <w:gridCol w:w="1111"/>
        <w:gridCol w:w="1406"/>
        <w:gridCol w:w="1346"/>
        <w:gridCol w:w="1627"/>
        <w:gridCol w:w="783"/>
        <w:gridCol w:w="1381"/>
        <w:gridCol w:w="762"/>
        <w:gridCol w:w="2080"/>
        <w:gridCol w:w="1845"/>
      </w:tblGrid>
      <w:tr>
        <w:trPr>
          <w:trHeight w:val="20"/>
        </w:trPr>
        <w:tc>
          <w:tcPr>
            <w:tcW w:w="157" w:type="pct"/>
            <w:tcBorders>
              <w:left w:val="nil"/>
              <w:bottom w:val="nil"/>
              <w:right w:val="nil"/>
            </w:tcBorders>
            <w:shd w:val="clear" w:color="auto" w:fill="auto"/>
            <w:noWrap/>
            <w:vAlign w:val="center"/>
          </w:tcPr>
          <w:p>
            <w:pPr>
              <w:ind w:firstLine="720"/>
              <w:rPr>
                <w:color w:val="000000"/>
                <w:sz w:val="20"/>
                <w:szCs w:val="24"/>
                <w:lang w:eastAsia="lt-LT"/>
              </w:rPr>
            </w:pPr>
          </w:p>
        </w:tc>
        <w:tc>
          <w:tcPr>
            <w:tcW w:w="4843" w:type="pct"/>
            <w:gridSpan w:val="10"/>
            <w:tcBorders>
              <w:left w:val="nil"/>
              <w:bottom w:val="nil"/>
              <w:right w:val="nil"/>
            </w:tcBorders>
            <w:shd w:val="clear" w:color="auto" w:fill="auto"/>
            <w:noWrap/>
            <w:vAlign w:val="center"/>
          </w:tcPr>
          <w:p>
            <w:pPr>
              <w:rPr>
                <w:b/>
                <w:bCs/>
                <w:color w:val="000000"/>
                <w:szCs w:val="24"/>
                <w:lang w:eastAsia="lt-LT"/>
              </w:rPr>
            </w:pPr>
          </w:p>
        </w:tc>
      </w:tr>
      <w:tr>
        <w:trPr>
          <w:trHeight w:val="20"/>
        </w:trPr>
        <w:tc>
          <w:tcPr>
            <w:tcW w:w="479"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 pagal 1.3 uždavinį (Eur):</w:t>
            </w:r>
          </w:p>
        </w:tc>
        <w:tc>
          <w:tcPr>
            <w:tcW w:w="922" w:type="pct"/>
            <w:gridSpan w:val="2"/>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Valstybės biudžeto lėšos:</w:t>
            </w:r>
          </w:p>
        </w:tc>
        <w:tc>
          <w:tcPr>
            <w:tcW w:w="1089" w:type="pct"/>
            <w:gridSpan w:val="2"/>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Savivaldybės biudžeto lėšos:</w:t>
            </w:r>
          </w:p>
        </w:tc>
        <w:tc>
          <w:tcPr>
            <w:tcW w:w="793" w:type="pct"/>
            <w:gridSpan w:val="2"/>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Kitos viešosios lėšos:</w:t>
            </w:r>
          </w:p>
        </w:tc>
        <w:tc>
          <w:tcPr>
            <w:tcW w:w="1041" w:type="pct"/>
            <w:gridSpan w:val="2"/>
            <w:tcBorders>
              <w:top w:val="single" w:sz="4" w:space="0" w:color="auto"/>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Privačios lėšos:</w:t>
            </w:r>
          </w:p>
        </w:tc>
        <w:tc>
          <w:tcPr>
            <w:tcW w:w="676" w:type="pc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ES lėšos</w:t>
            </w:r>
          </w:p>
        </w:tc>
      </w:tr>
      <w:tr>
        <w:trPr>
          <w:trHeight w:val="20"/>
        </w:trPr>
        <w:tc>
          <w:tcPr>
            <w:tcW w:w="479" w:type="pct"/>
            <w:gridSpan w:val="2"/>
            <w:vMerge/>
            <w:tcBorders>
              <w:top w:val="single" w:sz="4" w:space="0" w:color="auto"/>
              <w:left w:val="single" w:sz="4" w:space="0" w:color="auto"/>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p>
        </w:tc>
        <w:tc>
          <w:tcPr>
            <w:tcW w:w="407" w:type="pct"/>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15" w:type="pct"/>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493" w:type="pct"/>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95" w:type="pct"/>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287" w:type="pct"/>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506" w:type="pct"/>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279" w:type="pct"/>
            <w:tcBorders>
              <w:top w:val="nil"/>
              <w:left w:val="nil"/>
              <w:bottom w:val="single" w:sz="4" w:space="0" w:color="auto"/>
              <w:right w:val="single" w:sz="4" w:space="0" w:color="auto"/>
            </w:tcBorders>
            <w:shd w:val="clear" w:color="auto" w:fill="DBE5F1"/>
            <w:vAlign w:val="center"/>
          </w:tcPr>
          <w:p>
            <w:pPr>
              <w:jc w:val="center"/>
              <w:rPr>
                <w:rFonts w:eastAsia="Calibri"/>
                <w:b/>
                <w:color w:val="000000"/>
                <w:sz w:val="22"/>
                <w:szCs w:val="22"/>
                <w:lang w:eastAsia="lt-LT"/>
              </w:rPr>
            </w:pPr>
            <w:r>
              <w:rPr>
                <w:rFonts w:eastAsia="Calibri"/>
                <w:b/>
                <w:color w:val="000000"/>
                <w:sz w:val="22"/>
                <w:szCs w:val="22"/>
                <w:lang w:eastAsia="lt-LT"/>
              </w:rPr>
              <w:t>Iš viso:</w:t>
            </w:r>
          </w:p>
        </w:tc>
        <w:tc>
          <w:tcPr>
            <w:tcW w:w="761" w:type="pct"/>
            <w:tcBorders>
              <w:top w:val="single" w:sz="4" w:space="0" w:color="auto"/>
              <w:left w:val="nil"/>
              <w:bottom w:val="single" w:sz="4" w:space="0" w:color="auto"/>
              <w:right w:val="single" w:sz="4" w:space="0" w:color="auto"/>
            </w:tcBorders>
            <w:shd w:val="clear" w:color="auto" w:fill="DBE5F1"/>
            <w:vAlign w:val="center"/>
          </w:tcPr>
          <w:p>
            <w:pPr>
              <w:jc w:val="both"/>
              <w:rPr>
                <w:rFonts w:eastAsia="Calibri"/>
                <w:b/>
                <w:color w:val="000000"/>
                <w:sz w:val="22"/>
                <w:szCs w:val="22"/>
                <w:lang w:eastAsia="lt-LT"/>
              </w:rPr>
            </w:pPr>
            <w:r>
              <w:rPr>
                <w:rFonts w:eastAsia="Calibri"/>
                <w:b/>
                <w:color w:val="000000"/>
                <w:sz w:val="22"/>
                <w:szCs w:val="22"/>
                <w:lang w:eastAsia="lt-LT"/>
              </w:rPr>
              <w:t>Iš jų bendrasis finansavimas</w:t>
            </w:r>
          </w:p>
        </w:tc>
        <w:tc>
          <w:tcPr>
            <w:tcW w:w="676" w:type="pct"/>
            <w:tcBorders>
              <w:top w:val="single" w:sz="4" w:space="0" w:color="auto"/>
              <w:left w:val="single" w:sz="4" w:space="0" w:color="auto"/>
              <w:bottom w:val="single" w:sz="4" w:space="0" w:color="auto"/>
              <w:right w:val="single" w:sz="4" w:space="0" w:color="auto"/>
            </w:tcBorders>
            <w:shd w:val="clear" w:color="auto" w:fill="DBE5F1"/>
            <w:vAlign w:val="center"/>
          </w:tcPr>
          <w:p>
            <w:pPr>
              <w:ind w:right="170"/>
              <w:jc w:val="both"/>
              <w:rPr>
                <w:rFonts w:eastAsia="Calibri"/>
                <w:color w:val="000000"/>
                <w:sz w:val="22"/>
                <w:szCs w:val="22"/>
                <w:lang w:eastAsia="lt-LT"/>
              </w:rPr>
            </w:pPr>
          </w:p>
        </w:tc>
      </w:tr>
      <w:tr>
        <w:trPr>
          <w:trHeight w:val="20"/>
        </w:trPr>
        <w:tc>
          <w:tcPr>
            <w:tcW w:w="4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12 427 653</w:t>
            </w:r>
          </w:p>
        </w:tc>
        <w:tc>
          <w:tcPr>
            <w:tcW w:w="407" w:type="pct"/>
            <w:tcBorders>
              <w:top w:val="nil"/>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112 500</w:t>
            </w:r>
          </w:p>
        </w:tc>
        <w:tc>
          <w:tcPr>
            <w:tcW w:w="515" w:type="pct"/>
            <w:tcBorders>
              <w:top w:val="single" w:sz="4" w:space="0" w:color="auto"/>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112 500</w:t>
            </w:r>
          </w:p>
        </w:tc>
        <w:tc>
          <w:tcPr>
            <w:tcW w:w="493" w:type="pct"/>
            <w:tcBorders>
              <w:top w:val="nil"/>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1 751 655</w:t>
            </w:r>
          </w:p>
        </w:tc>
        <w:tc>
          <w:tcPr>
            <w:tcW w:w="595" w:type="pct"/>
            <w:tcBorders>
              <w:top w:val="single" w:sz="4" w:space="0" w:color="auto"/>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1 751 655</w:t>
            </w:r>
          </w:p>
        </w:tc>
        <w:tc>
          <w:tcPr>
            <w:tcW w:w="287" w:type="pct"/>
            <w:tcBorders>
              <w:top w:val="nil"/>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0</w:t>
            </w:r>
          </w:p>
        </w:tc>
        <w:tc>
          <w:tcPr>
            <w:tcW w:w="506" w:type="pct"/>
            <w:tcBorders>
              <w:top w:val="single" w:sz="4" w:space="0" w:color="auto"/>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0</w:t>
            </w:r>
          </w:p>
        </w:tc>
        <w:tc>
          <w:tcPr>
            <w:tcW w:w="279" w:type="pct"/>
            <w:tcBorders>
              <w:top w:val="nil"/>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0</w:t>
            </w:r>
          </w:p>
        </w:tc>
        <w:tc>
          <w:tcPr>
            <w:tcW w:w="761" w:type="pct"/>
            <w:tcBorders>
              <w:top w:val="single" w:sz="4" w:space="0" w:color="auto"/>
              <w:left w:val="nil"/>
              <w:bottom w:val="single" w:sz="4" w:space="0" w:color="auto"/>
              <w:right w:val="single" w:sz="4" w:space="0" w:color="auto"/>
            </w:tcBorders>
            <w:shd w:val="clear" w:color="auto" w:fill="auto"/>
            <w:vAlign w:val="center"/>
          </w:tcPr>
          <w:p>
            <w:pPr>
              <w:jc w:val="right"/>
              <w:rPr>
                <w:rFonts w:eastAsia="Calibri"/>
                <w:b/>
                <w:bCs/>
                <w:color w:val="000000"/>
                <w:szCs w:val="24"/>
                <w:lang w:eastAsia="lt-LT"/>
              </w:rPr>
            </w:pPr>
            <w:r>
              <w:rPr>
                <w:rFonts w:eastAsia="Calibri"/>
                <w:b/>
                <w:bCs/>
                <w:color w:val="000000"/>
                <w:szCs w:val="24"/>
                <w:lang w:eastAsia="lt-LT"/>
              </w:rPr>
              <w:t>0</w:t>
            </w:r>
          </w:p>
        </w:tc>
        <w:tc>
          <w:tcPr>
            <w:tcW w:w="676" w:type="pct"/>
            <w:tcBorders>
              <w:top w:val="nil"/>
              <w:left w:val="nil"/>
              <w:bottom w:val="single" w:sz="4" w:space="0" w:color="auto"/>
              <w:right w:val="single" w:sz="4" w:space="0" w:color="auto"/>
            </w:tcBorders>
            <w:shd w:val="clear" w:color="auto" w:fill="auto"/>
            <w:vAlign w:val="center"/>
          </w:tcPr>
          <w:p>
            <w:pPr>
              <w:ind w:right="170"/>
              <w:jc w:val="right"/>
              <w:rPr>
                <w:rFonts w:eastAsia="Calibri"/>
                <w:b/>
                <w:bCs/>
                <w:color w:val="000000"/>
                <w:szCs w:val="24"/>
                <w:lang w:eastAsia="lt-LT"/>
              </w:rPr>
            </w:pPr>
            <w:r>
              <w:rPr>
                <w:rFonts w:eastAsia="Calibri"/>
                <w:b/>
                <w:bCs/>
                <w:color w:val="000000"/>
                <w:szCs w:val="24"/>
                <w:lang w:eastAsia="lt-LT"/>
              </w:rPr>
              <w:t>10 563 498</w:t>
            </w:r>
          </w:p>
        </w:tc>
      </w:tr>
    </w:tbl>
    <w:p>
      <w:pPr/>
    </w:p>
    <w:tbl>
      <w:tblPr>
        <w:tblW w:w="5700" w:type="pct"/>
        <w:tblLayout w:type="fixed"/>
        <w:tblCellMar>
          <w:left w:w="115" w:type="dxa"/>
          <w:right w:w="115" w:type="dxa"/>
        </w:tblCellMar>
        <w:tblLook w:val="04A0" w:firstRow="1" w:lastRow="0" w:firstColumn="1" w:lastColumn="0" w:noHBand="0" w:noVBand="1"/>
      </w:tblPr>
      <w:tblGrid>
        <w:gridCol w:w="427"/>
        <w:gridCol w:w="553"/>
        <w:gridCol w:w="250"/>
        <w:gridCol w:w="399"/>
        <w:gridCol w:w="532"/>
        <w:gridCol w:w="25"/>
        <w:gridCol w:w="740"/>
        <w:gridCol w:w="267"/>
        <w:gridCol w:w="250"/>
        <w:gridCol w:w="239"/>
        <w:gridCol w:w="1329"/>
        <w:gridCol w:w="19"/>
        <w:gridCol w:w="327"/>
        <w:gridCol w:w="258"/>
        <w:gridCol w:w="1833"/>
        <w:gridCol w:w="76"/>
        <w:gridCol w:w="707"/>
        <w:gridCol w:w="433"/>
        <w:gridCol w:w="936"/>
        <w:gridCol w:w="250"/>
        <w:gridCol w:w="849"/>
        <w:gridCol w:w="250"/>
        <w:gridCol w:w="185"/>
        <w:gridCol w:w="250"/>
        <w:gridCol w:w="865"/>
        <w:gridCol w:w="424"/>
        <w:gridCol w:w="250"/>
        <w:gridCol w:w="762"/>
        <w:gridCol w:w="23"/>
        <w:gridCol w:w="240"/>
        <w:gridCol w:w="1140"/>
      </w:tblGrid>
      <w:tr>
        <w:trPr>
          <w:trHeight w:val="20"/>
        </w:trPr>
        <w:tc>
          <w:tcPr>
            <w:tcW w:w="328" w:type="pct"/>
            <w:gridSpan w:val="2"/>
            <w:tcBorders>
              <w:top w:val="nil"/>
              <w:left w:val="nil"/>
              <w:bottom w:val="nil"/>
              <w:right w:val="nil"/>
            </w:tcBorders>
            <w:shd w:val="clear" w:color="auto" w:fill="auto"/>
            <w:noWrap/>
            <w:vAlign w:val="bottom"/>
          </w:tcPr>
          <w:p>
            <w:pPr>
              <w:ind w:firstLine="720"/>
              <w:rPr>
                <w:color w:val="000000"/>
                <w:sz w:val="20"/>
                <w:szCs w:val="24"/>
                <w:lang w:eastAsia="lt-LT"/>
              </w:rPr>
            </w:pPr>
          </w:p>
        </w:tc>
        <w:tc>
          <w:tcPr>
            <w:tcW w:w="82" w:type="pct"/>
            <w:tcBorders>
              <w:top w:val="nil"/>
              <w:left w:val="nil"/>
              <w:bottom w:val="nil"/>
              <w:right w:val="nil"/>
            </w:tcBorders>
            <w:shd w:val="clear" w:color="auto" w:fill="auto"/>
            <w:vAlign w:val="center"/>
          </w:tcPr>
          <w:p>
            <w:pPr>
              <w:jc w:val="center"/>
              <w:rPr>
                <w:b/>
                <w:bCs/>
                <w:color w:val="000000"/>
                <w:szCs w:val="24"/>
                <w:lang w:eastAsia="lt-LT"/>
              </w:rPr>
            </w:pPr>
          </w:p>
        </w:tc>
        <w:tc>
          <w:tcPr>
            <w:tcW w:w="134" w:type="pct"/>
            <w:tcBorders>
              <w:top w:val="nil"/>
              <w:left w:val="nil"/>
              <w:bottom w:val="nil"/>
              <w:right w:val="nil"/>
            </w:tcBorders>
            <w:shd w:val="clear" w:color="auto" w:fill="auto"/>
            <w:vAlign w:val="center"/>
          </w:tcPr>
          <w:p>
            <w:pPr>
              <w:jc w:val="center"/>
              <w:rPr>
                <w:b/>
                <w:bCs/>
                <w:color w:val="000000"/>
                <w:szCs w:val="24"/>
                <w:lang w:eastAsia="lt-LT"/>
              </w:rPr>
            </w:pPr>
          </w:p>
        </w:tc>
        <w:tc>
          <w:tcPr>
            <w:tcW w:w="188" w:type="pct"/>
            <w:gridSpan w:val="2"/>
            <w:tcBorders>
              <w:top w:val="nil"/>
              <w:left w:val="nil"/>
              <w:bottom w:val="nil"/>
              <w:right w:val="nil"/>
            </w:tcBorders>
            <w:shd w:val="clear" w:color="auto" w:fill="auto"/>
            <w:vAlign w:val="center"/>
          </w:tcPr>
          <w:p>
            <w:pPr>
              <w:jc w:val="center"/>
              <w:rPr>
                <w:b/>
                <w:bCs/>
                <w:color w:val="000000"/>
                <w:szCs w:val="24"/>
                <w:lang w:eastAsia="lt-LT"/>
              </w:rPr>
            </w:pPr>
          </w:p>
        </w:tc>
        <w:tc>
          <w:tcPr>
            <w:tcW w:w="337" w:type="pct"/>
            <w:gridSpan w:val="2"/>
            <w:tcBorders>
              <w:top w:val="nil"/>
              <w:left w:val="nil"/>
              <w:bottom w:val="nil"/>
              <w:right w:val="nil"/>
            </w:tcBorders>
            <w:shd w:val="clear" w:color="auto" w:fill="auto"/>
            <w:vAlign w:val="center"/>
          </w:tcPr>
          <w:p>
            <w:pPr>
              <w:jc w:val="center"/>
              <w:rPr>
                <w:b/>
                <w:bCs/>
                <w:color w:val="000000"/>
                <w:szCs w:val="24"/>
                <w:lang w:eastAsia="lt-LT"/>
              </w:rPr>
            </w:pPr>
          </w:p>
        </w:tc>
        <w:tc>
          <w:tcPr>
            <w:tcW w:w="75" w:type="pct"/>
            <w:tcBorders>
              <w:top w:val="nil"/>
              <w:left w:val="nil"/>
              <w:bottom w:val="nil"/>
              <w:right w:val="nil"/>
            </w:tcBorders>
            <w:shd w:val="clear" w:color="auto" w:fill="auto"/>
            <w:vAlign w:val="center"/>
          </w:tcPr>
          <w:p>
            <w:pPr>
              <w:jc w:val="center"/>
              <w:rPr>
                <w:b/>
                <w:bCs/>
                <w:color w:val="000000"/>
                <w:szCs w:val="24"/>
                <w:lang w:eastAsia="lt-LT"/>
              </w:rPr>
            </w:pPr>
          </w:p>
        </w:tc>
        <w:tc>
          <w:tcPr>
            <w:tcW w:w="531" w:type="pct"/>
            <w:gridSpan w:val="3"/>
            <w:tcBorders>
              <w:top w:val="nil"/>
              <w:left w:val="nil"/>
              <w:bottom w:val="nil"/>
              <w:right w:val="nil"/>
            </w:tcBorders>
            <w:shd w:val="clear" w:color="auto" w:fill="auto"/>
            <w:vAlign w:val="center"/>
          </w:tcPr>
          <w:p>
            <w:pPr>
              <w:jc w:val="center"/>
              <w:rPr>
                <w:b/>
                <w:bCs/>
                <w:color w:val="000000"/>
                <w:szCs w:val="24"/>
                <w:lang w:eastAsia="lt-LT"/>
              </w:rPr>
            </w:pPr>
          </w:p>
        </w:tc>
        <w:tc>
          <w:tcPr>
            <w:tcW w:w="197" w:type="pct"/>
            <w:gridSpan w:val="2"/>
            <w:tcBorders>
              <w:top w:val="nil"/>
              <w:left w:val="nil"/>
              <w:bottom w:val="nil"/>
              <w:right w:val="nil"/>
            </w:tcBorders>
            <w:shd w:val="clear" w:color="auto" w:fill="auto"/>
            <w:vAlign w:val="center"/>
          </w:tcPr>
          <w:p>
            <w:pPr>
              <w:jc w:val="center"/>
              <w:rPr>
                <w:b/>
                <w:bCs/>
                <w:color w:val="000000"/>
                <w:szCs w:val="24"/>
                <w:lang w:eastAsia="lt-LT"/>
              </w:rPr>
            </w:pPr>
          </w:p>
        </w:tc>
        <w:tc>
          <w:tcPr>
            <w:tcW w:w="608" w:type="pct"/>
            <w:tcBorders>
              <w:top w:val="nil"/>
              <w:left w:val="nil"/>
              <w:bottom w:val="nil"/>
              <w:right w:val="nil"/>
            </w:tcBorders>
            <w:shd w:val="clear" w:color="auto" w:fill="auto"/>
            <w:vAlign w:val="center"/>
          </w:tcPr>
          <w:p>
            <w:pPr>
              <w:jc w:val="center"/>
              <w:rPr>
                <w:b/>
                <w:bCs/>
                <w:color w:val="000000"/>
                <w:szCs w:val="24"/>
                <w:lang w:eastAsia="lt-LT"/>
              </w:rPr>
            </w:pPr>
          </w:p>
        </w:tc>
        <w:tc>
          <w:tcPr>
            <w:tcW w:w="263" w:type="pct"/>
            <w:gridSpan w:val="2"/>
            <w:tcBorders>
              <w:top w:val="nil"/>
              <w:left w:val="nil"/>
              <w:bottom w:val="nil"/>
              <w:right w:val="nil"/>
            </w:tcBorders>
            <w:shd w:val="clear" w:color="auto" w:fill="auto"/>
            <w:vAlign w:val="center"/>
          </w:tcPr>
          <w:p>
            <w:pPr>
              <w:jc w:val="center"/>
              <w:rPr>
                <w:b/>
                <w:bCs/>
                <w:color w:val="000000"/>
                <w:szCs w:val="24"/>
                <w:lang w:eastAsia="lt-LT"/>
              </w:rPr>
            </w:pPr>
          </w:p>
        </w:tc>
        <w:tc>
          <w:tcPr>
            <w:tcW w:w="457" w:type="pct"/>
            <w:gridSpan w:val="2"/>
            <w:tcBorders>
              <w:top w:val="nil"/>
              <w:left w:val="nil"/>
              <w:bottom w:val="nil"/>
              <w:right w:val="nil"/>
            </w:tcBorders>
            <w:shd w:val="clear" w:color="auto" w:fill="auto"/>
            <w:vAlign w:val="center"/>
          </w:tcPr>
          <w:p>
            <w:pPr>
              <w:jc w:val="center"/>
              <w:rPr>
                <w:b/>
                <w:bCs/>
                <w:color w:val="000000"/>
                <w:szCs w:val="24"/>
                <w:lang w:eastAsia="lt-LT"/>
              </w:rPr>
            </w:pPr>
          </w:p>
        </w:tc>
        <w:tc>
          <w:tcPr>
            <w:tcW w:w="75" w:type="pct"/>
            <w:tcBorders>
              <w:top w:val="nil"/>
              <w:left w:val="nil"/>
              <w:bottom w:val="nil"/>
              <w:right w:val="nil"/>
            </w:tcBorders>
            <w:shd w:val="clear" w:color="auto" w:fill="auto"/>
            <w:vAlign w:val="center"/>
          </w:tcPr>
          <w:p>
            <w:pPr>
              <w:jc w:val="center"/>
              <w:rPr>
                <w:b/>
                <w:bCs/>
                <w:color w:val="000000"/>
                <w:szCs w:val="24"/>
                <w:lang w:eastAsia="lt-LT"/>
              </w:rPr>
            </w:pPr>
          </w:p>
        </w:tc>
        <w:tc>
          <w:tcPr>
            <w:tcW w:w="421" w:type="pct"/>
            <w:gridSpan w:val="3"/>
            <w:tcBorders>
              <w:top w:val="nil"/>
              <w:left w:val="nil"/>
              <w:bottom w:val="nil"/>
              <w:right w:val="nil"/>
            </w:tcBorders>
            <w:shd w:val="clear" w:color="auto" w:fill="auto"/>
            <w:vAlign w:val="center"/>
          </w:tcPr>
          <w:p>
            <w:pPr>
              <w:jc w:val="center"/>
              <w:rPr>
                <w:b/>
                <w:bCs/>
                <w:color w:val="000000"/>
                <w:szCs w:val="24"/>
                <w:lang w:eastAsia="lt-LT"/>
              </w:rPr>
            </w:pPr>
          </w:p>
        </w:tc>
        <w:tc>
          <w:tcPr>
            <w:tcW w:w="75" w:type="pct"/>
            <w:tcBorders>
              <w:top w:val="nil"/>
              <w:left w:val="nil"/>
              <w:bottom w:val="nil"/>
              <w:right w:val="nil"/>
            </w:tcBorders>
            <w:shd w:val="clear" w:color="auto" w:fill="auto"/>
            <w:vAlign w:val="center"/>
          </w:tcPr>
          <w:p>
            <w:pPr>
              <w:jc w:val="center"/>
              <w:rPr>
                <w:b/>
                <w:bCs/>
                <w:color w:val="000000"/>
                <w:szCs w:val="24"/>
                <w:lang w:eastAsia="lt-LT"/>
              </w:rPr>
            </w:pPr>
          </w:p>
        </w:tc>
        <w:tc>
          <w:tcPr>
            <w:tcW w:w="430" w:type="pct"/>
            <w:gridSpan w:val="2"/>
            <w:tcBorders>
              <w:top w:val="nil"/>
              <w:left w:val="nil"/>
              <w:bottom w:val="nil"/>
              <w:right w:val="nil"/>
            </w:tcBorders>
            <w:shd w:val="clear" w:color="auto" w:fill="auto"/>
            <w:vAlign w:val="center"/>
          </w:tcPr>
          <w:p>
            <w:pPr>
              <w:jc w:val="center"/>
              <w:rPr>
                <w:b/>
                <w:bCs/>
                <w:color w:val="000000"/>
                <w:szCs w:val="24"/>
                <w:lang w:eastAsia="lt-LT"/>
              </w:rPr>
            </w:pPr>
          </w:p>
        </w:tc>
        <w:tc>
          <w:tcPr>
            <w:tcW w:w="75" w:type="pct"/>
            <w:tcBorders>
              <w:top w:val="nil"/>
              <w:left w:val="nil"/>
              <w:bottom w:val="nil"/>
              <w:right w:val="nil"/>
            </w:tcBorders>
            <w:shd w:val="clear" w:color="auto" w:fill="auto"/>
            <w:vAlign w:val="center"/>
          </w:tcPr>
          <w:p>
            <w:pPr>
              <w:jc w:val="center"/>
              <w:rPr>
                <w:b/>
                <w:bCs/>
                <w:color w:val="000000"/>
                <w:szCs w:val="24"/>
                <w:lang w:eastAsia="lt-LT"/>
              </w:rPr>
            </w:pPr>
          </w:p>
        </w:tc>
        <w:tc>
          <w:tcPr>
            <w:tcW w:w="723" w:type="pct"/>
            <w:gridSpan w:val="4"/>
            <w:tcBorders>
              <w:top w:val="nil"/>
              <w:left w:val="nil"/>
              <w:bottom w:val="nil"/>
              <w:right w:val="nil"/>
            </w:tcBorders>
            <w:shd w:val="clear" w:color="auto" w:fill="auto"/>
            <w:vAlign w:val="center"/>
          </w:tcPr>
          <w:p>
            <w:pPr>
              <w:rPr>
                <w:b/>
                <w:bCs/>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center"/>
          </w:tcPr>
          <w:p>
            <w:pPr>
              <w:rPr>
                <w:color w:val="000000"/>
                <w:szCs w:val="24"/>
                <w:lang w:eastAsia="lt-LT"/>
              </w:rPr>
            </w:pPr>
          </w:p>
        </w:tc>
        <w:tc>
          <w:tcPr>
            <w:tcW w:w="4386" w:type="pct"/>
            <w:gridSpan w:val="27"/>
            <w:tcBorders>
              <w:top w:val="nil"/>
              <w:left w:val="nil"/>
              <w:bottom w:val="nil"/>
              <w:right w:val="nil"/>
            </w:tcBorders>
            <w:shd w:val="clear" w:color="auto" w:fill="auto"/>
            <w:noWrap/>
            <w:vAlign w:val="center"/>
          </w:tcPr>
          <w:p>
            <w:pPr>
              <w:jc w:val="both"/>
              <w:rPr>
                <w:b/>
                <w:bCs/>
                <w:color w:val="000000"/>
                <w:szCs w:val="24"/>
                <w:u w:val="single"/>
                <w:lang w:eastAsia="lt-LT"/>
              </w:rPr>
            </w:pPr>
            <w:r>
              <w:rPr>
                <w:b/>
                <w:bCs/>
                <w:color w:val="000000"/>
                <w:szCs w:val="24"/>
                <w:u w:val="single"/>
                <w:lang w:eastAsia="lt-LT"/>
              </w:rPr>
              <w:t xml:space="preserve">1.4. Uždavinys: Mažinti oro užterštumą, kuriant saugią ir darnią susisiekimo sistemą </w:t>
            </w: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jc w:val="both"/>
              <w:rPr>
                <w:b/>
                <w:bCs/>
                <w:color w:val="000000"/>
                <w:szCs w:val="24"/>
                <w:u w:val="single"/>
                <w:lang w:eastAsia="lt-LT"/>
              </w:rPr>
            </w:pPr>
            <w:r>
              <w:rPr>
                <w:b/>
                <w:bCs/>
                <w:color w:val="000000"/>
                <w:szCs w:val="24"/>
                <w:u w:val="single"/>
                <w:lang w:eastAsia="lt-LT"/>
              </w:rPr>
              <w:t xml:space="preserve">1.4.1v veiksmas: Radvilėnų plento (nuo A. Baranausko g. iki Zoologijos sodo pabaigos) rekonstrukcija </w:t>
            </w:r>
            <w:r>
              <w:rPr>
                <w:bCs/>
                <w:color w:val="000000"/>
                <w:szCs w:val="24"/>
                <w:u w:val="single"/>
                <w:lang w:eastAsia="lt-LT"/>
              </w:rPr>
              <w:t>(</w:t>
            </w:r>
            <w:r>
              <w:rPr>
                <w:rFonts w:eastAsia="Calibri"/>
                <w:szCs w:val="24"/>
                <w:lang w:eastAsia="lt-LT"/>
              </w:rPr>
              <w:t>Radvilėnų pl. rekonstruotoje atkarpoje bus išspręstos eismo organizavimo problemos, atnaujintos ir įrengtos automobilių stovėjimo vietos prie Zoologijos sodo ir Ąžuolyno, įrengti šaligatviai ir dviračių takai. Atlikus šiuos darbus bus padidintas keleivių ir krovinių pralaidumas, gerinant ES transeuropinio transporto tinklo pagrindinio tinklo koridorių jungtis su valstybinės ir vietinės reikšmės transporto tinklu bei didinant skirtingų transporto rūšių sąveikos efektyvumą)</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KSMA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 xml:space="preserve">6.2.1. Padidinti regionų judumą plėtojant jungtis su pagrindiniu šalies transporto tinklu ir diegiant eismo saugos priemones </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1.4.1v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1 000 000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640 000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640 000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360 000</w:t>
            </w:r>
          </w:p>
        </w:tc>
      </w:tr>
      <w:tr>
        <w:trPr>
          <w:gridAfter w:val="1"/>
          <w:wAfter w:w="380" w:type="pct"/>
          <w:trHeight w:val="6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1.4.2v veiksmas: Darnaus judumo Kauno mieste skatinimas įrengiant dviračių nuomos aikšteles </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KSMA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4.5.1. Skatinti darnų judumą ir plėtoti aplinkai draugišką transportą siekiant sumažinti anglies dioksido išmetimus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1.4.2v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40 000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6 000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6 000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34 000</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1.4.3v veiksmas: </w:t>
            </w:r>
            <w:r>
              <w:rPr>
                <w:b/>
                <w:bCs/>
                <w:szCs w:val="24"/>
                <w:lang w:eastAsia="lt-LT"/>
              </w:rPr>
              <w:t xml:space="preserve">Pėsčiųjų ir dviračių takas Veiverių g. nuo Vytauto Didžiojo tilto iki Kauno miesto ribos </w:t>
            </w:r>
            <w:r>
              <w:rPr>
                <w:bCs/>
                <w:szCs w:val="24"/>
                <w:lang w:eastAsia="lt-LT"/>
              </w:rPr>
              <w:t>(tako ilgis 4,2 km)</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4"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4" w:space="0" w:color="auto"/>
            </w:tcBorders>
            <w:shd w:val="clear" w:color="auto" w:fill="auto"/>
            <w:vAlign w:val="center"/>
          </w:tcPr>
          <w:p>
            <w:pPr>
              <w:rPr>
                <w:color w:val="000000"/>
                <w:szCs w:val="24"/>
                <w:lang w:eastAsia="lt-LT"/>
              </w:rPr>
            </w:pPr>
            <w:r>
              <w:rPr>
                <w:color w:val="000000"/>
                <w:szCs w:val="24"/>
                <w:lang w:eastAsia="lt-LT"/>
              </w:rPr>
              <w:t>4.5.1. Skatinti darnų judumą ir plėtoti aplinkai draugišką transportą siekiant sumažinti anglies dioksido išmetimus</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single" w:sz="4" w:space="0" w:color="auto"/>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1.4.3v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rFonts w:eastAsia="Calibri"/>
                <w:szCs w:val="24"/>
                <w:lang w:eastAsia="lt-LT"/>
              </w:rPr>
              <w:t>1 200 000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rFonts w:eastAsia="Calibri"/>
                <w:szCs w:val="24"/>
                <w:lang w:eastAsia="lt-LT"/>
              </w:rPr>
              <w:t>832 000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rFonts w:eastAsia="Calibri"/>
                <w:szCs w:val="24"/>
                <w:lang w:eastAsia="lt-LT"/>
              </w:rPr>
              <w:t>832 000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rFonts w:eastAsia="Calibri"/>
                <w:szCs w:val="24"/>
                <w:lang w:eastAsia="lt-LT"/>
              </w:rPr>
              <w:t>368 000</w:t>
            </w: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1.4.4v veiksmas: </w:t>
            </w:r>
            <w:r>
              <w:rPr>
                <w:rFonts w:eastAsia="Calibri"/>
                <w:b/>
                <w:bCs/>
                <w:color w:val="000000"/>
                <w:szCs w:val="24"/>
                <w:u w:val="single"/>
                <w:lang w:eastAsia="lt-LT"/>
              </w:rPr>
              <w:t xml:space="preserve">Dviračių ir pėsčiųjų tako Savanorių prospekte įrengimas </w:t>
            </w:r>
            <w:r>
              <w:rPr>
                <w:rFonts w:eastAsia="Calibri"/>
                <w:bCs/>
                <w:color w:val="000000"/>
                <w:szCs w:val="24"/>
                <w:lang w:eastAsia="lt-LT"/>
              </w:rPr>
              <w:t>(tako ilgis 6 km)</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4.5.1. Skatinti darnų judumą ir plėtoti aplinkai draugišką transportą siekiant sumažinti anglies dioksido išmetimus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1.4.4v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000000"/>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000000"/>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rFonts w:eastAsia="Calibri"/>
                <w:szCs w:val="24"/>
                <w:lang w:eastAsia="lt-LT"/>
              </w:rPr>
              <w:t>600 000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rFonts w:eastAsia="Calibri"/>
                <w:szCs w:val="24"/>
                <w:lang w:eastAsia="lt-LT"/>
              </w:rPr>
              <w:t>420 000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rFonts w:eastAsia="Calibri"/>
                <w:szCs w:val="24"/>
                <w:lang w:eastAsia="lt-LT"/>
              </w:rPr>
              <w:t>420 000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rFonts w:eastAsia="Calibri"/>
                <w:szCs w:val="24"/>
                <w:lang w:eastAsia="lt-LT"/>
              </w:rPr>
              <w:t>180 000</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jc w:val="both"/>
              <w:rPr>
                <w:szCs w:val="24"/>
                <w:lang w:eastAsia="lt-LT"/>
              </w:rPr>
            </w:pPr>
          </w:p>
          <w:p>
            <w:pPr>
              <w:jc w:val="both"/>
              <w:rPr>
                <w:b/>
                <w:bCs/>
                <w:color w:val="000000"/>
                <w:szCs w:val="24"/>
                <w:u w:val="single"/>
                <w:lang w:eastAsia="lt-LT"/>
              </w:rPr>
            </w:pPr>
            <w:r>
              <w:rPr>
                <w:b/>
                <w:bCs/>
                <w:color w:val="000000"/>
                <w:szCs w:val="24"/>
                <w:u w:val="single"/>
                <w:lang w:eastAsia="lt-LT"/>
              </w:rPr>
              <w:t>1.4.5v veiksmas: Aleksoto gatvių rekonstrukcija (Kalvarijos g. (nuo Europos pr. iki Via Baltica), Vyčio Kryžiaus g. (nuo Technikumo g. iki K. Dulksnio g.), K. Sprangausko g. (nuo Z. Tiškos g. iki Kauno miesto savivaldybės ribos), J. Petruičio g. (nuo Vyčio Kryžiaus g. iki Kauno miesto savivaldybės ribos), J. Čapliko g. (nuo Technikumo g. iki Būrio g.), Pabrėžos g.  (nuo Vilties g. iki Alyvų g.), Vilties g. (nuo Europos pr. iki Pabrėžos g. ))</w:t>
            </w:r>
            <w:r>
              <w:rPr>
                <w:color w:val="FF0000"/>
                <w:szCs w:val="24"/>
                <w:u w:val="single"/>
                <w:lang w:eastAsia="lt-LT"/>
              </w:rPr>
              <w:t xml:space="preserve"> </w:t>
            </w:r>
            <w:r>
              <w:rPr>
                <w:bCs/>
                <w:color w:val="000000"/>
                <w:szCs w:val="24"/>
                <w:u w:val="single"/>
                <w:lang w:eastAsia="lt-LT"/>
              </w:rPr>
              <w:t>(</w:t>
            </w:r>
            <w:r>
              <w:rPr>
                <w:bCs/>
                <w:color w:val="000000"/>
                <w:szCs w:val="24"/>
                <w:lang w:eastAsia="lt-LT"/>
              </w:rPr>
              <w:t>r</w:t>
            </w:r>
            <w:r>
              <w:rPr>
                <w:rFonts w:eastAsia="Calibri"/>
                <w:szCs w:val="24"/>
                <w:lang w:eastAsia="lt-LT"/>
              </w:rPr>
              <w:t>ekonstruojant gatves bus įrengta/rekonstruota asfalto danga, pėsčiųjų, dviračių takai, gatvės apšvietimas, lietaus kanalizacija. Atlikus šiuos darbus bus padidintas keleivių ir krovinių pralaidumas, pagerintos ES transeuropinio transporto tinklo pagrindinio tinklo koridorių jungtys su valstybinės ir vietinės reikšmės transporto tinklu)</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 xml:space="preserve">6.2.1. Padidinti regionų judumą plėtojant jungtis su pagrindiniu šalies transporto tinklu ir diegiant eismo saugos priemones </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1.4.5v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8 223 977</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5 350 000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5 350 000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2 873 977</w:t>
            </w: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1.4.6v veiksmas: Šviesoforinės įrangos J. Lukšos-Daumanto g. ir Sukilėlių pr. sankryžoje įrengimas</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6.2.1. Padidinti regionų judumą plėtojant jungtis su pagrindiniu šalies transporto tinklu ir diegiant eismo saugos priemones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1.4.6v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100 000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64 302</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64 302</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35 698</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jc w:val="both"/>
              <w:rPr>
                <w:b/>
                <w:szCs w:val="24"/>
                <w:lang w:eastAsia="lt-LT"/>
              </w:rPr>
            </w:pPr>
            <w:r>
              <w:rPr>
                <w:b/>
                <w:bCs/>
                <w:color w:val="000000"/>
                <w:szCs w:val="24"/>
                <w:u w:val="single"/>
                <w:lang w:eastAsia="lt-LT"/>
              </w:rPr>
              <w:t xml:space="preserve">1.4.7v veiksmas: </w:t>
            </w:r>
            <w:r>
              <w:rPr>
                <w:b/>
                <w:szCs w:val="24"/>
                <w:lang w:eastAsia="lt-LT"/>
              </w:rPr>
              <w:t xml:space="preserve">Šeštokų g.  (nuo V. Čarneckio g. iki Seniavos pl.) ir Alyvų g. (nuo Seniavos pl. iki Mėtų g.) nauja statyba </w:t>
            </w:r>
            <w:r>
              <w:rPr>
                <w:szCs w:val="24"/>
                <w:lang w:eastAsia="lt-LT"/>
              </w:rPr>
              <w:t>(</w:t>
            </w:r>
            <w:r>
              <w:rPr>
                <w:szCs w:val="24"/>
                <w:lang w:val="en-US" w:eastAsia="lt-LT"/>
              </w:rPr>
              <w:t>bus naujai įrengtos dvi 2 eismo juostų gatvės, pėsčiųjų, dviračių takai, gatvės apšvietimas, lietaus kanalizacija, padidintas keleivių ir krovinių judumas, pagerintos ES transeuropinio transporto tinklo pagrindinio tinklo koridorių jungtys su valstybinės ir vietinės reikšmės transporto tinklu)</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6.2.1. Padidinti regionų judumą plėtojant jungtis su pagrindiniu šalies transporto tinklu ir diegiant eismo saugos priemones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266" w:type="pct"/>
            <w:gridSpan w:val="2"/>
            <w:tcBorders>
              <w:top w:val="nil"/>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1.4.7v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700 000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448 000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448 000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252 000</w:t>
            </w: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1.4.8v veiksmas: Šviesoforinės įrangos įrengimas Eivenių g. ir Sukilėlių pr. sankryžoje</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6.2.1. Padidinti regionų judumą plėtojant jungtis su pagrindiniu šalies transporto tinklu ir diegiant eismo saugos priemones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266" w:type="pct"/>
            <w:gridSpan w:val="2"/>
            <w:tcBorders>
              <w:top w:val="nil"/>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1.4.8v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100 000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64 302</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64 302</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35 698</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center"/>
          </w:tcPr>
          <w:p>
            <w:pPr>
              <w:jc w:val="cente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1.4.9v veiksmas: Eismo saugos įrenginių rekonstrukcija Savanorių prospekte </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6.2.1. Padidinti regionų judumą plėtojant jungtis su pagrindiniu šalies transporto tinklu ir diegiant eismo saugos priemones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trHeight w:val="20"/>
        </w:trPr>
        <w:tc>
          <w:tcPr>
            <w:tcW w:w="328" w:type="pct"/>
            <w:gridSpan w:val="2"/>
            <w:tcBorders>
              <w:top w:val="nil"/>
              <w:left w:val="nil"/>
              <w:bottom w:val="nil"/>
              <w:right w:val="nil"/>
            </w:tcBorders>
            <w:shd w:val="clear" w:color="auto" w:fill="auto"/>
            <w:vAlign w:val="center"/>
          </w:tcPr>
          <w:p>
            <w:pPr>
              <w:jc w:val="center"/>
              <w:rPr>
                <w:color w:val="000000"/>
                <w:szCs w:val="24"/>
                <w:lang w:eastAsia="lt-LT"/>
              </w:rPr>
            </w:pPr>
          </w:p>
        </w:tc>
        <w:tc>
          <w:tcPr>
            <w:tcW w:w="82" w:type="pct"/>
            <w:tcBorders>
              <w:top w:val="nil"/>
              <w:left w:val="nil"/>
              <w:bottom w:val="nil"/>
              <w:right w:val="nil"/>
            </w:tcBorders>
            <w:shd w:val="clear" w:color="auto" w:fill="auto"/>
            <w:vAlign w:val="center"/>
          </w:tcPr>
          <w:p>
            <w:pPr>
              <w:jc w:val="center"/>
              <w:rPr>
                <w:color w:val="000000"/>
                <w:szCs w:val="24"/>
                <w:lang w:eastAsia="lt-LT"/>
              </w:rPr>
            </w:pPr>
          </w:p>
        </w:tc>
        <w:tc>
          <w:tcPr>
            <w:tcW w:w="134" w:type="pct"/>
            <w:tcBorders>
              <w:top w:val="nil"/>
              <w:left w:val="nil"/>
              <w:bottom w:val="nil"/>
              <w:right w:val="nil"/>
            </w:tcBorders>
            <w:shd w:val="clear" w:color="auto" w:fill="auto"/>
            <w:vAlign w:val="center"/>
          </w:tcPr>
          <w:p>
            <w:pPr>
              <w:jc w:val="center"/>
              <w:rPr>
                <w:color w:val="000000"/>
                <w:szCs w:val="24"/>
                <w:lang w:eastAsia="lt-LT"/>
              </w:rPr>
            </w:pPr>
          </w:p>
        </w:tc>
        <w:tc>
          <w:tcPr>
            <w:tcW w:w="188" w:type="pct"/>
            <w:gridSpan w:val="2"/>
            <w:tcBorders>
              <w:top w:val="nil"/>
              <w:left w:val="nil"/>
              <w:bottom w:val="nil"/>
              <w:right w:val="nil"/>
            </w:tcBorders>
            <w:shd w:val="clear" w:color="auto" w:fill="auto"/>
            <w:vAlign w:val="center"/>
          </w:tcPr>
          <w:p>
            <w:pPr>
              <w:jc w:val="center"/>
              <w:rPr>
                <w:color w:val="000000"/>
                <w:szCs w:val="24"/>
                <w:lang w:eastAsia="lt-LT"/>
              </w:rPr>
            </w:pPr>
          </w:p>
        </w:tc>
        <w:tc>
          <w:tcPr>
            <w:tcW w:w="337" w:type="pct"/>
            <w:gridSpan w:val="2"/>
            <w:tcBorders>
              <w:top w:val="nil"/>
              <w:left w:val="nil"/>
              <w:bottom w:val="nil"/>
              <w:right w:val="nil"/>
            </w:tcBorders>
            <w:shd w:val="clear" w:color="auto" w:fill="auto"/>
            <w:vAlign w:val="center"/>
          </w:tcPr>
          <w:p>
            <w:pPr>
              <w:jc w:val="center"/>
              <w:rPr>
                <w:color w:val="000000"/>
                <w:szCs w:val="24"/>
                <w:lang w:eastAsia="lt-LT"/>
              </w:rPr>
            </w:pPr>
          </w:p>
        </w:tc>
        <w:tc>
          <w:tcPr>
            <w:tcW w:w="75" w:type="pct"/>
            <w:tcBorders>
              <w:top w:val="nil"/>
              <w:left w:val="nil"/>
              <w:bottom w:val="nil"/>
              <w:right w:val="nil"/>
            </w:tcBorders>
            <w:shd w:val="clear" w:color="auto" w:fill="auto"/>
            <w:vAlign w:val="center"/>
          </w:tcPr>
          <w:p>
            <w:pPr>
              <w:jc w:val="center"/>
              <w:rPr>
                <w:color w:val="000000"/>
                <w:szCs w:val="24"/>
                <w:lang w:eastAsia="lt-LT"/>
              </w:rPr>
            </w:pPr>
          </w:p>
        </w:tc>
        <w:tc>
          <w:tcPr>
            <w:tcW w:w="531" w:type="pct"/>
            <w:gridSpan w:val="3"/>
            <w:tcBorders>
              <w:top w:val="nil"/>
              <w:left w:val="nil"/>
              <w:bottom w:val="nil"/>
              <w:right w:val="nil"/>
            </w:tcBorders>
            <w:shd w:val="clear" w:color="auto" w:fill="auto"/>
            <w:vAlign w:val="center"/>
          </w:tcPr>
          <w:p>
            <w:pPr>
              <w:jc w:val="center"/>
              <w:rPr>
                <w:color w:val="000000"/>
                <w:szCs w:val="24"/>
                <w:lang w:eastAsia="lt-LT"/>
              </w:rPr>
            </w:pPr>
          </w:p>
        </w:tc>
        <w:tc>
          <w:tcPr>
            <w:tcW w:w="197" w:type="pct"/>
            <w:gridSpan w:val="2"/>
            <w:tcBorders>
              <w:top w:val="nil"/>
              <w:left w:val="nil"/>
              <w:bottom w:val="nil"/>
              <w:right w:val="nil"/>
            </w:tcBorders>
            <w:shd w:val="clear" w:color="auto" w:fill="auto"/>
            <w:vAlign w:val="center"/>
          </w:tcPr>
          <w:p>
            <w:pPr>
              <w:jc w:val="center"/>
              <w:rPr>
                <w:color w:val="000000"/>
                <w:szCs w:val="24"/>
                <w:lang w:eastAsia="lt-LT"/>
              </w:rPr>
            </w:pPr>
          </w:p>
        </w:tc>
        <w:tc>
          <w:tcPr>
            <w:tcW w:w="608" w:type="pct"/>
            <w:tcBorders>
              <w:top w:val="nil"/>
              <w:left w:val="nil"/>
              <w:bottom w:val="nil"/>
              <w:right w:val="nil"/>
            </w:tcBorders>
            <w:shd w:val="clear" w:color="auto" w:fill="auto"/>
            <w:noWrap/>
            <w:vAlign w:val="center"/>
          </w:tcPr>
          <w:p>
            <w:pPr>
              <w:jc w:val="center"/>
              <w:rPr>
                <w:color w:val="000000"/>
                <w:szCs w:val="24"/>
                <w:lang w:eastAsia="lt-LT"/>
              </w:rPr>
            </w:pPr>
          </w:p>
        </w:tc>
        <w:tc>
          <w:tcPr>
            <w:tcW w:w="263" w:type="pct"/>
            <w:gridSpan w:val="2"/>
            <w:tcBorders>
              <w:top w:val="nil"/>
              <w:left w:val="nil"/>
              <w:bottom w:val="nil"/>
              <w:right w:val="nil"/>
            </w:tcBorders>
            <w:shd w:val="clear" w:color="auto" w:fill="auto"/>
            <w:noWrap/>
            <w:vAlign w:val="center"/>
          </w:tcPr>
          <w:p>
            <w:pPr>
              <w:jc w:val="center"/>
              <w:rPr>
                <w:color w:val="000000"/>
                <w:szCs w:val="24"/>
                <w:lang w:eastAsia="lt-LT"/>
              </w:rPr>
            </w:pPr>
          </w:p>
        </w:tc>
        <w:tc>
          <w:tcPr>
            <w:tcW w:w="457" w:type="pct"/>
            <w:gridSpan w:val="2"/>
            <w:tcBorders>
              <w:top w:val="nil"/>
              <w:left w:val="nil"/>
              <w:bottom w:val="nil"/>
              <w:right w:val="nil"/>
            </w:tcBorders>
            <w:shd w:val="clear" w:color="auto" w:fill="auto"/>
            <w:noWrap/>
            <w:vAlign w:val="center"/>
          </w:tcPr>
          <w:p>
            <w:pPr>
              <w:jc w:val="center"/>
              <w:rPr>
                <w:color w:val="000000"/>
                <w:szCs w:val="24"/>
                <w:lang w:eastAsia="lt-LT"/>
              </w:rPr>
            </w:pPr>
          </w:p>
        </w:tc>
        <w:tc>
          <w:tcPr>
            <w:tcW w:w="75" w:type="pct"/>
            <w:tcBorders>
              <w:top w:val="nil"/>
              <w:left w:val="nil"/>
              <w:bottom w:val="nil"/>
              <w:right w:val="nil"/>
            </w:tcBorders>
            <w:shd w:val="clear" w:color="auto" w:fill="auto"/>
            <w:vAlign w:val="center"/>
          </w:tcPr>
          <w:p>
            <w:pPr>
              <w:jc w:val="center"/>
              <w:rPr>
                <w:color w:val="000000"/>
                <w:szCs w:val="24"/>
                <w:lang w:eastAsia="lt-LT"/>
              </w:rPr>
            </w:pPr>
          </w:p>
        </w:tc>
        <w:tc>
          <w:tcPr>
            <w:tcW w:w="421" w:type="pct"/>
            <w:gridSpan w:val="3"/>
            <w:tcBorders>
              <w:top w:val="nil"/>
              <w:left w:val="nil"/>
              <w:bottom w:val="nil"/>
              <w:right w:val="nil"/>
            </w:tcBorders>
            <w:shd w:val="clear" w:color="auto" w:fill="auto"/>
            <w:vAlign w:val="center"/>
          </w:tcPr>
          <w:p>
            <w:pPr>
              <w:jc w:val="center"/>
              <w:rPr>
                <w:color w:val="000000"/>
                <w:szCs w:val="24"/>
                <w:lang w:eastAsia="lt-LT"/>
              </w:rPr>
            </w:pPr>
          </w:p>
        </w:tc>
        <w:tc>
          <w:tcPr>
            <w:tcW w:w="75" w:type="pct"/>
            <w:tcBorders>
              <w:top w:val="nil"/>
              <w:left w:val="nil"/>
              <w:bottom w:val="nil"/>
              <w:right w:val="nil"/>
            </w:tcBorders>
            <w:shd w:val="clear" w:color="auto" w:fill="auto"/>
            <w:vAlign w:val="center"/>
          </w:tcPr>
          <w:p>
            <w:pPr>
              <w:jc w:val="center"/>
              <w:rPr>
                <w:color w:val="000000"/>
                <w:szCs w:val="24"/>
                <w:lang w:eastAsia="lt-LT"/>
              </w:rPr>
            </w:pPr>
          </w:p>
        </w:tc>
        <w:tc>
          <w:tcPr>
            <w:tcW w:w="430" w:type="pct"/>
            <w:gridSpan w:val="2"/>
            <w:tcBorders>
              <w:top w:val="nil"/>
              <w:left w:val="nil"/>
              <w:bottom w:val="nil"/>
              <w:right w:val="nil"/>
            </w:tcBorders>
            <w:shd w:val="clear" w:color="auto" w:fill="auto"/>
            <w:vAlign w:val="center"/>
          </w:tcPr>
          <w:p>
            <w:pPr>
              <w:jc w:val="center"/>
              <w:rPr>
                <w:color w:val="000000"/>
                <w:szCs w:val="24"/>
                <w:lang w:eastAsia="lt-LT"/>
              </w:rPr>
            </w:pPr>
          </w:p>
        </w:tc>
        <w:tc>
          <w:tcPr>
            <w:tcW w:w="75" w:type="pct"/>
            <w:tcBorders>
              <w:top w:val="nil"/>
              <w:left w:val="nil"/>
              <w:bottom w:val="nil"/>
              <w:right w:val="nil"/>
            </w:tcBorders>
            <w:shd w:val="clear" w:color="auto" w:fill="auto"/>
            <w:vAlign w:val="center"/>
          </w:tcPr>
          <w:p>
            <w:pPr>
              <w:jc w:val="center"/>
              <w:rPr>
                <w:color w:val="000000"/>
                <w:szCs w:val="24"/>
                <w:lang w:eastAsia="lt-LT"/>
              </w:rPr>
            </w:pPr>
          </w:p>
        </w:tc>
        <w:tc>
          <w:tcPr>
            <w:tcW w:w="723" w:type="pct"/>
            <w:gridSpan w:val="4"/>
            <w:tcBorders>
              <w:top w:val="nil"/>
              <w:left w:val="nil"/>
              <w:bottom w:val="nil"/>
              <w:right w:val="nil"/>
            </w:tcBorders>
            <w:shd w:val="clear" w:color="auto" w:fill="auto"/>
            <w:noWrap/>
            <w:vAlign w:val="center"/>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1.4.9v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816 000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522 240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rFonts w:eastAsia="Calibri"/>
                <w:color w:val="000000"/>
                <w:szCs w:val="24"/>
                <w:lang w:eastAsia="lt-LT"/>
              </w:rPr>
            </w:pPr>
            <w:r>
              <w:rPr>
                <w:rFonts w:eastAsia="Calibri"/>
                <w:color w:val="000000"/>
                <w:szCs w:val="24"/>
                <w:lang w:eastAsia="lt-LT"/>
              </w:rPr>
              <w:t>522 240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293 760</w:t>
            </w: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1.4.10v veiksmas: Gatvių priežiūros ir valymo technologijų atnaujinimas – valymo mašinų įsigijimas</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KMSA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AM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5.6.1. Sumažinti miestuose kietųjų dalelių ore ir cheminių medžiagų grunte pavojaus sveikatai ir aplinkai taršos lygį</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V</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1.4.10v Veiksmo lėšų poreikis ir finansavimo šaltiniai:</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1 448 100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108 608</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108 608</w:t>
            </w:r>
          </w:p>
        </w:tc>
        <w:tc>
          <w:tcPr>
            <w:tcW w:w="44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108 602</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108 602</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1 230 890</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center"/>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1.4.11v veiksmas: Darnaus judumo Kauno mieste plano parengimas</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KSMA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4.5.1. Skatinti darnų judumą ir plėtoti aplinkai draugišką transportą siekiant sumažinti anglies dioksido išmetimus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V</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1.4.11v Veiksmo lėšų poreikis ir finansavimo šaltiniai (tūkst. Eur):</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57"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46"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442"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118"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695"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63"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14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58"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7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425"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561" w:type="pct"/>
            <w:gridSpan w:val="5"/>
            <w:tcBorders>
              <w:top w:val="nil"/>
              <w:left w:val="nil"/>
              <w:bottom w:val="single" w:sz="8" w:space="0" w:color="auto"/>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nil"/>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nil"/>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241 177</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36 177</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36 177</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205 000</w:t>
            </w: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000000"/>
                <w:szCs w:val="24"/>
                <w:u w:val="single"/>
                <w:lang w:eastAsia="lt-LT"/>
              </w:rPr>
            </w:pPr>
            <w:r>
              <w:rPr>
                <w:b/>
                <w:bCs/>
                <w:color w:val="000000"/>
                <w:szCs w:val="24"/>
                <w:u w:val="single"/>
                <w:lang w:eastAsia="lt-LT"/>
              </w:rPr>
              <w:t xml:space="preserve">1.4.12v veiksmas: Elektroninio bilieto viešajame transporte ir keleivių informavimo sistemos plėtra </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2018</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2020</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KSMA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4.5.1. Skatinti darnų judumą ir plėtoti aplinkai draugišką transportą siekiant sumažinti anglies dioksido išmetimus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R</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1.4.12v Veiksmo lėšų poreikis ir finansavimo šaltiniai (tūkst. Eur):</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57"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46"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442"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118"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695"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63"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14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58"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7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425"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561" w:type="pct"/>
            <w:gridSpan w:val="5"/>
            <w:tcBorders>
              <w:top w:val="nil"/>
              <w:left w:val="nil"/>
              <w:bottom w:val="single" w:sz="8" w:space="0" w:color="auto"/>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nil"/>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nil"/>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2 132 000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319 800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319 800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1 812 200</w:t>
            </w:r>
          </w:p>
        </w:tc>
      </w:tr>
      <w:tr>
        <w:trPr>
          <w:gridAfter w:val="2"/>
          <w:wAfter w:w="461" w:type="pct"/>
          <w:trHeight w:val="20"/>
        </w:trPr>
        <w:tc>
          <w:tcPr>
            <w:tcW w:w="410" w:type="pct"/>
            <w:gridSpan w:val="3"/>
            <w:tcBorders>
              <w:top w:val="single" w:sz="8" w:space="0" w:color="auto"/>
              <w:left w:val="nil"/>
              <w:bottom w:val="nil"/>
              <w:right w:val="nil"/>
            </w:tcBorders>
            <w:shd w:val="clear" w:color="auto" w:fill="auto"/>
            <w:noWrap/>
            <w:vAlign w:val="center"/>
          </w:tcPr>
          <w:p>
            <w:pPr>
              <w:jc w:val="right"/>
              <w:rPr>
                <w:color w:val="000000"/>
                <w:szCs w:val="24"/>
                <w:lang w:eastAsia="lt-LT"/>
              </w:rPr>
            </w:pPr>
          </w:p>
        </w:tc>
        <w:tc>
          <w:tcPr>
            <w:tcW w:w="312"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503" w:type="pct"/>
            <w:gridSpan w:val="5"/>
            <w:tcBorders>
              <w:top w:val="single" w:sz="8" w:space="0" w:color="auto"/>
              <w:left w:val="nil"/>
              <w:bottom w:val="nil"/>
              <w:right w:val="nil"/>
            </w:tcBorders>
            <w:shd w:val="clear" w:color="auto" w:fill="auto"/>
            <w:noWrap/>
            <w:vAlign w:val="center"/>
          </w:tcPr>
          <w:p>
            <w:pPr>
              <w:jc w:val="right"/>
              <w:rPr>
                <w:color w:val="000000"/>
                <w:szCs w:val="24"/>
                <w:lang w:eastAsia="lt-LT"/>
              </w:rPr>
            </w:pPr>
          </w:p>
        </w:tc>
        <w:tc>
          <w:tcPr>
            <w:tcW w:w="442" w:type="pct"/>
            <w:tcBorders>
              <w:top w:val="nil"/>
              <w:left w:val="nil"/>
              <w:bottom w:val="nil"/>
              <w:right w:val="nil"/>
            </w:tcBorders>
            <w:shd w:val="clear" w:color="auto" w:fill="auto"/>
            <w:noWrap/>
            <w:vAlign w:val="center"/>
          </w:tcPr>
          <w:p>
            <w:pPr>
              <w:jc w:val="right"/>
              <w:rPr>
                <w:color w:val="000000"/>
                <w:szCs w:val="24"/>
                <w:lang w:eastAsia="lt-LT"/>
              </w:rPr>
            </w:pPr>
          </w:p>
        </w:tc>
        <w:tc>
          <w:tcPr>
            <w:tcW w:w="814" w:type="pct"/>
            <w:gridSpan w:val="4"/>
            <w:tcBorders>
              <w:top w:val="single" w:sz="8" w:space="0" w:color="auto"/>
              <w:left w:val="nil"/>
              <w:bottom w:val="nil"/>
              <w:right w:val="nil"/>
            </w:tcBorders>
            <w:shd w:val="clear" w:color="auto" w:fill="auto"/>
            <w:noWrap/>
            <w:vAlign w:val="center"/>
          </w:tcPr>
          <w:p>
            <w:pPr>
              <w:jc w:val="right"/>
              <w:rPr>
                <w:color w:val="000000"/>
                <w:szCs w:val="24"/>
                <w:lang w:eastAsia="lt-LT"/>
              </w:rPr>
            </w:pPr>
          </w:p>
        </w:tc>
        <w:tc>
          <w:tcPr>
            <w:tcW w:w="263"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457" w:type="pct"/>
            <w:gridSpan w:val="2"/>
            <w:tcBorders>
              <w:top w:val="single" w:sz="8" w:space="0" w:color="auto"/>
              <w:left w:val="nil"/>
              <w:bottom w:val="nil"/>
              <w:right w:val="nil"/>
            </w:tcBorders>
            <w:shd w:val="clear" w:color="auto" w:fill="auto"/>
            <w:noWrap/>
            <w:vAlign w:val="center"/>
          </w:tcPr>
          <w:p>
            <w:pPr>
              <w:jc w:val="right"/>
              <w:rPr>
                <w:color w:val="000000"/>
                <w:szCs w:val="24"/>
                <w:lang w:eastAsia="lt-LT"/>
              </w:rPr>
            </w:pPr>
          </w:p>
        </w:tc>
        <w:tc>
          <w:tcPr>
            <w:tcW w:w="358" w:type="pct"/>
            <w:gridSpan w:val="2"/>
            <w:tcBorders>
              <w:top w:val="nil"/>
              <w:left w:val="nil"/>
              <w:bottom w:val="nil"/>
              <w:right w:val="nil"/>
            </w:tcBorders>
            <w:shd w:val="clear" w:color="auto" w:fill="auto"/>
            <w:noWrap/>
            <w:vAlign w:val="center"/>
          </w:tcPr>
          <w:p>
            <w:pPr>
              <w:jc w:val="right"/>
              <w:rPr>
                <w:color w:val="000000"/>
                <w:szCs w:val="24"/>
                <w:lang w:eastAsia="lt-LT"/>
              </w:rPr>
            </w:pPr>
          </w:p>
        </w:tc>
        <w:tc>
          <w:tcPr>
            <w:tcW w:w="501" w:type="pct"/>
            <w:gridSpan w:val="4"/>
            <w:tcBorders>
              <w:top w:val="single" w:sz="8" w:space="0" w:color="auto"/>
              <w:left w:val="nil"/>
              <w:bottom w:val="nil"/>
              <w:right w:val="nil"/>
            </w:tcBorders>
            <w:shd w:val="clear" w:color="auto" w:fill="auto"/>
            <w:noWrap/>
            <w:vAlign w:val="center"/>
          </w:tcPr>
          <w:p>
            <w:pPr>
              <w:jc w:val="right"/>
              <w:rPr>
                <w:color w:val="000000"/>
                <w:szCs w:val="24"/>
                <w:lang w:eastAsia="lt-LT"/>
              </w:rPr>
            </w:pPr>
          </w:p>
        </w:tc>
        <w:tc>
          <w:tcPr>
            <w:tcW w:w="480" w:type="pct"/>
            <w:gridSpan w:val="4"/>
            <w:tcBorders>
              <w:top w:val="nil"/>
              <w:left w:val="nil"/>
              <w:bottom w:val="nil"/>
              <w:right w:val="nil"/>
            </w:tcBorders>
            <w:shd w:val="clear" w:color="auto" w:fill="auto"/>
            <w:noWrap/>
            <w:vAlign w:val="center"/>
          </w:tcPr>
          <w:p>
            <w:pPr>
              <w:jc w:val="right"/>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4386" w:type="pct"/>
            <w:gridSpan w:val="27"/>
            <w:tcBorders>
              <w:top w:val="nil"/>
              <w:left w:val="nil"/>
              <w:bottom w:val="nil"/>
              <w:right w:val="nil"/>
            </w:tcBorders>
            <w:shd w:val="clear" w:color="auto" w:fill="auto"/>
            <w:vAlign w:val="center"/>
          </w:tcPr>
          <w:p>
            <w:pPr>
              <w:rPr>
                <w:b/>
                <w:bCs/>
                <w:color w:val="FF0000"/>
                <w:szCs w:val="24"/>
                <w:u w:val="single"/>
                <w:lang w:eastAsia="lt-LT"/>
              </w:rPr>
            </w:pPr>
            <w:r>
              <w:rPr>
                <w:b/>
                <w:bCs/>
                <w:szCs w:val="24"/>
                <w:u w:val="single"/>
                <w:lang w:eastAsia="lt-LT"/>
              </w:rPr>
              <w:t xml:space="preserve">1.4.13v veiksmas: Naujų ekologiškų Kauno miesto viešojo transporto priemonių įsigijimas </w:t>
            </w:r>
            <w:r>
              <w:rPr>
                <w:bCs/>
                <w:szCs w:val="24"/>
                <w:lang w:eastAsia="lt-LT"/>
              </w:rPr>
              <w:t>(35 suspaustas gamtines dujas (CNG) naudojančių autobusų įsigijimas)</w:t>
            </w: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Pradžia (metai)</w:t>
            </w:r>
          </w:p>
        </w:tc>
        <w:tc>
          <w:tcPr>
            <w:tcW w:w="569"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Pabaiga (metai)</w:t>
            </w:r>
          </w:p>
        </w:tc>
        <w:tc>
          <w:tcPr>
            <w:tcW w:w="687" w:type="pct"/>
            <w:gridSpan w:val="4"/>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Vykdytojas</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Ministerija</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Veiksmų programos konkretaus uždavinio numeris ir pavadinimas</w:t>
            </w:r>
          </w:p>
        </w:tc>
        <w:tc>
          <w:tcPr>
            <w:tcW w:w="471" w:type="pct"/>
            <w:gridSpan w:val="3"/>
            <w:tcBorders>
              <w:top w:val="single" w:sz="8" w:space="0" w:color="auto"/>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Veiksmo atrankos būdas (R, V, –)</w:t>
            </w:r>
          </w:p>
        </w:tc>
      </w:tr>
      <w:tr>
        <w:trPr>
          <w:gridAfter w:val="3"/>
          <w:wAfter w:w="470"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2016</w:t>
            </w:r>
          </w:p>
        </w:tc>
        <w:tc>
          <w:tcPr>
            <w:tcW w:w="569"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2017</w:t>
            </w:r>
          </w:p>
        </w:tc>
        <w:tc>
          <w:tcPr>
            <w:tcW w:w="687"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KSMA</w:t>
            </w:r>
          </w:p>
        </w:tc>
        <w:tc>
          <w:tcPr>
            <w:tcW w:w="841" w:type="pct"/>
            <w:gridSpan w:val="5"/>
            <w:tcBorders>
              <w:top w:val="single" w:sz="8" w:space="0" w:color="auto"/>
              <w:left w:val="nil"/>
              <w:bottom w:val="single" w:sz="8" w:space="0" w:color="auto"/>
              <w:right w:val="single" w:sz="8" w:space="0" w:color="000000"/>
            </w:tcBorders>
            <w:shd w:val="clear" w:color="auto" w:fill="auto"/>
            <w:noWrap/>
            <w:vAlign w:val="center"/>
          </w:tcPr>
          <w:p>
            <w:pPr>
              <w:jc w:val="center"/>
              <w:rPr>
                <w:color w:val="000000"/>
                <w:szCs w:val="24"/>
                <w:lang w:eastAsia="lt-LT"/>
              </w:rPr>
            </w:pPr>
            <w:r>
              <w:rPr>
                <w:color w:val="000000"/>
                <w:szCs w:val="24"/>
                <w:lang w:eastAsia="lt-LT"/>
              </w:rPr>
              <w:t>SM</w:t>
            </w:r>
          </w:p>
        </w:tc>
        <w:tc>
          <w:tcPr>
            <w:tcW w:w="1551" w:type="pct"/>
            <w:gridSpan w:val="9"/>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4.5.1. Skatinti darnų judumą ir plėtoti aplinkai draugišką transportą siekiant sumažinti anglies dioksido išmetimus</w:t>
            </w:r>
          </w:p>
        </w:tc>
        <w:tc>
          <w:tcPr>
            <w:tcW w:w="471" w:type="pct"/>
            <w:gridSpan w:val="3"/>
            <w:tcBorders>
              <w:top w:val="nil"/>
              <w:left w:val="nil"/>
              <w:bottom w:val="single" w:sz="8" w:space="0" w:color="auto"/>
              <w:right w:val="single" w:sz="8" w:space="0" w:color="auto"/>
            </w:tcBorders>
            <w:shd w:val="clear" w:color="auto" w:fill="auto"/>
            <w:noWrap/>
            <w:vAlign w:val="center"/>
          </w:tcPr>
          <w:p>
            <w:pPr>
              <w:jc w:val="center"/>
              <w:rPr>
                <w:color w:val="000000"/>
                <w:szCs w:val="24"/>
                <w:lang w:eastAsia="lt-LT"/>
              </w:rPr>
            </w:pPr>
            <w:r>
              <w:rPr>
                <w:color w:val="000000"/>
                <w:szCs w:val="24"/>
                <w:lang w:eastAsia="lt-LT"/>
              </w:rPr>
              <w:t>V</w:t>
            </w:r>
          </w:p>
        </w:tc>
      </w:tr>
      <w:tr>
        <w:trPr>
          <w:gridAfter w:val="1"/>
          <w:wAfter w:w="380" w:type="pct"/>
          <w:trHeight w:val="20"/>
        </w:trPr>
        <w:tc>
          <w:tcPr>
            <w:tcW w:w="143" w:type="pct"/>
            <w:tcBorders>
              <w:top w:val="single" w:sz="8" w:space="0" w:color="auto"/>
              <w:left w:val="nil"/>
              <w:bottom w:val="nil"/>
              <w:right w:val="nil"/>
            </w:tcBorders>
            <w:shd w:val="clear" w:color="auto" w:fill="auto"/>
            <w:noWrap/>
            <w:vAlign w:val="bottom"/>
          </w:tcPr>
          <w:p>
            <w:pPr>
              <w:rPr>
                <w:color w:val="000000"/>
                <w:szCs w:val="24"/>
                <w:lang w:eastAsia="lt-LT"/>
              </w:rPr>
            </w:pPr>
          </w:p>
        </w:tc>
        <w:tc>
          <w:tcPr>
            <w:tcW w:w="266" w:type="pct"/>
            <w:gridSpan w:val="2"/>
            <w:tcBorders>
              <w:top w:val="single" w:sz="8" w:space="0" w:color="auto"/>
              <w:left w:val="nil"/>
              <w:bottom w:val="nil"/>
              <w:right w:val="nil"/>
            </w:tcBorders>
            <w:shd w:val="clear" w:color="auto" w:fill="auto"/>
            <w:noWrap/>
            <w:vAlign w:val="bottom"/>
          </w:tcPr>
          <w:p>
            <w:pPr>
              <w:rPr>
                <w:color w:val="000000"/>
                <w:szCs w:val="24"/>
                <w:lang w:eastAsia="lt-LT"/>
              </w:rPr>
            </w:pPr>
          </w:p>
        </w:tc>
        <w:tc>
          <w:tcPr>
            <w:tcW w:w="312" w:type="pct"/>
            <w:gridSpan w:val="2"/>
            <w:tcBorders>
              <w:top w:val="nil"/>
              <w:left w:val="nil"/>
              <w:bottom w:val="nil"/>
              <w:right w:val="nil"/>
            </w:tcBorders>
            <w:shd w:val="clear" w:color="auto" w:fill="auto"/>
            <w:noWrap/>
            <w:vAlign w:val="bottom"/>
          </w:tcPr>
          <w:p>
            <w:pPr>
              <w:rPr>
                <w:color w:val="000000"/>
                <w:szCs w:val="24"/>
                <w:lang w:eastAsia="lt-LT"/>
              </w:rPr>
            </w:pPr>
          </w:p>
        </w:tc>
        <w:tc>
          <w:tcPr>
            <w:tcW w:w="257" w:type="pct"/>
            <w:gridSpan w:val="2"/>
            <w:tcBorders>
              <w:top w:val="nil"/>
              <w:left w:val="nil"/>
              <w:bottom w:val="nil"/>
              <w:right w:val="nil"/>
            </w:tcBorders>
            <w:shd w:val="clear" w:color="auto" w:fill="auto"/>
            <w:noWrap/>
            <w:vAlign w:val="bottom"/>
          </w:tcPr>
          <w:p>
            <w:pPr>
              <w:rPr>
                <w:color w:val="000000"/>
                <w:szCs w:val="24"/>
                <w:lang w:eastAsia="lt-LT"/>
              </w:rPr>
            </w:pPr>
          </w:p>
        </w:tc>
        <w:tc>
          <w:tcPr>
            <w:tcW w:w="246" w:type="pct"/>
            <w:gridSpan w:val="3"/>
            <w:tcBorders>
              <w:top w:val="nil"/>
              <w:left w:val="nil"/>
              <w:bottom w:val="nil"/>
              <w:right w:val="nil"/>
            </w:tcBorders>
            <w:shd w:val="clear" w:color="auto" w:fill="auto"/>
            <w:noWrap/>
            <w:vAlign w:val="bottom"/>
          </w:tcPr>
          <w:p>
            <w:pPr>
              <w:rPr>
                <w:color w:val="000000"/>
                <w:szCs w:val="24"/>
                <w:lang w:eastAsia="lt-LT"/>
              </w:rPr>
            </w:pPr>
          </w:p>
        </w:tc>
        <w:tc>
          <w:tcPr>
            <w:tcW w:w="442" w:type="pct"/>
            <w:tcBorders>
              <w:top w:val="nil"/>
              <w:left w:val="nil"/>
              <w:bottom w:val="nil"/>
              <w:right w:val="nil"/>
            </w:tcBorders>
            <w:shd w:val="clear" w:color="auto" w:fill="auto"/>
            <w:noWrap/>
            <w:vAlign w:val="bottom"/>
          </w:tcPr>
          <w:p>
            <w:pPr>
              <w:rPr>
                <w:color w:val="000000"/>
                <w:szCs w:val="24"/>
                <w:lang w:eastAsia="lt-LT"/>
              </w:rPr>
            </w:pPr>
          </w:p>
        </w:tc>
        <w:tc>
          <w:tcPr>
            <w:tcW w:w="118" w:type="pct"/>
            <w:gridSpan w:val="2"/>
            <w:tcBorders>
              <w:top w:val="nil"/>
              <w:left w:val="nil"/>
              <w:bottom w:val="nil"/>
              <w:right w:val="nil"/>
            </w:tcBorders>
            <w:shd w:val="clear" w:color="auto" w:fill="auto"/>
            <w:noWrap/>
            <w:vAlign w:val="bottom"/>
          </w:tcPr>
          <w:p>
            <w:pPr>
              <w:rPr>
                <w:color w:val="000000"/>
                <w:szCs w:val="24"/>
                <w:lang w:eastAsia="lt-LT"/>
              </w:rPr>
            </w:pPr>
          </w:p>
        </w:tc>
        <w:tc>
          <w:tcPr>
            <w:tcW w:w="695" w:type="pct"/>
            <w:gridSpan w:val="2"/>
            <w:tcBorders>
              <w:top w:val="nil"/>
              <w:left w:val="nil"/>
              <w:bottom w:val="nil"/>
              <w:right w:val="nil"/>
            </w:tcBorders>
            <w:shd w:val="clear" w:color="auto" w:fill="auto"/>
            <w:noWrap/>
            <w:vAlign w:val="bottom"/>
          </w:tcPr>
          <w:p>
            <w:pPr>
              <w:rPr>
                <w:color w:val="000000"/>
                <w:szCs w:val="24"/>
                <w:lang w:eastAsia="lt-LT"/>
              </w:rPr>
            </w:pPr>
          </w:p>
        </w:tc>
        <w:tc>
          <w:tcPr>
            <w:tcW w:w="263" w:type="pct"/>
            <w:gridSpan w:val="2"/>
            <w:tcBorders>
              <w:top w:val="nil"/>
              <w:left w:val="nil"/>
              <w:bottom w:val="nil"/>
              <w:right w:val="nil"/>
            </w:tcBorders>
            <w:shd w:val="clear" w:color="auto" w:fill="auto"/>
            <w:noWrap/>
            <w:vAlign w:val="bottom"/>
          </w:tcPr>
          <w:p>
            <w:pPr>
              <w:rPr>
                <w:color w:val="000000"/>
                <w:szCs w:val="24"/>
                <w:lang w:eastAsia="lt-LT"/>
              </w:rPr>
            </w:pPr>
          </w:p>
        </w:tc>
        <w:tc>
          <w:tcPr>
            <w:tcW w:w="145" w:type="pct"/>
            <w:tcBorders>
              <w:top w:val="nil"/>
              <w:left w:val="nil"/>
              <w:bottom w:val="nil"/>
              <w:right w:val="nil"/>
            </w:tcBorders>
            <w:shd w:val="clear" w:color="auto" w:fill="auto"/>
            <w:noWrap/>
            <w:vAlign w:val="bottom"/>
          </w:tcPr>
          <w:p>
            <w:pPr>
              <w:rPr>
                <w:color w:val="000000"/>
                <w:szCs w:val="24"/>
                <w:lang w:eastAsia="lt-LT"/>
              </w:rPr>
            </w:pPr>
          </w:p>
        </w:tc>
        <w:tc>
          <w:tcPr>
            <w:tcW w:w="312" w:type="pct"/>
            <w:tcBorders>
              <w:top w:val="nil"/>
              <w:left w:val="nil"/>
              <w:bottom w:val="nil"/>
              <w:right w:val="nil"/>
            </w:tcBorders>
            <w:shd w:val="clear" w:color="auto" w:fill="auto"/>
            <w:noWrap/>
            <w:vAlign w:val="bottom"/>
          </w:tcPr>
          <w:p>
            <w:pPr>
              <w:rPr>
                <w:color w:val="000000"/>
                <w:szCs w:val="24"/>
                <w:lang w:eastAsia="lt-LT"/>
              </w:rPr>
            </w:pPr>
          </w:p>
        </w:tc>
        <w:tc>
          <w:tcPr>
            <w:tcW w:w="358" w:type="pct"/>
            <w:gridSpan w:val="2"/>
            <w:tcBorders>
              <w:top w:val="nil"/>
              <w:left w:val="nil"/>
              <w:bottom w:val="nil"/>
              <w:right w:val="nil"/>
            </w:tcBorders>
            <w:shd w:val="clear" w:color="auto" w:fill="auto"/>
            <w:noWrap/>
            <w:vAlign w:val="bottom"/>
          </w:tcPr>
          <w:p>
            <w:pPr>
              <w:rPr>
                <w:color w:val="000000"/>
                <w:szCs w:val="24"/>
                <w:lang w:eastAsia="lt-LT"/>
              </w:rPr>
            </w:pPr>
          </w:p>
        </w:tc>
        <w:tc>
          <w:tcPr>
            <w:tcW w:w="75" w:type="pct"/>
            <w:tcBorders>
              <w:top w:val="nil"/>
              <w:left w:val="nil"/>
              <w:bottom w:val="nil"/>
              <w:right w:val="nil"/>
            </w:tcBorders>
            <w:shd w:val="clear" w:color="auto" w:fill="auto"/>
            <w:noWrap/>
            <w:vAlign w:val="bottom"/>
          </w:tcPr>
          <w:p>
            <w:pPr>
              <w:rPr>
                <w:color w:val="000000"/>
                <w:szCs w:val="24"/>
                <w:lang w:eastAsia="lt-LT"/>
              </w:rPr>
            </w:pPr>
          </w:p>
        </w:tc>
        <w:tc>
          <w:tcPr>
            <w:tcW w:w="425" w:type="pct"/>
            <w:gridSpan w:val="3"/>
            <w:tcBorders>
              <w:top w:val="nil"/>
              <w:left w:val="nil"/>
              <w:bottom w:val="nil"/>
              <w:right w:val="nil"/>
            </w:tcBorders>
            <w:shd w:val="clear" w:color="auto" w:fill="auto"/>
            <w:noWrap/>
            <w:vAlign w:val="bottom"/>
          </w:tcPr>
          <w:p>
            <w:pPr>
              <w:rPr>
                <w:color w:val="000000"/>
                <w:szCs w:val="24"/>
                <w:lang w:eastAsia="lt-LT"/>
              </w:rPr>
            </w:pPr>
          </w:p>
        </w:tc>
        <w:tc>
          <w:tcPr>
            <w:tcW w:w="561" w:type="pct"/>
            <w:gridSpan w:val="5"/>
            <w:tcBorders>
              <w:top w:val="nil"/>
              <w:left w:val="nil"/>
              <w:bottom w:val="nil"/>
              <w:right w:val="nil"/>
            </w:tcBorders>
            <w:shd w:val="clear" w:color="auto" w:fill="auto"/>
            <w:noWrap/>
            <w:vAlign w:val="bottom"/>
          </w:tcPr>
          <w:p>
            <w:pPr>
              <w:rPr>
                <w:color w:val="000000"/>
                <w:szCs w:val="24"/>
                <w:lang w:eastAsia="lt-LT"/>
              </w:rPr>
            </w:pPr>
          </w:p>
        </w:tc>
      </w:tr>
      <w:tr>
        <w:trPr>
          <w:gridAfter w:val="3"/>
          <w:wAfter w:w="470" w:type="pct"/>
          <w:trHeight w:val="20"/>
        </w:trPr>
        <w:tc>
          <w:tcPr>
            <w:tcW w:w="143" w:type="pct"/>
            <w:tcBorders>
              <w:top w:val="nil"/>
              <w:left w:val="nil"/>
              <w:bottom w:val="nil"/>
              <w:right w:val="nil"/>
            </w:tcBorders>
            <w:shd w:val="clear" w:color="auto" w:fill="auto"/>
            <w:noWrap/>
            <w:vAlign w:val="bottom"/>
          </w:tcPr>
          <w:p>
            <w:pPr>
              <w:rPr>
                <w:color w:val="000000"/>
                <w:szCs w:val="24"/>
                <w:lang w:eastAsia="lt-LT"/>
              </w:rPr>
            </w:pPr>
          </w:p>
        </w:tc>
        <w:tc>
          <w:tcPr>
            <w:tcW w:w="3915" w:type="pct"/>
            <w:gridSpan w:val="24"/>
            <w:tcBorders>
              <w:top w:val="nil"/>
              <w:left w:val="nil"/>
              <w:bottom w:val="nil"/>
              <w:right w:val="nil"/>
            </w:tcBorders>
            <w:shd w:val="clear" w:color="auto" w:fill="auto"/>
            <w:noWrap/>
            <w:vAlign w:val="center"/>
          </w:tcPr>
          <w:p>
            <w:pPr>
              <w:rPr>
                <w:b/>
                <w:bCs/>
                <w:color w:val="000000"/>
                <w:szCs w:val="24"/>
                <w:lang w:eastAsia="lt-LT"/>
              </w:rPr>
            </w:pPr>
            <w:r>
              <w:rPr>
                <w:b/>
                <w:bCs/>
                <w:color w:val="000000"/>
                <w:szCs w:val="24"/>
                <w:lang w:eastAsia="lt-LT"/>
              </w:rPr>
              <w:t>1.4.13v Veiksmo lėšų poreikis ir finansavimo šaltiniai (tūkst. Eur):</w:t>
            </w:r>
          </w:p>
        </w:tc>
        <w:tc>
          <w:tcPr>
            <w:tcW w:w="471" w:type="pct"/>
            <w:gridSpan w:val="3"/>
            <w:tcBorders>
              <w:top w:val="nil"/>
              <w:left w:val="nil"/>
              <w:bottom w:val="nil"/>
              <w:right w:val="nil"/>
            </w:tcBorders>
            <w:shd w:val="clear" w:color="auto" w:fill="auto"/>
            <w:noWrap/>
            <w:vAlign w:val="bottom"/>
          </w:tcPr>
          <w:p>
            <w:pPr>
              <w:rPr>
                <w:color w:val="000000"/>
                <w:szCs w:val="24"/>
                <w:lang w:eastAsia="lt-LT"/>
              </w:rPr>
            </w:pPr>
          </w:p>
        </w:tc>
      </w:tr>
      <w:tr>
        <w:trPr>
          <w:gridAfter w:val="1"/>
          <w:wAfter w:w="380" w:type="pct"/>
          <w:trHeight w:val="20"/>
        </w:trPr>
        <w:tc>
          <w:tcPr>
            <w:tcW w:w="143"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266"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57"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46"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442"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118"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695"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263"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14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12"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358" w:type="pct"/>
            <w:gridSpan w:val="2"/>
            <w:tcBorders>
              <w:top w:val="nil"/>
              <w:left w:val="nil"/>
              <w:bottom w:val="single" w:sz="8" w:space="0" w:color="auto"/>
              <w:right w:val="nil"/>
            </w:tcBorders>
            <w:shd w:val="clear" w:color="auto" w:fill="auto"/>
            <w:noWrap/>
            <w:vAlign w:val="bottom"/>
          </w:tcPr>
          <w:p>
            <w:pPr>
              <w:rPr>
                <w:color w:val="000000"/>
                <w:szCs w:val="24"/>
                <w:lang w:eastAsia="lt-LT"/>
              </w:rPr>
            </w:pPr>
          </w:p>
        </w:tc>
        <w:tc>
          <w:tcPr>
            <w:tcW w:w="75" w:type="pct"/>
            <w:tcBorders>
              <w:top w:val="nil"/>
              <w:left w:val="nil"/>
              <w:bottom w:val="single" w:sz="8" w:space="0" w:color="auto"/>
              <w:right w:val="nil"/>
            </w:tcBorders>
            <w:shd w:val="clear" w:color="auto" w:fill="auto"/>
            <w:noWrap/>
            <w:vAlign w:val="bottom"/>
          </w:tcPr>
          <w:p>
            <w:pPr>
              <w:rPr>
                <w:color w:val="000000"/>
                <w:szCs w:val="24"/>
                <w:lang w:eastAsia="lt-LT"/>
              </w:rPr>
            </w:pPr>
          </w:p>
        </w:tc>
        <w:tc>
          <w:tcPr>
            <w:tcW w:w="425" w:type="pct"/>
            <w:gridSpan w:val="3"/>
            <w:tcBorders>
              <w:top w:val="nil"/>
              <w:left w:val="nil"/>
              <w:bottom w:val="single" w:sz="8" w:space="0" w:color="auto"/>
              <w:right w:val="nil"/>
            </w:tcBorders>
            <w:shd w:val="clear" w:color="auto" w:fill="auto"/>
            <w:noWrap/>
            <w:vAlign w:val="bottom"/>
          </w:tcPr>
          <w:p>
            <w:pPr>
              <w:rPr>
                <w:color w:val="000000"/>
                <w:szCs w:val="24"/>
                <w:lang w:eastAsia="lt-LT"/>
              </w:rPr>
            </w:pPr>
          </w:p>
        </w:tc>
        <w:tc>
          <w:tcPr>
            <w:tcW w:w="561" w:type="pct"/>
            <w:gridSpan w:val="5"/>
            <w:tcBorders>
              <w:top w:val="nil"/>
              <w:left w:val="nil"/>
              <w:bottom w:val="single" w:sz="8" w:space="0" w:color="auto"/>
              <w:right w:val="nil"/>
            </w:tcBorders>
            <w:shd w:val="clear" w:color="auto" w:fill="auto"/>
            <w:noWrap/>
            <w:vAlign w:val="bottom"/>
          </w:tcPr>
          <w:p>
            <w:pPr>
              <w:rPr>
                <w:color w:val="000000"/>
                <w:szCs w:val="24"/>
                <w:lang w:eastAsia="lt-LT"/>
              </w:rPr>
            </w:pPr>
          </w:p>
        </w:tc>
      </w:tr>
      <w:tr>
        <w:trPr>
          <w:gridAfter w:val="3"/>
          <w:wAfter w:w="470" w:type="pct"/>
          <w:trHeight w:val="20"/>
        </w:trPr>
        <w:tc>
          <w:tcPr>
            <w:tcW w:w="410"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pPr>
              <w:jc w:val="center"/>
              <w:rPr>
                <w:color w:val="000000"/>
                <w:szCs w:val="24"/>
                <w:lang w:eastAsia="lt-LT"/>
              </w:rPr>
            </w:pPr>
            <w:r>
              <w:rPr>
                <w:color w:val="000000"/>
                <w:szCs w:val="24"/>
                <w:lang w:eastAsia="lt-LT"/>
              </w:rPr>
              <w:t>Iš viso veiksmui įgyvendinti</w:t>
            </w:r>
          </w:p>
        </w:tc>
        <w:tc>
          <w:tcPr>
            <w:tcW w:w="815" w:type="pct"/>
            <w:gridSpan w:val="7"/>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Valstybės biudžeto lėšos:</w:t>
            </w:r>
          </w:p>
        </w:tc>
        <w:tc>
          <w:tcPr>
            <w:tcW w:w="1255" w:type="pct"/>
            <w:gridSpan w:val="5"/>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Savivaldybės biudžeto lėšos:</w:t>
            </w:r>
          </w:p>
        </w:tc>
        <w:tc>
          <w:tcPr>
            <w:tcW w:w="720" w:type="pct"/>
            <w:gridSpan w:val="4"/>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Kitos viešosios lėšos:</w:t>
            </w:r>
          </w:p>
        </w:tc>
        <w:tc>
          <w:tcPr>
            <w:tcW w:w="858" w:type="pct"/>
            <w:gridSpan w:val="6"/>
            <w:tcBorders>
              <w:top w:val="single" w:sz="8" w:space="0" w:color="auto"/>
              <w:left w:val="nil"/>
              <w:bottom w:val="single" w:sz="8" w:space="0" w:color="auto"/>
              <w:right w:val="single" w:sz="8" w:space="0" w:color="000000"/>
            </w:tcBorders>
            <w:shd w:val="clear" w:color="auto" w:fill="auto"/>
            <w:vAlign w:val="center"/>
          </w:tcPr>
          <w:p>
            <w:pPr>
              <w:jc w:val="center"/>
              <w:rPr>
                <w:color w:val="000000"/>
                <w:szCs w:val="24"/>
                <w:lang w:eastAsia="lt-LT"/>
              </w:rPr>
            </w:pPr>
            <w:r>
              <w:rPr>
                <w:color w:val="000000"/>
                <w:szCs w:val="24"/>
                <w:lang w:eastAsia="lt-LT"/>
              </w:rPr>
              <w:t>Privačios lėšos:</w:t>
            </w:r>
          </w:p>
        </w:tc>
        <w:tc>
          <w:tcPr>
            <w:tcW w:w="471" w:type="pct"/>
            <w:gridSpan w:val="3"/>
            <w:tcBorders>
              <w:top w:val="nil"/>
              <w:left w:val="single" w:sz="8" w:space="0" w:color="auto"/>
              <w:bottom w:val="single" w:sz="8" w:space="0" w:color="000000"/>
              <w:right w:val="single" w:sz="8" w:space="0" w:color="auto"/>
            </w:tcBorders>
            <w:shd w:val="clear" w:color="auto" w:fill="auto"/>
            <w:vAlign w:val="center"/>
          </w:tcPr>
          <w:p>
            <w:pPr>
              <w:jc w:val="center"/>
              <w:rPr>
                <w:color w:val="000000"/>
                <w:szCs w:val="24"/>
                <w:lang w:eastAsia="lt-LT"/>
              </w:rPr>
            </w:pPr>
            <w:r>
              <w:rPr>
                <w:color w:val="000000"/>
                <w:szCs w:val="24"/>
                <w:lang w:eastAsia="lt-LT"/>
              </w:rPr>
              <w:t>ES lėšos</w:t>
            </w:r>
          </w:p>
        </w:tc>
      </w:tr>
      <w:tr>
        <w:trPr>
          <w:gridAfter w:val="2"/>
          <w:wAfter w:w="461" w:type="pct"/>
          <w:trHeight w:val="20"/>
        </w:trPr>
        <w:tc>
          <w:tcPr>
            <w:tcW w:w="410" w:type="pct"/>
            <w:gridSpan w:val="3"/>
            <w:vMerge/>
            <w:tcBorders>
              <w:top w:val="single" w:sz="8" w:space="0" w:color="auto"/>
              <w:left w:val="single" w:sz="8" w:space="0" w:color="auto"/>
              <w:bottom w:val="single" w:sz="8" w:space="0" w:color="000000"/>
              <w:right w:val="single" w:sz="8" w:space="0" w:color="000000"/>
            </w:tcBorders>
            <w:shd w:val="clear" w:color="auto" w:fill="auto"/>
            <w:vAlign w:val="center"/>
          </w:tcPr>
          <w:p>
            <w:pPr>
              <w:rPr>
                <w:color w:val="000000"/>
                <w:szCs w:val="24"/>
                <w:lang w:eastAsia="lt-LT"/>
              </w:rPr>
            </w:pPr>
          </w:p>
        </w:tc>
        <w:tc>
          <w:tcPr>
            <w:tcW w:w="312"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3" w:type="pct"/>
            <w:gridSpan w:val="5"/>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42" w:type="pct"/>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814"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263"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457" w:type="pct"/>
            <w:gridSpan w:val="2"/>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358" w:type="pct"/>
            <w:gridSpan w:val="2"/>
            <w:tcBorders>
              <w:top w:val="nil"/>
              <w:left w:val="nil"/>
              <w:bottom w:val="single" w:sz="8" w:space="0" w:color="auto"/>
              <w:right w:val="single" w:sz="8" w:space="0" w:color="auto"/>
            </w:tcBorders>
            <w:shd w:val="clear" w:color="auto" w:fill="auto"/>
            <w:vAlign w:val="center"/>
          </w:tcPr>
          <w:p>
            <w:pPr>
              <w:jc w:val="center"/>
              <w:rPr>
                <w:color w:val="000000"/>
                <w:szCs w:val="24"/>
                <w:lang w:eastAsia="lt-LT"/>
              </w:rPr>
            </w:pPr>
            <w:r>
              <w:rPr>
                <w:color w:val="000000"/>
                <w:szCs w:val="24"/>
                <w:lang w:eastAsia="lt-LT"/>
              </w:rPr>
              <w:t>Iš viso:</w:t>
            </w:r>
          </w:p>
        </w:tc>
        <w:tc>
          <w:tcPr>
            <w:tcW w:w="501" w:type="pct"/>
            <w:gridSpan w:val="4"/>
            <w:tcBorders>
              <w:top w:val="single" w:sz="8" w:space="0" w:color="auto"/>
              <w:left w:val="nil"/>
              <w:bottom w:val="single" w:sz="8" w:space="0" w:color="auto"/>
              <w:right w:val="single" w:sz="8" w:space="0" w:color="000000"/>
            </w:tcBorders>
            <w:shd w:val="clear" w:color="auto" w:fill="auto"/>
            <w:vAlign w:val="center"/>
          </w:tcPr>
          <w:p>
            <w:pPr>
              <w:rPr>
                <w:color w:val="000000"/>
                <w:szCs w:val="24"/>
                <w:lang w:eastAsia="lt-LT"/>
              </w:rPr>
            </w:pPr>
            <w:r>
              <w:rPr>
                <w:color w:val="000000"/>
                <w:szCs w:val="24"/>
                <w:lang w:eastAsia="lt-LT"/>
              </w:rPr>
              <w:t>Iš jų bendrasis finansavimas</w:t>
            </w:r>
          </w:p>
        </w:tc>
        <w:tc>
          <w:tcPr>
            <w:tcW w:w="480" w:type="pct"/>
            <w:gridSpan w:val="4"/>
            <w:tcBorders>
              <w:top w:val="nil"/>
              <w:left w:val="single" w:sz="8" w:space="0" w:color="auto"/>
              <w:bottom w:val="single" w:sz="8" w:space="0" w:color="000000"/>
              <w:right w:val="single" w:sz="8" w:space="0" w:color="auto"/>
            </w:tcBorders>
            <w:shd w:val="clear" w:color="auto" w:fill="auto"/>
            <w:vAlign w:val="center"/>
          </w:tcPr>
          <w:p>
            <w:pPr>
              <w:rPr>
                <w:color w:val="000000"/>
                <w:szCs w:val="24"/>
                <w:lang w:eastAsia="lt-LT"/>
              </w:rPr>
            </w:pPr>
          </w:p>
        </w:tc>
      </w:tr>
      <w:tr>
        <w:trPr>
          <w:gridAfter w:val="2"/>
          <w:wAfter w:w="461" w:type="pct"/>
          <w:trHeight w:val="20"/>
        </w:trPr>
        <w:tc>
          <w:tcPr>
            <w:tcW w:w="41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7 000 000</w:t>
            </w:r>
          </w:p>
        </w:tc>
        <w:tc>
          <w:tcPr>
            <w:tcW w:w="312"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3" w:type="pct"/>
            <w:gridSpan w:val="5"/>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42" w:type="pct"/>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1 050 000</w:t>
            </w:r>
          </w:p>
        </w:tc>
        <w:tc>
          <w:tcPr>
            <w:tcW w:w="814"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1 050 000</w:t>
            </w:r>
          </w:p>
        </w:tc>
        <w:tc>
          <w:tcPr>
            <w:tcW w:w="263"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457" w:type="pct"/>
            <w:gridSpan w:val="2"/>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358" w:type="pct"/>
            <w:gridSpan w:val="2"/>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0</w:t>
            </w:r>
          </w:p>
        </w:tc>
        <w:tc>
          <w:tcPr>
            <w:tcW w:w="501" w:type="pct"/>
            <w:gridSpan w:val="4"/>
            <w:tcBorders>
              <w:top w:val="single" w:sz="8" w:space="0" w:color="auto"/>
              <w:left w:val="nil"/>
              <w:bottom w:val="single" w:sz="8" w:space="0" w:color="auto"/>
              <w:right w:val="single" w:sz="8" w:space="0" w:color="000000"/>
            </w:tcBorders>
            <w:shd w:val="clear" w:color="auto" w:fill="auto"/>
            <w:noWrap/>
            <w:vAlign w:val="center"/>
          </w:tcPr>
          <w:p>
            <w:pPr>
              <w:jc w:val="right"/>
              <w:rPr>
                <w:color w:val="000000"/>
                <w:szCs w:val="24"/>
                <w:lang w:eastAsia="lt-LT"/>
              </w:rPr>
            </w:pPr>
            <w:r>
              <w:rPr>
                <w:color w:val="000000"/>
                <w:szCs w:val="24"/>
                <w:lang w:eastAsia="lt-LT"/>
              </w:rPr>
              <w:t>0</w:t>
            </w:r>
          </w:p>
        </w:tc>
        <w:tc>
          <w:tcPr>
            <w:tcW w:w="480" w:type="pct"/>
            <w:gridSpan w:val="4"/>
            <w:tcBorders>
              <w:top w:val="nil"/>
              <w:left w:val="nil"/>
              <w:bottom w:val="single" w:sz="8" w:space="0" w:color="auto"/>
              <w:right w:val="single" w:sz="8" w:space="0" w:color="auto"/>
            </w:tcBorders>
            <w:shd w:val="clear" w:color="auto" w:fill="auto"/>
            <w:noWrap/>
            <w:vAlign w:val="center"/>
          </w:tcPr>
          <w:p>
            <w:pPr>
              <w:jc w:val="right"/>
              <w:rPr>
                <w:color w:val="000000"/>
                <w:szCs w:val="24"/>
                <w:lang w:eastAsia="lt-LT"/>
              </w:rPr>
            </w:pPr>
            <w:r>
              <w:rPr>
                <w:color w:val="000000"/>
                <w:szCs w:val="24"/>
                <w:lang w:eastAsia="lt-LT"/>
              </w:rPr>
              <w:t>5 950 000</w:t>
            </w:r>
          </w:p>
        </w:tc>
      </w:tr>
    </w:tbl>
    <w:p>
      <w:pPr>
        <w:ind w:firstLine="720"/>
        <w:rPr>
          <w:szCs w:val="24"/>
          <w:lang w:eastAsia="lt-LT"/>
        </w:rPr>
      </w:pPr>
    </w:p>
    <w:p>
      <w:pPr>
        <w:ind w:firstLine="720"/>
        <w:rPr>
          <w:szCs w:val="24"/>
          <w:lang w:eastAsia="lt-LT"/>
        </w:rPr>
      </w:pPr>
    </w:p>
    <w:tbl>
      <w:tblPr>
        <w:tblW w:w="5158" w:type="pct"/>
        <w:tblCellMar>
          <w:left w:w="115" w:type="dxa"/>
          <w:right w:w="115" w:type="dxa"/>
        </w:tblCellMar>
        <w:tblLook w:val="04A0" w:firstRow="1" w:lastRow="0" w:firstColumn="1" w:lastColumn="0" w:noHBand="0" w:noVBand="1"/>
      </w:tblPr>
      <w:tblGrid>
        <w:gridCol w:w="1834"/>
        <w:gridCol w:w="1135"/>
        <w:gridCol w:w="1465"/>
        <w:gridCol w:w="1064"/>
        <w:gridCol w:w="1465"/>
        <w:gridCol w:w="1135"/>
        <w:gridCol w:w="1465"/>
        <w:gridCol w:w="832"/>
        <w:gridCol w:w="1606"/>
        <w:gridCol w:w="1652"/>
      </w:tblGrid>
      <w:tr>
        <w:trPr>
          <w:trHeight w:val="20"/>
        </w:trPr>
        <w:tc>
          <w:tcPr>
            <w:tcW w:w="687"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Iš viso pagal 1.4 uždavinį (Eur):</w:t>
            </w:r>
          </w:p>
        </w:tc>
        <w:tc>
          <w:tcPr>
            <w:tcW w:w="92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Valstybės biudžeto lėšos:</w:t>
            </w:r>
          </w:p>
        </w:tc>
        <w:tc>
          <w:tcPr>
            <w:tcW w:w="92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Savivaldybės biudžeto lėšos:</w:t>
            </w:r>
          </w:p>
        </w:tc>
        <w:tc>
          <w:tcPr>
            <w:tcW w:w="92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Kitos viešosios lėšos:</w:t>
            </w:r>
          </w:p>
        </w:tc>
        <w:tc>
          <w:tcPr>
            <w:tcW w:w="92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Privačios lėšos:</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ES lėšos</w:t>
            </w:r>
          </w:p>
        </w:tc>
      </w:tr>
      <w:tr>
        <w:trPr>
          <w:trHeight w:val="20"/>
        </w:trPr>
        <w:tc>
          <w:tcPr>
            <w:tcW w:w="687" w:type="pct"/>
            <w:vMerge/>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 w:val="22"/>
                <w:szCs w:val="22"/>
                <w:lang w:eastAsia="lt-LT"/>
              </w:rPr>
            </w:pPr>
          </w:p>
        </w:tc>
        <w:tc>
          <w:tcPr>
            <w:tcW w:w="431" w:type="pc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Iš viso:</w:t>
            </w:r>
          </w:p>
        </w:tc>
        <w:tc>
          <w:tcPr>
            <w:tcW w:w="491" w:type="pct"/>
            <w:tcBorders>
              <w:top w:val="single" w:sz="4" w:space="0" w:color="auto"/>
              <w:left w:val="single" w:sz="4" w:space="0" w:color="auto"/>
              <w:bottom w:val="single" w:sz="4" w:space="0" w:color="auto"/>
              <w:right w:val="single" w:sz="4" w:space="0" w:color="auto"/>
            </w:tcBorders>
            <w:shd w:val="clear" w:color="auto" w:fill="DBE5F1"/>
            <w:vAlign w:val="center"/>
          </w:tcPr>
          <w:p>
            <w:pPr>
              <w:rPr>
                <w:b/>
                <w:color w:val="000000"/>
                <w:sz w:val="22"/>
                <w:szCs w:val="22"/>
                <w:lang w:eastAsia="lt-LT"/>
              </w:rPr>
            </w:pPr>
            <w:r>
              <w:rPr>
                <w:b/>
                <w:color w:val="000000"/>
                <w:sz w:val="22"/>
                <w:szCs w:val="22"/>
                <w:lang w:eastAsia="lt-LT"/>
              </w:rPr>
              <w:t>Iš jų bendrasis finansavimas</w:t>
            </w:r>
          </w:p>
        </w:tc>
        <w:tc>
          <w:tcPr>
            <w:tcW w:w="405" w:type="pc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Iš viso:</w:t>
            </w: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pPr>
              <w:rPr>
                <w:b/>
                <w:color w:val="000000"/>
                <w:sz w:val="22"/>
                <w:szCs w:val="22"/>
                <w:lang w:eastAsia="lt-LT"/>
              </w:rPr>
            </w:pPr>
            <w:r>
              <w:rPr>
                <w:b/>
                <w:color w:val="000000"/>
                <w:sz w:val="22"/>
                <w:szCs w:val="22"/>
                <w:lang w:eastAsia="lt-LT"/>
              </w:rPr>
              <w:t>Iš jų bendrasis finansavimas</w:t>
            </w:r>
          </w:p>
        </w:tc>
        <w:tc>
          <w:tcPr>
            <w:tcW w:w="431" w:type="pc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Iš viso:</w:t>
            </w:r>
          </w:p>
        </w:tc>
        <w:tc>
          <w:tcPr>
            <w:tcW w:w="491" w:type="pct"/>
            <w:tcBorders>
              <w:top w:val="single" w:sz="4" w:space="0" w:color="auto"/>
              <w:left w:val="single" w:sz="4" w:space="0" w:color="auto"/>
              <w:bottom w:val="single" w:sz="4" w:space="0" w:color="auto"/>
              <w:right w:val="single" w:sz="4" w:space="0" w:color="auto"/>
            </w:tcBorders>
            <w:shd w:val="clear" w:color="auto" w:fill="DBE5F1"/>
            <w:vAlign w:val="center"/>
          </w:tcPr>
          <w:p>
            <w:pPr>
              <w:rPr>
                <w:b/>
                <w:color w:val="000000"/>
                <w:sz w:val="22"/>
                <w:szCs w:val="22"/>
                <w:lang w:eastAsia="lt-LT"/>
              </w:rPr>
            </w:pPr>
            <w:r>
              <w:rPr>
                <w:b/>
                <w:color w:val="000000"/>
                <w:sz w:val="22"/>
                <w:szCs w:val="22"/>
                <w:lang w:eastAsia="lt-LT"/>
              </w:rPr>
              <w:t>Iš jų bendrasis finansavimas</w:t>
            </w:r>
          </w:p>
        </w:tc>
        <w:tc>
          <w:tcPr>
            <w:tcW w:w="320" w:type="pct"/>
            <w:tcBorders>
              <w:top w:val="single" w:sz="4" w:space="0" w:color="auto"/>
              <w:left w:val="single" w:sz="4" w:space="0" w:color="auto"/>
              <w:bottom w:val="single" w:sz="4" w:space="0" w:color="auto"/>
              <w:right w:val="single" w:sz="4" w:space="0" w:color="auto"/>
            </w:tcBorders>
            <w:shd w:val="clear" w:color="auto" w:fill="DBE5F1"/>
            <w:vAlign w:val="center"/>
          </w:tcPr>
          <w:p>
            <w:pPr>
              <w:jc w:val="center"/>
              <w:rPr>
                <w:b/>
                <w:color w:val="000000"/>
                <w:sz w:val="22"/>
                <w:szCs w:val="22"/>
                <w:lang w:eastAsia="lt-LT"/>
              </w:rPr>
            </w:pPr>
            <w:r>
              <w:rPr>
                <w:b/>
                <w:color w:val="000000"/>
                <w:sz w:val="22"/>
                <w:szCs w:val="22"/>
                <w:lang w:eastAsia="lt-LT"/>
              </w:rPr>
              <w:t>Iš viso:</w:t>
            </w:r>
          </w:p>
        </w:tc>
        <w:tc>
          <w:tcPr>
            <w:tcW w:w="603" w:type="pct"/>
            <w:tcBorders>
              <w:top w:val="single" w:sz="4" w:space="0" w:color="auto"/>
              <w:left w:val="single" w:sz="4" w:space="0" w:color="auto"/>
              <w:bottom w:val="single" w:sz="4" w:space="0" w:color="auto"/>
              <w:right w:val="single" w:sz="4" w:space="0" w:color="auto"/>
            </w:tcBorders>
            <w:shd w:val="clear" w:color="auto" w:fill="DBE5F1"/>
            <w:vAlign w:val="center"/>
          </w:tcPr>
          <w:p>
            <w:pPr>
              <w:rPr>
                <w:b/>
                <w:color w:val="000000"/>
                <w:sz w:val="22"/>
                <w:szCs w:val="22"/>
                <w:lang w:eastAsia="lt-LT"/>
              </w:rPr>
            </w:pPr>
            <w:r>
              <w:rPr>
                <w:b/>
                <w:color w:val="000000"/>
                <w:sz w:val="22"/>
                <w:szCs w:val="22"/>
                <w:lang w:eastAsia="lt-LT"/>
              </w:rPr>
              <w:t>Iš jų bendrasis finansavimas</w:t>
            </w:r>
          </w:p>
        </w:tc>
        <w:tc>
          <w:tcPr>
            <w:tcW w:w="621" w:type="pct"/>
            <w:vMerge/>
            <w:tcBorders>
              <w:top w:val="single" w:sz="4" w:space="0" w:color="auto"/>
              <w:left w:val="single" w:sz="4" w:space="0" w:color="auto"/>
              <w:bottom w:val="single" w:sz="4" w:space="0" w:color="auto"/>
              <w:right w:val="single" w:sz="4" w:space="0" w:color="auto"/>
            </w:tcBorders>
            <w:shd w:val="clear" w:color="auto" w:fill="DBE5F1"/>
            <w:vAlign w:val="center"/>
          </w:tcPr>
          <w:p>
            <w:pPr>
              <w:rPr>
                <w:b/>
                <w:color w:val="000000"/>
                <w:sz w:val="22"/>
                <w:szCs w:val="22"/>
                <w:lang w:eastAsia="lt-LT"/>
              </w:rPr>
            </w:pPr>
          </w:p>
        </w:tc>
      </w:tr>
      <w:tr>
        <w:trPr>
          <w:trHeight w:val="183"/>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bCs/>
                <w:strike/>
                <w:color w:val="000000"/>
                <w:sz w:val="22"/>
                <w:szCs w:val="22"/>
                <w:lang w:eastAsia="lt-LT"/>
              </w:rPr>
            </w:pPr>
          </w:p>
          <w:p>
            <w:pPr>
              <w:jc w:val="right"/>
              <w:rPr>
                <w:b/>
                <w:bCs/>
                <w:color w:val="000000"/>
                <w:sz w:val="22"/>
                <w:szCs w:val="22"/>
                <w:lang w:eastAsia="lt-LT"/>
              </w:rPr>
            </w:pPr>
            <w:r>
              <w:rPr>
                <w:b/>
                <w:bCs/>
                <w:color w:val="000000"/>
                <w:sz w:val="22"/>
                <w:szCs w:val="22"/>
                <w:lang w:eastAsia="lt-LT"/>
              </w:rPr>
              <w:t>23 601 254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b/>
                <w:bCs/>
                <w:color w:val="000000"/>
                <w:sz w:val="22"/>
                <w:szCs w:val="22"/>
                <w:lang w:eastAsia="lt-LT"/>
              </w:rPr>
            </w:pPr>
            <w:r>
              <w:rPr>
                <w:b/>
                <w:bCs/>
                <w:color w:val="000000"/>
                <w:sz w:val="22"/>
                <w:szCs w:val="22"/>
                <w:lang w:eastAsia="lt-LT"/>
              </w:rPr>
              <w:t>108 608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b/>
                <w:bCs/>
                <w:color w:val="000000"/>
                <w:sz w:val="22"/>
                <w:szCs w:val="22"/>
                <w:lang w:eastAsia="lt-LT"/>
              </w:rPr>
            </w:pPr>
            <w:r>
              <w:rPr>
                <w:b/>
                <w:bCs/>
                <w:color w:val="000000"/>
                <w:sz w:val="22"/>
                <w:szCs w:val="22"/>
                <w:lang w:eastAsia="lt-LT"/>
              </w:rPr>
              <w:t>108 608</w:t>
            </w:r>
          </w:p>
        </w:tc>
        <w:tc>
          <w:tcPr>
            <w:tcW w:w="405"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9 861 423</w:t>
            </w:r>
          </w:p>
        </w:tc>
        <w:tc>
          <w:tcPr>
            <w:tcW w:w="519"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9 861 423</w:t>
            </w:r>
          </w:p>
        </w:tc>
        <w:tc>
          <w:tcPr>
            <w:tcW w:w="431"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0</w:t>
            </w:r>
          </w:p>
        </w:tc>
        <w:tc>
          <w:tcPr>
            <w:tcW w:w="491"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0</w:t>
            </w:r>
          </w:p>
        </w:tc>
        <w:tc>
          <w:tcPr>
            <w:tcW w:w="320"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0</w:t>
            </w:r>
          </w:p>
        </w:tc>
        <w:tc>
          <w:tcPr>
            <w:tcW w:w="603"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0</w:t>
            </w:r>
          </w:p>
        </w:tc>
        <w:tc>
          <w:tcPr>
            <w:tcW w:w="621"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b/>
                <w:color w:val="000000"/>
                <w:sz w:val="22"/>
                <w:szCs w:val="22"/>
                <w:lang w:val="en-US" w:eastAsia="lt-LT"/>
              </w:rPr>
              <w:t>13 631 223</w:t>
            </w:r>
          </w:p>
        </w:tc>
      </w:tr>
    </w:tbl>
    <w:p>
      <w:pPr/>
    </w:p>
    <w:tbl>
      <w:tblPr>
        <w:tblW w:w="5154" w:type="pct"/>
        <w:tblInd w:w="5" w:type="dxa"/>
        <w:tblCellMar>
          <w:left w:w="115" w:type="dxa"/>
          <w:right w:w="115" w:type="dxa"/>
        </w:tblCellMar>
        <w:tblLook w:val="04A0" w:firstRow="1" w:lastRow="0" w:firstColumn="1" w:lastColumn="0" w:noHBand="0" w:noVBand="1"/>
      </w:tblPr>
      <w:tblGrid>
        <w:gridCol w:w="389"/>
        <w:gridCol w:w="369"/>
        <w:gridCol w:w="359"/>
        <w:gridCol w:w="514"/>
        <w:gridCol w:w="1101"/>
        <w:gridCol w:w="676"/>
        <w:gridCol w:w="789"/>
        <w:gridCol w:w="1319"/>
        <w:gridCol w:w="688"/>
        <w:gridCol w:w="777"/>
        <w:gridCol w:w="1101"/>
        <w:gridCol w:w="676"/>
        <w:gridCol w:w="789"/>
        <w:gridCol w:w="803"/>
        <w:gridCol w:w="222"/>
        <w:gridCol w:w="363"/>
        <w:gridCol w:w="1102"/>
        <w:gridCol w:w="1606"/>
      </w:tblGrid>
      <w:tr>
        <w:trPr>
          <w:trHeight w:val="559"/>
        </w:trPr>
        <w:tc>
          <w:tcPr>
            <w:tcW w:w="160" w:type="pct"/>
            <w:tcBorders>
              <w:left w:val="nil"/>
              <w:bottom w:val="single" w:sz="4" w:space="0" w:color="auto"/>
              <w:right w:val="nil"/>
            </w:tcBorders>
            <w:shd w:val="clear" w:color="auto" w:fill="auto"/>
            <w:noWrap/>
            <w:vAlign w:val="center"/>
          </w:tcPr>
          <w:p>
            <w:pPr>
              <w:ind w:firstLine="720"/>
              <w:jc w:val="both"/>
              <w:rPr>
                <w:color w:val="000000"/>
                <w:sz w:val="20"/>
                <w:szCs w:val="24"/>
                <w:lang w:eastAsia="lt-LT"/>
              </w:rPr>
            </w:pPr>
          </w:p>
        </w:tc>
        <w:tc>
          <w:tcPr>
            <w:tcW w:w="153" w:type="pct"/>
            <w:tcBorders>
              <w:left w:val="nil"/>
              <w:bottom w:val="single" w:sz="4" w:space="0" w:color="auto"/>
              <w:right w:val="nil"/>
            </w:tcBorders>
            <w:shd w:val="clear" w:color="auto" w:fill="auto"/>
            <w:noWrap/>
            <w:vAlign w:val="bottom"/>
          </w:tcPr>
          <w:p>
            <w:pPr>
              <w:rPr>
                <w:color w:val="000000"/>
                <w:szCs w:val="24"/>
                <w:lang w:eastAsia="lt-LT"/>
              </w:rPr>
            </w:pPr>
          </w:p>
        </w:tc>
        <w:tc>
          <w:tcPr>
            <w:tcW w:w="149" w:type="pct"/>
            <w:tcBorders>
              <w:left w:val="nil"/>
              <w:bottom w:val="single" w:sz="4" w:space="0" w:color="auto"/>
              <w:right w:val="nil"/>
            </w:tcBorders>
            <w:shd w:val="clear" w:color="auto" w:fill="auto"/>
            <w:noWrap/>
            <w:vAlign w:val="bottom"/>
          </w:tcPr>
          <w:p>
            <w:pPr>
              <w:rPr>
                <w:color w:val="000000"/>
                <w:szCs w:val="24"/>
                <w:lang w:eastAsia="lt-LT"/>
              </w:rPr>
            </w:pPr>
          </w:p>
        </w:tc>
        <w:tc>
          <w:tcPr>
            <w:tcW w:w="206" w:type="pct"/>
            <w:tcBorders>
              <w:left w:val="nil"/>
              <w:bottom w:val="single" w:sz="4" w:space="0" w:color="auto"/>
              <w:right w:val="nil"/>
            </w:tcBorders>
            <w:shd w:val="clear" w:color="auto" w:fill="auto"/>
            <w:noWrap/>
            <w:vAlign w:val="bottom"/>
          </w:tcPr>
          <w:p>
            <w:pPr>
              <w:rPr>
                <w:color w:val="000000"/>
                <w:szCs w:val="24"/>
                <w:lang w:eastAsia="lt-LT"/>
              </w:rPr>
            </w:pPr>
          </w:p>
        </w:tc>
        <w:tc>
          <w:tcPr>
            <w:tcW w:w="421" w:type="pct"/>
            <w:tcBorders>
              <w:left w:val="nil"/>
              <w:bottom w:val="single" w:sz="4" w:space="0" w:color="auto"/>
              <w:right w:val="nil"/>
            </w:tcBorders>
            <w:shd w:val="clear" w:color="auto" w:fill="auto"/>
            <w:noWrap/>
            <w:vAlign w:val="bottom"/>
          </w:tcPr>
          <w:p>
            <w:pPr>
              <w:rPr>
                <w:color w:val="000000"/>
                <w:szCs w:val="24"/>
                <w:lang w:eastAsia="lt-LT"/>
              </w:rPr>
            </w:pPr>
          </w:p>
        </w:tc>
        <w:tc>
          <w:tcPr>
            <w:tcW w:w="225" w:type="pct"/>
            <w:tcBorders>
              <w:left w:val="nil"/>
              <w:bottom w:val="single" w:sz="4" w:space="0" w:color="auto"/>
              <w:right w:val="nil"/>
            </w:tcBorders>
            <w:shd w:val="clear" w:color="auto" w:fill="auto"/>
            <w:noWrap/>
            <w:vAlign w:val="bottom"/>
          </w:tcPr>
          <w:p>
            <w:pPr>
              <w:rPr>
                <w:color w:val="000000"/>
                <w:szCs w:val="24"/>
                <w:lang w:eastAsia="lt-LT"/>
              </w:rPr>
            </w:pPr>
          </w:p>
        </w:tc>
        <w:tc>
          <w:tcPr>
            <w:tcW w:w="262" w:type="pct"/>
            <w:tcBorders>
              <w:left w:val="nil"/>
              <w:bottom w:val="single" w:sz="4" w:space="0" w:color="auto"/>
              <w:right w:val="nil"/>
            </w:tcBorders>
            <w:shd w:val="clear" w:color="auto" w:fill="auto"/>
            <w:noWrap/>
            <w:vAlign w:val="bottom"/>
          </w:tcPr>
          <w:p>
            <w:pPr>
              <w:rPr>
                <w:color w:val="000000"/>
                <w:szCs w:val="24"/>
                <w:lang w:eastAsia="lt-LT"/>
              </w:rPr>
            </w:pPr>
          </w:p>
        </w:tc>
        <w:tc>
          <w:tcPr>
            <w:tcW w:w="501" w:type="pct"/>
            <w:tcBorders>
              <w:left w:val="nil"/>
              <w:bottom w:val="single" w:sz="4" w:space="0" w:color="auto"/>
              <w:right w:val="nil"/>
            </w:tcBorders>
            <w:shd w:val="clear" w:color="auto" w:fill="auto"/>
            <w:noWrap/>
            <w:vAlign w:val="bottom"/>
          </w:tcPr>
          <w:p>
            <w:pPr>
              <w:rPr>
                <w:color w:val="000000"/>
                <w:szCs w:val="24"/>
                <w:lang w:eastAsia="lt-LT"/>
              </w:rPr>
            </w:pPr>
          </w:p>
        </w:tc>
        <w:tc>
          <w:tcPr>
            <w:tcW w:w="238" w:type="pct"/>
            <w:tcBorders>
              <w:left w:val="nil"/>
              <w:bottom w:val="single" w:sz="4" w:space="0" w:color="auto"/>
              <w:right w:val="nil"/>
            </w:tcBorders>
            <w:shd w:val="clear" w:color="auto" w:fill="auto"/>
            <w:noWrap/>
            <w:vAlign w:val="bottom"/>
          </w:tcPr>
          <w:p>
            <w:pPr>
              <w:rPr>
                <w:color w:val="000000"/>
                <w:szCs w:val="24"/>
                <w:lang w:eastAsia="lt-LT"/>
              </w:rPr>
            </w:pPr>
          </w:p>
        </w:tc>
        <w:tc>
          <w:tcPr>
            <w:tcW w:w="269" w:type="pct"/>
            <w:tcBorders>
              <w:left w:val="nil"/>
              <w:bottom w:val="single" w:sz="4" w:space="0" w:color="auto"/>
              <w:right w:val="nil"/>
            </w:tcBorders>
            <w:shd w:val="clear" w:color="auto" w:fill="auto"/>
            <w:noWrap/>
            <w:vAlign w:val="bottom"/>
          </w:tcPr>
          <w:p>
            <w:pPr>
              <w:rPr>
                <w:color w:val="000000"/>
                <w:szCs w:val="24"/>
                <w:lang w:eastAsia="lt-LT"/>
              </w:rPr>
            </w:pPr>
          </w:p>
        </w:tc>
        <w:tc>
          <w:tcPr>
            <w:tcW w:w="421" w:type="pct"/>
            <w:tcBorders>
              <w:left w:val="nil"/>
              <w:bottom w:val="single" w:sz="4" w:space="0" w:color="auto"/>
              <w:right w:val="nil"/>
            </w:tcBorders>
            <w:shd w:val="clear" w:color="auto" w:fill="auto"/>
            <w:noWrap/>
            <w:vAlign w:val="bottom"/>
          </w:tcPr>
          <w:p>
            <w:pPr>
              <w:rPr>
                <w:color w:val="000000"/>
                <w:szCs w:val="24"/>
                <w:lang w:eastAsia="lt-LT"/>
              </w:rPr>
            </w:pPr>
          </w:p>
        </w:tc>
        <w:tc>
          <w:tcPr>
            <w:tcW w:w="225" w:type="pct"/>
            <w:tcBorders>
              <w:left w:val="nil"/>
              <w:bottom w:val="single" w:sz="4" w:space="0" w:color="auto"/>
              <w:right w:val="nil"/>
            </w:tcBorders>
            <w:shd w:val="clear" w:color="auto" w:fill="auto"/>
            <w:noWrap/>
            <w:vAlign w:val="bottom"/>
          </w:tcPr>
          <w:p>
            <w:pPr>
              <w:rPr>
                <w:color w:val="000000"/>
                <w:szCs w:val="24"/>
                <w:lang w:eastAsia="lt-LT"/>
              </w:rPr>
            </w:pPr>
          </w:p>
        </w:tc>
        <w:tc>
          <w:tcPr>
            <w:tcW w:w="262" w:type="pct"/>
            <w:tcBorders>
              <w:left w:val="nil"/>
              <w:bottom w:val="single" w:sz="4" w:space="0" w:color="auto"/>
              <w:right w:val="nil"/>
            </w:tcBorders>
            <w:shd w:val="clear" w:color="auto" w:fill="auto"/>
            <w:noWrap/>
            <w:vAlign w:val="bottom"/>
          </w:tcPr>
          <w:p>
            <w:pPr>
              <w:rPr>
                <w:color w:val="000000"/>
                <w:szCs w:val="24"/>
                <w:lang w:eastAsia="lt-LT"/>
              </w:rPr>
            </w:pPr>
          </w:p>
        </w:tc>
        <w:tc>
          <w:tcPr>
            <w:tcW w:w="312" w:type="pct"/>
            <w:tcBorders>
              <w:left w:val="nil"/>
              <w:bottom w:val="single" w:sz="4" w:space="0" w:color="auto"/>
              <w:right w:val="nil"/>
            </w:tcBorders>
            <w:shd w:val="clear" w:color="auto" w:fill="auto"/>
            <w:noWrap/>
            <w:vAlign w:val="bottom"/>
          </w:tcPr>
          <w:p>
            <w:pPr>
              <w:rPr>
                <w:color w:val="000000"/>
                <w:szCs w:val="24"/>
                <w:lang w:eastAsia="lt-LT"/>
              </w:rPr>
            </w:pPr>
          </w:p>
        </w:tc>
        <w:tc>
          <w:tcPr>
            <w:tcW w:w="220" w:type="pct"/>
            <w:gridSpan w:val="2"/>
            <w:tcBorders>
              <w:left w:val="nil"/>
              <w:bottom w:val="single" w:sz="4" w:space="0" w:color="auto"/>
              <w:right w:val="nil"/>
            </w:tcBorders>
            <w:shd w:val="clear" w:color="auto" w:fill="auto"/>
            <w:noWrap/>
            <w:vAlign w:val="bottom"/>
          </w:tcPr>
          <w:p>
            <w:pPr>
              <w:rPr>
                <w:color w:val="000000"/>
                <w:szCs w:val="24"/>
                <w:lang w:eastAsia="lt-LT"/>
              </w:rPr>
            </w:pPr>
          </w:p>
        </w:tc>
        <w:tc>
          <w:tcPr>
            <w:tcW w:w="367" w:type="pct"/>
            <w:tcBorders>
              <w:left w:val="nil"/>
              <w:bottom w:val="single" w:sz="4" w:space="0" w:color="auto"/>
              <w:right w:val="nil"/>
            </w:tcBorders>
            <w:shd w:val="clear" w:color="auto" w:fill="auto"/>
            <w:noWrap/>
            <w:vAlign w:val="bottom"/>
          </w:tcPr>
          <w:p>
            <w:pPr>
              <w:rPr>
                <w:color w:val="000000"/>
                <w:szCs w:val="24"/>
                <w:lang w:eastAsia="lt-LT"/>
              </w:rPr>
            </w:pPr>
          </w:p>
        </w:tc>
        <w:tc>
          <w:tcPr>
            <w:tcW w:w="607" w:type="pct"/>
            <w:tcBorders>
              <w:left w:val="nil"/>
              <w:bottom w:val="single" w:sz="4" w:space="0" w:color="auto"/>
              <w:right w:val="nil"/>
            </w:tcBorders>
            <w:shd w:val="clear" w:color="auto" w:fill="auto"/>
            <w:noWrap/>
            <w:vAlign w:val="bottom"/>
          </w:tcPr>
          <w:p>
            <w:pPr>
              <w:rPr>
                <w:color w:val="000000"/>
                <w:szCs w:val="24"/>
                <w:lang w:eastAsia="lt-LT"/>
              </w:rPr>
            </w:pPr>
          </w:p>
        </w:tc>
      </w:tr>
      <w:tr>
        <w:trPr>
          <w:trHeight w:val="20"/>
        </w:trPr>
        <w:tc>
          <w:tcPr>
            <w:tcW w:w="668" w:type="pct"/>
            <w:gridSpan w:val="4"/>
            <w:vMerge w:val="restart"/>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Cs w:val="24"/>
                <w:lang w:eastAsia="lt-LT"/>
              </w:rPr>
            </w:pPr>
            <w:r>
              <w:rPr>
                <w:b/>
                <w:color w:val="000000"/>
                <w:szCs w:val="24"/>
                <w:lang w:eastAsia="lt-LT"/>
              </w:rPr>
              <w:t>Iš viso pagal veiksmų planą (Eur):</w:t>
            </w:r>
          </w:p>
        </w:tc>
        <w:tc>
          <w:tcPr>
            <w:tcW w:w="909"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Valstybės biudžeto lėšos:</w:t>
            </w:r>
          </w:p>
        </w:tc>
        <w:tc>
          <w:tcPr>
            <w:tcW w:w="1007"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Savivaldybės biudžeto lėšos:</w:t>
            </w:r>
          </w:p>
        </w:tc>
        <w:tc>
          <w:tcPr>
            <w:tcW w:w="909"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Kitos viešosios lėšos:</w:t>
            </w:r>
          </w:p>
        </w:tc>
        <w:tc>
          <w:tcPr>
            <w:tcW w:w="900" w:type="pct"/>
            <w:gridSpan w:val="4"/>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Privačios lėšos: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ES lėšos</w:t>
            </w:r>
          </w:p>
        </w:tc>
      </w:tr>
      <w:tr>
        <w:trPr>
          <w:trHeight w:val="20"/>
        </w:trPr>
        <w:tc>
          <w:tcPr>
            <w:tcW w:w="668" w:type="pct"/>
            <w:gridSpan w:val="4"/>
            <w:vMerge/>
            <w:tcBorders>
              <w:top w:val="single" w:sz="4" w:space="0" w:color="auto"/>
              <w:left w:val="single" w:sz="4" w:space="0" w:color="auto"/>
              <w:bottom w:val="single" w:sz="4" w:space="0" w:color="auto"/>
              <w:right w:val="single" w:sz="4" w:space="0" w:color="auto"/>
            </w:tcBorders>
            <w:shd w:val="clear" w:color="auto" w:fill="FDE9D9"/>
            <w:vAlign w:val="center"/>
          </w:tcPr>
          <w:p>
            <w:pPr>
              <w:rPr>
                <w:color w:val="000000"/>
                <w:szCs w:val="24"/>
                <w:lang w:eastAsia="lt-LT"/>
              </w:rPr>
            </w:pPr>
          </w:p>
        </w:tc>
        <w:tc>
          <w:tcPr>
            <w:tcW w:w="421" w:type="pct"/>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Iš viso:</w:t>
            </w:r>
          </w:p>
        </w:tc>
        <w:tc>
          <w:tcPr>
            <w:tcW w:w="488"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pPr>
              <w:rPr>
                <w:b/>
                <w:color w:val="000000"/>
                <w:sz w:val="22"/>
                <w:szCs w:val="22"/>
                <w:lang w:eastAsia="lt-LT"/>
              </w:rPr>
            </w:pPr>
            <w:r>
              <w:rPr>
                <w:b/>
                <w:color w:val="000000"/>
                <w:sz w:val="22"/>
                <w:szCs w:val="22"/>
                <w:lang w:eastAsia="lt-LT"/>
              </w:rPr>
              <w:t>Iš jų bendrasis finansavimas</w:t>
            </w:r>
          </w:p>
        </w:tc>
        <w:tc>
          <w:tcPr>
            <w:tcW w:w="501" w:type="pct"/>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Iš viso:</w:t>
            </w:r>
          </w:p>
        </w:tc>
        <w:tc>
          <w:tcPr>
            <w:tcW w:w="506"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pPr>
              <w:rPr>
                <w:b/>
                <w:color w:val="000000"/>
                <w:sz w:val="22"/>
                <w:szCs w:val="22"/>
                <w:lang w:eastAsia="lt-LT"/>
              </w:rPr>
            </w:pPr>
            <w:r>
              <w:rPr>
                <w:b/>
                <w:color w:val="000000"/>
                <w:sz w:val="22"/>
                <w:szCs w:val="22"/>
                <w:lang w:eastAsia="lt-LT"/>
              </w:rPr>
              <w:t>Iš jų bendrasis finansavimas</w:t>
            </w:r>
          </w:p>
        </w:tc>
        <w:tc>
          <w:tcPr>
            <w:tcW w:w="421" w:type="pct"/>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Iš viso:</w:t>
            </w:r>
          </w:p>
        </w:tc>
        <w:tc>
          <w:tcPr>
            <w:tcW w:w="488"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pPr>
              <w:rPr>
                <w:b/>
                <w:color w:val="000000"/>
                <w:sz w:val="22"/>
                <w:szCs w:val="22"/>
                <w:lang w:eastAsia="lt-LT"/>
              </w:rPr>
            </w:pPr>
            <w:r>
              <w:rPr>
                <w:b/>
                <w:color w:val="000000"/>
                <w:sz w:val="22"/>
                <w:szCs w:val="22"/>
                <w:lang w:eastAsia="lt-LT"/>
              </w:rPr>
              <w:t>Iš jų bendrasis finansavimas</w:t>
            </w:r>
          </w:p>
        </w:tc>
        <w:tc>
          <w:tcPr>
            <w:tcW w:w="411"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pPr>
              <w:jc w:val="center"/>
              <w:rPr>
                <w:b/>
                <w:color w:val="000000"/>
                <w:sz w:val="22"/>
                <w:szCs w:val="22"/>
                <w:lang w:eastAsia="lt-LT"/>
              </w:rPr>
            </w:pPr>
            <w:r>
              <w:rPr>
                <w:b/>
                <w:color w:val="000000"/>
                <w:sz w:val="22"/>
                <w:szCs w:val="22"/>
                <w:lang w:eastAsia="lt-LT"/>
              </w:rPr>
              <w:t>Iš viso:</w:t>
            </w:r>
          </w:p>
        </w:tc>
        <w:tc>
          <w:tcPr>
            <w:tcW w:w="489"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pPr>
              <w:rPr>
                <w:b/>
                <w:color w:val="000000"/>
                <w:sz w:val="22"/>
                <w:szCs w:val="22"/>
                <w:lang w:eastAsia="lt-LT"/>
              </w:rPr>
            </w:pPr>
            <w:r>
              <w:rPr>
                <w:b/>
                <w:color w:val="000000"/>
                <w:sz w:val="22"/>
                <w:szCs w:val="22"/>
                <w:lang w:eastAsia="lt-LT"/>
              </w:rPr>
              <w:t>Iš jų bendrasis finansavimas</w:t>
            </w:r>
          </w:p>
        </w:tc>
        <w:tc>
          <w:tcPr>
            <w:tcW w:w="607" w:type="pct"/>
            <w:vMerge/>
            <w:tcBorders>
              <w:top w:val="single" w:sz="4" w:space="0" w:color="auto"/>
              <w:left w:val="single" w:sz="4" w:space="0" w:color="auto"/>
              <w:bottom w:val="single" w:sz="4" w:space="0" w:color="auto"/>
              <w:right w:val="single" w:sz="4" w:space="0" w:color="auto"/>
            </w:tcBorders>
            <w:shd w:val="clear" w:color="auto" w:fill="FDE9D9"/>
            <w:vAlign w:val="center"/>
          </w:tcPr>
          <w:p>
            <w:pPr>
              <w:rPr>
                <w:color w:val="000000"/>
                <w:sz w:val="22"/>
                <w:szCs w:val="22"/>
                <w:lang w:eastAsia="lt-LT"/>
              </w:rPr>
            </w:pPr>
          </w:p>
        </w:tc>
      </w:tr>
      <w:tr>
        <w:trPr>
          <w:trHeight w:val="20"/>
        </w:trPr>
        <w:tc>
          <w:tcPr>
            <w:tcW w:w="668" w:type="pct"/>
            <w:gridSpan w:val="4"/>
            <w:tcBorders>
              <w:top w:val="single" w:sz="4" w:space="0" w:color="auto"/>
              <w:left w:val="single" w:sz="4" w:space="0" w:color="auto"/>
              <w:bottom w:val="single" w:sz="4" w:space="0" w:color="auto"/>
              <w:right w:val="single" w:sz="4" w:space="0" w:color="auto"/>
            </w:tcBorders>
            <w:shd w:val="clear" w:color="auto" w:fill="auto"/>
          </w:tcPr>
          <w:p>
            <w:pPr>
              <w:rPr>
                <w:color w:val="000000"/>
                <w:szCs w:val="24"/>
                <w:lang w:eastAsia="lt-LT"/>
              </w:rPr>
            </w:pPr>
          </w:p>
          <w:p>
            <w:pPr>
              <w:jc w:val="right"/>
              <w:rPr>
                <w:rFonts w:eastAsia="Calibri"/>
                <w:b/>
                <w:color w:val="000000"/>
                <w:szCs w:val="24"/>
                <w:lang w:eastAsia="lt-LT"/>
              </w:rPr>
            </w:pPr>
            <w:r>
              <w:rPr>
                <w:rFonts w:eastAsia="Calibri"/>
                <w:b/>
                <w:color w:val="000000"/>
                <w:szCs w:val="24"/>
                <w:lang w:eastAsia="lt-LT"/>
              </w:rPr>
              <w:t>125 472 475</w:t>
            </w:r>
          </w:p>
        </w:tc>
        <w:tc>
          <w:tcPr>
            <w:tcW w:w="421"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7 221 557</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7 221 557</w:t>
            </w:r>
          </w:p>
        </w:tc>
        <w:tc>
          <w:tcPr>
            <w:tcW w:w="501" w:type="pct"/>
            <w:tcBorders>
              <w:top w:val="single" w:sz="4" w:space="0" w:color="auto"/>
              <w:left w:val="single" w:sz="4" w:space="0" w:color="auto"/>
              <w:bottom w:val="single" w:sz="4" w:space="0" w:color="auto"/>
              <w:right w:val="single" w:sz="4" w:space="0" w:color="auto"/>
            </w:tcBorders>
            <w:shd w:val="clear" w:color="auto" w:fill="auto"/>
          </w:tcPr>
          <w:p>
            <w:pPr>
              <w:rPr>
                <w:b/>
                <w:strike/>
                <w:color w:val="000000"/>
                <w:sz w:val="22"/>
                <w:szCs w:val="22"/>
                <w:highlight w:val="lightGray"/>
                <w:lang w:eastAsia="lt-LT"/>
              </w:rPr>
            </w:pPr>
          </w:p>
          <w:p>
            <w:pPr>
              <w:jc w:val="right"/>
              <w:rPr>
                <w:rFonts w:eastAsia="Calibri"/>
                <w:b/>
                <w:color w:val="000000"/>
                <w:sz w:val="22"/>
                <w:szCs w:val="22"/>
                <w:highlight w:val="lightGray"/>
                <w:lang w:eastAsia="lt-LT"/>
              </w:rPr>
            </w:pPr>
            <w:r>
              <w:rPr>
                <w:rFonts w:eastAsia="Calibri"/>
                <w:b/>
                <w:color w:val="000000"/>
                <w:sz w:val="22"/>
                <w:szCs w:val="22"/>
                <w:lang w:eastAsia="lt-LT"/>
              </w:rPr>
              <w:t>18 411 202</w:t>
            </w:r>
          </w:p>
        </w:tc>
        <w:tc>
          <w:tcPr>
            <w:tcW w:w="506" w:type="pct"/>
            <w:gridSpan w:val="2"/>
            <w:tcBorders>
              <w:top w:val="single" w:sz="4" w:space="0" w:color="auto"/>
              <w:left w:val="single" w:sz="4" w:space="0" w:color="auto"/>
              <w:bottom w:val="single" w:sz="4" w:space="0" w:color="auto"/>
              <w:right w:val="single" w:sz="4" w:space="0" w:color="auto"/>
            </w:tcBorders>
            <w:shd w:val="clear" w:color="auto" w:fill="auto"/>
          </w:tcPr>
          <w:p>
            <w:pPr>
              <w:rPr>
                <w:b/>
                <w:strike/>
                <w:color w:val="000000"/>
                <w:sz w:val="22"/>
                <w:szCs w:val="22"/>
                <w:highlight w:val="lightGray"/>
                <w:lang w:eastAsia="lt-LT"/>
              </w:rPr>
            </w:pPr>
          </w:p>
          <w:p>
            <w:pPr>
              <w:jc w:val="right"/>
              <w:rPr>
                <w:rFonts w:eastAsia="Calibri"/>
                <w:b/>
                <w:strike/>
                <w:color w:val="000000"/>
                <w:sz w:val="22"/>
                <w:szCs w:val="22"/>
                <w:highlight w:val="lightGray"/>
                <w:lang w:eastAsia="lt-LT"/>
              </w:rPr>
            </w:pPr>
            <w:r>
              <w:rPr>
                <w:rFonts w:eastAsia="Calibri"/>
                <w:b/>
                <w:color w:val="000000"/>
                <w:sz w:val="22"/>
                <w:szCs w:val="22"/>
                <w:lang w:eastAsia="lt-LT"/>
              </w:rPr>
              <w:t>18 411 202</w:t>
            </w:r>
          </w:p>
        </w:tc>
        <w:tc>
          <w:tcPr>
            <w:tcW w:w="421" w:type="pct"/>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2 864 660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1 645 475</w:t>
            </w:r>
          </w:p>
        </w:tc>
        <w:tc>
          <w:tcPr>
            <w:tcW w:w="411" w:type="pct"/>
            <w:gridSpan w:val="2"/>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1 823 689</w:t>
            </w:r>
          </w:p>
        </w:tc>
        <w:tc>
          <w:tcPr>
            <w:tcW w:w="489" w:type="pct"/>
            <w:gridSpan w:val="2"/>
            <w:tcBorders>
              <w:top w:val="single" w:sz="4" w:space="0" w:color="auto"/>
              <w:left w:val="single" w:sz="4" w:space="0" w:color="auto"/>
              <w:bottom w:val="single" w:sz="4" w:space="0" w:color="auto"/>
              <w:right w:val="single" w:sz="4" w:space="0" w:color="auto"/>
            </w:tcBorders>
            <w:shd w:val="clear" w:color="auto" w:fill="auto"/>
          </w:tcPr>
          <w:p>
            <w:pPr>
              <w:rPr>
                <w:b/>
                <w:color w:val="000000"/>
                <w:sz w:val="22"/>
                <w:szCs w:val="22"/>
                <w:lang w:eastAsia="lt-LT"/>
              </w:rPr>
            </w:pPr>
          </w:p>
          <w:p>
            <w:pPr>
              <w:jc w:val="right"/>
              <w:rPr>
                <w:rFonts w:eastAsia="Calibri"/>
                <w:b/>
                <w:color w:val="000000"/>
                <w:sz w:val="22"/>
                <w:szCs w:val="22"/>
                <w:lang w:eastAsia="lt-LT"/>
              </w:rPr>
            </w:pPr>
            <w:r>
              <w:rPr>
                <w:rFonts w:eastAsia="Calibri"/>
                <w:b/>
                <w:color w:val="000000"/>
                <w:sz w:val="22"/>
                <w:szCs w:val="22"/>
                <w:lang w:eastAsia="lt-LT"/>
              </w:rPr>
              <w:t>1 823 689</w:t>
            </w:r>
          </w:p>
        </w:tc>
        <w:tc>
          <w:tcPr>
            <w:tcW w:w="607" w:type="pct"/>
            <w:tcBorders>
              <w:top w:val="single" w:sz="4" w:space="0" w:color="auto"/>
              <w:left w:val="single" w:sz="4" w:space="0" w:color="auto"/>
              <w:bottom w:val="single" w:sz="4" w:space="0" w:color="auto"/>
              <w:right w:val="single" w:sz="4" w:space="0" w:color="auto"/>
            </w:tcBorders>
            <w:shd w:val="clear" w:color="auto" w:fill="auto"/>
          </w:tcPr>
          <w:p>
            <w:pPr>
              <w:rPr>
                <w:color w:val="000000"/>
                <w:sz w:val="22"/>
                <w:szCs w:val="22"/>
                <w:lang w:eastAsia="lt-LT"/>
              </w:rPr>
            </w:pPr>
          </w:p>
          <w:p>
            <w:pPr>
              <w:jc w:val="right"/>
              <w:rPr>
                <w:rFonts w:eastAsia="Calibri"/>
                <w:b/>
                <w:strike/>
                <w:color w:val="000000"/>
                <w:sz w:val="22"/>
                <w:szCs w:val="22"/>
                <w:lang w:eastAsia="lt-LT"/>
              </w:rPr>
            </w:pPr>
            <w:r>
              <w:rPr>
                <w:b/>
                <w:color w:val="000000"/>
                <w:sz w:val="22"/>
                <w:szCs w:val="22"/>
                <w:lang w:val="en-US" w:eastAsia="lt-LT"/>
              </w:rPr>
              <w:t>95 151 367</w:t>
            </w:r>
          </w:p>
        </w:tc>
      </w:tr>
    </w:tbl>
    <w:p>
      <w:pPr>
        <w:jc w:val="center"/>
        <w:rPr>
          <w:rFonts w:eastAsia="Calibri"/>
          <w:szCs w:val="22"/>
        </w:rPr>
      </w:pPr>
      <w:r>
        <w:rPr>
          <w:rFonts w:eastAsia="Calibri"/>
          <w:szCs w:val="24"/>
          <w:lang w:eastAsia="lt-LT"/>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22f860759d11e6b969d7ae07280e89">
        <w:r w:rsidRPr="00532B9F">
          <w:rPr>
            <w:rFonts w:ascii="Times New Roman" w:eastAsia="MS Mincho" w:hAnsi="Times New Roman"/>
            <w:sz w:val="20"/>
            <w:i/>
            <w:iCs/>
            <w:color w:val="0000FF" w:themeColor="hyperlink"/>
            <w:u w:val="single"/>
          </w:rPr>
          <w:t>1V-632</w:t>
        </w:r>
      </w:fldSimple>
      <w:r>
        <w:rPr>
          <w:rFonts w:ascii="Times New Roman" w:eastAsia="MS Mincho" w:hAnsi="Times New Roman"/>
          <w:sz w:val="20"/>
          <w:i/>
          <w:iCs/>
        </w:rPr>
        <w:t>,
2016-09-08,
paskelbta TAR 2016-09-08, i. k. 2016-23383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22f860759d11e6b969d7ae07280e89">
        <w:r w:rsidRPr="00532B9F">
          <w:rPr>
            <w:rFonts w:ascii="Times New Roman" w:eastAsia="MS Mincho" w:hAnsi="Times New Roman"/>
            <w:sz w:val="20"/>
            <w:iCs/>
            <w:color w:val="0000FF" w:themeColor="hyperlink"/>
            <w:u w:val="single"/>
          </w:rPr>
          <w:t>1V-632</w:t>
        </w:r>
      </w:fldSimple>
      <w:r>
        <w:rPr>
          <w:rFonts w:ascii="Times New Roman" w:eastAsia="MS Mincho" w:hAnsi="Times New Roman"/>
          <w:sz w:val="20"/>
          <w:iCs/>
        </w:rPr>
        <w:t>,
2016-09-08,
paskelbta TAR 2016-09-08, i. k. 2016-23383                </w:t>
      </w:r>
    </w:p>
    <w:p>
      <w:pPr>
        <w:jc w:val="both"/>
        <w:rPr>
          <w:rFonts w:ascii="Times New Roman" w:hAnsi="Times New Roman"/>
        </w:rPr>
      </w:pPr>
      <w:r>
        <w:rPr>
          <w:rFonts w:ascii="Times New Roman" w:hAnsi="Times New Roman"/>
          <w:sz w:val="20"/>
        </w:rPr>
        <w:t>Dėl Lietuvos Respublikos vidaus reikalų ministro 2016 m. sausio 15 d. įsakymo Nr. 1V-32 „Dėl Kauno miesto integruotos teritorijų vystymo programos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default" r:id="rId1"/>
      <w:headerReference w:type="first" r:id="rId2"/>
      <w:pgSz w:w="15840" w:h="12240" w:orient="landscape"/>
      <w:pgMar w:top="1701" w:right="1701" w:bottom="567" w:left="1134" w:header="142" w:footer="709" w:gutter="0"/>
      <w:pgNumType w:start="1"/>
      <w:cols w:space="708"/>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spacing w:before="240" w:after="120" w:line="276" w:lineRule="auto"/>
        <w:jc w:val="both"/>
        <w:rPr>
          <w:rFonts w:eastAsia="Calibri"/>
          <w:szCs w:val="22"/>
        </w:rPr>
      </w:pPr>
      <w:r>
        <w:rPr>
          <w:rFonts w:eastAsia="Calibri"/>
          <w:szCs w:val="22"/>
        </w:rPr>
        <w:separator/>
      </w:r>
    </w:p>
    <w:p/>
  </w:endnote>
  <w:endnote w:type="continuationSeparator" w:id="0">
    <w:p>
      <w:pPr>
        <w:spacing w:before="240" w:after="120" w:line="276" w:lineRule="auto"/>
        <w:jc w:val="both"/>
        <w:rPr>
          <w:rFonts w:eastAsia="Calibri"/>
          <w:szCs w:val="22"/>
        </w:rPr>
      </w:pPr>
      <w:r>
        <w:rPr>
          <w:rFonts w:eastAsia="Calibri"/>
          <w:szCs w:val="22"/>
        </w:rPr>
        <w:continuationSeparator/>
      </w:r>
    </w:p>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before="240" w:after="120"/>
      <w:jc w:val="both"/>
      <w:rPr>
        <w:rFonts w:eastAsia="Calibri"/>
        <w:szCs w:val="22"/>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before="240" w:after="120"/>
      <w:jc w:val="both"/>
      <w:rPr>
        <w:rFonts w:eastAsia="Calibri"/>
        <w:szCs w:val="22"/>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before="240" w:after="120"/>
      <w:jc w:val="both"/>
      <w:rPr>
        <w:rFonts w:eastAsia="Calibri"/>
        <w:szCs w:val="22"/>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spacing w:before="240" w:after="120" w:line="276" w:lineRule="auto"/>
        <w:jc w:val="both"/>
        <w:rPr>
          <w:rFonts w:eastAsia="Calibri"/>
          <w:szCs w:val="22"/>
        </w:rPr>
      </w:pPr>
      <w:r>
        <w:rPr>
          <w:rFonts w:eastAsia="Calibri"/>
          <w:szCs w:val="22"/>
        </w:rPr>
        <w:separator/>
      </w:r>
    </w:p>
    <w:p/>
  </w:footnote>
  <w:footnote w:type="continuationSeparator" w:id="0">
    <w:p>
      <w:pPr>
        <w:spacing w:before="240" w:after="120" w:line="276" w:lineRule="auto"/>
        <w:jc w:val="both"/>
        <w:rPr>
          <w:rFonts w:eastAsia="Calibri"/>
          <w:szCs w:val="22"/>
        </w:rPr>
      </w:pPr>
      <w:r>
        <w:rPr>
          <w:rFonts w:eastAsia="Calibri"/>
          <w:szCs w:val="22"/>
        </w:rPr>
        <w:continuationSeparator/>
      </w:r>
    </w:p>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rPr>
        <w:rFonts w:eastAsia="Calibri"/>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before="240" w:after="120"/>
      <w:jc w:val="both"/>
      <w:rPr>
        <w:rFonts w:eastAsia="Calibri"/>
        <w:szCs w:val="22"/>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before="240" w:after="120"/>
      <w:jc w:val="both"/>
      <w:rPr>
        <w:rFonts w:eastAsia="Calibri"/>
        <w:szCs w:val="22"/>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before="240" w:after="120"/>
      <w:jc w:val="both"/>
      <w:rPr>
        <w:rFonts w:eastAsia="Calibri"/>
        <w:szCs w:val="22"/>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spacing w:before="240" w:after="120"/>
      <w:jc w:val="both"/>
      <w:rPr>
        <w:rFonts w:eastAsia="Calibri"/>
        <w:szCs w:val="22"/>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2"/>
  <w:hideGrammaticalErrors/>
  <w:defaultTabStop w:val="720"/>
  <w:hyphenationZone w:val="396"/>
  <w:doNotHyphenateCap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AC87B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2363374">
      <w:bodyDiv w:val="1"/>
      <w:marLeft w:val="0"/>
      <w:marRight w:val="0"/>
      <w:marTop w:val="0"/>
      <w:marBottom w:val="0"/>
      <w:divBdr>
        <w:top w:val="none" w:sz="0" w:space="0" w:color="auto"/>
        <w:left w:val="none" w:sz="0" w:space="0" w:color="auto"/>
        <w:bottom w:val="none" w:sz="0" w:space="0" w:color="auto"/>
        <w:right w:val="none" w:sz="0" w:space="0" w:color="auto"/>
      </w:divBdr>
    </w:div>
    <w:div w:id="114063966">
      <w:bodyDiv w:val="1"/>
      <w:marLeft w:val="0"/>
      <w:marRight w:val="0"/>
      <w:marTop w:val="0"/>
      <w:marBottom w:val="0"/>
      <w:divBdr>
        <w:top w:val="none" w:sz="0" w:space="0" w:color="auto"/>
        <w:left w:val="none" w:sz="0" w:space="0" w:color="auto"/>
        <w:bottom w:val="none" w:sz="0" w:space="0" w:color="auto"/>
        <w:right w:val="none" w:sz="0" w:space="0" w:color="auto"/>
      </w:divBdr>
    </w:div>
    <w:div w:id="332414403">
      <w:bodyDiv w:val="1"/>
      <w:marLeft w:val="0"/>
      <w:marRight w:val="0"/>
      <w:marTop w:val="0"/>
      <w:marBottom w:val="0"/>
      <w:divBdr>
        <w:top w:val="none" w:sz="0" w:space="0" w:color="auto"/>
        <w:left w:val="none" w:sz="0" w:space="0" w:color="auto"/>
        <w:bottom w:val="none" w:sz="0" w:space="0" w:color="auto"/>
        <w:right w:val="none" w:sz="0" w:space="0" w:color="auto"/>
      </w:divBdr>
    </w:div>
    <w:div w:id="360516776">
      <w:bodyDiv w:val="1"/>
      <w:marLeft w:val="0"/>
      <w:marRight w:val="0"/>
      <w:marTop w:val="0"/>
      <w:marBottom w:val="0"/>
      <w:divBdr>
        <w:top w:val="none" w:sz="0" w:space="0" w:color="auto"/>
        <w:left w:val="none" w:sz="0" w:space="0" w:color="auto"/>
        <w:bottom w:val="none" w:sz="0" w:space="0" w:color="auto"/>
        <w:right w:val="none" w:sz="0" w:space="0" w:color="auto"/>
      </w:divBdr>
    </w:div>
    <w:div w:id="606815274">
      <w:bodyDiv w:val="1"/>
      <w:marLeft w:val="0"/>
      <w:marRight w:val="0"/>
      <w:marTop w:val="0"/>
      <w:marBottom w:val="0"/>
      <w:divBdr>
        <w:top w:val="none" w:sz="0" w:space="0" w:color="auto"/>
        <w:left w:val="none" w:sz="0" w:space="0" w:color="auto"/>
        <w:bottom w:val="none" w:sz="0" w:space="0" w:color="auto"/>
        <w:right w:val="none" w:sz="0" w:space="0" w:color="auto"/>
      </w:divBdr>
    </w:div>
    <w:div w:id="617486897">
      <w:bodyDiv w:val="1"/>
      <w:marLeft w:val="0"/>
      <w:marRight w:val="0"/>
      <w:marTop w:val="0"/>
      <w:marBottom w:val="0"/>
      <w:divBdr>
        <w:top w:val="none" w:sz="0" w:space="0" w:color="auto"/>
        <w:left w:val="none" w:sz="0" w:space="0" w:color="auto"/>
        <w:bottom w:val="none" w:sz="0" w:space="0" w:color="auto"/>
        <w:right w:val="none" w:sz="0" w:space="0" w:color="auto"/>
      </w:divBdr>
    </w:div>
    <w:div w:id="620376382">
      <w:bodyDiv w:val="1"/>
      <w:marLeft w:val="0"/>
      <w:marRight w:val="0"/>
      <w:marTop w:val="0"/>
      <w:marBottom w:val="0"/>
      <w:divBdr>
        <w:top w:val="none" w:sz="0" w:space="0" w:color="auto"/>
        <w:left w:val="none" w:sz="0" w:space="0" w:color="auto"/>
        <w:bottom w:val="none" w:sz="0" w:space="0" w:color="auto"/>
        <w:right w:val="none" w:sz="0" w:space="0" w:color="auto"/>
      </w:divBdr>
    </w:div>
    <w:div w:id="639726831">
      <w:bodyDiv w:val="1"/>
      <w:marLeft w:val="0"/>
      <w:marRight w:val="0"/>
      <w:marTop w:val="0"/>
      <w:marBottom w:val="0"/>
      <w:divBdr>
        <w:top w:val="none" w:sz="0" w:space="0" w:color="auto"/>
        <w:left w:val="none" w:sz="0" w:space="0" w:color="auto"/>
        <w:bottom w:val="none" w:sz="0" w:space="0" w:color="auto"/>
        <w:right w:val="none" w:sz="0" w:space="0" w:color="auto"/>
      </w:divBdr>
    </w:div>
    <w:div w:id="733086375">
      <w:bodyDiv w:val="1"/>
      <w:marLeft w:val="0"/>
      <w:marRight w:val="0"/>
      <w:marTop w:val="0"/>
      <w:marBottom w:val="0"/>
      <w:divBdr>
        <w:top w:val="none" w:sz="0" w:space="0" w:color="auto"/>
        <w:left w:val="none" w:sz="0" w:space="0" w:color="auto"/>
        <w:bottom w:val="none" w:sz="0" w:space="0" w:color="auto"/>
        <w:right w:val="none" w:sz="0" w:space="0" w:color="auto"/>
      </w:divBdr>
    </w:div>
    <w:div w:id="931398439">
      <w:bodyDiv w:val="1"/>
      <w:marLeft w:val="0"/>
      <w:marRight w:val="0"/>
      <w:marTop w:val="0"/>
      <w:marBottom w:val="0"/>
      <w:divBdr>
        <w:top w:val="none" w:sz="0" w:space="0" w:color="auto"/>
        <w:left w:val="none" w:sz="0" w:space="0" w:color="auto"/>
        <w:bottom w:val="none" w:sz="0" w:space="0" w:color="auto"/>
        <w:right w:val="none" w:sz="0" w:space="0" w:color="auto"/>
      </w:divBdr>
    </w:div>
    <w:div w:id="1111163744">
      <w:bodyDiv w:val="1"/>
      <w:marLeft w:val="0"/>
      <w:marRight w:val="0"/>
      <w:marTop w:val="0"/>
      <w:marBottom w:val="0"/>
      <w:divBdr>
        <w:top w:val="none" w:sz="0" w:space="0" w:color="auto"/>
        <w:left w:val="none" w:sz="0" w:space="0" w:color="auto"/>
        <w:bottom w:val="none" w:sz="0" w:space="0" w:color="auto"/>
        <w:right w:val="none" w:sz="0" w:space="0" w:color="auto"/>
      </w:divBdr>
    </w:div>
    <w:div w:id="1213418545">
      <w:bodyDiv w:val="1"/>
      <w:marLeft w:val="0"/>
      <w:marRight w:val="0"/>
      <w:marTop w:val="0"/>
      <w:marBottom w:val="0"/>
      <w:divBdr>
        <w:top w:val="none" w:sz="0" w:space="0" w:color="auto"/>
        <w:left w:val="none" w:sz="0" w:space="0" w:color="auto"/>
        <w:bottom w:val="none" w:sz="0" w:space="0" w:color="auto"/>
        <w:right w:val="none" w:sz="0" w:space="0" w:color="auto"/>
      </w:divBdr>
    </w:div>
    <w:div w:id="1218708529">
      <w:bodyDiv w:val="1"/>
      <w:marLeft w:val="0"/>
      <w:marRight w:val="0"/>
      <w:marTop w:val="0"/>
      <w:marBottom w:val="0"/>
      <w:divBdr>
        <w:top w:val="none" w:sz="0" w:space="0" w:color="auto"/>
        <w:left w:val="none" w:sz="0" w:space="0" w:color="auto"/>
        <w:bottom w:val="none" w:sz="0" w:space="0" w:color="auto"/>
        <w:right w:val="none" w:sz="0" w:space="0" w:color="auto"/>
      </w:divBdr>
    </w:div>
    <w:div w:id="1324164181">
      <w:bodyDiv w:val="1"/>
      <w:marLeft w:val="0"/>
      <w:marRight w:val="0"/>
      <w:marTop w:val="0"/>
      <w:marBottom w:val="0"/>
      <w:divBdr>
        <w:top w:val="none" w:sz="0" w:space="0" w:color="auto"/>
        <w:left w:val="none" w:sz="0" w:space="0" w:color="auto"/>
        <w:bottom w:val="none" w:sz="0" w:space="0" w:color="auto"/>
        <w:right w:val="none" w:sz="0" w:space="0" w:color="auto"/>
      </w:divBdr>
    </w:div>
    <w:div w:id="1353148050">
      <w:bodyDiv w:val="1"/>
      <w:marLeft w:val="0"/>
      <w:marRight w:val="0"/>
      <w:marTop w:val="0"/>
      <w:marBottom w:val="0"/>
      <w:divBdr>
        <w:top w:val="none" w:sz="0" w:space="0" w:color="auto"/>
        <w:left w:val="none" w:sz="0" w:space="0" w:color="auto"/>
        <w:bottom w:val="none" w:sz="0" w:space="0" w:color="auto"/>
        <w:right w:val="none" w:sz="0" w:space="0" w:color="auto"/>
      </w:divBdr>
    </w:div>
    <w:div w:id="1564874468">
      <w:bodyDiv w:val="1"/>
      <w:marLeft w:val="0"/>
      <w:marRight w:val="0"/>
      <w:marTop w:val="0"/>
      <w:marBottom w:val="0"/>
      <w:divBdr>
        <w:top w:val="none" w:sz="0" w:space="0" w:color="auto"/>
        <w:left w:val="none" w:sz="0" w:space="0" w:color="auto"/>
        <w:bottom w:val="none" w:sz="0" w:space="0" w:color="auto"/>
        <w:right w:val="none" w:sz="0" w:space="0" w:color="auto"/>
      </w:divBdr>
    </w:div>
    <w:div w:id="1631746224">
      <w:bodyDiv w:val="1"/>
      <w:marLeft w:val="0"/>
      <w:marRight w:val="0"/>
      <w:marTop w:val="0"/>
      <w:marBottom w:val="0"/>
      <w:divBdr>
        <w:top w:val="none" w:sz="0" w:space="0" w:color="auto"/>
        <w:left w:val="none" w:sz="0" w:space="0" w:color="auto"/>
        <w:bottom w:val="none" w:sz="0" w:space="0" w:color="auto"/>
        <w:right w:val="none" w:sz="0" w:space="0" w:color="auto"/>
      </w:divBdr>
    </w:div>
    <w:div w:id="1645162919">
      <w:bodyDiv w:val="1"/>
      <w:marLeft w:val="0"/>
      <w:marRight w:val="0"/>
      <w:marTop w:val="0"/>
      <w:marBottom w:val="0"/>
      <w:divBdr>
        <w:top w:val="none" w:sz="0" w:space="0" w:color="auto"/>
        <w:left w:val="none" w:sz="0" w:space="0" w:color="auto"/>
        <w:bottom w:val="none" w:sz="0" w:space="0" w:color="auto"/>
        <w:right w:val="none" w:sz="0" w:space="0" w:color="auto"/>
      </w:divBdr>
    </w:div>
    <w:div w:id="1712653159">
      <w:bodyDiv w:val="1"/>
      <w:marLeft w:val="0"/>
      <w:marRight w:val="0"/>
      <w:marTop w:val="0"/>
      <w:marBottom w:val="0"/>
      <w:divBdr>
        <w:top w:val="none" w:sz="0" w:space="0" w:color="auto"/>
        <w:left w:val="none" w:sz="0" w:space="0" w:color="auto"/>
        <w:bottom w:val="none" w:sz="0" w:space="0" w:color="auto"/>
        <w:right w:val="none" w:sz="0" w:space="0" w:color="auto"/>
      </w:divBdr>
    </w:div>
    <w:div w:id="1812362888">
      <w:bodyDiv w:val="1"/>
      <w:marLeft w:val="0"/>
      <w:marRight w:val="0"/>
      <w:marTop w:val="0"/>
      <w:marBottom w:val="0"/>
      <w:divBdr>
        <w:top w:val="none" w:sz="0" w:space="0" w:color="auto"/>
        <w:left w:val="none" w:sz="0" w:space="0" w:color="auto"/>
        <w:bottom w:val="none" w:sz="0" w:space="0" w:color="auto"/>
        <w:right w:val="none" w:sz="0" w:space="0" w:color="auto"/>
      </w:divBdr>
    </w:div>
    <w:div w:id="1852716334">
      <w:bodyDiv w:val="1"/>
      <w:marLeft w:val="0"/>
      <w:marRight w:val="0"/>
      <w:marTop w:val="0"/>
      <w:marBottom w:val="0"/>
      <w:divBdr>
        <w:top w:val="none" w:sz="0" w:space="0" w:color="auto"/>
        <w:left w:val="none" w:sz="0" w:space="0" w:color="auto"/>
        <w:bottom w:val="none" w:sz="0" w:space="0" w:color="auto"/>
        <w:right w:val="none" w:sz="0" w:space="0" w:color="auto"/>
      </w:divBdr>
    </w:div>
    <w:div w:id="1856579037">
      <w:bodyDiv w:val="1"/>
      <w:marLeft w:val="0"/>
      <w:marRight w:val="0"/>
      <w:marTop w:val="0"/>
      <w:marBottom w:val="0"/>
      <w:divBdr>
        <w:top w:val="none" w:sz="0" w:space="0" w:color="auto"/>
        <w:left w:val="none" w:sz="0" w:space="0" w:color="auto"/>
        <w:bottom w:val="none" w:sz="0" w:space="0" w:color="auto"/>
        <w:right w:val="none" w:sz="0" w:space="0" w:color="auto"/>
      </w:divBdr>
    </w:div>
    <w:div w:id="1906597849">
      <w:bodyDiv w:val="1"/>
      <w:marLeft w:val="0"/>
      <w:marRight w:val="0"/>
      <w:marTop w:val="0"/>
      <w:marBottom w:val="0"/>
      <w:divBdr>
        <w:top w:val="none" w:sz="0" w:space="0" w:color="auto"/>
        <w:left w:val="none" w:sz="0" w:space="0" w:color="auto"/>
        <w:bottom w:val="none" w:sz="0" w:space="0" w:color="auto"/>
        <w:right w:val="none" w:sz="0" w:space="0" w:color="auto"/>
      </w:divBdr>
    </w:div>
    <w:div w:id="1948076396">
      <w:bodyDiv w:val="1"/>
      <w:marLeft w:val="0"/>
      <w:marRight w:val="0"/>
      <w:marTop w:val="0"/>
      <w:marBottom w:val="0"/>
      <w:divBdr>
        <w:top w:val="none" w:sz="0" w:space="0" w:color="auto"/>
        <w:left w:val="none" w:sz="0" w:space="0" w:color="auto"/>
        <w:bottom w:val="none" w:sz="0" w:space="0" w:color="auto"/>
        <w:right w:val="none" w:sz="0" w:space="0" w:color="auto"/>
      </w:divBdr>
    </w:div>
    <w:div w:id="1970361482">
      <w:bodyDiv w:val="1"/>
      <w:marLeft w:val="0"/>
      <w:marRight w:val="0"/>
      <w:marTop w:val="0"/>
      <w:marBottom w:val="0"/>
      <w:divBdr>
        <w:top w:val="none" w:sz="0" w:space="0" w:color="auto"/>
        <w:left w:val="none" w:sz="0" w:space="0" w:color="auto"/>
        <w:bottom w:val="none" w:sz="0" w:space="0" w:color="auto"/>
        <w:right w:val="none" w:sz="0" w:space="0" w:color="auto"/>
      </w:divBdr>
    </w:div>
    <w:div w:id="2022733218">
      <w:bodyDiv w:val="1"/>
      <w:marLeft w:val="0"/>
      <w:marRight w:val="0"/>
      <w:marTop w:val="0"/>
      <w:marBottom w:val="0"/>
      <w:divBdr>
        <w:top w:val="none" w:sz="0" w:space="0" w:color="auto"/>
        <w:left w:val="none" w:sz="0" w:space="0" w:color="auto"/>
        <w:bottom w:val="none" w:sz="0" w:space="0" w:color="auto"/>
        <w:right w:val="none" w:sz="0" w:space="0" w:color="auto"/>
      </w:divBdr>
    </w:div>
    <w:div w:id="209415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image" Target="media/image1.png"/>
  <Relationship Id="rId13" Type="http://schemas.openxmlformats.org/officeDocument/2006/relationships/oleObject" Target="embeddings/oleObject1.bin"/>
  <Relationship Id="rId14" Type="http://schemas.openxmlformats.org/officeDocument/2006/relationships/chart" Target="charts/chart3.xml"/>
  <Relationship Id="rId15" Type="http://schemas.openxmlformats.org/officeDocument/2006/relationships/chart" Target="charts/chart4.xml"/>
  <Relationship Id="rId16" Type="http://schemas.openxmlformats.org/officeDocument/2006/relationships/chart" Target="charts/chart8.xml"/>
  <Relationship Id="rId17" Type="http://schemas.openxmlformats.org/officeDocument/2006/relationships/chart" Target="charts/chart11.xml"/>
  <Relationship Id="rId18" Type="http://schemas.openxmlformats.org/officeDocument/2006/relationships/chart" Target="charts/chart14.xml"/>
  <Relationship Id="rId19" Type="http://schemas.openxmlformats.org/officeDocument/2006/relationships/chart" Target="charts/chart17.xml"/>
  <Relationship Id="rId2" Type="http://schemas.openxmlformats.org/officeDocument/2006/relationships/header" Target="header2.xml"/>
  <Relationship Id="rId20" Type="http://schemas.openxmlformats.org/officeDocument/2006/relationships/chart" Target="charts/chart21.xml"/>
  <Relationship Id="rId21" Type="http://schemas.openxmlformats.org/officeDocument/2006/relationships/chart" Target="charts/chart22.xml"/>
  <Relationship Id="rId22" Type="http://schemas.openxmlformats.org/officeDocument/2006/relationships/chart" Target="charts/chart26.xml"/>
  <Relationship Id="rId23" Type="http://schemas.openxmlformats.org/officeDocument/2006/relationships/chart" Target="charts/chart30.xml"/>
  <Relationship Id="rId24" Type="http://schemas.openxmlformats.org/officeDocument/2006/relationships/chart" Target="charts/chart31.xml"/>
  <Relationship Id="rId25" Type="http://schemas.openxmlformats.org/officeDocument/2006/relationships/image" Target="media/image1.emf"/>
  <Relationship Id="rId26" Type="http://schemas.openxmlformats.org/officeDocument/2006/relationships/image" Target="media/image3.png"/>
  <Relationship Id="rId27" Type="http://schemas.openxmlformats.org/officeDocument/2006/relationships/image" Target="media/image4.png"/>
  <Relationship Id="rId28" Type="http://schemas.openxmlformats.org/officeDocument/2006/relationships/chart" Target="charts/chart35.xml"/>
  <Relationship Id="rId29" Type="http://schemas.openxmlformats.org/officeDocument/2006/relationships/image" Target="media/image5.png"/>
  <Relationship Id="rId3" Type="http://schemas.openxmlformats.org/officeDocument/2006/relationships/customXml" Target="../customXml/item3.xml"/>
  <Relationship Id="rId30" Type="http://schemas.openxmlformats.org/officeDocument/2006/relationships/image" Target="media/image6.png"/>
  <Relationship Id="rId31" Type="http://schemas.openxmlformats.org/officeDocument/2006/relationships/image" Target="media/image7.png"/>
  <Relationship Id="rId32" Type="http://schemas.openxmlformats.org/officeDocument/2006/relationships/header" Target="header3.xml"/>
  <Relationship Id="rId33" Type="http://schemas.openxmlformats.org/officeDocument/2006/relationships/header" Target="header4.xml"/>
  <Relationship Id="rId34" Type="http://schemas.openxmlformats.org/officeDocument/2006/relationships/footer" Target="footer1.xml"/>
  <Relationship Id="rId35" Type="http://schemas.openxmlformats.org/officeDocument/2006/relationships/footer" Target="footer2.xml"/>
  <Relationship Id="rId36" Type="http://schemas.openxmlformats.org/officeDocument/2006/relationships/header" Target="header5.xml"/>
  <Relationship Id="rId37" Type="http://schemas.openxmlformats.org/officeDocument/2006/relationships/footer" Target="footer3.xml"/>
  <Relationship Id="rId4" Type="http://schemas.openxmlformats.org/officeDocument/2006/relationships/endnotes" Target="endnotes.xml"/>
  <Relationship Id="rId5" Type="http://schemas.openxmlformats.org/officeDocument/2006/relationships/fontTable" Target="fontTable.xml"/>
  <Relationship Id="rId6" Type="http://schemas.openxmlformats.org/officeDocument/2006/relationships/footnotes" Target="footnotes.xml"/>
  <Relationship Id="rId7" Type="http://schemas.openxmlformats.org/officeDocument/2006/relationships/settings" Target="settings.xml"/>
  <Relationship Id="rId8" Type="http://schemas.openxmlformats.org/officeDocument/2006/relationships/styles" Target="styles.xml"/>
  <Relationship Id="rId9" Type="http://schemas.microsoft.com/office/2007/relationships/stylesWithEffects" Target="stylesWithEffects.xml"/>
</Relationships>

</file>

<file path=word/charts/_rels/chart1.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10.xml.rels><?xml version="1.0" encoding="UTF-8"?>

<Relationships xmlns="http://schemas.openxmlformats.org/package/2006/relationships">
  <Relationship Id="rId1" Type="http://schemas.openxmlformats.org/officeDocument/2006/relationships/package" Target="../embeddings/Microsoft_Excel_Worksheet4.xlsx"/>
  <Relationship Id="rId2" Type="http://schemas.microsoft.com/office/2011/relationships/chartColorStyle" Target="colors3.xml"/>
  <Relationship Id="rId3" Type="http://schemas.microsoft.com/office/2011/relationships/chartStyle" Target="style3.xml"/>
</Relationships>

</file>

<file path=word/charts/_rels/chart11.xml.rels><?xml version="1.0" encoding="UTF-8"?>

<Relationships xmlns="http://schemas.openxmlformats.org/package/2006/relationships">
  <Relationship Id="rId1" Type="http://schemas.openxmlformats.org/officeDocument/2006/relationships/package" Target="../embeddings/Microsoft_Excel_Worksheet4.xlsx"/>
  <Relationship Id="rId2" Type="http://schemas.microsoft.com/office/2011/relationships/chartColorStyle" Target="colors3.xml"/>
  <Relationship Id="rId3" Type="http://schemas.microsoft.com/office/2011/relationships/chartStyle" Target="style3.xml"/>
</Relationships>

</file>

<file path=word/charts/_rels/chart12.xml.rels><?xml version="1.0" encoding="UTF-8"?>

<Relationships xmlns="http://schemas.openxmlformats.org/package/2006/relationships">
  <Relationship Id="rId1" Type="http://schemas.openxmlformats.org/officeDocument/2006/relationships/package" Target="../embeddings/Microsoft_Excel_Worksheet4.xlsx"/>
  <Relationship Id="rId2" Type="http://schemas.microsoft.com/office/2011/relationships/chartColorStyle" Target="colors3.xml"/>
  <Relationship Id="rId3" Type="http://schemas.microsoft.com/office/2011/relationships/chartStyle" Target="style3.xml"/>
</Relationships>

</file>

<file path=word/charts/_rels/chart13.xml.rels><?xml version="1.0" encoding="UTF-8"?>

<Relationships xmlns="http://schemas.openxmlformats.org/package/2006/relationships">
  <Relationship Id="rId1" Type="http://schemas.openxmlformats.org/officeDocument/2006/relationships/package" Target="../embeddings/Microsoft_Excel_Worksheet5.xlsx"/>
  <Relationship Id="rId2" Type="http://schemas.openxmlformats.org/officeDocument/2006/relationships/themeOverride" Target="../theme/themeOverride3.xml"/>
  <Relationship Id="rId3" Type="http://schemas.microsoft.com/office/2011/relationships/chartColorStyle" Target="colors4.xml"/>
  <Relationship Id="rId4" Type="http://schemas.microsoft.com/office/2011/relationships/chartStyle" Target="style4.xml"/>
</Relationships>

</file>

<file path=word/charts/_rels/chart14.xml.rels><?xml version="1.0" encoding="UTF-8"?>

<Relationships xmlns="http://schemas.openxmlformats.org/package/2006/relationships">
  <Relationship Id="rId1" Type="http://schemas.openxmlformats.org/officeDocument/2006/relationships/package" Target="../embeddings/Microsoft_Excel_Worksheet5.xlsx"/>
  <Relationship Id="rId2" Type="http://schemas.openxmlformats.org/officeDocument/2006/relationships/themeOverride" Target="../theme/themeOverride3.xml"/>
  <Relationship Id="rId3" Type="http://schemas.microsoft.com/office/2011/relationships/chartColorStyle" Target="colors4.xml"/>
  <Relationship Id="rId4" Type="http://schemas.microsoft.com/office/2011/relationships/chartStyle" Target="style4.xml"/>
</Relationships>

</file>

<file path=word/charts/_rels/chart15.xml.rels><?xml version="1.0" encoding="UTF-8"?>

<Relationships xmlns="http://schemas.openxmlformats.org/package/2006/relationships">
  <Relationship Id="rId1" Type="http://schemas.openxmlformats.org/officeDocument/2006/relationships/package" Target="../embeddings/Microsoft_Excel_Worksheet5.xlsx"/>
  <Relationship Id="rId2" Type="http://schemas.openxmlformats.org/officeDocument/2006/relationships/themeOverride" Target="../theme/themeOverride3.xml"/>
  <Relationship Id="rId3" Type="http://schemas.microsoft.com/office/2011/relationships/chartColorStyle" Target="colors4.xml"/>
  <Relationship Id="rId4" Type="http://schemas.microsoft.com/office/2011/relationships/chartStyle" Target="style4.xml"/>
</Relationships>

</file>

<file path=word/charts/_rels/chart16.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4.xml"/>
  <Relationship Id="rId3" Type="http://schemas.microsoft.com/office/2011/relationships/chartColorStyle" Target="colors5.xml"/>
  <Relationship Id="rId4" Type="http://schemas.microsoft.com/office/2011/relationships/chartStyle" Target="style5.xml"/>
</Relationships>

</file>

<file path=word/charts/_rels/chart17.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4.xml"/>
  <Relationship Id="rId3" Type="http://schemas.microsoft.com/office/2011/relationships/chartColorStyle" Target="colors5.xml"/>
  <Relationship Id="rId4" Type="http://schemas.microsoft.com/office/2011/relationships/chartStyle" Target="style5.xml"/>
</Relationships>

</file>

<file path=word/charts/_rels/chart18.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4.xml"/>
  <Relationship Id="rId3" Type="http://schemas.microsoft.com/office/2011/relationships/chartColorStyle" Target="colors5.xml"/>
  <Relationship Id="rId4" Type="http://schemas.microsoft.com/office/2011/relationships/chartStyle" Target="style5.xml"/>
</Relationships>

</file>

<file path=word/charts/_rels/chart19.xml.rels><?xml version="1.0" encoding="UTF-8"?>

<Relationships xmlns="http://schemas.openxmlformats.org/package/2006/relationships">
  <Relationship Id="rId1" Type="http://schemas.openxmlformats.org/officeDocument/2006/relationships/oleObject" TargetMode="External" Target="file:///C:/Users/m04259/Documents/Popieriukai/DM%20analize%20(Atkurta).xls"/>
  <Relationship Id="rId2" Type="http://schemas.openxmlformats.org/officeDocument/2006/relationships/themeOverride" Target="../theme/themeOverride5.xml"/>
  <Relationship Id="rId3" Type="http://schemas.microsoft.com/office/2011/relationships/chartColorStyle" Target="colors6.xml"/>
  <Relationship Id="rId4" Type="http://schemas.microsoft.com/office/2011/relationships/chartStyle" Target="style6.xml"/>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2.xlsx"/>
  <Relationship Id="rId2" Type="http://schemas.microsoft.com/office/2011/relationships/chartColorStyle" Target="colors1.xml"/>
  <Relationship Id="rId3" Type="http://schemas.microsoft.com/office/2011/relationships/chartStyle" Target="style1.xml"/>
</Relationships>

</file>

<file path=word/charts/_rels/chart20.xml.rels><?xml version="1.0" encoding="UTF-8"?>

<Relationships xmlns="http://schemas.openxmlformats.org/package/2006/relationships">
  <Relationship Id="rId1" Type="http://schemas.openxmlformats.org/officeDocument/2006/relationships/package" Target="../embeddings/Microsoft_Excel_Worksheet7.xlsx"/>
  <Relationship Id="rId2" Type="http://schemas.microsoft.com/office/2011/relationships/chartColorStyle" Target="colors7.xml"/>
  <Relationship Id="rId3" Type="http://schemas.microsoft.com/office/2011/relationships/chartStyle" Target="style7.xml"/>
</Relationships>

</file>

<file path=word/charts/_rels/chart21.xml.rels><?xml version="1.0" encoding="UTF-8"?>

<Relationships xmlns="http://schemas.openxmlformats.org/package/2006/relationships">
  <Relationship Id="rId1" Type="http://schemas.openxmlformats.org/officeDocument/2006/relationships/oleObject" TargetMode="External" Target="file:///C:/Users/m04259/Documents/Popieriukai/DM%20analize%20(Atkurta).xls"/>
  <Relationship Id="rId2" Type="http://schemas.openxmlformats.org/officeDocument/2006/relationships/themeOverride" Target="../theme/themeOverride5.xml"/>
  <Relationship Id="rId3" Type="http://schemas.microsoft.com/office/2011/relationships/chartColorStyle" Target="colors6.xml"/>
  <Relationship Id="rId4" Type="http://schemas.microsoft.com/office/2011/relationships/chartStyle" Target="style6.xml"/>
</Relationships>

</file>

<file path=word/charts/_rels/chart22.xml.rels><?xml version="1.0" encoding="UTF-8"?>

<Relationships xmlns="http://schemas.openxmlformats.org/package/2006/relationships">
  <Relationship Id="rId1" Type="http://schemas.openxmlformats.org/officeDocument/2006/relationships/package" Target="../embeddings/Microsoft_Excel_Worksheet7.xlsx"/>
  <Relationship Id="rId2" Type="http://schemas.microsoft.com/office/2011/relationships/chartColorStyle" Target="colors7.xml"/>
  <Relationship Id="rId3" Type="http://schemas.microsoft.com/office/2011/relationships/chartStyle" Target="style7.xml"/>
</Relationships>

</file>

<file path=word/charts/_rels/chart23.xml.rels><?xml version="1.0" encoding="UTF-8"?>

<Relationships xmlns="http://schemas.openxmlformats.org/package/2006/relationships">
  <Relationship Id="rId1" Type="http://schemas.openxmlformats.org/officeDocument/2006/relationships/oleObject" TargetMode="External" Target="file:///C:/Users/m04259/Documents/Popieriukai/DM%20analize%20(Atkurta).xls"/>
  <Relationship Id="rId2" Type="http://schemas.openxmlformats.org/officeDocument/2006/relationships/themeOverride" Target="../theme/themeOverride5.xml"/>
  <Relationship Id="rId3" Type="http://schemas.microsoft.com/office/2011/relationships/chartColorStyle" Target="colors6.xml"/>
  <Relationship Id="rId4" Type="http://schemas.microsoft.com/office/2011/relationships/chartStyle" Target="style6.xml"/>
</Relationships>

</file>

<file path=word/charts/_rels/chart24.xml.rels><?xml version="1.0" encoding="UTF-8"?>

<Relationships xmlns="http://schemas.openxmlformats.org/package/2006/relationships">
  <Relationship Id="rId1" Type="http://schemas.openxmlformats.org/officeDocument/2006/relationships/package" Target="../embeddings/Microsoft_Excel_Worksheet7.xlsx"/>
  <Relationship Id="rId2" Type="http://schemas.microsoft.com/office/2011/relationships/chartColorStyle" Target="colors7.xml"/>
  <Relationship Id="rId3" Type="http://schemas.microsoft.com/office/2011/relationships/chartStyle" Target="style7.xml"/>
</Relationships>

</file>

<file path=word/charts/_rels/chart25.xml.rels><?xml version="1.0" encoding="UTF-8"?>

<Relationships xmlns="http://schemas.openxmlformats.org/package/2006/relationships">
  <Relationship Id="rId1" Type="http://schemas.openxmlformats.org/officeDocument/2006/relationships/package" Target="../embeddings/Microsoft_Excel_Worksheet8.xlsx"/>
  <Relationship Id="rId2" Type="http://schemas.microsoft.com/office/2011/relationships/chartColorStyle" Target="colors8.xml"/>
  <Relationship Id="rId3" Type="http://schemas.microsoft.com/office/2011/relationships/chartStyle" Target="style8.xml"/>
</Relationships>

</file>

<file path=word/charts/_rels/chart26.xml.rels><?xml version="1.0" encoding="UTF-8"?>

<Relationships xmlns="http://schemas.openxmlformats.org/package/2006/relationships">
  <Relationship Id="rId1" Type="http://schemas.openxmlformats.org/officeDocument/2006/relationships/package" Target="../embeddings/Microsoft_Excel_Worksheet8.xlsx"/>
  <Relationship Id="rId2" Type="http://schemas.microsoft.com/office/2011/relationships/chartColorStyle" Target="colors8.xml"/>
  <Relationship Id="rId3" Type="http://schemas.microsoft.com/office/2011/relationships/chartStyle" Target="style8.xml"/>
</Relationships>

</file>

<file path=word/charts/_rels/chart27.xml.rels><?xml version="1.0" encoding="UTF-8"?>

<Relationships xmlns="http://schemas.openxmlformats.org/package/2006/relationships">
  <Relationship Id="rId1" Type="http://schemas.openxmlformats.org/officeDocument/2006/relationships/package" Target="../embeddings/Microsoft_Excel_Worksheet8.xlsx"/>
  <Relationship Id="rId2" Type="http://schemas.microsoft.com/office/2011/relationships/chartColorStyle" Target="colors8.xml"/>
  <Relationship Id="rId3" Type="http://schemas.microsoft.com/office/2011/relationships/chartStyle" Target="style8.xml"/>
</Relationships>

</file>

<file path=word/charts/_rels/chart28.xml.rels><?xml version="1.0" encoding="UTF-8"?>

<Relationships xmlns="http://schemas.openxmlformats.org/package/2006/relationships">
  <Relationship Id="rId1" Type="http://schemas.openxmlformats.org/officeDocument/2006/relationships/oleObject" Target="../embeddings/oleObject2.bin"/>
  <Relationship Id="rId2" Type="http://schemas.microsoft.com/office/2011/relationships/chartColorStyle" Target="colors9.xml"/>
  <Relationship Id="rId3" Type="http://schemas.microsoft.com/office/2011/relationships/chartStyle" Target="style9.xml"/>
</Relationships>

</file>

<file path=word/charts/_rels/chart29.xml.rels><?xml version="1.0" encoding="UTF-8"?>

<Relationships xmlns="http://schemas.openxmlformats.org/package/2006/relationships">
  <Relationship Id="rId1" Type="http://schemas.openxmlformats.org/officeDocument/2006/relationships/oleObject" TargetMode="External" Target="file:///C:/Users/m04259/Downloads/Eksportuota%20matricin&#279;%20lentel&#279;%20(70).xlsx"/>
  <Relationship Id="rId2" Type="http://schemas.openxmlformats.org/officeDocument/2006/relationships/themeOverride" Target="../theme/themeOverride6.xml"/>
  <Relationship Id="rId3" Type="http://schemas.microsoft.com/office/2011/relationships/chartColorStyle" Target="colors10.xml"/>
  <Relationship Id="rId4" Type="http://schemas.microsoft.com/office/2011/relationships/chartStyle" Target="style10.xml"/>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30.xml.rels><?xml version="1.0" encoding="UTF-8"?>

<Relationships xmlns="http://schemas.openxmlformats.org/package/2006/relationships">
  <Relationship Id="rId1" Type="http://schemas.openxmlformats.org/officeDocument/2006/relationships/oleObject" Target="../embeddings/oleObject2.bin"/>
  <Relationship Id="rId2" Type="http://schemas.microsoft.com/office/2011/relationships/chartColorStyle" Target="colors9.xml"/>
  <Relationship Id="rId3" Type="http://schemas.microsoft.com/office/2011/relationships/chartStyle" Target="style9.xml"/>
</Relationships>

</file>

<file path=word/charts/_rels/chart31.xml.rels><?xml version="1.0" encoding="UTF-8"?>

<Relationships xmlns="http://schemas.openxmlformats.org/package/2006/relationships">
  <Relationship Id="rId1" Type="http://schemas.openxmlformats.org/officeDocument/2006/relationships/oleObject" TargetMode="External" Target="file:///C:/Users/m04259/Downloads/Eksportuota%20matricin&#279;%20lentel&#279;%20(70).xlsx"/>
  <Relationship Id="rId2" Type="http://schemas.openxmlformats.org/officeDocument/2006/relationships/themeOverride" Target="../theme/themeOverride6.xml"/>
  <Relationship Id="rId3" Type="http://schemas.microsoft.com/office/2011/relationships/chartColorStyle" Target="colors10.xml"/>
  <Relationship Id="rId4" Type="http://schemas.microsoft.com/office/2011/relationships/chartStyle" Target="style10.xml"/>
</Relationships>

</file>

<file path=word/charts/_rels/chart32.xml.rels><?xml version="1.0" encoding="UTF-8"?>

<Relationships xmlns="http://schemas.openxmlformats.org/package/2006/relationships">
  <Relationship Id="rId1" Type="http://schemas.openxmlformats.org/officeDocument/2006/relationships/oleObject" Target="../embeddings/oleObject2.bin"/>
  <Relationship Id="rId2" Type="http://schemas.microsoft.com/office/2011/relationships/chartColorStyle" Target="colors9.xml"/>
  <Relationship Id="rId3" Type="http://schemas.microsoft.com/office/2011/relationships/chartStyle" Target="style9.xml"/>
</Relationships>

</file>

<file path=word/charts/_rels/chart33.xml.rels><?xml version="1.0" encoding="UTF-8"?>

<Relationships xmlns="http://schemas.openxmlformats.org/package/2006/relationships">
  <Relationship Id="rId1" Type="http://schemas.openxmlformats.org/officeDocument/2006/relationships/oleObject" TargetMode="External" Target="file:///C:/Users/m04259/Downloads/Eksportuota%20matricin&#279;%20lentel&#279;%20(70).xlsx"/>
  <Relationship Id="rId2" Type="http://schemas.openxmlformats.org/officeDocument/2006/relationships/themeOverride" Target="../theme/themeOverride6.xml"/>
  <Relationship Id="rId3" Type="http://schemas.microsoft.com/office/2011/relationships/chartColorStyle" Target="colors10.xml"/>
  <Relationship Id="rId4" Type="http://schemas.microsoft.com/office/2011/relationships/chartStyle" Target="style10.xml"/>
</Relationships>

</file>

<file path=word/charts/_rels/chart34.xml.rels><?xml version="1.0" encoding="UTF-8"?>

<Relationships xmlns="http://schemas.openxmlformats.org/package/2006/relationships">
  <Relationship Id="rId1" Type="http://schemas.openxmlformats.org/officeDocument/2006/relationships/package" Target="../embeddings/Microsoft_Excel_Worksheet9.xlsx"/>
  <Relationship Id="rId2" Type="http://schemas.microsoft.com/office/2011/relationships/chartColorStyle" Target="colors11.xml"/>
  <Relationship Id="rId3" Type="http://schemas.microsoft.com/office/2011/relationships/chartStyle" Target="style11.xml"/>
</Relationships>

</file>

<file path=word/charts/_rels/chart35.xml.rels><?xml version="1.0" encoding="UTF-8"?>

<Relationships xmlns="http://schemas.openxmlformats.org/package/2006/relationships">
  <Relationship Id="rId1" Type="http://schemas.openxmlformats.org/officeDocument/2006/relationships/package" Target="../embeddings/Microsoft_Excel_Worksheet9.xlsx"/>
  <Relationship Id="rId2" Type="http://schemas.microsoft.com/office/2011/relationships/chartColorStyle" Target="colors11.xml"/>
  <Relationship Id="rId3" Type="http://schemas.microsoft.com/office/2011/relationships/chartStyle" Target="style11.xml"/>
</Relationships>

</file>

<file path=word/charts/_rels/chart36.xml.rels><?xml version="1.0" encoding="UTF-8"?>

<Relationships xmlns="http://schemas.openxmlformats.org/package/2006/relationships">
  <Relationship Id="rId1" Type="http://schemas.openxmlformats.org/officeDocument/2006/relationships/package" Target="../embeddings/Microsoft_Excel_Worksheet9.xlsx"/>
  <Relationship Id="rId2" Type="http://schemas.microsoft.com/office/2011/relationships/chartColorStyle" Target="colors11.xml"/>
  <Relationship Id="rId3" Type="http://schemas.microsoft.com/office/2011/relationships/chartStyle" Target="style11.xml"/>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2.xlsx"/>
  <Relationship Id="rId2" Type="http://schemas.microsoft.com/office/2011/relationships/chartColorStyle" Target="colors1.xml"/>
  <Relationship Id="rId3" Type="http://schemas.microsoft.com/office/2011/relationships/chartStyle" Target="style1.xml"/>
</Relationships>

</file>

<file path=word/charts/_rels/chart5.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6.xml.rels><?xml version="1.0" encoding="UTF-8"?>

<Relationships xmlns="http://schemas.openxmlformats.org/package/2006/relationships">
  <Relationship Id="rId1" Type="http://schemas.openxmlformats.org/officeDocument/2006/relationships/package" Target="../embeddings/Microsoft_Excel_Worksheet2.xlsx"/>
  <Relationship Id="rId2" Type="http://schemas.microsoft.com/office/2011/relationships/chartColorStyle" Target="colors1.xml"/>
  <Relationship Id="rId3" Type="http://schemas.microsoft.com/office/2011/relationships/chartStyle" Target="style1.xml"/>
</Relationships>

</file>

<file path=word/charts/_rels/chart7.xml.rels><?xml version="1.0" encoding="UTF-8"?>

<Relationships xmlns="http://schemas.openxmlformats.org/package/2006/relationships">
  <Relationship Id="rId1" Type="http://schemas.openxmlformats.org/officeDocument/2006/relationships/package" Target="../embeddings/Microsoft_Excel_Worksheet3.xlsx"/>
  <Relationship Id="rId2" Type="http://schemas.openxmlformats.org/officeDocument/2006/relationships/themeOverride" Target="../theme/themeOverride2.xml"/>
  <Relationship Id="rId3" Type="http://schemas.microsoft.com/office/2011/relationships/chartColorStyle" Target="colors2.xml"/>
  <Relationship Id="rId4" Type="http://schemas.microsoft.com/office/2011/relationships/chartStyle" Target="style2.xml"/>
</Relationships>

</file>

<file path=word/charts/_rels/chart8.xml.rels><?xml version="1.0" encoding="UTF-8"?>

<Relationships xmlns="http://schemas.openxmlformats.org/package/2006/relationships">
  <Relationship Id="rId1" Type="http://schemas.openxmlformats.org/officeDocument/2006/relationships/package" Target="../embeddings/Microsoft_Excel_Worksheet3.xlsx"/>
  <Relationship Id="rId2" Type="http://schemas.openxmlformats.org/officeDocument/2006/relationships/themeOverride" Target="../theme/themeOverride2.xml"/>
  <Relationship Id="rId3" Type="http://schemas.microsoft.com/office/2011/relationships/chartColorStyle" Target="colors2.xml"/>
  <Relationship Id="rId4" Type="http://schemas.microsoft.com/office/2011/relationships/chartStyle" Target="style2.xml"/>
</Relationships>

</file>

<file path=word/charts/_rels/chart9.xml.rels><?xml version="1.0" encoding="UTF-8"?>

<Relationships xmlns="http://schemas.openxmlformats.org/package/2006/relationships">
  <Relationship Id="rId1" Type="http://schemas.openxmlformats.org/officeDocument/2006/relationships/package" Target="../embeddings/Microsoft_Excel_Worksheet3.xlsx"/>
  <Relationship Id="rId2" Type="http://schemas.openxmlformats.org/officeDocument/2006/relationships/themeOverride" Target="../theme/themeOverride2.xml"/>
  <Relationship Id="rId3" Type="http://schemas.microsoft.com/office/2011/relationships/chartColorStyle" Target="colors2.xml"/>
  <Relationship Id="rId4" Type="http://schemas.microsoft.com/office/2011/relationships/chartStyle" Target="style2.xml"/>
</Relationships>

</file>

<file path=word/charts/chart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955631399317405E-2"/>
          <c:y val="0.14011007805803311"/>
          <c:w val="0.92662116040955633"/>
          <c:h val="0.75549551894037459"/>
        </c:manualLayout>
      </c:layout>
      <c:lineChart>
        <c:grouping val="standard"/>
        <c:varyColors val="0"/>
        <c:ser>
          <c:idx val="0"/>
          <c:order val="0"/>
          <c:tx>
            <c:strRef>
              <c:f>'Ilgalaikiai demo pokyčiai'!$B$99</c:f>
              <c:strCache>
                <c:ptCount val="1"/>
                <c:pt idx="0">
                  <c:v>Lietuvos Respublika</c:v>
                </c:pt>
              </c:strCache>
            </c:strRef>
          </c:tx>
          <c:spPr>
            <a:ln xmlns:a="http://schemas.openxmlformats.org/drawingml/2006/main" w="38100">
              <a:solidFill>
                <a:schemeClr val="accent5">
                  <a:lumMod val="50000"/>
                </a:schemeClr>
              </a:solidFill>
              <a:prstDash val="sys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pokyčiai'!$C$99:$U$99</c:f>
              <c:numCache>
                <c:formatCode>0.0%</c:formatCode>
                <c:ptCount val="19"/>
                <c:pt idx="0">
                  <c:v>-7.5234868660537749E-3</c:v>
                </c:pt>
                <c:pt idx="1">
                  <c:v>-7.1772315206215806E-3</c:v>
                </c:pt>
                <c:pt idx="2">
                  <c:v>-7.2594343873174927E-3</c:v>
                </c:pt>
                <c:pt idx="3">
                  <c:v>-6.8790275763410316E-3</c:v>
                </c:pt>
                <c:pt idx="4">
                  <c:v>-7.1399406732318279E-3</c:v>
                </c:pt>
                <c:pt idx="5">
                  <c:v>-9.2804756412249167E-3</c:v>
                </c:pt>
                <c:pt idx="6">
                  <c:v>-6.6982435491775268E-3</c:v>
                </c:pt>
                <c:pt idx="7">
                  <c:v>-9.4909014928469988E-3</c:v>
                </c:pt>
                <c:pt idx="8">
                  <c:v>-1.2859639021585918E-2</c:v>
                </c:pt>
                <c:pt idx="9">
                  <c:v>-1.9487544780968164E-2</c:v>
                </c:pt>
                <c:pt idx="10">
                  <c:v>-1.2113677433670686E-2</c:v>
                </c:pt>
                <c:pt idx="11">
                  <c:v>-1.1500983235912312E-2</c:v>
                </c:pt>
                <c:pt idx="12">
                  <c:v>-8.9488125679938867E-3</c:v>
                </c:pt>
                <c:pt idx="13">
                  <c:v>-1.3153861229904871E-2</c:v>
                </c:pt>
                <c:pt idx="14">
                  <c:v>-2.8449612600478173E-2</c:v>
                </c:pt>
                <c:pt idx="15">
                  <c:v>-1.6034590976574632E-2</c:v>
                </c:pt>
                <c:pt idx="16">
                  <c:v>-1.0565843254902967E-2</c:v>
                </c:pt>
                <c:pt idx="17">
                  <c:v>-9.5672640949155518E-3</c:v>
                </c:pt>
                <c:pt idx="18">
                  <c:v>-7.5455108796686366E-3</c:v>
                </c:pt>
              </c:numCache>
            </c:numRef>
          </c:val>
          <c:smooth val="0"/>
        </c:ser>
        <c:ser>
          <c:idx val="1"/>
          <c:order val="1"/>
          <c:tx>
            <c:strRef>
              <c:f>'Ilgalaikiai demo pokyčiai'!$B$100</c:f>
              <c:strCache>
                <c:ptCount val="1"/>
                <c:pt idx="0">
                  <c:v>Kauno m. sav.</c:v>
                </c:pt>
              </c:strCache>
            </c:strRef>
          </c:tx>
          <c:spPr>
            <a:ln xmlns:a="http://schemas.openxmlformats.org/drawingml/2006/main" w="38100">
              <a:solidFill>
                <a:srgbClr val="ED7D31"/>
              </a:solidFill>
              <a:prstDash val="sysDash"/>
            </a:ln>
          </c:spPr>
          <c:marker>
            <c:symbol val="none"/>
          </c:marker>
          <c:dLbls>
            <c:dLbl>
              <c:idx val="18"/>
              <c:delete val="1"/>
              <c:extLst>
                <c:ext uri="{CE6537A1-D6FC-4f65-9D91-7224C49458BB}"/>
              </c:extLst>
            </c:dLbl>
            <c:spPr>
              <a:noFill xmlns:a="http://schemas.openxmlformats.org/drawingml/2006/main"/>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1"/>
              </c:ext>
            </c:extLst>
          </c:dLbls>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pokyčiai'!$C$100:$U$100</c:f>
              <c:numCache>
                <c:formatCode>0.0%</c:formatCode>
                <c:ptCount val="19"/>
                <c:pt idx="0">
                  <c:v>-1.6258630898494272E-2</c:v>
                </c:pt>
                <c:pt idx="1">
                  <c:v>-1.618162418140531E-2</c:v>
                </c:pt>
                <c:pt idx="2">
                  <c:v>-1.2468556837860727E-2</c:v>
                </c:pt>
                <c:pt idx="3">
                  <c:v>-1.2807745575657349E-2</c:v>
                </c:pt>
                <c:pt idx="4">
                  <c:v>-1.5336341476064519E-2</c:v>
                </c:pt>
                <c:pt idx="5">
                  <c:v>-1.4563899437986232E-2</c:v>
                </c:pt>
                <c:pt idx="6">
                  <c:v>-1.0513768921577012E-2</c:v>
                </c:pt>
                <c:pt idx="7">
                  <c:v>-1.6988888348701655E-2</c:v>
                </c:pt>
                <c:pt idx="8">
                  <c:v>-1.9227810260693718E-2</c:v>
                </c:pt>
                <c:pt idx="9">
                  <c:v>-2.3666915064686204E-2</c:v>
                </c:pt>
                <c:pt idx="10">
                  <c:v>-1.3124594698513082E-2</c:v>
                </c:pt>
                <c:pt idx="11">
                  <c:v>-1.2784503913564307E-2</c:v>
                </c:pt>
                <c:pt idx="12">
                  <c:v>-1.2199036918138039E-2</c:v>
                </c:pt>
                <c:pt idx="13">
                  <c:v>-1.744520607168307E-2</c:v>
                </c:pt>
                <c:pt idx="14">
                  <c:v>-3.7090871573274425E-2</c:v>
                </c:pt>
                <c:pt idx="15">
                  <c:v>-2.0629083036313615E-2</c:v>
                </c:pt>
                <c:pt idx="16">
                  <c:v>-1.2501086001679682E-2</c:v>
                </c:pt>
                <c:pt idx="17">
                  <c:v>-9.3714970934021535E-3</c:v>
                </c:pt>
                <c:pt idx="18">
                  <c:v>-8.733207899688171E-3</c:v>
                </c:pt>
              </c:numCache>
            </c:numRef>
          </c:val>
          <c:smooth val="0"/>
        </c:ser>
        <c:ser>
          <c:idx val="2"/>
          <c:order val="2"/>
          <c:tx>
            <c:strRef>
              <c:f>'Ilgalaikiai demo pokyčiai'!$B$101</c:f>
              <c:strCache>
                <c:ptCount val="1"/>
                <c:pt idx="0">
                  <c:v>Klaipėdos m. sav.</c:v>
                </c:pt>
              </c:strCache>
            </c:strRef>
          </c:tx>
          <c:spPr>
            <a:ln xmlns:a="http://schemas.openxmlformats.org/drawingml/2006/main" w="38100">
              <a:solidFill>
                <a:schemeClr val="accent2">
                  <a:lumMod val="60000"/>
                  <a:lumOff val="40000"/>
                </a:schemeClr>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pokyčiai'!$C$101:$U$101</c:f>
              <c:numCache>
                <c:formatCode>0.0%</c:formatCode>
                <c:ptCount val="19"/>
                <c:pt idx="0">
                  <c:v>-1.4753667333078676E-2</c:v>
                </c:pt>
                <c:pt idx="1">
                  <c:v>-1.0196220600897268E-2</c:v>
                </c:pt>
                <c:pt idx="2">
                  <c:v>-4.4765945324502232E-3</c:v>
                </c:pt>
                <c:pt idx="3">
                  <c:v>-5.2325521977741214E-3</c:v>
                </c:pt>
                <c:pt idx="4">
                  <c:v>-7.468896719644123E-3</c:v>
                </c:pt>
                <c:pt idx="5">
                  <c:v>-1.19501086844012E-2</c:v>
                </c:pt>
                <c:pt idx="6">
                  <c:v>-7.254689357868326E-3</c:v>
                </c:pt>
                <c:pt idx="7">
                  <c:v>-1.4325211316653125E-2</c:v>
                </c:pt>
                <c:pt idx="8">
                  <c:v>-1.7043964220522345E-2</c:v>
                </c:pt>
                <c:pt idx="9">
                  <c:v>-2.8574229280007843E-2</c:v>
                </c:pt>
                <c:pt idx="10">
                  <c:v>-1.6767574840228724E-2</c:v>
                </c:pt>
                <c:pt idx="11">
                  <c:v>-1.5411456818842689E-2</c:v>
                </c:pt>
                <c:pt idx="12">
                  <c:v>-1.1506433642565117E-2</c:v>
                </c:pt>
                <c:pt idx="13">
                  <c:v>-1.5026450067077137E-2</c:v>
                </c:pt>
                <c:pt idx="14">
                  <c:v>-3.1141827351993057E-2</c:v>
                </c:pt>
                <c:pt idx="15">
                  <c:v>-1.6918562536065513E-2</c:v>
                </c:pt>
                <c:pt idx="16">
                  <c:v>-9.9973773276217353E-3</c:v>
                </c:pt>
                <c:pt idx="17">
                  <c:v>-7.7960906011694132E-3</c:v>
                </c:pt>
                <c:pt idx="18">
                  <c:v>-7.3996376466100898E-3</c:v>
                </c:pt>
              </c:numCache>
            </c:numRef>
          </c:val>
          <c:smooth val="0"/>
        </c:ser>
        <c:ser>
          <c:idx val="3"/>
          <c:order val="3"/>
          <c:tx>
            <c:strRef>
              <c:f>'Ilgalaikiai demo pokyčiai'!$B$102</c:f>
              <c:strCache>
                <c:ptCount val="1"/>
                <c:pt idx="0">
                  <c:v>Panevėžio m. sav.</c:v>
                </c:pt>
              </c:strCache>
            </c:strRef>
          </c:tx>
          <c:spPr>
            <a:ln xmlns:a="http://schemas.openxmlformats.org/drawingml/2006/main" w="38100">
              <a:solidFill>
                <a:srgbClr val="FFC000"/>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pokyčiai'!$C$102:$U$102</c:f>
              <c:numCache>
                <c:formatCode>0.0%</c:formatCode>
                <c:ptCount val="19"/>
                <c:pt idx="0">
                  <c:v>-7.249020509810764E-3</c:v>
                </c:pt>
                <c:pt idx="1">
                  <c:v>-1.0281852171412139E-2</c:v>
                </c:pt>
                <c:pt idx="2">
                  <c:v>-1.1195867134842798E-2</c:v>
                </c:pt>
                <c:pt idx="3">
                  <c:v>-1.1853254747016278E-2</c:v>
                </c:pt>
                <c:pt idx="4">
                  <c:v>-1.0227516811790557E-2</c:v>
                </c:pt>
                <c:pt idx="5">
                  <c:v>-1.3162727029914532E-2</c:v>
                </c:pt>
                <c:pt idx="6">
                  <c:v>-1.1046172323671458E-2</c:v>
                </c:pt>
                <c:pt idx="7">
                  <c:v>-1.7173401753260636E-2</c:v>
                </c:pt>
                <c:pt idx="8">
                  <c:v>-2.0658388228025445E-2</c:v>
                </c:pt>
                <c:pt idx="9">
                  <c:v>-2.3475471597522723E-2</c:v>
                </c:pt>
                <c:pt idx="10">
                  <c:v>-1.4440268969345138E-2</c:v>
                </c:pt>
                <c:pt idx="11">
                  <c:v>-1.6793766272134719E-2</c:v>
                </c:pt>
                <c:pt idx="12">
                  <c:v>-1.5981970984553267E-2</c:v>
                </c:pt>
                <c:pt idx="13">
                  <c:v>-1.614611662992757E-2</c:v>
                </c:pt>
                <c:pt idx="14">
                  <c:v>-2.981542371073026E-2</c:v>
                </c:pt>
                <c:pt idx="15">
                  <c:v>-1.5575794535475423E-2</c:v>
                </c:pt>
                <c:pt idx="16">
                  <c:v>-1.1435070936030627E-2</c:v>
                </c:pt>
                <c:pt idx="17">
                  <c:v>-1.0427046628930688E-2</c:v>
                </c:pt>
                <c:pt idx="18">
                  <c:v>-1.1689228469396231E-2</c:v>
                </c:pt>
              </c:numCache>
            </c:numRef>
          </c:val>
          <c:smooth val="0"/>
        </c:ser>
        <c:ser>
          <c:idx val="4"/>
          <c:order val="4"/>
          <c:tx>
            <c:strRef>
              <c:f>'Ilgalaikiai demo pokyčiai'!$B$103</c:f>
              <c:strCache>
                <c:ptCount val="1"/>
                <c:pt idx="0">
                  <c:v>Šiaulių m. sav.</c:v>
                </c:pt>
              </c:strCache>
            </c:strRef>
          </c:tx>
          <c:spPr>
            <a:ln xmlns:a="http://schemas.openxmlformats.org/drawingml/2006/main" w="38100">
              <a:solidFill>
                <a:srgbClr val="4472C4"/>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pokyčiai'!$C$103:$U$103</c:f>
              <c:numCache>
                <c:formatCode>0.0%</c:formatCode>
                <c:ptCount val="19"/>
                <c:pt idx="0">
                  <c:v>-6.9510873031056689E-3</c:v>
                </c:pt>
                <c:pt idx="1">
                  <c:v>-9.2188258127122759E-3</c:v>
                </c:pt>
                <c:pt idx="2">
                  <c:v>-1.2444546868698508E-2</c:v>
                </c:pt>
                <c:pt idx="3">
                  <c:v>-1.1573128755615192E-2</c:v>
                </c:pt>
                <c:pt idx="4">
                  <c:v>-1.1133162659269152E-2</c:v>
                </c:pt>
                <c:pt idx="5">
                  <c:v>-1.5332159484302258E-2</c:v>
                </c:pt>
                <c:pt idx="6">
                  <c:v>-1.2206672374731962E-2</c:v>
                </c:pt>
                <c:pt idx="7">
                  <c:v>-1.9644692634582638E-2</c:v>
                </c:pt>
                <c:pt idx="8">
                  <c:v>-1.9130706936348343E-2</c:v>
                </c:pt>
                <c:pt idx="9">
                  <c:v>-2.492022973835354E-2</c:v>
                </c:pt>
                <c:pt idx="10">
                  <c:v>-1.6067279688471481E-2</c:v>
                </c:pt>
                <c:pt idx="11">
                  <c:v>-2.0312292137820941E-2</c:v>
                </c:pt>
                <c:pt idx="12">
                  <c:v>-1.3859066952957251E-2</c:v>
                </c:pt>
                <c:pt idx="13">
                  <c:v>-1.4544390512582189E-2</c:v>
                </c:pt>
                <c:pt idx="14">
                  <c:v>-4.1552407734092543E-2</c:v>
                </c:pt>
                <c:pt idx="15">
                  <c:v>-1.8761161934613843E-2</c:v>
                </c:pt>
                <c:pt idx="16">
                  <c:v>-1.1319633388739796E-2</c:v>
                </c:pt>
                <c:pt idx="17">
                  <c:v>-8.0773926927773087E-3</c:v>
                </c:pt>
                <c:pt idx="18">
                  <c:v>-9.8570211154246756E-3</c:v>
                </c:pt>
              </c:numCache>
            </c:numRef>
          </c:val>
          <c:smooth val="0"/>
        </c:ser>
        <c:ser>
          <c:idx val="5"/>
          <c:order val="5"/>
          <c:tx>
            <c:strRef>
              <c:f>'Ilgalaikiai demo pokyčiai'!$B$104</c:f>
              <c:strCache>
                <c:ptCount val="1"/>
                <c:pt idx="0">
                  <c:v>Vilniaus m. sav.</c:v>
                </c:pt>
              </c:strCache>
            </c:strRef>
          </c:tx>
          <c:spPr>
            <a:ln xmlns:a="http://schemas.openxmlformats.org/drawingml/2006/main" w="38100">
              <a:solidFill>
                <a:srgbClr val="70AD47"/>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pokyčiai'!$C$104:$U$104</c:f>
              <c:numCache>
                <c:formatCode>0.0%</c:formatCode>
                <c:ptCount val="19"/>
                <c:pt idx="0">
                  <c:v>-1.2385726414295027E-2</c:v>
                </c:pt>
                <c:pt idx="1">
                  <c:v>-9.2495325335630405E-3</c:v>
                </c:pt>
                <c:pt idx="2">
                  <c:v>-6.2345263403436411E-3</c:v>
                </c:pt>
                <c:pt idx="3">
                  <c:v>-6.2896436935519148E-3</c:v>
                </c:pt>
                <c:pt idx="4">
                  <c:v>-8.1153725018610779E-3</c:v>
                </c:pt>
                <c:pt idx="5">
                  <c:v>-6.0564948103940062E-3</c:v>
                </c:pt>
                <c:pt idx="6">
                  <c:v>-1.290559133383189E-3</c:v>
                </c:pt>
                <c:pt idx="7">
                  <c:v>-2.6971372904675103E-3</c:v>
                </c:pt>
                <c:pt idx="8">
                  <c:v>-3.5646011054637169E-3</c:v>
                </c:pt>
                <c:pt idx="9">
                  <c:v>-7.7692204991833902E-3</c:v>
                </c:pt>
                <c:pt idx="10">
                  <c:v>-1.4616837933735772E-3</c:v>
                </c:pt>
                <c:pt idx="11">
                  <c:v>-2.5104664298952251E-4</c:v>
                </c:pt>
                <c:pt idx="12">
                  <c:v>2.5350999638106631E-3</c:v>
                </c:pt>
                <c:pt idx="13">
                  <c:v>4.0886312109899458E-4</c:v>
                </c:pt>
                <c:pt idx="14">
                  <c:v>-1.3004633729203909E-2</c:v>
                </c:pt>
                <c:pt idx="15">
                  <c:v>-5.3121741676878803E-3</c:v>
                </c:pt>
                <c:pt idx="16">
                  <c:v>7.2626148788907871E-3</c:v>
                </c:pt>
                <c:pt idx="17">
                  <c:v>4.7565679733110929E-3</c:v>
                </c:pt>
                <c:pt idx="18">
                  <c:v>5.4084901622547046E-3</c:v>
                </c:pt>
              </c:numCache>
            </c:numRef>
          </c:val>
          <c:smooth val="0"/>
        </c:ser>
        <c:dLbls>
          <c:showLegendKey val="0"/>
          <c:showVal val="0"/>
          <c:showCatName val="0"/>
          <c:showSerName val="0"/>
          <c:showPercent val="0"/>
          <c:showBubbleSize val="0"/>
        </c:dLbls>
        <c:marker val="1"/>
        <c:smooth val="0"/>
        <c:axId val="99558144"/>
        <c:axId val="99559680"/>
      </c:lineChart>
      <c:catAx>
        <c:axId val="99558144"/>
        <c:scaling>
          <c:orientation val="minMax"/>
        </c:scaling>
        <c:delete val="0"/>
        <c:axPos val="b"/>
        <c:numFmt formatCode="General" sourceLinked="1"/>
        <c:majorTickMark val="none"/>
        <c:minorTickMark val="none"/>
        <c:tickLblPos val="nextTo"/>
        <c:spPr>
          <a:ln xmlns:a="http://schemas.openxmlformats.org/drawingml/2006/main" w="25400">
            <a:solidFill>
              <a:schemeClr val="accent2"/>
            </a:solidFill>
            <a:prstDash val="solid"/>
          </a:ln>
        </c:spPr>
        <c:txPr>
          <a:bodyPr xmlns:a="http://schemas.openxmlformats.org/drawingml/2006/main" rot="4800000" vert="horz"/>
          <a:lstStyle xmlns:a="http://schemas.openxmlformats.org/drawingml/2006/main"/>
          <a:p xmlns:a="http://schemas.openxmlformats.org/drawingml/2006/main">
            <a:pPr>
              <a:defRPr sz="900" b="0" i="0" u="none" strike="noStrike" baseline="0">
                <a:solidFill>
                  <a:srgbClr val="000000"/>
                </a:solidFill>
                <a:latin typeface="Calibri"/>
                <a:ea typeface="Calibri"/>
                <a:cs typeface="Calibri"/>
              </a:defRPr>
            </a:pPr>
            <a:endParaRPr lang="lt-LT"/>
          </a:p>
        </c:txPr>
        <c:crossAx val="99559680"/>
        <c:crossesAt val="0"/>
        <c:auto val="1"/>
        <c:lblAlgn val="ctr"/>
        <c:lblOffset val="100"/>
        <c:tickLblSkip val="1"/>
        <c:tickMarkSkip val="1"/>
        <c:noMultiLvlLbl val="0"/>
      </c:catAx>
      <c:valAx>
        <c:axId val="99559680"/>
        <c:scaling>
          <c:orientation val="minMax"/>
        </c:scaling>
        <c:delete val="0"/>
        <c:axPos val="l"/>
        <c:majorGridlines>
          <c:spPr>
            <a:ln xmlns:a="http://schemas.openxmlformats.org/drawingml/2006/main" w="12700">
              <a:solidFill>
                <a:srgbClr val="D9D9D9"/>
              </a:solidFill>
              <a:prstDash val="solid"/>
            </a:ln>
          </c:spPr>
        </c:majorGridlines>
        <c:numFmt formatCode="0.0%" sourceLinked="1"/>
        <c:majorTickMark val="none"/>
        <c:minorTickMark val="none"/>
        <c:tickLblPos val="nextTo"/>
        <c:spPr>
          <a:ln xmlns:a="http://schemas.openxmlformats.org/drawingml/2006/main" w="6350">
            <a:noFill/>
          </a:ln>
        </c:spPr>
        <c:txPr>
          <a:bodyPr xmlns:a="http://schemas.openxmlformats.org/drawingml/2006/main" rot="4800000" vert="horz"/>
          <a:lstStyle xmlns:a="http://schemas.openxmlformats.org/drawingml/2006/main"/>
          <a:p xmlns:a="http://schemas.openxmlformats.org/drawingml/2006/main">
            <a:pPr>
              <a:defRPr sz="900" b="0" i="0" u="none" strike="noStrike" baseline="0">
                <a:solidFill>
                  <a:srgbClr val="000000"/>
                </a:solidFill>
                <a:latin typeface="Calibri"/>
                <a:ea typeface="Calibri"/>
                <a:cs typeface="Calibri"/>
              </a:defRPr>
            </a:pPr>
            <a:endParaRPr lang="lt-LT"/>
          </a:p>
        </c:txPr>
        <c:crossAx val="99558144"/>
        <c:crossesAt val="1"/>
        <c:crossBetween val="midCat"/>
      </c:valAx>
      <c:spPr>
        <a:noFill xmlns:a="http://schemas.openxmlformats.org/drawingml/2006/main"/>
        <a:ln xmlns:a="http://schemas.openxmlformats.org/drawingml/2006/main" w="25400">
          <a:noFill/>
        </a:ln>
      </c:spPr>
    </c:plotArea>
    <c:legend>
      <c:legendPos val="b"/>
      <c:layout>
        <c:manualLayout>
          <c:xMode val="edge"/>
          <c:yMode val="edge"/>
          <c:x val="0.14761092150170649"/>
          <c:y val="0.92582541775602267"/>
          <c:w val="0.71245733788395904"/>
          <c:h val="5.7692385082719518E-2"/>
        </c:manualLayout>
      </c:layout>
      <c:overlay val="0"/>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sz="82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xmlns:a="http://schemas.openxmlformats.org/drawingml/2006/main">
      <a:srgbClr val="FFFFFF"/>
    </a:solidFill>
    <a:ln xmlns:a="http://schemas.openxmlformats.org/drawingml/2006/main" w="12700">
      <a:solidFill>
        <a:srgbClr val="D9D9D9"/>
      </a:solidFill>
      <a:prstDash val="solid"/>
    </a:ln>
  </c:spPr>
  <c:txPr>
    <a:bodyPr xmlns:a="http://schemas.openxmlformats.org/drawingml/2006/main"/>
    <a:lstStyle xmlns:a="http://schemas.openxmlformats.org/drawingml/2006/main"/>
    <a:p xmlns:a="http://schemas.openxmlformats.org/drawingml/2006/main">
      <a:pPr>
        <a:defRPr sz="1000" b="0" i="0" u="none" strike="noStrike" baseline="0">
          <a:solidFill>
            <a:srgbClr val="000000"/>
          </a:solidFill>
          <a:latin typeface="Arial"/>
          <a:ea typeface="Arial"/>
          <a:cs typeface="Arial"/>
        </a:defRPr>
      </a:pPr>
      <a:endParaRPr lang="lt-LT"/>
    </a:p>
  </c:txPr>
  <c:externalData xmlns:r="http://schemas.openxmlformats.org/officeDocument/2006/relationships" r:id="rId1">
    <c:autoUpdate val="0"/>
  </c:externalData>
</c:chartSpace>
</file>

<file path=word/charts/chart1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transformacija!$A$400</c:f>
              <c:strCache>
                <c:ptCount val="1"/>
                <c:pt idx="0">
                  <c:v>Neto vidaus migracija (išskyrus Kauno r. sav.)</c:v>
                </c:pt>
              </c:strCache>
            </c:strRef>
          </c:tx>
          <c:spPr>
            <a:ln xmlns:a="http://schemas.openxmlformats.org/drawingml/2006/main" w="28575" cap="rnd">
              <a:solidFill>
                <a:schemeClr val="accent1"/>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transformacija!$B$400:$O$400</c:f>
              <c:numCache>
                <c:formatCode>_-* #,##0\ _€_-;\-* #,##0\ _€_-;_-* \-??\ _€_-;_-@_-</c:formatCode>
                <c:ptCount val="14"/>
                <c:pt idx="0">
                  <c:v>-1160.7550105510356</c:v>
                </c:pt>
                <c:pt idx="1">
                  <c:v>-1071.8231037931394</c:v>
                </c:pt>
                <c:pt idx="2">
                  <c:v>-2245.854932383907</c:v>
                </c:pt>
                <c:pt idx="3">
                  <c:v>-1214.153048188512</c:v>
                </c:pt>
                <c:pt idx="4">
                  <c:v>-435.02418417690114</c:v>
                </c:pt>
                <c:pt idx="5">
                  <c:v>-146.15059170462973</c:v>
                </c:pt>
                <c:pt idx="6">
                  <c:v>-105.56608036648538</c:v>
                </c:pt>
                <c:pt idx="7">
                  <c:v>-334.24141570753909</c:v>
                </c:pt>
                <c:pt idx="8">
                  <c:v>-419.41193772605811</c:v>
                </c:pt>
                <c:pt idx="9">
                  <c:v>-243.54868441138319</c:v>
                </c:pt>
                <c:pt idx="10">
                  <c:v>186.24756468041585</c:v>
                </c:pt>
                <c:pt idx="11">
                  <c:v>731.88305691433209</c:v>
                </c:pt>
                <c:pt idx="12">
                  <c:v>1231.2492316253538</c:v>
                </c:pt>
                <c:pt idx="13">
                  <c:v>1069.9180405249772</c:v>
                </c:pt>
              </c:numCache>
            </c:numRef>
          </c:val>
          <c:smooth val="0"/>
        </c:ser>
        <c:ser>
          <c:idx val="1"/>
          <c:order val="1"/>
          <c:tx>
            <c:strRef>
              <c:f>transformacija!$A$401</c:f>
              <c:strCache>
                <c:ptCount val="1"/>
                <c:pt idx="0">
                  <c:v>Neto migracija (miestas-priemiestis)</c:v>
                </c:pt>
              </c:strCache>
            </c:strRef>
          </c:tx>
          <c:spPr>
            <a:ln xmlns:a="http://schemas.openxmlformats.org/drawingml/2006/main" w="28575" cap="rnd">
              <a:solidFill>
                <a:schemeClr val="accent2"/>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transformacija!$B$401:$O$401</c:f>
              <c:numCache>
                <c:formatCode>_-* #,##0\ _€_-;\-* #,##0\ _€_-;_-* \-??\ _€_-;_-@_-</c:formatCode>
                <c:ptCount val="14"/>
                <c:pt idx="0">
                  <c:v>-501.2449894489643</c:v>
                </c:pt>
                <c:pt idx="1">
                  <c:v>-604.17689620686065</c:v>
                </c:pt>
                <c:pt idx="2">
                  <c:v>-814.14506761609323</c:v>
                </c:pt>
                <c:pt idx="3">
                  <c:v>-561.846951811488</c:v>
                </c:pt>
                <c:pt idx="4">
                  <c:v>-486.97581582309886</c:v>
                </c:pt>
                <c:pt idx="5">
                  <c:v>-486.84940829537027</c:v>
                </c:pt>
                <c:pt idx="6">
                  <c:v>-585.43391963351462</c:v>
                </c:pt>
                <c:pt idx="7">
                  <c:v>-1090.7585842924609</c:v>
                </c:pt>
                <c:pt idx="8">
                  <c:v>-843.58806227394189</c:v>
                </c:pt>
                <c:pt idx="9">
                  <c:v>-654.45131558861681</c:v>
                </c:pt>
                <c:pt idx="10">
                  <c:v>-1006.2475646804158</c:v>
                </c:pt>
                <c:pt idx="11">
                  <c:v>-933.88305691433209</c:v>
                </c:pt>
                <c:pt idx="12">
                  <c:v>-1009.2492316253538</c:v>
                </c:pt>
                <c:pt idx="13">
                  <c:v>-1315.9180405249772</c:v>
                </c:pt>
              </c:numCache>
            </c:numRef>
          </c:val>
          <c:smooth val="0"/>
        </c:ser>
        <c:ser>
          <c:idx val="2"/>
          <c:order val="2"/>
          <c:tx>
            <c:strRef>
              <c:f>transformacija!$A$402</c:f>
              <c:strCache>
                <c:ptCount val="1"/>
                <c:pt idx="0">
                  <c:v>Neto migracija (užsienio)</c:v>
                </c:pt>
              </c:strCache>
            </c:strRef>
          </c:tx>
          <c:spPr>
            <a:ln xmlns:a="http://schemas.openxmlformats.org/drawingml/2006/main" w="28575" cap="rnd">
              <a:solidFill>
                <a:schemeClr val="accent3"/>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transformacija!$B$402:$O$402</c:f>
              <c:numCache>
                <c:formatCode>_-* #,##0\ _€_-;\-* #,##0\ _€_-;_-* \-??\ _€_-;_-@_-</c:formatCode>
                <c:ptCount val="14"/>
                <c:pt idx="0">
                  <c:v>-2946</c:v>
                </c:pt>
                <c:pt idx="1">
                  <c:v>-1332</c:v>
                </c:pt>
                <c:pt idx="2">
                  <c:v>-2301</c:v>
                </c:pt>
                <c:pt idx="3">
                  <c:v>-4289</c:v>
                </c:pt>
                <c:pt idx="4">
                  <c:v>-6543</c:v>
                </c:pt>
                <c:pt idx="5">
                  <c:v>-2729</c:v>
                </c:pt>
                <c:pt idx="6">
                  <c:v>-2644</c:v>
                </c:pt>
                <c:pt idx="7">
                  <c:v>-1915</c:v>
                </c:pt>
                <c:pt idx="8">
                  <c:v>-4019</c:v>
                </c:pt>
                <c:pt idx="9">
                  <c:v>-10683</c:v>
                </c:pt>
                <c:pt idx="10">
                  <c:v>-4995</c:v>
                </c:pt>
                <c:pt idx="11">
                  <c:v>-2845</c:v>
                </c:pt>
                <c:pt idx="12">
                  <c:v>-2224</c:v>
                </c:pt>
                <c:pt idx="13">
                  <c:v>-1712</c:v>
                </c:pt>
              </c:numCache>
            </c:numRef>
          </c:val>
          <c:smooth val="0"/>
        </c:ser>
        <c:ser>
          <c:idx val="3"/>
          <c:order val="3"/>
          <c:tx>
            <c:strRef>
              <c:f>transformacija!$A$403</c:f>
              <c:strCache>
                <c:ptCount val="1"/>
                <c:pt idx="0">
                  <c:v>Natūrali kaita</c:v>
                </c:pt>
              </c:strCache>
            </c:strRef>
          </c:tx>
          <c:spPr>
            <a:ln xmlns:a="http://schemas.openxmlformats.org/drawingml/2006/main" w="28575" cap="rnd">
              <a:solidFill>
                <a:schemeClr val="accent4"/>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transformacija!$B$403:$O$403</c:f>
              <c:numCache>
                <c:formatCode>_-* #,##0\ _€_-;\-* #,##0\ _€_-;_-* \-??\ _€_-;_-@_-</c:formatCode>
                <c:ptCount val="14"/>
                <c:pt idx="0">
                  <c:v>-922</c:v>
                </c:pt>
                <c:pt idx="1">
                  <c:v>-926</c:v>
                </c:pt>
                <c:pt idx="2">
                  <c:v>-929</c:v>
                </c:pt>
                <c:pt idx="3">
                  <c:v>-933</c:v>
                </c:pt>
                <c:pt idx="4">
                  <c:v>-983</c:v>
                </c:pt>
                <c:pt idx="5">
                  <c:v>-1212</c:v>
                </c:pt>
                <c:pt idx="6">
                  <c:v>-1062</c:v>
                </c:pt>
                <c:pt idx="7">
                  <c:v>-802</c:v>
                </c:pt>
                <c:pt idx="8">
                  <c:v>-569</c:v>
                </c:pt>
                <c:pt idx="9">
                  <c:v>-642</c:v>
                </c:pt>
                <c:pt idx="10">
                  <c:v>-731</c:v>
                </c:pt>
                <c:pt idx="11">
                  <c:v>-838</c:v>
                </c:pt>
                <c:pt idx="12">
                  <c:v>-874</c:v>
                </c:pt>
                <c:pt idx="13">
                  <c:v>-697</c:v>
                </c:pt>
              </c:numCache>
            </c:numRef>
          </c:val>
          <c:smooth val="0"/>
        </c:ser>
        <c:ser>
          <c:idx val="4"/>
          <c:order val="4"/>
          <c:tx>
            <c:strRef>
              <c:f>transformacija!$A$404</c:f>
              <c:strCache>
                <c:ptCount val="1"/>
                <c:pt idx="0">
                  <c:v>0</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transformacija!$B$404:$O$404</c:f>
              <c:numCache>
                <c:formatCode>_-* #,##0\ _€_-;\-* #,##0\ _€_-;_-* \-??\ _€_-;_-@_-</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ser>
        <c:dLbls>
          <c:showLegendKey val="0"/>
          <c:showVal val="0"/>
          <c:showCatName val="0"/>
          <c:showSerName val="0"/>
          <c:showPercent val="0"/>
          <c:showBubbleSize val="0"/>
        </c:dLbls>
        <c:marker val="1"/>
        <c:smooth val="0"/>
        <c:axId val="104658048"/>
        <c:axId val="104659584"/>
      </c:lineChart>
      <c:catAx>
        <c:axId val="104658048"/>
        <c:scaling>
          <c:orientation val="minMax"/>
        </c:scaling>
        <c:delete val="0"/>
        <c:axPos val="b"/>
        <c:numFmt formatCode="General" sourceLinked="1"/>
        <c:majorTickMark val="out"/>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04659584"/>
        <c:crosses val="autoZero"/>
        <c:auto val="1"/>
        <c:lblAlgn val="ctr"/>
        <c:lblOffset val="100"/>
        <c:noMultiLvlLbl val="0"/>
      </c:catAx>
      <c:valAx>
        <c:axId val="104659584"/>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_-* #,##0\ _€_-;\-* #,##0\ _€_-;_-* \-??\ _€_-;_-@_-" sourceLinked="1"/>
        <c:majorTickMark val="out"/>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4658048"/>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r"/>
      <c:legendEntry>
        <c:idx val="4"/>
        <c:delete val="1"/>
      </c:legendEntry>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transformacija!$A$400</c:f>
              <c:strCache>
                <c:ptCount val="1"/>
                <c:pt idx="0">
                  <c:v>Neto vidaus migracija (išskyrus Kauno r. sav.)</c:v>
                </c:pt>
              </c:strCache>
            </c:strRef>
          </c:tx>
          <c:spPr>
            <a:ln xmlns:a="http://schemas.openxmlformats.org/drawingml/2006/main" w="28575" cap="rnd">
              <a:solidFill>
                <a:schemeClr val="accent1"/>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transformacija!$B$400:$O$400</c:f>
              <c:numCache>
                <c:formatCode>_-* #,##0\ _€_-;\-* #,##0\ _€_-;_-* \-??\ _€_-;_-@_-</c:formatCode>
                <c:ptCount val="14"/>
                <c:pt idx="0">
                  <c:v>-1160.7550105510356</c:v>
                </c:pt>
                <c:pt idx="1">
                  <c:v>-1071.8231037931394</c:v>
                </c:pt>
                <c:pt idx="2">
                  <c:v>-2245.854932383907</c:v>
                </c:pt>
                <c:pt idx="3">
                  <c:v>-1214.153048188512</c:v>
                </c:pt>
                <c:pt idx="4">
                  <c:v>-435.02418417690114</c:v>
                </c:pt>
                <c:pt idx="5">
                  <c:v>-146.15059170462973</c:v>
                </c:pt>
                <c:pt idx="6">
                  <c:v>-105.56608036648538</c:v>
                </c:pt>
                <c:pt idx="7">
                  <c:v>-334.24141570753909</c:v>
                </c:pt>
                <c:pt idx="8">
                  <c:v>-419.41193772605811</c:v>
                </c:pt>
                <c:pt idx="9">
                  <c:v>-243.54868441138319</c:v>
                </c:pt>
                <c:pt idx="10">
                  <c:v>186.24756468041585</c:v>
                </c:pt>
                <c:pt idx="11">
                  <c:v>731.88305691433209</c:v>
                </c:pt>
                <c:pt idx="12">
                  <c:v>1231.2492316253538</c:v>
                </c:pt>
                <c:pt idx="13">
                  <c:v>1069.9180405249772</c:v>
                </c:pt>
              </c:numCache>
            </c:numRef>
          </c:val>
          <c:smooth val="0"/>
        </c:ser>
        <c:ser>
          <c:idx val="1"/>
          <c:order val="1"/>
          <c:tx>
            <c:strRef>
              <c:f>transformacija!$A$401</c:f>
              <c:strCache>
                <c:ptCount val="1"/>
                <c:pt idx="0">
                  <c:v>Neto migracija (miestas-priemiestis)</c:v>
                </c:pt>
              </c:strCache>
            </c:strRef>
          </c:tx>
          <c:spPr>
            <a:ln xmlns:a="http://schemas.openxmlformats.org/drawingml/2006/main" w="28575" cap="rnd">
              <a:solidFill>
                <a:schemeClr val="accent2"/>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transformacija!$B$401:$O$401</c:f>
              <c:numCache>
                <c:formatCode>_-* #,##0\ _€_-;\-* #,##0\ _€_-;_-* \-??\ _€_-;_-@_-</c:formatCode>
                <c:ptCount val="14"/>
                <c:pt idx="0">
                  <c:v>-501.2449894489643</c:v>
                </c:pt>
                <c:pt idx="1">
                  <c:v>-604.17689620686065</c:v>
                </c:pt>
                <c:pt idx="2">
                  <c:v>-814.14506761609323</c:v>
                </c:pt>
                <c:pt idx="3">
                  <c:v>-561.846951811488</c:v>
                </c:pt>
                <c:pt idx="4">
                  <c:v>-486.97581582309886</c:v>
                </c:pt>
                <c:pt idx="5">
                  <c:v>-486.84940829537027</c:v>
                </c:pt>
                <c:pt idx="6">
                  <c:v>-585.43391963351462</c:v>
                </c:pt>
                <c:pt idx="7">
                  <c:v>-1090.7585842924609</c:v>
                </c:pt>
                <c:pt idx="8">
                  <c:v>-843.58806227394189</c:v>
                </c:pt>
                <c:pt idx="9">
                  <c:v>-654.45131558861681</c:v>
                </c:pt>
                <c:pt idx="10">
                  <c:v>-1006.2475646804158</c:v>
                </c:pt>
                <c:pt idx="11">
                  <c:v>-933.88305691433209</c:v>
                </c:pt>
                <c:pt idx="12">
                  <c:v>-1009.2492316253538</c:v>
                </c:pt>
                <c:pt idx="13">
                  <c:v>-1315.9180405249772</c:v>
                </c:pt>
              </c:numCache>
            </c:numRef>
          </c:val>
          <c:smooth val="0"/>
        </c:ser>
        <c:ser>
          <c:idx val="2"/>
          <c:order val="2"/>
          <c:tx>
            <c:strRef>
              <c:f>transformacija!$A$402</c:f>
              <c:strCache>
                <c:ptCount val="1"/>
                <c:pt idx="0">
                  <c:v>Neto migracija (užsienio)</c:v>
                </c:pt>
              </c:strCache>
            </c:strRef>
          </c:tx>
          <c:spPr>
            <a:ln xmlns:a="http://schemas.openxmlformats.org/drawingml/2006/main" w="28575" cap="rnd">
              <a:solidFill>
                <a:schemeClr val="accent3"/>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transformacija!$B$402:$O$402</c:f>
              <c:numCache>
                <c:formatCode>_-* #,##0\ _€_-;\-* #,##0\ _€_-;_-* \-??\ _€_-;_-@_-</c:formatCode>
                <c:ptCount val="14"/>
                <c:pt idx="0">
                  <c:v>-2946</c:v>
                </c:pt>
                <c:pt idx="1">
                  <c:v>-1332</c:v>
                </c:pt>
                <c:pt idx="2">
                  <c:v>-2301</c:v>
                </c:pt>
                <c:pt idx="3">
                  <c:v>-4289</c:v>
                </c:pt>
                <c:pt idx="4">
                  <c:v>-6543</c:v>
                </c:pt>
                <c:pt idx="5">
                  <c:v>-2729</c:v>
                </c:pt>
                <c:pt idx="6">
                  <c:v>-2644</c:v>
                </c:pt>
                <c:pt idx="7">
                  <c:v>-1915</c:v>
                </c:pt>
                <c:pt idx="8">
                  <c:v>-4019</c:v>
                </c:pt>
                <c:pt idx="9">
                  <c:v>-10683</c:v>
                </c:pt>
                <c:pt idx="10">
                  <c:v>-4995</c:v>
                </c:pt>
                <c:pt idx="11">
                  <c:v>-2845</c:v>
                </c:pt>
                <c:pt idx="12">
                  <c:v>-2224</c:v>
                </c:pt>
                <c:pt idx="13">
                  <c:v>-1712</c:v>
                </c:pt>
              </c:numCache>
            </c:numRef>
          </c:val>
          <c:smooth val="0"/>
        </c:ser>
        <c:ser>
          <c:idx val="3"/>
          <c:order val="3"/>
          <c:tx>
            <c:strRef>
              <c:f>transformacija!$A$403</c:f>
              <c:strCache>
                <c:ptCount val="1"/>
                <c:pt idx="0">
                  <c:v>Natūrali kaita</c:v>
                </c:pt>
              </c:strCache>
            </c:strRef>
          </c:tx>
          <c:spPr>
            <a:ln xmlns:a="http://schemas.openxmlformats.org/drawingml/2006/main" w="28575" cap="rnd">
              <a:solidFill>
                <a:schemeClr val="accent4"/>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transformacija!$B$403:$O$403</c:f>
              <c:numCache>
                <c:formatCode>_-* #,##0\ _€_-;\-* #,##0\ _€_-;_-* \-??\ _€_-;_-@_-</c:formatCode>
                <c:ptCount val="14"/>
                <c:pt idx="0">
                  <c:v>-922</c:v>
                </c:pt>
                <c:pt idx="1">
                  <c:v>-926</c:v>
                </c:pt>
                <c:pt idx="2">
                  <c:v>-929</c:v>
                </c:pt>
                <c:pt idx="3">
                  <c:v>-933</c:v>
                </c:pt>
                <c:pt idx="4">
                  <c:v>-983</c:v>
                </c:pt>
                <c:pt idx="5">
                  <c:v>-1212</c:v>
                </c:pt>
                <c:pt idx="6">
                  <c:v>-1062</c:v>
                </c:pt>
                <c:pt idx="7">
                  <c:v>-802</c:v>
                </c:pt>
                <c:pt idx="8">
                  <c:v>-569</c:v>
                </c:pt>
                <c:pt idx="9">
                  <c:v>-642</c:v>
                </c:pt>
                <c:pt idx="10">
                  <c:v>-731</c:v>
                </c:pt>
                <c:pt idx="11">
                  <c:v>-838</c:v>
                </c:pt>
                <c:pt idx="12">
                  <c:v>-874</c:v>
                </c:pt>
                <c:pt idx="13">
                  <c:v>-697</c:v>
                </c:pt>
              </c:numCache>
            </c:numRef>
          </c:val>
          <c:smooth val="0"/>
        </c:ser>
        <c:ser>
          <c:idx val="4"/>
          <c:order val="4"/>
          <c:tx>
            <c:strRef>
              <c:f>transformacija!$A$404</c:f>
              <c:strCache>
                <c:ptCount val="1"/>
                <c:pt idx="0">
                  <c:v>0</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transformacija!$B$404:$O$404</c:f>
              <c:numCache>
                <c:formatCode>_-* #,##0\ _€_-;\-* #,##0\ _€_-;_-* \-??\ _€_-;_-@_-</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ser>
        <c:dLbls>
          <c:showLegendKey val="0"/>
          <c:showVal val="0"/>
          <c:showCatName val="0"/>
          <c:showSerName val="0"/>
          <c:showPercent val="0"/>
          <c:showBubbleSize val="0"/>
        </c:dLbls>
        <c:marker val="1"/>
        <c:smooth val="0"/>
        <c:axId val="117113984"/>
        <c:axId val="117115520"/>
      </c:lineChart>
      <c:catAx>
        <c:axId val="117113984"/>
        <c:scaling>
          <c:orientation val="minMax"/>
        </c:scaling>
        <c:delete val="0"/>
        <c:axPos val="b"/>
        <c:numFmt formatCode="General" sourceLinked="1"/>
        <c:majorTickMark val="out"/>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17115520"/>
        <c:crosses val="autoZero"/>
        <c:auto val="1"/>
        <c:lblAlgn val="ctr"/>
        <c:lblOffset val="100"/>
        <c:noMultiLvlLbl val="0"/>
      </c:catAx>
      <c:valAx>
        <c:axId val="11711552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_-* #,##0\ _€_-;\-* #,##0\ _€_-;_-* \-??\ _€_-;_-@_-" sourceLinked="1"/>
        <c:majorTickMark val="out"/>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11398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r"/>
      <c:legendEntry>
        <c:idx val="4"/>
        <c:delete val="1"/>
      </c:legendEntry>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transformacija!$A$400</c:f>
              <c:strCache>
                <c:ptCount val="1"/>
                <c:pt idx="0">
                  <c:v>Neto vidaus migracija (išskyrus Kauno r. sav.)</c:v>
                </c:pt>
              </c:strCache>
            </c:strRef>
          </c:tx>
          <c:spPr>
            <a:ln xmlns:a="http://schemas.openxmlformats.org/drawingml/2006/main" w="28575" cap="rnd">
              <a:solidFill>
                <a:schemeClr val="accent1"/>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transformacija!$B$400:$O$400</c:f>
              <c:numCache>
                <c:formatCode>_-* #,##0\ _€_-;\-* #,##0\ _€_-;_-* \-??\ _€_-;_-@_-</c:formatCode>
                <c:ptCount val="14"/>
                <c:pt idx="0">
                  <c:v>-1160.7550105510356</c:v>
                </c:pt>
                <c:pt idx="1">
                  <c:v>-1071.8231037931394</c:v>
                </c:pt>
                <c:pt idx="2">
                  <c:v>-2245.854932383907</c:v>
                </c:pt>
                <c:pt idx="3">
                  <c:v>-1214.153048188512</c:v>
                </c:pt>
                <c:pt idx="4">
                  <c:v>-435.02418417690114</c:v>
                </c:pt>
                <c:pt idx="5">
                  <c:v>-146.15059170462973</c:v>
                </c:pt>
                <c:pt idx="6">
                  <c:v>-105.56608036648538</c:v>
                </c:pt>
                <c:pt idx="7">
                  <c:v>-334.24141570753909</c:v>
                </c:pt>
                <c:pt idx="8">
                  <c:v>-419.41193772605811</c:v>
                </c:pt>
                <c:pt idx="9">
                  <c:v>-243.54868441138319</c:v>
                </c:pt>
                <c:pt idx="10">
                  <c:v>186.24756468041585</c:v>
                </c:pt>
                <c:pt idx="11">
                  <c:v>731.88305691433209</c:v>
                </c:pt>
                <c:pt idx="12">
                  <c:v>1231.2492316253538</c:v>
                </c:pt>
                <c:pt idx="13">
                  <c:v>1069.9180405249772</c:v>
                </c:pt>
              </c:numCache>
            </c:numRef>
          </c:val>
          <c:smooth val="0"/>
        </c:ser>
        <c:ser>
          <c:idx val="1"/>
          <c:order val="1"/>
          <c:tx>
            <c:strRef>
              <c:f>transformacija!$A$401</c:f>
              <c:strCache>
                <c:ptCount val="1"/>
                <c:pt idx="0">
                  <c:v>Neto migracija (miestas-priemiestis)</c:v>
                </c:pt>
              </c:strCache>
            </c:strRef>
          </c:tx>
          <c:spPr>
            <a:ln xmlns:a="http://schemas.openxmlformats.org/drawingml/2006/main" w="28575" cap="rnd">
              <a:solidFill>
                <a:schemeClr val="accent2"/>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transformacija!$B$401:$O$401</c:f>
              <c:numCache>
                <c:formatCode>_-* #,##0\ _€_-;\-* #,##0\ _€_-;_-* \-??\ _€_-;_-@_-</c:formatCode>
                <c:ptCount val="14"/>
                <c:pt idx="0">
                  <c:v>-501.2449894489643</c:v>
                </c:pt>
                <c:pt idx="1">
                  <c:v>-604.17689620686065</c:v>
                </c:pt>
                <c:pt idx="2">
                  <c:v>-814.14506761609323</c:v>
                </c:pt>
                <c:pt idx="3">
                  <c:v>-561.846951811488</c:v>
                </c:pt>
                <c:pt idx="4">
                  <c:v>-486.97581582309886</c:v>
                </c:pt>
                <c:pt idx="5">
                  <c:v>-486.84940829537027</c:v>
                </c:pt>
                <c:pt idx="6">
                  <c:v>-585.43391963351462</c:v>
                </c:pt>
                <c:pt idx="7">
                  <c:v>-1090.7585842924609</c:v>
                </c:pt>
                <c:pt idx="8">
                  <c:v>-843.58806227394189</c:v>
                </c:pt>
                <c:pt idx="9">
                  <c:v>-654.45131558861681</c:v>
                </c:pt>
                <c:pt idx="10">
                  <c:v>-1006.2475646804158</c:v>
                </c:pt>
                <c:pt idx="11">
                  <c:v>-933.88305691433209</c:v>
                </c:pt>
                <c:pt idx="12">
                  <c:v>-1009.2492316253538</c:v>
                </c:pt>
                <c:pt idx="13">
                  <c:v>-1315.9180405249772</c:v>
                </c:pt>
              </c:numCache>
            </c:numRef>
          </c:val>
          <c:smooth val="0"/>
        </c:ser>
        <c:ser>
          <c:idx val="2"/>
          <c:order val="2"/>
          <c:tx>
            <c:strRef>
              <c:f>transformacija!$A$402</c:f>
              <c:strCache>
                <c:ptCount val="1"/>
                <c:pt idx="0">
                  <c:v>Neto migracija (užsienio)</c:v>
                </c:pt>
              </c:strCache>
            </c:strRef>
          </c:tx>
          <c:spPr>
            <a:ln xmlns:a="http://schemas.openxmlformats.org/drawingml/2006/main" w="28575" cap="rnd">
              <a:solidFill>
                <a:schemeClr val="accent3"/>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transformacija!$B$402:$O$402</c:f>
              <c:numCache>
                <c:formatCode>_-* #,##0\ _€_-;\-* #,##0\ _€_-;_-* \-??\ _€_-;_-@_-</c:formatCode>
                <c:ptCount val="14"/>
                <c:pt idx="0">
                  <c:v>-2946</c:v>
                </c:pt>
                <c:pt idx="1">
                  <c:v>-1332</c:v>
                </c:pt>
                <c:pt idx="2">
                  <c:v>-2301</c:v>
                </c:pt>
                <c:pt idx="3">
                  <c:v>-4289</c:v>
                </c:pt>
                <c:pt idx="4">
                  <c:v>-6543</c:v>
                </c:pt>
                <c:pt idx="5">
                  <c:v>-2729</c:v>
                </c:pt>
                <c:pt idx="6">
                  <c:v>-2644</c:v>
                </c:pt>
                <c:pt idx="7">
                  <c:v>-1915</c:v>
                </c:pt>
                <c:pt idx="8">
                  <c:v>-4019</c:v>
                </c:pt>
                <c:pt idx="9">
                  <c:v>-10683</c:v>
                </c:pt>
                <c:pt idx="10">
                  <c:v>-4995</c:v>
                </c:pt>
                <c:pt idx="11">
                  <c:v>-2845</c:v>
                </c:pt>
                <c:pt idx="12">
                  <c:v>-2224</c:v>
                </c:pt>
                <c:pt idx="13">
                  <c:v>-1712</c:v>
                </c:pt>
              </c:numCache>
            </c:numRef>
          </c:val>
          <c:smooth val="0"/>
        </c:ser>
        <c:ser>
          <c:idx val="3"/>
          <c:order val="3"/>
          <c:tx>
            <c:strRef>
              <c:f>transformacija!$A$403</c:f>
              <c:strCache>
                <c:ptCount val="1"/>
                <c:pt idx="0">
                  <c:v>Natūrali kaita</c:v>
                </c:pt>
              </c:strCache>
            </c:strRef>
          </c:tx>
          <c:spPr>
            <a:ln xmlns:a="http://schemas.openxmlformats.org/drawingml/2006/main" w="28575" cap="rnd">
              <a:solidFill>
                <a:schemeClr val="accent4"/>
              </a:solidFill>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transformacija!$B$403:$O$403</c:f>
              <c:numCache>
                <c:formatCode>_-* #,##0\ _€_-;\-* #,##0\ _€_-;_-* \-??\ _€_-;_-@_-</c:formatCode>
                <c:ptCount val="14"/>
                <c:pt idx="0">
                  <c:v>-922</c:v>
                </c:pt>
                <c:pt idx="1">
                  <c:v>-926</c:v>
                </c:pt>
                <c:pt idx="2">
                  <c:v>-929</c:v>
                </c:pt>
                <c:pt idx="3">
                  <c:v>-933</c:v>
                </c:pt>
                <c:pt idx="4">
                  <c:v>-983</c:v>
                </c:pt>
                <c:pt idx="5">
                  <c:v>-1212</c:v>
                </c:pt>
                <c:pt idx="6">
                  <c:v>-1062</c:v>
                </c:pt>
                <c:pt idx="7">
                  <c:v>-802</c:v>
                </c:pt>
                <c:pt idx="8">
                  <c:v>-569</c:v>
                </c:pt>
                <c:pt idx="9">
                  <c:v>-642</c:v>
                </c:pt>
                <c:pt idx="10">
                  <c:v>-731</c:v>
                </c:pt>
                <c:pt idx="11">
                  <c:v>-838</c:v>
                </c:pt>
                <c:pt idx="12">
                  <c:v>-874</c:v>
                </c:pt>
                <c:pt idx="13">
                  <c:v>-697</c:v>
                </c:pt>
              </c:numCache>
            </c:numRef>
          </c:val>
          <c:smooth val="0"/>
        </c:ser>
        <c:ser>
          <c:idx val="4"/>
          <c:order val="4"/>
          <c:tx>
            <c:strRef>
              <c:f>transformacija!$A$404</c:f>
              <c:strCache>
                <c:ptCount val="1"/>
                <c:pt idx="0">
                  <c:v>0</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transformacija!$B$399:$O$399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transformacija!$B$404:$O$404</c:f>
              <c:numCache>
                <c:formatCode>_-* #,##0\ _€_-;\-* #,##0\ _€_-;_-* \-??\ _€_-;_-@_-</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ser>
        <c:dLbls>
          <c:showLegendKey val="0"/>
          <c:showVal val="0"/>
          <c:showCatName val="0"/>
          <c:showSerName val="0"/>
          <c:showPercent val="0"/>
          <c:showBubbleSize val="0"/>
        </c:dLbls>
        <c:marker val="1"/>
        <c:smooth val="0"/>
        <c:axId val="105698432"/>
        <c:axId val="105699968"/>
      </c:lineChart>
      <c:catAx>
        <c:axId val="105698432"/>
        <c:scaling>
          <c:orientation val="minMax"/>
        </c:scaling>
        <c:delete val="0"/>
        <c:axPos val="b"/>
        <c:numFmt formatCode="General" sourceLinked="1"/>
        <c:majorTickMark val="out"/>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05699968"/>
        <c:crosses val="autoZero"/>
        <c:auto val="1"/>
        <c:lblAlgn val="ctr"/>
        <c:lblOffset val="100"/>
        <c:noMultiLvlLbl val="0"/>
      </c:catAx>
      <c:valAx>
        <c:axId val="1056999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_-* #,##0\ _€_-;\-* #,##0\ _€_-;_-* \-??\ _€_-;_-@_-" sourceLinked="1"/>
        <c:majorTickMark val="out"/>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5698432"/>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r"/>
      <c:legendEntry>
        <c:idx val="4"/>
        <c:delete val="1"/>
      </c:legendEntry>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xmlns:a="http://schemas.openxmlformats.org/drawingml/2006/main">
              <a:schemeClr val="accent1"/>
            </a:solidFill>
            <a:ln xmlns:a="http://schemas.openxmlformats.org/drawingml/2006/main">
              <a:noFill/>
            </a:ln>
            <a:effectLst xmlns:a="http://schemas.openxmlformats.org/drawingml/2006/main"/>
          </c:spPr>
          <c:invertIfNegative val="0"/>
          <c:dPt>
            <c:idx val="1"/>
            <c:invertIfNegative val="0"/>
            <c:bubble3D val="0"/>
            <c:spPr>
              <a:solidFill xmlns:a="http://schemas.openxmlformats.org/drawingml/2006/main">
                <a:srgbClr val="C0504D">
                  <a:lumMod val="75000"/>
                </a:srgbClr>
              </a:solidFill>
              <a:ln xmlns:a="http://schemas.openxmlformats.org/drawingml/2006/main">
                <a:noFill/>
              </a:ln>
              <a:effectLst xmlns:a="http://schemas.openxmlformats.org/drawingml/2006/main"/>
            </c:spPr>
          </c:dPt>
          <c:dPt>
            <c:idx val="2"/>
            <c:invertIfNegative val="0"/>
            <c:bubble3D val="0"/>
            <c:spPr>
              <a:solidFill xmlns:a="http://schemas.openxmlformats.org/drawingml/2006/main">
                <a:srgbClr val="F79646">
                  <a:lumMod val="75000"/>
                </a:srgbClr>
              </a:solidFill>
              <a:ln xmlns:a="http://schemas.openxmlformats.org/drawingml/2006/main">
                <a:noFill/>
              </a:ln>
              <a:effectLst xmlns:a="http://schemas.openxmlformats.org/drawingml/2006/main"/>
            </c:spPr>
          </c:dPt>
          <c:dPt>
            <c:idx val="3"/>
            <c:invertIfNegative val="0"/>
            <c:bubble3D val="0"/>
            <c:spPr>
              <a:solidFill xmlns:a="http://schemas.openxmlformats.org/drawingml/2006/main">
                <a:srgbClr val="1F497D">
                  <a:lumMod val="60000"/>
                  <a:lumOff val="40000"/>
                </a:srgbClr>
              </a:solidFill>
              <a:ln xmlns:a="http://schemas.openxmlformats.org/drawingml/2006/main">
                <a:noFill/>
              </a:ln>
              <a:effectLst xmlns:a="http://schemas.openxmlformats.org/drawingml/2006/main"/>
            </c:spPr>
          </c:dPt>
          <c:dPt>
            <c:idx val="4"/>
            <c:invertIfNegative val="0"/>
            <c:bubble3D val="0"/>
            <c:spPr>
              <a:solidFill xmlns:a="http://schemas.openxmlformats.org/drawingml/2006/main">
                <a:srgbClr val="1F497D">
                  <a:lumMod val="60000"/>
                  <a:lumOff val="40000"/>
                </a:srgbClr>
              </a:solidFill>
              <a:ln xmlns:a="http://schemas.openxmlformats.org/drawingml/2006/main">
                <a:noFill/>
              </a:ln>
              <a:effectLst xmlns:a="http://schemas.openxmlformats.org/drawingml/2006/main"/>
            </c:spPr>
          </c:dPt>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Statyba!$J$87:$J$97</c:f>
              <c:strCache>
                <c:ptCount val="11"/>
                <c:pt idx="0">
                  <c:v>Lietuvos Respublika</c:v>
                </c:pt>
                <c:pt idx="1">
                  <c:v>Kauno m. sav.</c:v>
                </c:pt>
                <c:pt idx="2">
                  <c:v>Kauno r. sav.</c:v>
                </c:pt>
                <c:pt idx="3">
                  <c:v>Klaipėdos m. sav.</c:v>
                </c:pt>
                <c:pt idx="4">
                  <c:v>Klaipėdos r. sav.</c:v>
                </c:pt>
                <c:pt idx="5">
                  <c:v>Panevėžio m. sav.</c:v>
                </c:pt>
                <c:pt idx="6">
                  <c:v>Panevėžio r. sav.</c:v>
                </c:pt>
                <c:pt idx="7">
                  <c:v>Šiaulių m. sav.</c:v>
                </c:pt>
                <c:pt idx="8">
                  <c:v>Šiaulių r. sav.</c:v>
                </c:pt>
                <c:pt idx="9">
                  <c:v>Vilniaus m. sav.</c:v>
                </c:pt>
                <c:pt idx="10">
                  <c:v>Vilniaus r. sav.</c:v>
                </c:pt>
              </c:strCache>
            </c:strRef>
          </c:cat>
          <c:val>
            <c:numRef>
              <c:f>Statyba!$K$87:$K$97</c:f>
              <c:numCache>
                <c:formatCode>0.0%</c:formatCode>
                <c:ptCount val="11"/>
                <c:pt idx="0">
                  <c:v>-0.16224156136596579</c:v>
                </c:pt>
                <c:pt idx="1">
                  <c:v>-0.20634122189272752</c:v>
                </c:pt>
                <c:pt idx="2">
                  <c:v>8.6306268664053193E-2</c:v>
                </c:pt>
                <c:pt idx="3">
                  <c:v>-0.19190042438670946</c:v>
                </c:pt>
                <c:pt idx="4">
                  <c:v>0.14404816041923818</c:v>
                </c:pt>
                <c:pt idx="5">
                  <c:v>-0.20537860576923078</c:v>
                </c:pt>
                <c:pt idx="6">
                  <c:v>-0.13321363615165788</c:v>
                </c:pt>
                <c:pt idx="7">
                  <c:v>-0.21982063984720066</c:v>
                </c:pt>
                <c:pt idx="8">
                  <c:v>-0.1908286029796385</c:v>
                </c:pt>
                <c:pt idx="9">
                  <c:v>-2.1027240695603855E-2</c:v>
                </c:pt>
                <c:pt idx="10">
                  <c:v>8.0549654206029928E-2</c:v>
                </c:pt>
              </c:numCache>
            </c:numRef>
          </c:val>
        </c:ser>
        <c:dLbls>
          <c:showLegendKey val="0"/>
          <c:showVal val="0"/>
          <c:showCatName val="0"/>
          <c:showSerName val="0"/>
          <c:showPercent val="0"/>
          <c:showBubbleSize val="0"/>
        </c:dLbls>
        <c:gapWidth val="219"/>
        <c:overlap val="-27"/>
        <c:axId val="113300224"/>
        <c:axId val="113301760"/>
      </c:barChart>
      <c:catAx>
        <c:axId val="11330022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3301760"/>
        <c:crosses val="autoZero"/>
        <c:auto val="1"/>
        <c:lblAlgn val="ctr"/>
        <c:lblOffset val="100"/>
        <c:noMultiLvlLbl val="0"/>
      </c:catAx>
      <c:valAx>
        <c:axId val="11330176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3300224"/>
        <c:crosses val="autoZero"/>
        <c:crossBetween val="between"/>
      </c:valAx>
      <c:spPr>
        <a:noFill xmlns:a="http://schemas.openxmlformats.org/drawingml/2006/main"/>
        <a:ln xmlns:a="http://schemas.openxmlformats.org/drawingml/2006/main">
          <a:noFill/>
        </a:ln>
        <a:effectLst xmlns:a="http://schemas.openxmlformats.org/drawingml/2006/main"/>
      </c:spPr>
    </c:plotArea>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xmlns:a="http://schemas.openxmlformats.org/drawingml/2006/main">
              <a:schemeClr val="accent1"/>
            </a:solidFill>
            <a:ln xmlns:a="http://schemas.openxmlformats.org/drawingml/2006/main">
              <a:noFill/>
            </a:ln>
            <a:effectLst xmlns:a="http://schemas.openxmlformats.org/drawingml/2006/main"/>
          </c:spPr>
          <c:invertIfNegative val="0"/>
          <c:dPt>
            <c:idx val="1"/>
            <c:invertIfNegative val="0"/>
            <c:bubble3D val="0"/>
            <c:spPr>
              <a:solidFill xmlns:a="http://schemas.openxmlformats.org/drawingml/2006/main">
                <a:srgbClr val="C0504D">
                  <a:lumMod val="75000"/>
                </a:srgbClr>
              </a:solidFill>
              <a:ln xmlns:a="http://schemas.openxmlformats.org/drawingml/2006/main">
                <a:noFill/>
              </a:ln>
              <a:effectLst xmlns:a="http://schemas.openxmlformats.org/drawingml/2006/main"/>
            </c:spPr>
          </c:dPt>
          <c:dPt>
            <c:idx val="2"/>
            <c:invertIfNegative val="0"/>
            <c:bubble3D val="0"/>
            <c:spPr>
              <a:solidFill xmlns:a="http://schemas.openxmlformats.org/drawingml/2006/main">
                <a:srgbClr val="F79646">
                  <a:lumMod val="75000"/>
                </a:srgbClr>
              </a:solidFill>
              <a:ln xmlns:a="http://schemas.openxmlformats.org/drawingml/2006/main">
                <a:noFill/>
              </a:ln>
              <a:effectLst xmlns:a="http://schemas.openxmlformats.org/drawingml/2006/main"/>
            </c:spPr>
          </c:dPt>
          <c:dPt>
            <c:idx val="3"/>
            <c:invertIfNegative val="0"/>
            <c:bubble3D val="0"/>
            <c:spPr>
              <a:solidFill xmlns:a="http://schemas.openxmlformats.org/drawingml/2006/main">
                <a:srgbClr val="1F497D">
                  <a:lumMod val="60000"/>
                  <a:lumOff val="40000"/>
                </a:srgbClr>
              </a:solidFill>
              <a:ln xmlns:a="http://schemas.openxmlformats.org/drawingml/2006/main">
                <a:noFill/>
              </a:ln>
              <a:effectLst xmlns:a="http://schemas.openxmlformats.org/drawingml/2006/main"/>
            </c:spPr>
          </c:dPt>
          <c:dPt>
            <c:idx val="4"/>
            <c:invertIfNegative val="0"/>
            <c:bubble3D val="0"/>
            <c:spPr>
              <a:solidFill xmlns:a="http://schemas.openxmlformats.org/drawingml/2006/main">
                <a:srgbClr val="1F497D">
                  <a:lumMod val="60000"/>
                  <a:lumOff val="40000"/>
                </a:srgbClr>
              </a:solidFill>
              <a:ln xmlns:a="http://schemas.openxmlformats.org/drawingml/2006/main">
                <a:noFill/>
              </a:ln>
              <a:effectLst xmlns:a="http://schemas.openxmlformats.org/drawingml/2006/main"/>
            </c:spPr>
          </c:dPt>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Statyba!$J$87:$J$97</c:f>
              <c:strCache>
                <c:ptCount val="11"/>
                <c:pt idx="0">
                  <c:v>Lietuvos Respublika</c:v>
                </c:pt>
                <c:pt idx="1">
                  <c:v>Kauno m. sav.</c:v>
                </c:pt>
                <c:pt idx="2">
                  <c:v>Kauno r. sav.</c:v>
                </c:pt>
                <c:pt idx="3">
                  <c:v>Klaipėdos m. sav.</c:v>
                </c:pt>
                <c:pt idx="4">
                  <c:v>Klaipėdos r. sav.</c:v>
                </c:pt>
                <c:pt idx="5">
                  <c:v>Panevėžio m. sav.</c:v>
                </c:pt>
                <c:pt idx="6">
                  <c:v>Panevėžio r. sav.</c:v>
                </c:pt>
                <c:pt idx="7">
                  <c:v>Šiaulių m. sav.</c:v>
                </c:pt>
                <c:pt idx="8">
                  <c:v>Šiaulių r. sav.</c:v>
                </c:pt>
                <c:pt idx="9">
                  <c:v>Vilniaus m. sav.</c:v>
                </c:pt>
                <c:pt idx="10">
                  <c:v>Vilniaus r. sav.</c:v>
                </c:pt>
              </c:strCache>
            </c:strRef>
          </c:cat>
          <c:val>
            <c:numRef>
              <c:f>Statyba!$K$87:$K$97</c:f>
              <c:numCache>
                <c:formatCode>0.0%</c:formatCode>
                <c:ptCount val="11"/>
                <c:pt idx="0">
                  <c:v>-0.16224156136596579</c:v>
                </c:pt>
                <c:pt idx="1">
                  <c:v>-0.20634122189272752</c:v>
                </c:pt>
                <c:pt idx="2">
                  <c:v>8.6306268664053193E-2</c:v>
                </c:pt>
                <c:pt idx="3">
                  <c:v>-0.19190042438670946</c:v>
                </c:pt>
                <c:pt idx="4">
                  <c:v>0.14404816041923818</c:v>
                </c:pt>
                <c:pt idx="5">
                  <c:v>-0.20537860576923078</c:v>
                </c:pt>
                <c:pt idx="6">
                  <c:v>-0.13321363615165788</c:v>
                </c:pt>
                <c:pt idx="7">
                  <c:v>-0.21982063984720066</c:v>
                </c:pt>
                <c:pt idx="8">
                  <c:v>-0.1908286029796385</c:v>
                </c:pt>
                <c:pt idx="9">
                  <c:v>-2.1027240695603855E-2</c:v>
                </c:pt>
                <c:pt idx="10">
                  <c:v>8.0549654206029928E-2</c:v>
                </c:pt>
              </c:numCache>
            </c:numRef>
          </c:val>
        </c:ser>
        <c:dLbls>
          <c:showLegendKey val="0"/>
          <c:showVal val="0"/>
          <c:showCatName val="0"/>
          <c:showSerName val="0"/>
          <c:showPercent val="0"/>
          <c:showBubbleSize val="0"/>
        </c:dLbls>
        <c:gapWidth val="219"/>
        <c:overlap val="-27"/>
        <c:axId val="117687040"/>
        <c:axId val="117688576"/>
      </c:barChart>
      <c:catAx>
        <c:axId val="11768704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688576"/>
        <c:crosses val="autoZero"/>
        <c:auto val="1"/>
        <c:lblAlgn val="ctr"/>
        <c:lblOffset val="100"/>
        <c:noMultiLvlLbl val="0"/>
      </c:catAx>
      <c:valAx>
        <c:axId val="117688576"/>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687040"/>
        <c:crosses val="autoZero"/>
        <c:crossBetween val="between"/>
      </c:valAx>
      <c:spPr>
        <a:noFill xmlns:a="http://schemas.openxmlformats.org/drawingml/2006/main"/>
        <a:ln xmlns:a="http://schemas.openxmlformats.org/drawingml/2006/main">
          <a:noFill/>
        </a:ln>
        <a:effectLst xmlns:a="http://schemas.openxmlformats.org/drawingml/2006/main"/>
      </c:spPr>
    </c:plotArea>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xmlns:a="http://schemas.openxmlformats.org/drawingml/2006/main">
              <a:schemeClr val="accent1"/>
            </a:solidFill>
            <a:ln xmlns:a="http://schemas.openxmlformats.org/drawingml/2006/main">
              <a:noFill/>
            </a:ln>
            <a:effectLst xmlns:a="http://schemas.openxmlformats.org/drawingml/2006/main"/>
          </c:spPr>
          <c:invertIfNegative val="0"/>
          <c:dPt>
            <c:idx val="1"/>
            <c:invertIfNegative val="0"/>
            <c:bubble3D val="0"/>
            <c:spPr>
              <a:solidFill xmlns:a="http://schemas.openxmlformats.org/drawingml/2006/main">
                <a:srgbClr val="C0504D">
                  <a:lumMod val="75000"/>
                </a:srgbClr>
              </a:solidFill>
              <a:ln xmlns:a="http://schemas.openxmlformats.org/drawingml/2006/main">
                <a:noFill/>
              </a:ln>
              <a:effectLst xmlns:a="http://schemas.openxmlformats.org/drawingml/2006/main"/>
            </c:spPr>
          </c:dPt>
          <c:dPt>
            <c:idx val="2"/>
            <c:invertIfNegative val="0"/>
            <c:bubble3D val="0"/>
            <c:spPr>
              <a:solidFill xmlns:a="http://schemas.openxmlformats.org/drawingml/2006/main">
                <a:srgbClr val="F79646">
                  <a:lumMod val="75000"/>
                </a:srgbClr>
              </a:solidFill>
              <a:ln xmlns:a="http://schemas.openxmlformats.org/drawingml/2006/main">
                <a:noFill/>
              </a:ln>
              <a:effectLst xmlns:a="http://schemas.openxmlformats.org/drawingml/2006/main"/>
            </c:spPr>
          </c:dPt>
          <c:dPt>
            <c:idx val="3"/>
            <c:invertIfNegative val="0"/>
            <c:bubble3D val="0"/>
            <c:spPr>
              <a:solidFill xmlns:a="http://schemas.openxmlformats.org/drawingml/2006/main">
                <a:srgbClr val="1F497D">
                  <a:lumMod val="60000"/>
                  <a:lumOff val="40000"/>
                </a:srgbClr>
              </a:solidFill>
              <a:ln xmlns:a="http://schemas.openxmlformats.org/drawingml/2006/main">
                <a:noFill/>
              </a:ln>
              <a:effectLst xmlns:a="http://schemas.openxmlformats.org/drawingml/2006/main"/>
            </c:spPr>
          </c:dPt>
          <c:dPt>
            <c:idx val="4"/>
            <c:invertIfNegative val="0"/>
            <c:bubble3D val="0"/>
            <c:spPr>
              <a:solidFill xmlns:a="http://schemas.openxmlformats.org/drawingml/2006/main">
                <a:srgbClr val="1F497D">
                  <a:lumMod val="60000"/>
                  <a:lumOff val="40000"/>
                </a:srgbClr>
              </a:solidFill>
              <a:ln xmlns:a="http://schemas.openxmlformats.org/drawingml/2006/main">
                <a:noFill/>
              </a:ln>
              <a:effectLst xmlns:a="http://schemas.openxmlformats.org/drawingml/2006/main"/>
            </c:spPr>
          </c:dPt>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Statyba!$J$87:$J$97</c:f>
              <c:strCache>
                <c:ptCount val="11"/>
                <c:pt idx="0">
                  <c:v>Lietuvos Respublika</c:v>
                </c:pt>
                <c:pt idx="1">
                  <c:v>Kauno m. sav.</c:v>
                </c:pt>
                <c:pt idx="2">
                  <c:v>Kauno r. sav.</c:v>
                </c:pt>
                <c:pt idx="3">
                  <c:v>Klaipėdos m. sav.</c:v>
                </c:pt>
                <c:pt idx="4">
                  <c:v>Klaipėdos r. sav.</c:v>
                </c:pt>
                <c:pt idx="5">
                  <c:v>Panevėžio m. sav.</c:v>
                </c:pt>
                <c:pt idx="6">
                  <c:v>Panevėžio r. sav.</c:v>
                </c:pt>
                <c:pt idx="7">
                  <c:v>Šiaulių m. sav.</c:v>
                </c:pt>
                <c:pt idx="8">
                  <c:v>Šiaulių r. sav.</c:v>
                </c:pt>
                <c:pt idx="9">
                  <c:v>Vilniaus m. sav.</c:v>
                </c:pt>
                <c:pt idx="10">
                  <c:v>Vilniaus r. sav.</c:v>
                </c:pt>
              </c:strCache>
            </c:strRef>
          </c:cat>
          <c:val>
            <c:numRef>
              <c:f>Statyba!$K$87:$K$97</c:f>
              <c:numCache>
                <c:formatCode>0.0%</c:formatCode>
                <c:ptCount val="11"/>
                <c:pt idx="0">
                  <c:v>-0.16224156136596579</c:v>
                </c:pt>
                <c:pt idx="1">
                  <c:v>-0.20634122189272752</c:v>
                </c:pt>
                <c:pt idx="2">
                  <c:v>8.6306268664053193E-2</c:v>
                </c:pt>
                <c:pt idx="3">
                  <c:v>-0.19190042438670946</c:v>
                </c:pt>
                <c:pt idx="4">
                  <c:v>0.14404816041923818</c:v>
                </c:pt>
                <c:pt idx="5">
                  <c:v>-0.20537860576923078</c:v>
                </c:pt>
                <c:pt idx="6">
                  <c:v>-0.13321363615165788</c:v>
                </c:pt>
                <c:pt idx="7">
                  <c:v>-0.21982063984720066</c:v>
                </c:pt>
                <c:pt idx="8">
                  <c:v>-0.1908286029796385</c:v>
                </c:pt>
                <c:pt idx="9">
                  <c:v>-2.1027240695603855E-2</c:v>
                </c:pt>
                <c:pt idx="10">
                  <c:v>8.0549654206029928E-2</c:v>
                </c:pt>
              </c:numCache>
            </c:numRef>
          </c:val>
        </c:ser>
        <c:dLbls>
          <c:showLegendKey val="0"/>
          <c:showVal val="0"/>
          <c:showCatName val="0"/>
          <c:showSerName val="0"/>
          <c:showPercent val="0"/>
          <c:showBubbleSize val="0"/>
        </c:dLbls>
        <c:gapWidth val="219"/>
        <c:overlap val="-27"/>
        <c:axId val="107467904"/>
        <c:axId val="107469440"/>
      </c:barChart>
      <c:catAx>
        <c:axId val="10746790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7469440"/>
        <c:crosses val="autoZero"/>
        <c:auto val="1"/>
        <c:lblAlgn val="ctr"/>
        <c:lblOffset val="100"/>
        <c:noMultiLvlLbl val="0"/>
      </c:catAx>
      <c:valAx>
        <c:axId val="10746944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7467904"/>
        <c:crosses val="autoZero"/>
        <c:crossBetween val="between"/>
      </c:valAx>
      <c:spPr>
        <a:noFill xmlns:a="http://schemas.openxmlformats.org/drawingml/2006/main"/>
        <a:ln xmlns:a="http://schemas.openxmlformats.org/drawingml/2006/main">
          <a:noFill/>
        </a:ln>
        <a:effectLst xmlns:a="http://schemas.openxmlformats.org/drawingml/2006/main"/>
      </c:spPr>
    </c:plotArea>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transformacija!$B$361</c:f>
              <c:strCache>
                <c:ptCount val="1"/>
                <c:pt idx="0">
                  <c:v>Migrantai iš kitų vietovių</c:v>
                </c:pt>
              </c:strCache>
            </c:strRef>
          </c:tx>
          <c:spPr>
            <a:solidFill xmlns:a="http://schemas.openxmlformats.org/drawingml/2006/main">
              <a:schemeClr val="accent1"/>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transformacija!$B$362:$B$371</c:f>
              <c:numCache>
                <c:formatCode>0\ %</c:formatCode>
                <c:ptCount val="10"/>
                <c:pt idx="0">
                  <c:v>0.15311925232125773</c:v>
                </c:pt>
                <c:pt idx="1">
                  <c:v>0.16545165791183558</c:v>
                </c:pt>
                <c:pt idx="2">
                  <c:v>0.18743793445410376</c:v>
                </c:pt>
                <c:pt idx="3">
                  <c:v>0.22243917115411127</c:v>
                </c:pt>
                <c:pt idx="4">
                  <c:v>0.15827681199141319</c:v>
                </c:pt>
                <c:pt idx="5">
                  <c:v>0.1703137734447468</c:v>
                </c:pt>
                <c:pt idx="6">
                  <c:v>0.19704820568875053</c:v>
                </c:pt>
                <c:pt idx="7">
                  <c:v>0.17719831306034878</c:v>
                </c:pt>
                <c:pt idx="8">
                  <c:v>0.17928986373620412</c:v>
                </c:pt>
                <c:pt idx="9">
                  <c:v>0.13322498908752867</c:v>
                </c:pt>
              </c:numCache>
            </c:numRef>
          </c:val>
        </c:ser>
        <c:ser>
          <c:idx val="1"/>
          <c:order val="1"/>
          <c:tx>
            <c:strRef>
              <c:f>transformacija!$C$361</c:f>
              <c:strCache>
                <c:ptCount val="1"/>
                <c:pt idx="0">
                  <c:v>Migrantai (miestas/priemiestis)</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transformacija!$C$362:$C$371</c:f>
              <c:numCache>
                <c:formatCode>0\ %</c:formatCode>
                <c:ptCount val="10"/>
                <c:pt idx="0">
                  <c:v>2.3985343705140799E-2</c:v>
                </c:pt>
                <c:pt idx="1">
                  <c:v>0.17908201340824359</c:v>
                </c:pt>
                <c:pt idx="2">
                  <c:v>2.7475862824679467E-2</c:v>
                </c:pt>
                <c:pt idx="3">
                  <c:v>0.18476849043311003</c:v>
                </c:pt>
                <c:pt idx="4">
                  <c:v>2.7116062556833846E-2</c:v>
                </c:pt>
                <c:pt idx="5">
                  <c:v>0.13373140073826376</c:v>
                </c:pt>
                <c:pt idx="6">
                  <c:v>2.9194056154047292E-2</c:v>
                </c:pt>
                <c:pt idx="7">
                  <c:v>0.12153052435644694</c:v>
                </c:pt>
                <c:pt idx="8">
                  <c:v>2.7630355189498568E-2</c:v>
                </c:pt>
                <c:pt idx="9">
                  <c:v>0.18155827555432738</c:v>
                </c:pt>
              </c:numCache>
            </c:numRef>
          </c:val>
        </c:ser>
        <c:ser>
          <c:idx val="2"/>
          <c:order val="2"/>
          <c:tx>
            <c:strRef>
              <c:f>transformacija!$D$361</c:f>
              <c:strCache>
                <c:ptCount val="1"/>
                <c:pt idx="0">
                  <c:v>Imigrantai (įskaitant grįžtančius)</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transformacija!$D$362:$D$371</c:f>
              <c:numCache>
                <c:formatCode>0\ %</c:formatCode>
                <c:ptCount val="10"/>
                <c:pt idx="0">
                  <c:v>4.1983027803298927E-2</c:v>
                </c:pt>
                <c:pt idx="1">
                  <c:v>3.2201726453022161E-2</c:v>
                </c:pt>
                <c:pt idx="2">
                  <c:v>5.9848956658771012E-2</c:v>
                </c:pt>
                <c:pt idx="3">
                  <c:v>2.8105247305610807E-2</c:v>
                </c:pt>
                <c:pt idx="4">
                  <c:v>3.1909086277462022E-2</c:v>
                </c:pt>
                <c:pt idx="5">
                  <c:v>2.0515319749197094E-2</c:v>
                </c:pt>
                <c:pt idx="6">
                  <c:v>6.1877124334263608E-2</c:v>
                </c:pt>
                <c:pt idx="7">
                  <c:v>3.7821313582116441E-2</c:v>
                </c:pt>
                <c:pt idx="8">
                  <c:v>5.2027646756983854E-2</c:v>
                </c:pt>
                <c:pt idx="9">
                  <c:v>2.8414432204117032E-2</c:v>
                </c:pt>
              </c:numCache>
            </c:numRef>
          </c:val>
        </c:ser>
        <c:ser>
          <c:idx val="3"/>
          <c:order val="3"/>
          <c:tx>
            <c:strRef>
              <c:f>transformacija!$E$361</c:f>
              <c:strCache>
                <c:ptCount val="1"/>
                <c:pt idx="0">
                  <c:v>Gimę vaikai</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transformacija!$E$362:$E$371</c:f>
              <c:numCache>
                <c:formatCode>0\ %</c:formatCode>
                <c:ptCount val="10"/>
                <c:pt idx="0">
                  <c:v>0.13258715069393304</c:v>
                </c:pt>
                <c:pt idx="1">
                  <c:v>0.11737019563180469</c:v>
                </c:pt>
                <c:pt idx="2">
                  <c:v>0.13969745929274618</c:v>
                </c:pt>
                <c:pt idx="3">
                  <c:v>0.12235773338455123</c:v>
                </c:pt>
                <c:pt idx="4">
                  <c:v>0.11893744496723212</c:v>
                </c:pt>
                <c:pt idx="5">
                  <c:v>0.12443656755357338</c:v>
                </c:pt>
                <c:pt idx="6">
                  <c:v>0.12850712528943678</c:v>
                </c:pt>
                <c:pt idx="7">
                  <c:v>0.11902003251073949</c:v>
                </c:pt>
                <c:pt idx="8">
                  <c:v>0.13868333962607415</c:v>
                </c:pt>
                <c:pt idx="9">
                  <c:v>0.12858117993030405</c:v>
                </c:pt>
              </c:numCache>
            </c:numRef>
          </c:val>
        </c:ser>
        <c:ser>
          <c:idx val="4"/>
          <c:order val="4"/>
          <c:tx>
            <c:strRef>
              <c:f>transformacija!$F$361</c:f>
              <c:strCache>
                <c:ptCount val="1"/>
                <c:pt idx="0">
                  <c:v>Gyventojai, gyvenę ir iki 2001 m.</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transformacija!$F$362:$F$371</c:f>
              <c:numCache>
                <c:formatCode>0\ %</c:formatCode>
                <c:ptCount val="10"/>
                <c:pt idx="0">
                  <c:v>0.64832522547636962</c:v>
                </c:pt>
                <c:pt idx="1">
                  <c:v>0.50589440659509399</c:v>
                </c:pt>
                <c:pt idx="2">
                  <c:v>0.58553978676969953</c:v>
                </c:pt>
                <c:pt idx="3">
                  <c:v>0.44232935772261661</c:v>
                </c:pt>
                <c:pt idx="4">
                  <c:v>0.6637605942070588</c:v>
                </c:pt>
                <c:pt idx="5">
                  <c:v>0.551002938514219</c:v>
                </c:pt>
                <c:pt idx="6">
                  <c:v>0.58337348853350179</c:v>
                </c:pt>
                <c:pt idx="7">
                  <c:v>0.54442981649034827</c:v>
                </c:pt>
                <c:pt idx="8">
                  <c:v>0.60236879469123927</c:v>
                </c:pt>
                <c:pt idx="9">
                  <c:v>0.52822112322372294</c:v>
                </c:pt>
              </c:numCache>
            </c:numRef>
          </c:val>
        </c:ser>
        <c:dLbls>
          <c:showLegendKey val="0"/>
          <c:showVal val="0"/>
          <c:showCatName val="0"/>
          <c:showSerName val="0"/>
          <c:showPercent val="0"/>
          <c:showBubbleSize val="0"/>
        </c:dLbls>
        <c:gapWidth val="219"/>
        <c:overlap val="-27"/>
        <c:axId val="117266688"/>
        <c:axId val="117297152"/>
      </c:barChart>
      <c:catAx>
        <c:axId val="117266688"/>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297152"/>
        <c:crosses val="autoZero"/>
        <c:auto val="1"/>
        <c:lblAlgn val="ctr"/>
        <c:lblOffset val="100"/>
        <c:noMultiLvlLbl val="0"/>
      </c:catAx>
      <c:valAx>
        <c:axId val="11729715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266688"/>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transformacija!$B$361</c:f>
              <c:strCache>
                <c:ptCount val="1"/>
                <c:pt idx="0">
                  <c:v>Migrantai iš kitų vietovių</c:v>
                </c:pt>
              </c:strCache>
            </c:strRef>
          </c:tx>
          <c:spPr>
            <a:solidFill xmlns:a="http://schemas.openxmlformats.org/drawingml/2006/main">
              <a:schemeClr val="accent1"/>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transformacija!$B$362:$B$371</c:f>
              <c:numCache>
                <c:formatCode>0\ %</c:formatCode>
                <c:ptCount val="10"/>
                <c:pt idx="0">
                  <c:v>0.15311925232125773</c:v>
                </c:pt>
                <c:pt idx="1">
                  <c:v>0.16545165791183558</c:v>
                </c:pt>
                <c:pt idx="2">
                  <c:v>0.18743793445410376</c:v>
                </c:pt>
                <c:pt idx="3">
                  <c:v>0.22243917115411127</c:v>
                </c:pt>
                <c:pt idx="4">
                  <c:v>0.15827681199141319</c:v>
                </c:pt>
                <c:pt idx="5">
                  <c:v>0.1703137734447468</c:v>
                </c:pt>
                <c:pt idx="6">
                  <c:v>0.19704820568875053</c:v>
                </c:pt>
                <c:pt idx="7">
                  <c:v>0.17719831306034878</c:v>
                </c:pt>
                <c:pt idx="8">
                  <c:v>0.17928986373620412</c:v>
                </c:pt>
                <c:pt idx="9">
                  <c:v>0.13322498908752867</c:v>
                </c:pt>
              </c:numCache>
            </c:numRef>
          </c:val>
        </c:ser>
        <c:ser>
          <c:idx val="1"/>
          <c:order val="1"/>
          <c:tx>
            <c:strRef>
              <c:f>transformacija!$C$361</c:f>
              <c:strCache>
                <c:ptCount val="1"/>
                <c:pt idx="0">
                  <c:v>Migrantai (miestas/priemiestis)</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transformacija!$C$362:$C$371</c:f>
              <c:numCache>
                <c:formatCode>0\ %</c:formatCode>
                <c:ptCount val="10"/>
                <c:pt idx="0">
                  <c:v>2.3985343705140799E-2</c:v>
                </c:pt>
                <c:pt idx="1">
                  <c:v>0.17908201340824359</c:v>
                </c:pt>
                <c:pt idx="2">
                  <c:v>2.7475862824679467E-2</c:v>
                </c:pt>
                <c:pt idx="3">
                  <c:v>0.18476849043311003</c:v>
                </c:pt>
                <c:pt idx="4">
                  <c:v>2.7116062556833846E-2</c:v>
                </c:pt>
                <c:pt idx="5">
                  <c:v>0.13373140073826376</c:v>
                </c:pt>
                <c:pt idx="6">
                  <c:v>2.9194056154047292E-2</c:v>
                </c:pt>
                <c:pt idx="7">
                  <c:v>0.12153052435644694</c:v>
                </c:pt>
                <c:pt idx="8">
                  <c:v>2.7630355189498568E-2</c:v>
                </c:pt>
                <c:pt idx="9">
                  <c:v>0.18155827555432738</c:v>
                </c:pt>
              </c:numCache>
            </c:numRef>
          </c:val>
        </c:ser>
        <c:ser>
          <c:idx val="2"/>
          <c:order val="2"/>
          <c:tx>
            <c:strRef>
              <c:f>transformacija!$D$361</c:f>
              <c:strCache>
                <c:ptCount val="1"/>
                <c:pt idx="0">
                  <c:v>Imigrantai (įskaitant grįžtančius)</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transformacija!$D$362:$D$371</c:f>
              <c:numCache>
                <c:formatCode>0\ %</c:formatCode>
                <c:ptCount val="10"/>
                <c:pt idx="0">
                  <c:v>4.1983027803298927E-2</c:v>
                </c:pt>
                <c:pt idx="1">
                  <c:v>3.2201726453022161E-2</c:v>
                </c:pt>
                <c:pt idx="2">
                  <c:v>5.9848956658771012E-2</c:v>
                </c:pt>
                <c:pt idx="3">
                  <c:v>2.8105247305610807E-2</c:v>
                </c:pt>
                <c:pt idx="4">
                  <c:v>3.1909086277462022E-2</c:v>
                </c:pt>
                <c:pt idx="5">
                  <c:v>2.0515319749197094E-2</c:v>
                </c:pt>
                <c:pt idx="6">
                  <c:v>6.1877124334263608E-2</c:v>
                </c:pt>
                <c:pt idx="7">
                  <c:v>3.7821313582116441E-2</c:v>
                </c:pt>
                <c:pt idx="8">
                  <c:v>5.2027646756983854E-2</c:v>
                </c:pt>
                <c:pt idx="9">
                  <c:v>2.8414432204117032E-2</c:v>
                </c:pt>
              </c:numCache>
            </c:numRef>
          </c:val>
        </c:ser>
        <c:ser>
          <c:idx val="3"/>
          <c:order val="3"/>
          <c:tx>
            <c:strRef>
              <c:f>transformacija!$E$361</c:f>
              <c:strCache>
                <c:ptCount val="1"/>
                <c:pt idx="0">
                  <c:v>Gimę vaikai</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transformacija!$E$362:$E$371</c:f>
              <c:numCache>
                <c:formatCode>0\ %</c:formatCode>
                <c:ptCount val="10"/>
                <c:pt idx="0">
                  <c:v>0.13258715069393304</c:v>
                </c:pt>
                <c:pt idx="1">
                  <c:v>0.11737019563180469</c:v>
                </c:pt>
                <c:pt idx="2">
                  <c:v>0.13969745929274618</c:v>
                </c:pt>
                <c:pt idx="3">
                  <c:v>0.12235773338455123</c:v>
                </c:pt>
                <c:pt idx="4">
                  <c:v>0.11893744496723212</c:v>
                </c:pt>
                <c:pt idx="5">
                  <c:v>0.12443656755357338</c:v>
                </c:pt>
                <c:pt idx="6">
                  <c:v>0.12850712528943678</c:v>
                </c:pt>
                <c:pt idx="7">
                  <c:v>0.11902003251073949</c:v>
                </c:pt>
                <c:pt idx="8">
                  <c:v>0.13868333962607415</c:v>
                </c:pt>
                <c:pt idx="9">
                  <c:v>0.12858117993030405</c:v>
                </c:pt>
              </c:numCache>
            </c:numRef>
          </c:val>
        </c:ser>
        <c:ser>
          <c:idx val="4"/>
          <c:order val="4"/>
          <c:tx>
            <c:strRef>
              <c:f>transformacija!$F$361</c:f>
              <c:strCache>
                <c:ptCount val="1"/>
                <c:pt idx="0">
                  <c:v>Gyventojai, gyvenę ir iki 2001 m.</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transformacija!$F$362:$F$371</c:f>
              <c:numCache>
                <c:formatCode>0\ %</c:formatCode>
                <c:ptCount val="10"/>
                <c:pt idx="0">
                  <c:v>0.64832522547636962</c:v>
                </c:pt>
                <c:pt idx="1">
                  <c:v>0.50589440659509399</c:v>
                </c:pt>
                <c:pt idx="2">
                  <c:v>0.58553978676969953</c:v>
                </c:pt>
                <c:pt idx="3">
                  <c:v>0.44232935772261661</c:v>
                </c:pt>
                <c:pt idx="4">
                  <c:v>0.6637605942070588</c:v>
                </c:pt>
                <c:pt idx="5">
                  <c:v>0.551002938514219</c:v>
                </c:pt>
                <c:pt idx="6">
                  <c:v>0.58337348853350179</c:v>
                </c:pt>
                <c:pt idx="7">
                  <c:v>0.54442981649034827</c:v>
                </c:pt>
                <c:pt idx="8">
                  <c:v>0.60236879469123927</c:v>
                </c:pt>
                <c:pt idx="9">
                  <c:v>0.52822112322372294</c:v>
                </c:pt>
              </c:numCache>
            </c:numRef>
          </c:val>
        </c:ser>
        <c:dLbls>
          <c:showLegendKey val="0"/>
          <c:showVal val="0"/>
          <c:showCatName val="0"/>
          <c:showSerName val="0"/>
          <c:showPercent val="0"/>
          <c:showBubbleSize val="0"/>
        </c:dLbls>
        <c:gapWidth val="219"/>
        <c:overlap val="-27"/>
        <c:axId val="119503488"/>
        <c:axId val="119529856"/>
      </c:barChart>
      <c:catAx>
        <c:axId val="119503488"/>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9529856"/>
        <c:crosses val="autoZero"/>
        <c:auto val="1"/>
        <c:lblAlgn val="ctr"/>
        <c:lblOffset val="100"/>
        <c:noMultiLvlLbl val="0"/>
      </c:catAx>
      <c:valAx>
        <c:axId val="119529856"/>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9503488"/>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transformacija!$B$361</c:f>
              <c:strCache>
                <c:ptCount val="1"/>
                <c:pt idx="0">
                  <c:v>Migrantai iš kitų vietovių</c:v>
                </c:pt>
              </c:strCache>
            </c:strRef>
          </c:tx>
          <c:spPr>
            <a:solidFill xmlns:a="http://schemas.openxmlformats.org/drawingml/2006/main">
              <a:schemeClr val="accent1"/>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transformacija!$B$362:$B$371</c:f>
              <c:numCache>
                <c:formatCode>0\ %</c:formatCode>
                <c:ptCount val="10"/>
                <c:pt idx="0">
                  <c:v>0.15311925232125773</c:v>
                </c:pt>
                <c:pt idx="1">
                  <c:v>0.16545165791183558</c:v>
                </c:pt>
                <c:pt idx="2">
                  <c:v>0.18743793445410376</c:v>
                </c:pt>
                <c:pt idx="3">
                  <c:v>0.22243917115411127</c:v>
                </c:pt>
                <c:pt idx="4">
                  <c:v>0.15827681199141319</c:v>
                </c:pt>
                <c:pt idx="5">
                  <c:v>0.1703137734447468</c:v>
                </c:pt>
                <c:pt idx="6">
                  <c:v>0.19704820568875053</c:v>
                </c:pt>
                <c:pt idx="7">
                  <c:v>0.17719831306034878</c:v>
                </c:pt>
                <c:pt idx="8">
                  <c:v>0.17928986373620412</c:v>
                </c:pt>
                <c:pt idx="9">
                  <c:v>0.13322498908752867</c:v>
                </c:pt>
              </c:numCache>
            </c:numRef>
          </c:val>
        </c:ser>
        <c:ser>
          <c:idx val="1"/>
          <c:order val="1"/>
          <c:tx>
            <c:strRef>
              <c:f>transformacija!$C$361</c:f>
              <c:strCache>
                <c:ptCount val="1"/>
                <c:pt idx="0">
                  <c:v>Migrantai (miestas/priemiestis)</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transformacija!$C$362:$C$371</c:f>
              <c:numCache>
                <c:formatCode>0\ %</c:formatCode>
                <c:ptCount val="10"/>
                <c:pt idx="0">
                  <c:v>2.3985343705140799E-2</c:v>
                </c:pt>
                <c:pt idx="1">
                  <c:v>0.17908201340824359</c:v>
                </c:pt>
                <c:pt idx="2">
                  <c:v>2.7475862824679467E-2</c:v>
                </c:pt>
                <c:pt idx="3">
                  <c:v>0.18476849043311003</c:v>
                </c:pt>
                <c:pt idx="4">
                  <c:v>2.7116062556833846E-2</c:v>
                </c:pt>
                <c:pt idx="5">
                  <c:v>0.13373140073826376</c:v>
                </c:pt>
                <c:pt idx="6">
                  <c:v>2.9194056154047292E-2</c:v>
                </c:pt>
                <c:pt idx="7">
                  <c:v>0.12153052435644694</c:v>
                </c:pt>
                <c:pt idx="8">
                  <c:v>2.7630355189498568E-2</c:v>
                </c:pt>
                <c:pt idx="9">
                  <c:v>0.18155827555432738</c:v>
                </c:pt>
              </c:numCache>
            </c:numRef>
          </c:val>
        </c:ser>
        <c:ser>
          <c:idx val="2"/>
          <c:order val="2"/>
          <c:tx>
            <c:strRef>
              <c:f>transformacija!$D$361</c:f>
              <c:strCache>
                <c:ptCount val="1"/>
                <c:pt idx="0">
                  <c:v>Imigrantai (įskaitant grįžtančius)</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transformacija!$D$362:$D$371</c:f>
              <c:numCache>
                <c:formatCode>0\ %</c:formatCode>
                <c:ptCount val="10"/>
                <c:pt idx="0">
                  <c:v>4.1983027803298927E-2</c:v>
                </c:pt>
                <c:pt idx="1">
                  <c:v>3.2201726453022161E-2</c:v>
                </c:pt>
                <c:pt idx="2">
                  <c:v>5.9848956658771012E-2</c:v>
                </c:pt>
                <c:pt idx="3">
                  <c:v>2.8105247305610807E-2</c:v>
                </c:pt>
                <c:pt idx="4">
                  <c:v>3.1909086277462022E-2</c:v>
                </c:pt>
                <c:pt idx="5">
                  <c:v>2.0515319749197094E-2</c:v>
                </c:pt>
                <c:pt idx="6">
                  <c:v>6.1877124334263608E-2</c:v>
                </c:pt>
                <c:pt idx="7">
                  <c:v>3.7821313582116441E-2</c:v>
                </c:pt>
                <c:pt idx="8">
                  <c:v>5.2027646756983854E-2</c:v>
                </c:pt>
                <c:pt idx="9">
                  <c:v>2.8414432204117032E-2</c:v>
                </c:pt>
              </c:numCache>
            </c:numRef>
          </c:val>
        </c:ser>
        <c:ser>
          <c:idx val="3"/>
          <c:order val="3"/>
          <c:tx>
            <c:strRef>
              <c:f>transformacija!$E$361</c:f>
              <c:strCache>
                <c:ptCount val="1"/>
                <c:pt idx="0">
                  <c:v>Gimę vaikai</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transformacija!$E$362:$E$371</c:f>
              <c:numCache>
                <c:formatCode>0\ %</c:formatCode>
                <c:ptCount val="10"/>
                <c:pt idx="0">
                  <c:v>0.13258715069393304</c:v>
                </c:pt>
                <c:pt idx="1">
                  <c:v>0.11737019563180469</c:v>
                </c:pt>
                <c:pt idx="2">
                  <c:v>0.13969745929274618</c:v>
                </c:pt>
                <c:pt idx="3">
                  <c:v>0.12235773338455123</c:v>
                </c:pt>
                <c:pt idx="4">
                  <c:v>0.11893744496723212</c:v>
                </c:pt>
                <c:pt idx="5">
                  <c:v>0.12443656755357338</c:v>
                </c:pt>
                <c:pt idx="6">
                  <c:v>0.12850712528943678</c:v>
                </c:pt>
                <c:pt idx="7">
                  <c:v>0.11902003251073949</c:v>
                </c:pt>
                <c:pt idx="8">
                  <c:v>0.13868333962607415</c:v>
                </c:pt>
                <c:pt idx="9">
                  <c:v>0.12858117993030405</c:v>
                </c:pt>
              </c:numCache>
            </c:numRef>
          </c:val>
        </c:ser>
        <c:ser>
          <c:idx val="4"/>
          <c:order val="4"/>
          <c:tx>
            <c:strRef>
              <c:f>transformacija!$F$361</c:f>
              <c:strCache>
                <c:ptCount val="1"/>
                <c:pt idx="0">
                  <c:v>Gyventojai, gyvenę ir iki 2001 m.</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transformacija!$F$362:$F$371</c:f>
              <c:numCache>
                <c:formatCode>0\ %</c:formatCode>
                <c:ptCount val="10"/>
                <c:pt idx="0">
                  <c:v>0.64832522547636962</c:v>
                </c:pt>
                <c:pt idx="1">
                  <c:v>0.50589440659509399</c:v>
                </c:pt>
                <c:pt idx="2">
                  <c:v>0.58553978676969953</c:v>
                </c:pt>
                <c:pt idx="3">
                  <c:v>0.44232935772261661</c:v>
                </c:pt>
                <c:pt idx="4">
                  <c:v>0.6637605942070588</c:v>
                </c:pt>
                <c:pt idx="5">
                  <c:v>0.551002938514219</c:v>
                </c:pt>
                <c:pt idx="6">
                  <c:v>0.58337348853350179</c:v>
                </c:pt>
                <c:pt idx="7">
                  <c:v>0.54442981649034827</c:v>
                </c:pt>
                <c:pt idx="8">
                  <c:v>0.60236879469123927</c:v>
                </c:pt>
                <c:pt idx="9">
                  <c:v>0.52822112322372294</c:v>
                </c:pt>
              </c:numCache>
            </c:numRef>
          </c:val>
        </c:ser>
        <c:dLbls>
          <c:showLegendKey val="0"/>
          <c:showVal val="0"/>
          <c:showCatName val="0"/>
          <c:showSerName val="0"/>
          <c:showPercent val="0"/>
          <c:showBubbleSize val="0"/>
        </c:dLbls>
        <c:gapWidth val="219"/>
        <c:overlap val="-27"/>
        <c:axId val="112351872"/>
        <c:axId val="112378240"/>
      </c:barChart>
      <c:catAx>
        <c:axId val="11235187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2378240"/>
        <c:crosses val="autoZero"/>
        <c:auto val="1"/>
        <c:lblAlgn val="ctr"/>
        <c:lblOffset val="100"/>
        <c:noMultiLvlLbl val="0"/>
      </c:catAx>
      <c:valAx>
        <c:axId val="11237824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2351872"/>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'įmonių dirbantieji'!$D$20</c:f>
              <c:strCache>
                <c:ptCount val="1"/>
                <c:pt idx="0">
                  <c:v>Lietuvos Respublika</c:v>
                </c:pt>
              </c:strCache>
            </c:strRef>
          </c:tx>
          <c:spPr>
            <a:ln xmlns:a="http://schemas.openxmlformats.org/drawingml/2006/main" w="28575" cap="rnd">
              <a:solidFill>
                <a:schemeClr val="accent1"/>
              </a:solidFill>
              <a:round/>
            </a:ln>
            <a:effectLst xmlns:a="http://schemas.openxmlformats.org/drawingml/2006/main"/>
          </c:spPr>
          <c:marker>
            <c:symbol val="none"/>
          </c:marker>
          <c:cat>
            <c:strRef>
              <c:f>'įmonių dirbantieji'!$E$19:$Q$19</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dirbantieji'!$E$20:$Q$20</c:f>
              <c:numCache>
                <c:formatCode>0\ %</c:formatCode>
                <c:ptCount val="13"/>
                <c:pt idx="0">
                  <c:v>1.343427866091855E-2</c:v>
                </c:pt>
                <c:pt idx="1">
                  <c:v>0.21472150287495062</c:v>
                </c:pt>
                <c:pt idx="2">
                  <c:v>2.8694908377341684E-2</c:v>
                </c:pt>
                <c:pt idx="3">
                  <c:v>0.10335369868205112</c:v>
                </c:pt>
                <c:pt idx="4">
                  <c:v>0.26265947117180866</c:v>
                </c:pt>
                <c:pt idx="5">
                  <c:v>0.11641756851225186</c:v>
                </c:pt>
                <c:pt idx="6">
                  <c:v>4.2122763763739114E-2</c:v>
                </c:pt>
                <c:pt idx="7">
                  <c:v>2.8266690075933812E-2</c:v>
                </c:pt>
                <c:pt idx="8">
                  <c:v>2.1989009777294368E-2</c:v>
                </c:pt>
                <c:pt idx="9">
                  <c:v>5.7203541793570942E-2</c:v>
                </c:pt>
                <c:pt idx="10">
                  <c:v>5.1271647773318357E-2</c:v>
                </c:pt>
                <c:pt idx="11">
                  <c:v>3.1862653262006435E-2</c:v>
                </c:pt>
                <c:pt idx="12">
                  <c:v>2.8002265274814447E-2</c:v>
                </c:pt>
              </c:numCache>
            </c:numRef>
          </c:val>
          <c:smooth val="0"/>
        </c:ser>
        <c:ser>
          <c:idx val="1"/>
          <c:order val="1"/>
          <c:tx>
            <c:strRef>
              <c:f>'įmonių dirbantieji'!$D$21</c:f>
              <c:strCache>
                <c:ptCount val="1"/>
                <c:pt idx="0">
                  <c:v>Kauno regionas</c:v>
                </c:pt>
              </c:strCache>
            </c:strRef>
          </c:tx>
          <c:spPr>
            <a:ln xmlns:a="http://schemas.openxmlformats.org/drawingml/2006/main" w="28575" cap="rnd">
              <a:solidFill>
                <a:schemeClr val="accent2"/>
              </a:solidFill>
              <a:round/>
            </a:ln>
            <a:effectLst xmlns:a="http://schemas.openxmlformats.org/drawingml/2006/main"/>
          </c:spPr>
          <c:marker>
            <c:symbol val="none"/>
          </c:marker>
          <c:cat>
            <c:strRef>
              <c:f>'įmonių dirbantieji'!$E$19:$Q$19</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dirbantieji'!$E$21:$Q$21</c:f>
              <c:numCache>
                <c:formatCode>0\ %</c:formatCode>
                <c:ptCount val="13"/>
                <c:pt idx="0">
                  <c:v>1.2667794023016028E-2</c:v>
                </c:pt>
                <c:pt idx="1">
                  <c:v>0.24739725463139359</c:v>
                </c:pt>
                <c:pt idx="2">
                  <c:v>2.5502270644327509E-2</c:v>
                </c:pt>
                <c:pt idx="3">
                  <c:v>0.10224078097807618</c:v>
                </c:pt>
                <c:pt idx="4">
                  <c:v>0.2838923271787373</c:v>
                </c:pt>
                <c:pt idx="5">
                  <c:v>9.5197149594785244E-2</c:v>
                </c:pt>
                <c:pt idx="6">
                  <c:v>4.0011739385638817E-2</c:v>
                </c:pt>
                <c:pt idx="7">
                  <c:v>2.3906126105716258E-2</c:v>
                </c:pt>
                <c:pt idx="8">
                  <c:v>1.930820006384578E-2</c:v>
                </c:pt>
                <c:pt idx="9">
                  <c:v>5.15451708904427E-2</c:v>
                </c:pt>
                <c:pt idx="10">
                  <c:v>4.0650197201083316E-2</c:v>
                </c:pt>
                <c:pt idx="11">
                  <c:v>3.4188386246382929E-2</c:v>
                </c:pt>
                <c:pt idx="12">
                  <c:v>2.7443388357412803E-2</c:v>
                </c:pt>
              </c:numCache>
            </c:numRef>
          </c:val>
          <c:smooth val="0"/>
        </c:ser>
        <c:dLbls>
          <c:showLegendKey val="0"/>
          <c:showVal val="0"/>
          <c:showCatName val="0"/>
          <c:showSerName val="0"/>
          <c:showPercent val="0"/>
          <c:showBubbleSize val="0"/>
        </c:dLbls>
        <c:marker val="1"/>
        <c:smooth val="0"/>
        <c:axId val="117735808"/>
        <c:axId val="117737344"/>
      </c:lineChart>
      <c:catAx>
        <c:axId val="117735808"/>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17737344"/>
        <c:crosses val="autoZero"/>
        <c:auto val="1"/>
        <c:lblAlgn val="ctr"/>
        <c:lblOffset val="100"/>
        <c:noMultiLvlLbl val="0"/>
      </c:catAx>
      <c:valAx>
        <c:axId val="117737344"/>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735808"/>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'Ilgalaikiai demo pokyčiai'!$B$109</c:f>
              <c:strCache>
                <c:ptCount val="1"/>
                <c:pt idx="0">
                  <c:v>Kauno m. sav.</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-4.2127931383844408E-2</c:v>
                </c:pt>
                <c:pt idx="1">
                  <c:v>-7.9148202859452843E-2</c:v>
                </c:pt>
                <c:pt idx="2">
                  <c:v>-0.11842797200071457</c:v>
                </c:pt>
                <c:pt idx="3">
                  <c:v>-4.211166811146675E-2</c:v>
                </c:pt>
              </c:numCache>
            </c:numRef>
          </c:val>
        </c:ser>
        <c:ser>
          <c:idx val="3"/>
          <c:order val="3"/>
          <c:tx>
            <c:strRef>
              <c:f>'Ilgalaikiai demo pokyčiai'!$B$111</c:f>
              <c:strCache>
                <c:ptCount val="1"/>
                <c:pt idx="0">
                  <c:v>Panevėžio m. sav.</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-8.5516160932394794E-2</c:v>
                </c:pt>
                <c:pt idx="2">
                  <c:v>-0.11665301816421368</c:v>
                </c:pt>
                <c:pt idx="3">
                  <c:v>-4.9127140569832972E-2</c:v>
                </c:pt>
              </c:numCache>
            </c:numRef>
          </c:val>
        </c:ser>
        <c:ser>
          <c:idx val="4"/>
          <c:order val="4"/>
          <c:tx>
            <c:strRef>
              <c:f>'Ilgalaikiai demo pokyčiai'!$B$112</c:f>
              <c:strCache>
                <c:ptCount val="1"/>
                <c:pt idx="0">
                  <c:v>Šiaulių m. sav.</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-9.1234461168318737E-2</c:v>
                </c:pt>
                <c:pt idx="2">
                  <c:v>-0.13125566676427797</c:v>
                </c:pt>
                <c:pt idx="3">
                  <c:v>-4.8015209131555624E-2</c:v>
                </c:pt>
              </c:numCache>
            </c:numRef>
          </c:val>
        </c:ser>
        <c:ser>
          <c:idx val="5"/>
          <c:order val="5"/>
          <c:tx>
            <c:strRef>
              <c:f>'Ilgalaikiai demo pokyčiai'!$B$113</c:f>
              <c:strCache>
                <c:ptCount val="1"/>
                <c:pt idx="0">
                  <c:v>Vilniaus m. sav.</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-4.2274801483614698E-2</c:v>
                </c:pt>
                <c:pt idx="1">
                  <c:v>-2.1378012838891812E-2</c:v>
                </c:pt>
                <c:pt idx="2">
                  <c:v>-1.9542621579840741E-2</c:v>
                </c:pt>
                <c:pt idx="3">
                  <c:v>1.2115498846768704E-2</c:v>
                </c:pt>
              </c:numCache>
            </c:numRef>
          </c:val>
        </c:ser>
        <c:dLbls>
          <c:showLegendKey val="0"/>
          <c:showVal val="0"/>
          <c:showCatName val="0"/>
          <c:showSerName val="0"/>
          <c:showPercent val="0"/>
          <c:showBubbleSize val="0"/>
        </c:dLbls>
        <c:gapWidth val="219"/>
        <c:axId val="36830208"/>
        <c:axId val="99627776"/>
      </c:barChart>
      <c:lineChart>
        <c:grouping val="standard"/>
        <c:varyColors val="0"/>
        <c:ser>
          <c:idx val="0"/>
          <c:order val="0"/>
          <c:tx>
            <c:strRef>
              <c:f>'Ilgalaikiai demo pokyčiai'!$B$108</c:f>
              <c:strCache>
                <c:ptCount val="1"/>
                <c:pt idx="0">
                  <c:v>Lietuvos Respublika</c:v>
                </c:pt>
              </c:strCache>
            </c:strRef>
          </c:tx>
          <c:spPr>
            <a:ln xmlns:a="http://schemas.openxmlformats.org/drawingml/2006/main" w="28575" cap="rnd">
              <a:solidFill>
                <a:schemeClr val="accent1"/>
              </a:solidFill>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-3.5979121023565708E-2</c:v>
                </c:pt>
                <c:pt idx="1">
                  <c:v>-5.7816804485803522E-2</c:v>
                </c:pt>
                <c:pt idx="2">
                  <c:v>-9.3654491848928101E-2</c:v>
                </c:pt>
                <c:pt idx="3">
                  <c:v>-4.3713209206061789E-2</c:v>
                </c:pt>
              </c:numCache>
            </c:numRef>
          </c:val>
          <c:smooth val="0"/>
        </c:ser>
        <c:dLbls>
          <c:showLegendKey val="0"/>
          <c:showVal val="0"/>
          <c:showCatName val="0"/>
          <c:showSerName val="0"/>
          <c:showPercent val="0"/>
          <c:showBubbleSize val="0"/>
        </c:dLbls>
        <c:marker val="1"/>
        <c:smooth val="0"/>
        <c:axId val="36830208"/>
        <c:axId val="99627776"/>
      </c:lineChart>
      <c:catAx>
        <c:axId val="36830208"/>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99627776"/>
        <c:crosses val="autoZero"/>
        <c:auto val="1"/>
        <c:lblAlgn val="ctr"/>
        <c:lblOffset val="100"/>
        <c:noMultiLvlLbl val="0"/>
      </c:catAx>
      <c:valAx>
        <c:axId val="99627776"/>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36830208"/>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254486381690554E-2"/>
          <c:y val="1.947702015971408E-2"/>
          <c:w val="0.90936001544407885"/>
          <c:h val="0.40041715530239569"/>
        </c:manualLayout>
      </c:layout>
      <c:barChart>
        <c:barDir val="col"/>
        <c:grouping val="clustered"/>
        <c:varyColors val="0"/>
        <c:ser>
          <c:idx val="1"/>
          <c:order val="1"/>
          <c:tx>
            <c:strRef>
              <c:f>'įmonių dirbantieji'!$D$44</c:f>
              <c:strCache>
                <c:ptCount val="1"/>
                <c:pt idx="0">
                  <c:v>Kauno m. sav.</c:v>
                </c:pt>
              </c:strCache>
            </c:strRef>
          </c:tx>
          <c:spPr>
            <a:solidFill xmlns:a="http://schemas.openxmlformats.org/drawingml/2006/main">
              <a:schemeClr val="accent2"/>
            </a:solidFill>
            <a:ln xmlns:a="http://schemas.openxmlformats.org/drawingml/2006/main">
              <a:solidFill>
                <a:schemeClr val="accent5">
                  <a:lumMod val="50000"/>
                </a:schemeClr>
              </a:solidFill>
              <a:prstDash val="sysDash"/>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dirbantieji'!$E$44:$Q$44</c:f>
              <c:numCache>
                <c:formatCode>0\ %</c:formatCode>
                <c:ptCount val="13"/>
                <c:pt idx="0">
                  <c:v>1.7658590605031201E-3</c:v>
                </c:pt>
                <c:pt idx="1">
                  <c:v>0.21577899824910585</c:v>
                </c:pt>
                <c:pt idx="2">
                  <c:v>2.4542447959534891E-2</c:v>
                </c:pt>
                <c:pt idx="3">
                  <c:v>0.10715621866722536</c:v>
                </c:pt>
                <c:pt idx="4">
                  <c:v>0.29119464854915222</c:v>
                </c:pt>
                <c:pt idx="5">
                  <c:v>8.3586489681696421E-2</c:v>
                </c:pt>
                <c:pt idx="6">
                  <c:v>4.6451072235607502E-2</c:v>
                </c:pt>
                <c:pt idx="7">
                  <c:v>3.0880086197866006E-2</c:v>
                </c:pt>
                <c:pt idx="8">
                  <c:v>2.1766457656794816E-2</c:v>
                </c:pt>
                <c:pt idx="9">
                  <c:v>6.4364066264609485E-2</c:v>
                </c:pt>
                <c:pt idx="10">
                  <c:v>4.4258713317270999E-2</c:v>
                </c:pt>
                <c:pt idx="11">
                  <c:v>4.0293012884785179E-2</c:v>
                </c:pt>
                <c:pt idx="12">
                  <c:v>2.7961929275848136E-2</c:v>
                </c:pt>
              </c:numCache>
            </c:numRef>
          </c:val>
        </c:ser>
        <c:ser>
          <c:idx val="2"/>
          <c:order val="2"/>
          <c:tx>
            <c:strRef>
              <c:f>'įmonių dirbantieji'!$D$45</c:f>
              <c:strCache>
                <c:ptCount val="1"/>
                <c:pt idx="0">
                  <c:v>Klaipėdos m. sav.</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dirbantieji'!$E$45:$Q$45</c:f>
              <c:numCache>
                <c:formatCode>0\ %</c:formatCode>
                <c:ptCount val="13"/>
                <c:pt idx="0">
                  <c:v>8.7126802134180944E-3</c:v>
                </c:pt>
                <c:pt idx="1">
                  <c:v>0.19064309229197413</c:v>
                </c:pt>
                <c:pt idx="2">
                  <c:v>2.3952775570439323E-2</c:v>
                </c:pt>
                <c:pt idx="3">
                  <c:v>9.6478033829038481E-2</c:v>
                </c:pt>
                <c:pt idx="4">
                  <c:v>0.22221591554092404</c:v>
                </c:pt>
                <c:pt idx="5">
                  <c:v>0.18940855942785786</c:v>
                </c:pt>
                <c:pt idx="6">
                  <c:v>4.3237030309910322E-2</c:v>
                </c:pt>
                <c:pt idx="7">
                  <c:v>1.2345328641162447E-2</c:v>
                </c:pt>
                <c:pt idx="8">
                  <c:v>2.6833352253377227E-2</c:v>
                </c:pt>
                <c:pt idx="9">
                  <c:v>5.1282778976047223E-2</c:v>
                </c:pt>
                <c:pt idx="10">
                  <c:v>7.5405834941537062E-2</c:v>
                </c:pt>
                <c:pt idx="11">
                  <c:v>3.3403337495742993E-2</c:v>
                </c:pt>
                <c:pt idx="12">
                  <c:v>2.6081280508570781E-2</c:v>
                </c:pt>
              </c:numCache>
            </c:numRef>
          </c:val>
        </c:ser>
        <c:ser>
          <c:idx val="3"/>
          <c:order val="3"/>
          <c:tx>
            <c:strRef>
              <c:f>'įmonių dirbantieji'!$D$46</c:f>
              <c:strCache>
                <c:ptCount val="1"/>
                <c:pt idx="0">
                  <c:v>Panevėžio m. sav.</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dirbantieji'!$E$46:$Q$46</c:f>
              <c:numCache>
                <c:formatCode>0\ %</c:formatCode>
                <c:ptCount val="13"/>
                <c:pt idx="0">
                  <c:v>1.0080701460445115E-2</c:v>
                </c:pt>
                <c:pt idx="1">
                  <c:v>0.27818268129904217</c:v>
                </c:pt>
                <c:pt idx="2">
                  <c:v>3.5352266063500039E-2</c:v>
                </c:pt>
                <c:pt idx="3">
                  <c:v>0.13009969003937338</c:v>
                </c:pt>
                <c:pt idx="4">
                  <c:v>0.26933065259277877</c:v>
                </c:pt>
                <c:pt idx="5">
                  <c:v>8.3773142330568817E-2</c:v>
                </c:pt>
                <c:pt idx="6">
                  <c:v>2.9962860573566782E-2</c:v>
                </c:pt>
                <c:pt idx="7">
                  <c:v>1.0499567172097959E-2</c:v>
                </c:pt>
                <c:pt idx="8">
                  <c:v>1.9910083493898521E-2</c:v>
                </c:pt>
                <c:pt idx="9">
                  <c:v>3.7893384714193963E-2</c:v>
                </c:pt>
                <c:pt idx="10">
                  <c:v>4.6103152662589707E-2</c:v>
                </c:pt>
                <c:pt idx="11">
                  <c:v>2.4377984418195525E-2</c:v>
                </c:pt>
                <c:pt idx="12">
                  <c:v>2.4433833179749238E-2</c:v>
                </c:pt>
              </c:numCache>
            </c:numRef>
          </c:val>
        </c:ser>
        <c:ser>
          <c:idx val="4"/>
          <c:order val="4"/>
          <c:tx>
            <c:strRef>
              <c:f>'įmonių dirbantieji'!$D$47</c:f>
              <c:strCache>
                <c:ptCount val="1"/>
                <c:pt idx="0">
                  <c:v>Šiaulių m. sav.</c:v>
                </c:pt>
              </c:strCache>
            </c:strRef>
          </c:tx>
          <c:spPr>
            <a:solidFill xmlns:a="http://schemas.openxmlformats.org/drawingml/2006/main">
              <a:schemeClr val="accent5"/>
            </a:solidFill>
            <a:ln xmlns:a="http://schemas.openxmlformats.org/drawingml/2006/main" w="0">
              <a:solidFill>
                <a:schemeClr val="accent1">
                  <a:lumMod val="75000"/>
                </a:schemeClr>
              </a:solidFill>
              <a:prstDash val="solid"/>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dirbantieji'!$E$47:$Q$47</c:f>
              <c:numCache>
                <c:formatCode>0\ %</c:formatCode>
                <c:ptCount val="13"/>
                <c:pt idx="0">
                  <c:v>3.6577750022303507E-3</c:v>
                </c:pt>
                <c:pt idx="1">
                  <c:v>0.25133821036666965</c:v>
                </c:pt>
                <c:pt idx="2">
                  <c:v>2.7433312516727631E-2</c:v>
                </c:pt>
                <c:pt idx="3">
                  <c:v>0.10284146667856187</c:v>
                </c:pt>
                <c:pt idx="4">
                  <c:v>0.25818538674279595</c:v>
                </c:pt>
                <c:pt idx="5">
                  <c:v>0.15523240253367829</c:v>
                </c:pt>
                <c:pt idx="6">
                  <c:v>3.2786153983406188E-2</c:v>
                </c:pt>
                <c:pt idx="7">
                  <c:v>1.9448657328932108E-2</c:v>
                </c:pt>
                <c:pt idx="8">
                  <c:v>2.0831474707824069E-2</c:v>
                </c:pt>
                <c:pt idx="9">
                  <c:v>4.0190918012311533E-2</c:v>
                </c:pt>
                <c:pt idx="10">
                  <c:v>3.3767508252297261E-2</c:v>
                </c:pt>
                <c:pt idx="11">
                  <c:v>2.3864751538941922E-2</c:v>
                </c:pt>
                <c:pt idx="12">
                  <c:v>3.0421982335623161E-2</c:v>
                </c:pt>
              </c:numCache>
            </c:numRef>
          </c:val>
        </c:ser>
        <c:ser>
          <c:idx val="5"/>
          <c:order val="5"/>
          <c:tx>
            <c:strRef>
              <c:f>'įmonių dirbantieji'!$D$48</c:f>
              <c:strCache>
                <c:ptCount val="1"/>
                <c:pt idx="0">
                  <c:v>Vilniaus m. sav.</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dirbantieji'!$E$48:$Q$48</c:f>
              <c:numCache>
                <c:formatCode>0\ %</c:formatCode>
                <c:ptCount val="13"/>
                <c:pt idx="0">
                  <c:v>1.5136033804963372E-3</c:v>
                </c:pt>
                <c:pt idx="1">
                  <c:v>0.1171120308955198</c:v>
                </c:pt>
                <c:pt idx="2">
                  <c:v>1.8755520149628526E-2</c:v>
                </c:pt>
                <c:pt idx="3">
                  <c:v>9.0570285575740789E-2</c:v>
                </c:pt>
                <c:pt idx="4">
                  <c:v>0.26648078554976362</c:v>
                </c:pt>
                <c:pt idx="5">
                  <c:v>0.11564345461787576</c:v>
                </c:pt>
                <c:pt idx="6">
                  <c:v>5.1656477841469962E-2</c:v>
                </c:pt>
                <c:pt idx="7">
                  <c:v>5.904438633254247E-2</c:v>
                </c:pt>
                <c:pt idx="8">
                  <c:v>3.0223576883778119E-2</c:v>
                </c:pt>
                <c:pt idx="9">
                  <c:v>9.8914154096600454E-2</c:v>
                </c:pt>
                <c:pt idx="10">
                  <c:v>7.850994925791871E-2</c:v>
                </c:pt>
                <c:pt idx="11">
                  <c:v>3.8712917583083664E-2</c:v>
                </c:pt>
                <c:pt idx="12">
                  <c:v>3.28628578355818E-2</c:v>
                </c:pt>
              </c:numCache>
            </c:numRef>
          </c:val>
        </c:ser>
        <c:dLbls>
          <c:showLegendKey val="0"/>
          <c:showVal val="0"/>
          <c:showCatName val="0"/>
          <c:showSerName val="0"/>
          <c:showPercent val="0"/>
          <c:showBubbleSize val="0"/>
        </c:dLbls>
        <c:gapWidth val="150"/>
        <c:axId val="117000832"/>
        <c:axId val="117010816"/>
      </c:barChart>
      <c:lineChart>
        <c:grouping val="standard"/>
        <c:varyColors val="0"/>
        <c:ser>
          <c:idx val="0"/>
          <c:order val="0"/>
          <c:tx>
            <c:strRef>
              <c:f>'įmonių dirbantieji'!$D$43</c:f>
              <c:strCache>
                <c:ptCount val="1"/>
                <c:pt idx="0">
                  <c:v>Lietuvos Respublika</c:v>
                </c:pt>
              </c:strCache>
            </c:strRef>
          </c:tx>
          <c:spPr>
            <a:ln xmlns:a="http://schemas.openxmlformats.org/drawingml/2006/main" w="28575" cap="rnd">
              <a:solidFill>
                <a:srgbClr val="C00000"/>
              </a:solidFill>
              <a:prstDash val="sysDash"/>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dirbantieji'!$E$43:$Q$43</c:f>
              <c:numCache>
                <c:formatCode>0\ %</c:formatCode>
                <c:ptCount val="13"/>
                <c:pt idx="0">
                  <c:v>1.343427866091855E-2</c:v>
                </c:pt>
                <c:pt idx="1">
                  <c:v>0.21472150287495062</c:v>
                </c:pt>
                <c:pt idx="2">
                  <c:v>2.8694908377341684E-2</c:v>
                </c:pt>
                <c:pt idx="3">
                  <c:v>0.10335369868205112</c:v>
                </c:pt>
                <c:pt idx="4">
                  <c:v>0.26265947117180866</c:v>
                </c:pt>
                <c:pt idx="5">
                  <c:v>0.11641756851225186</c:v>
                </c:pt>
                <c:pt idx="6">
                  <c:v>4.2122763763739114E-2</c:v>
                </c:pt>
                <c:pt idx="7">
                  <c:v>2.8266690075933812E-2</c:v>
                </c:pt>
                <c:pt idx="8">
                  <c:v>2.1989009777294368E-2</c:v>
                </c:pt>
                <c:pt idx="9">
                  <c:v>5.7203541793570942E-2</c:v>
                </c:pt>
                <c:pt idx="10">
                  <c:v>5.1271647773318357E-2</c:v>
                </c:pt>
                <c:pt idx="11">
                  <c:v>3.1862653262006435E-2</c:v>
                </c:pt>
                <c:pt idx="12">
                  <c:v>2.8002265274814447E-2</c:v>
                </c:pt>
              </c:numCache>
            </c:numRef>
          </c:val>
          <c:smooth val="0"/>
        </c:ser>
        <c:dLbls>
          <c:showLegendKey val="0"/>
          <c:showVal val="0"/>
          <c:showCatName val="0"/>
          <c:showSerName val="0"/>
          <c:showPercent val="0"/>
          <c:showBubbleSize val="0"/>
        </c:dLbls>
        <c:marker val="1"/>
        <c:smooth val="0"/>
        <c:axId val="117000832"/>
        <c:axId val="117010816"/>
      </c:lineChart>
      <c:catAx>
        <c:axId val="117000832"/>
        <c:scaling>
          <c:orientation val="minMax"/>
        </c:scaling>
        <c:delete val="0"/>
        <c:axPos val="b"/>
        <c:numFmt formatCode="General" sourceLinked="0"/>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17010816"/>
        <c:crosses val="autoZero"/>
        <c:auto val="0"/>
        <c:lblAlgn val="ctr"/>
        <c:lblOffset val="100"/>
        <c:noMultiLvlLbl val="0"/>
      </c:catAx>
      <c:valAx>
        <c:axId val="117010816"/>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000832"/>
        <c:crosses val="autoZero"/>
        <c:crossBetween val="midCat"/>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'įmonių dirbantieji'!$D$20</c:f>
              <c:strCache>
                <c:ptCount val="1"/>
                <c:pt idx="0">
                  <c:v>Lietuvos Respublika</c:v>
                </c:pt>
              </c:strCache>
            </c:strRef>
          </c:tx>
          <c:spPr>
            <a:ln xmlns:a="http://schemas.openxmlformats.org/drawingml/2006/main" w="28575" cap="rnd">
              <a:solidFill>
                <a:schemeClr val="accent1"/>
              </a:solidFill>
              <a:round/>
            </a:ln>
            <a:effectLst xmlns:a="http://schemas.openxmlformats.org/drawingml/2006/main"/>
          </c:spPr>
          <c:marker>
            <c:symbol val="none"/>
          </c:marker>
          <c:cat>
            <c:strRef>
              <c:f>'įmonių dirbantieji'!$E$19:$Q$19</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dirbantieji'!$E$20:$Q$20</c:f>
              <c:numCache>
                <c:formatCode>0\ %</c:formatCode>
                <c:ptCount val="13"/>
                <c:pt idx="0">
                  <c:v>1.343427866091855E-2</c:v>
                </c:pt>
                <c:pt idx="1">
                  <c:v>0.21472150287495062</c:v>
                </c:pt>
                <c:pt idx="2">
                  <c:v>2.8694908377341684E-2</c:v>
                </c:pt>
                <c:pt idx="3">
                  <c:v>0.10335369868205112</c:v>
                </c:pt>
                <c:pt idx="4">
                  <c:v>0.26265947117180866</c:v>
                </c:pt>
                <c:pt idx="5">
                  <c:v>0.11641756851225186</c:v>
                </c:pt>
                <c:pt idx="6">
                  <c:v>4.2122763763739114E-2</c:v>
                </c:pt>
                <c:pt idx="7">
                  <c:v>2.8266690075933812E-2</c:v>
                </c:pt>
                <c:pt idx="8">
                  <c:v>2.1989009777294368E-2</c:v>
                </c:pt>
                <c:pt idx="9">
                  <c:v>5.7203541793570942E-2</c:v>
                </c:pt>
                <c:pt idx="10">
                  <c:v>5.1271647773318357E-2</c:v>
                </c:pt>
                <c:pt idx="11">
                  <c:v>3.1862653262006435E-2</c:v>
                </c:pt>
                <c:pt idx="12">
                  <c:v>2.8002265274814447E-2</c:v>
                </c:pt>
              </c:numCache>
            </c:numRef>
          </c:val>
          <c:smooth val="0"/>
        </c:ser>
        <c:ser>
          <c:idx val="1"/>
          <c:order val="1"/>
          <c:tx>
            <c:strRef>
              <c:f>'įmonių dirbantieji'!$D$21</c:f>
              <c:strCache>
                <c:ptCount val="1"/>
                <c:pt idx="0">
                  <c:v>Kauno regionas</c:v>
                </c:pt>
              </c:strCache>
            </c:strRef>
          </c:tx>
          <c:spPr>
            <a:ln xmlns:a="http://schemas.openxmlformats.org/drawingml/2006/main" w="28575" cap="rnd">
              <a:solidFill>
                <a:schemeClr val="accent2"/>
              </a:solidFill>
              <a:round/>
            </a:ln>
            <a:effectLst xmlns:a="http://schemas.openxmlformats.org/drawingml/2006/main"/>
          </c:spPr>
          <c:marker>
            <c:symbol val="none"/>
          </c:marker>
          <c:cat>
            <c:strRef>
              <c:f>'įmonių dirbantieji'!$E$19:$Q$19</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dirbantieji'!$E$21:$Q$21</c:f>
              <c:numCache>
                <c:formatCode>0\ %</c:formatCode>
                <c:ptCount val="13"/>
                <c:pt idx="0">
                  <c:v>1.2667794023016028E-2</c:v>
                </c:pt>
                <c:pt idx="1">
                  <c:v>0.24739725463139359</c:v>
                </c:pt>
                <c:pt idx="2">
                  <c:v>2.5502270644327509E-2</c:v>
                </c:pt>
                <c:pt idx="3">
                  <c:v>0.10224078097807618</c:v>
                </c:pt>
                <c:pt idx="4">
                  <c:v>0.2838923271787373</c:v>
                </c:pt>
                <c:pt idx="5">
                  <c:v>9.5197149594785244E-2</c:v>
                </c:pt>
                <c:pt idx="6">
                  <c:v>4.0011739385638817E-2</c:v>
                </c:pt>
                <c:pt idx="7">
                  <c:v>2.3906126105716258E-2</c:v>
                </c:pt>
                <c:pt idx="8">
                  <c:v>1.930820006384578E-2</c:v>
                </c:pt>
                <c:pt idx="9">
                  <c:v>5.15451708904427E-2</c:v>
                </c:pt>
                <c:pt idx="10">
                  <c:v>4.0650197201083316E-2</c:v>
                </c:pt>
                <c:pt idx="11">
                  <c:v>3.4188386246382929E-2</c:v>
                </c:pt>
                <c:pt idx="12">
                  <c:v>2.7443388357412803E-2</c:v>
                </c:pt>
              </c:numCache>
            </c:numRef>
          </c:val>
          <c:smooth val="0"/>
        </c:ser>
        <c:dLbls>
          <c:showLegendKey val="0"/>
          <c:showVal val="0"/>
          <c:showCatName val="0"/>
          <c:showSerName val="0"/>
          <c:showPercent val="0"/>
          <c:showBubbleSize val="0"/>
        </c:dLbls>
        <c:marker val="1"/>
        <c:smooth val="0"/>
        <c:axId val="121922304"/>
        <c:axId val="121923840"/>
      </c:lineChart>
      <c:catAx>
        <c:axId val="12192230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21923840"/>
        <c:crosses val="autoZero"/>
        <c:auto val="1"/>
        <c:lblAlgn val="ctr"/>
        <c:lblOffset val="100"/>
        <c:noMultiLvlLbl val="0"/>
      </c:catAx>
      <c:valAx>
        <c:axId val="12192384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192230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254486381690554E-2"/>
          <c:y val="1.947702015971408E-2"/>
          <c:w val="0.90936001544407885"/>
          <c:h val="0.40041715530239569"/>
        </c:manualLayout>
      </c:layout>
      <c:barChart>
        <c:barDir val="col"/>
        <c:grouping val="clustered"/>
        <c:varyColors val="0"/>
        <c:ser>
          <c:idx val="1"/>
          <c:order val="1"/>
          <c:tx>
            <c:strRef>
              <c:f>'įmonių dirbantieji'!$D$44</c:f>
              <c:strCache>
                <c:ptCount val="1"/>
                <c:pt idx="0">
                  <c:v>Kauno m. sav.</c:v>
                </c:pt>
              </c:strCache>
            </c:strRef>
          </c:tx>
          <c:spPr>
            <a:solidFill xmlns:a="http://schemas.openxmlformats.org/drawingml/2006/main">
              <a:schemeClr val="accent2"/>
            </a:solidFill>
            <a:ln xmlns:a="http://schemas.openxmlformats.org/drawingml/2006/main">
              <a:solidFill>
                <a:schemeClr val="accent5">
                  <a:lumMod val="50000"/>
                </a:schemeClr>
              </a:solidFill>
              <a:prstDash val="sysDash"/>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dirbantieji'!$E$44:$Q$44</c:f>
              <c:numCache>
                <c:formatCode>0\ %</c:formatCode>
                <c:ptCount val="13"/>
                <c:pt idx="0">
                  <c:v>1.7658590605031201E-3</c:v>
                </c:pt>
                <c:pt idx="1">
                  <c:v>0.21577899824910585</c:v>
                </c:pt>
                <c:pt idx="2">
                  <c:v>2.4542447959534891E-2</c:v>
                </c:pt>
                <c:pt idx="3">
                  <c:v>0.10715621866722536</c:v>
                </c:pt>
                <c:pt idx="4">
                  <c:v>0.29119464854915222</c:v>
                </c:pt>
                <c:pt idx="5">
                  <c:v>8.3586489681696421E-2</c:v>
                </c:pt>
                <c:pt idx="6">
                  <c:v>4.6451072235607502E-2</c:v>
                </c:pt>
                <c:pt idx="7">
                  <c:v>3.0880086197866006E-2</c:v>
                </c:pt>
                <c:pt idx="8">
                  <c:v>2.1766457656794816E-2</c:v>
                </c:pt>
                <c:pt idx="9">
                  <c:v>6.4364066264609485E-2</c:v>
                </c:pt>
                <c:pt idx="10">
                  <c:v>4.4258713317270999E-2</c:v>
                </c:pt>
                <c:pt idx="11">
                  <c:v>4.0293012884785179E-2</c:v>
                </c:pt>
                <c:pt idx="12">
                  <c:v>2.7961929275848136E-2</c:v>
                </c:pt>
              </c:numCache>
            </c:numRef>
          </c:val>
        </c:ser>
        <c:ser>
          <c:idx val="2"/>
          <c:order val="2"/>
          <c:tx>
            <c:strRef>
              <c:f>'įmonių dirbantieji'!$D$45</c:f>
              <c:strCache>
                <c:ptCount val="1"/>
                <c:pt idx="0">
                  <c:v>Klaipėdos m. sav.</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dirbantieji'!$E$45:$Q$45</c:f>
              <c:numCache>
                <c:formatCode>0\ %</c:formatCode>
                <c:ptCount val="13"/>
                <c:pt idx="0">
                  <c:v>8.7126802134180944E-3</c:v>
                </c:pt>
                <c:pt idx="1">
                  <c:v>0.19064309229197413</c:v>
                </c:pt>
                <c:pt idx="2">
                  <c:v>2.3952775570439323E-2</c:v>
                </c:pt>
                <c:pt idx="3">
                  <c:v>9.6478033829038481E-2</c:v>
                </c:pt>
                <c:pt idx="4">
                  <c:v>0.22221591554092404</c:v>
                </c:pt>
                <c:pt idx="5">
                  <c:v>0.18940855942785786</c:v>
                </c:pt>
                <c:pt idx="6">
                  <c:v>4.3237030309910322E-2</c:v>
                </c:pt>
                <c:pt idx="7">
                  <c:v>1.2345328641162447E-2</c:v>
                </c:pt>
                <c:pt idx="8">
                  <c:v>2.6833352253377227E-2</c:v>
                </c:pt>
                <c:pt idx="9">
                  <c:v>5.1282778976047223E-2</c:v>
                </c:pt>
                <c:pt idx="10">
                  <c:v>7.5405834941537062E-2</c:v>
                </c:pt>
                <c:pt idx="11">
                  <c:v>3.3403337495742993E-2</c:v>
                </c:pt>
                <c:pt idx="12">
                  <c:v>2.6081280508570781E-2</c:v>
                </c:pt>
              </c:numCache>
            </c:numRef>
          </c:val>
        </c:ser>
        <c:ser>
          <c:idx val="3"/>
          <c:order val="3"/>
          <c:tx>
            <c:strRef>
              <c:f>'įmonių dirbantieji'!$D$46</c:f>
              <c:strCache>
                <c:ptCount val="1"/>
                <c:pt idx="0">
                  <c:v>Panevėžio m. sav.</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dirbantieji'!$E$46:$Q$46</c:f>
              <c:numCache>
                <c:formatCode>0\ %</c:formatCode>
                <c:ptCount val="13"/>
                <c:pt idx="0">
                  <c:v>1.0080701460445115E-2</c:v>
                </c:pt>
                <c:pt idx="1">
                  <c:v>0.27818268129904217</c:v>
                </c:pt>
                <c:pt idx="2">
                  <c:v>3.5352266063500039E-2</c:v>
                </c:pt>
                <c:pt idx="3">
                  <c:v>0.13009969003937338</c:v>
                </c:pt>
                <c:pt idx="4">
                  <c:v>0.26933065259277877</c:v>
                </c:pt>
                <c:pt idx="5">
                  <c:v>8.3773142330568817E-2</c:v>
                </c:pt>
                <c:pt idx="6">
                  <c:v>2.9962860573566782E-2</c:v>
                </c:pt>
                <c:pt idx="7">
                  <c:v>1.0499567172097959E-2</c:v>
                </c:pt>
                <c:pt idx="8">
                  <c:v>1.9910083493898521E-2</c:v>
                </c:pt>
                <c:pt idx="9">
                  <c:v>3.7893384714193963E-2</c:v>
                </c:pt>
                <c:pt idx="10">
                  <c:v>4.6103152662589707E-2</c:v>
                </c:pt>
                <c:pt idx="11">
                  <c:v>2.4377984418195525E-2</c:v>
                </c:pt>
                <c:pt idx="12">
                  <c:v>2.4433833179749238E-2</c:v>
                </c:pt>
              </c:numCache>
            </c:numRef>
          </c:val>
        </c:ser>
        <c:ser>
          <c:idx val="4"/>
          <c:order val="4"/>
          <c:tx>
            <c:strRef>
              <c:f>'įmonių dirbantieji'!$D$47</c:f>
              <c:strCache>
                <c:ptCount val="1"/>
                <c:pt idx="0">
                  <c:v>Šiaulių m. sav.</c:v>
                </c:pt>
              </c:strCache>
            </c:strRef>
          </c:tx>
          <c:spPr>
            <a:solidFill xmlns:a="http://schemas.openxmlformats.org/drawingml/2006/main">
              <a:schemeClr val="accent5"/>
            </a:solidFill>
            <a:ln xmlns:a="http://schemas.openxmlformats.org/drawingml/2006/main" w="0">
              <a:solidFill>
                <a:schemeClr val="accent1">
                  <a:lumMod val="75000"/>
                </a:schemeClr>
              </a:solidFill>
              <a:prstDash val="solid"/>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dirbantieji'!$E$47:$Q$47</c:f>
              <c:numCache>
                <c:formatCode>0\ %</c:formatCode>
                <c:ptCount val="13"/>
                <c:pt idx="0">
                  <c:v>3.6577750022303507E-3</c:v>
                </c:pt>
                <c:pt idx="1">
                  <c:v>0.25133821036666965</c:v>
                </c:pt>
                <c:pt idx="2">
                  <c:v>2.7433312516727631E-2</c:v>
                </c:pt>
                <c:pt idx="3">
                  <c:v>0.10284146667856187</c:v>
                </c:pt>
                <c:pt idx="4">
                  <c:v>0.25818538674279595</c:v>
                </c:pt>
                <c:pt idx="5">
                  <c:v>0.15523240253367829</c:v>
                </c:pt>
                <c:pt idx="6">
                  <c:v>3.2786153983406188E-2</c:v>
                </c:pt>
                <c:pt idx="7">
                  <c:v>1.9448657328932108E-2</c:v>
                </c:pt>
                <c:pt idx="8">
                  <c:v>2.0831474707824069E-2</c:v>
                </c:pt>
                <c:pt idx="9">
                  <c:v>4.0190918012311533E-2</c:v>
                </c:pt>
                <c:pt idx="10">
                  <c:v>3.3767508252297261E-2</c:v>
                </c:pt>
                <c:pt idx="11">
                  <c:v>2.3864751538941922E-2</c:v>
                </c:pt>
                <c:pt idx="12">
                  <c:v>3.0421982335623161E-2</c:v>
                </c:pt>
              </c:numCache>
            </c:numRef>
          </c:val>
        </c:ser>
        <c:ser>
          <c:idx val="5"/>
          <c:order val="5"/>
          <c:tx>
            <c:strRef>
              <c:f>'įmonių dirbantieji'!$D$48</c:f>
              <c:strCache>
                <c:ptCount val="1"/>
                <c:pt idx="0">
                  <c:v>Vilniaus m. sav.</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dirbantieji'!$E$48:$Q$48</c:f>
              <c:numCache>
                <c:formatCode>0\ %</c:formatCode>
                <c:ptCount val="13"/>
                <c:pt idx="0">
                  <c:v>1.5136033804963372E-3</c:v>
                </c:pt>
                <c:pt idx="1">
                  <c:v>0.1171120308955198</c:v>
                </c:pt>
                <c:pt idx="2">
                  <c:v>1.8755520149628526E-2</c:v>
                </c:pt>
                <c:pt idx="3">
                  <c:v>9.0570285575740789E-2</c:v>
                </c:pt>
                <c:pt idx="4">
                  <c:v>0.26648078554976362</c:v>
                </c:pt>
                <c:pt idx="5">
                  <c:v>0.11564345461787576</c:v>
                </c:pt>
                <c:pt idx="6">
                  <c:v>5.1656477841469962E-2</c:v>
                </c:pt>
                <c:pt idx="7">
                  <c:v>5.904438633254247E-2</c:v>
                </c:pt>
                <c:pt idx="8">
                  <c:v>3.0223576883778119E-2</c:v>
                </c:pt>
                <c:pt idx="9">
                  <c:v>9.8914154096600454E-2</c:v>
                </c:pt>
                <c:pt idx="10">
                  <c:v>7.850994925791871E-2</c:v>
                </c:pt>
                <c:pt idx="11">
                  <c:v>3.8712917583083664E-2</c:v>
                </c:pt>
                <c:pt idx="12">
                  <c:v>3.28628578355818E-2</c:v>
                </c:pt>
              </c:numCache>
            </c:numRef>
          </c:val>
        </c:ser>
        <c:dLbls>
          <c:showLegendKey val="0"/>
          <c:showVal val="0"/>
          <c:showCatName val="0"/>
          <c:showSerName val="0"/>
          <c:showPercent val="0"/>
          <c:showBubbleSize val="0"/>
        </c:dLbls>
        <c:gapWidth val="150"/>
        <c:axId val="117718016"/>
        <c:axId val="117723904"/>
      </c:barChart>
      <c:lineChart>
        <c:grouping val="standard"/>
        <c:varyColors val="0"/>
        <c:ser>
          <c:idx val="0"/>
          <c:order val="0"/>
          <c:tx>
            <c:strRef>
              <c:f>'įmonių dirbantieji'!$D$43</c:f>
              <c:strCache>
                <c:ptCount val="1"/>
                <c:pt idx="0">
                  <c:v>Lietuvos Respublika</c:v>
                </c:pt>
              </c:strCache>
            </c:strRef>
          </c:tx>
          <c:spPr>
            <a:ln xmlns:a="http://schemas.openxmlformats.org/drawingml/2006/main" w="28575" cap="rnd">
              <a:solidFill>
                <a:srgbClr val="C00000"/>
              </a:solidFill>
              <a:prstDash val="sysDash"/>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dirbantieji'!$E$43:$Q$43</c:f>
              <c:numCache>
                <c:formatCode>0\ %</c:formatCode>
                <c:ptCount val="13"/>
                <c:pt idx="0">
                  <c:v>1.343427866091855E-2</c:v>
                </c:pt>
                <c:pt idx="1">
                  <c:v>0.21472150287495062</c:v>
                </c:pt>
                <c:pt idx="2">
                  <c:v>2.8694908377341684E-2</c:v>
                </c:pt>
                <c:pt idx="3">
                  <c:v>0.10335369868205112</c:v>
                </c:pt>
                <c:pt idx="4">
                  <c:v>0.26265947117180866</c:v>
                </c:pt>
                <c:pt idx="5">
                  <c:v>0.11641756851225186</c:v>
                </c:pt>
                <c:pt idx="6">
                  <c:v>4.2122763763739114E-2</c:v>
                </c:pt>
                <c:pt idx="7">
                  <c:v>2.8266690075933812E-2</c:v>
                </c:pt>
                <c:pt idx="8">
                  <c:v>2.1989009777294368E-2</c:v>
                </c:pt>
                <c:pt idx="9">
                  <c:v>5.7203541793570942E-2</c:v>
                </c:pt>
                <c:pt idx="10">
                  <c:v>5.1271647773318357E-2</c:v>
                </c:pt>
                <c:pt idx="11">
                  <c:v>3.1862653262006435E-2</c:v>
                </c:pt>
                <c:pt idx="12">
                  <c:v>2.8002265274814447E-2</c:v>
                </c:pt>
              </c:numCache>
            </c:numRef>
          </c:val>
          <c:smooth val="0"/>
        </c:ser>
        <c:dLbls>
          <c:showLegendKey val="0"/>
          <c:showVal val="0"/>
          <c:showCatName val="0"/>
          <c:showSerName val="0"/>
          <c:showPercent val="0"/>
          <c:showBubbleSize val="0"/>
        </c:dLbls>
        <c:marker val="1"/>
        <c:smooth val="0"/>
        <c:axId val="117718016"/>
        <c:axId val="117723904"/>
      </c:lineChart>
      <c:catAx>
        <c:axId val="117718016"/>
        <c:scaling>
          <c:orientation val="minMax"/>
        </c:scaling>
        <c:delete val="0"/>
        <c:axPos val="b"/>
        <c:numFmt formatCode="General" sourceLinked="0"/>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17723904"/>
        <c:crosses val="autoZero"/>
        <c:auto val="0"/>
        <c:lblAlgn val="ctr"/>
        <c:lblOffset val="100"/>
        <c:noMultiLvlLbl val="0"/>
      </c:catAx>
      <c:valAx>
        <c:axId val="117723904"/>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7718016"/>
        <c:crosses val="autoZero"/>
        <c:crossBetween val="midCat"/>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'įmonių dirbantieji'!$D$20</c:f>
              <c:strCache>
                <c:ptCount val="1"/>
                <c:pt idx="0">
                  <c:v>Lietuvos Respublika</c:v>
                </c:pt>
              </c:strCache>
            </c:strRef>
          </c:tx>
          <c:spPr>
            <a:ln xmlns:a="http://schemas.openxmlformats.org/drawingml/2006/main" w="28575" cap="rnd">
              <a:solidFill>
                <a:schemeClr val="accent1"/>
              </a:solidFill>
              <a:round/>
            </a:ln>
            <a:effectLst xmlns:a="http://schemas.openxmlformats.org/drawingml/2006/main"/>
          </c:spPr>
          <c:marker>
            <c:symbol val="none"/>
          </c:marker>
          <c:cat>
            <c:strRef>
              <c:f>'įmonių dirbantieji'!$E$19:$Q$19</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dirbantieji'!$E$20:$Q$20</c:f>
              <c:numCache>
                <c:formatCode>0\ %</c:formatCode>
                <c:ptCount val="13"/>
                <c:pt idx="0">
                  <c:v>1.343427866091855E-2</c:v>
                </c:pt>
                <c:pt idx="1">
                  <c:v>0.21472150287495062</c:v>
                </c:pt>
                <c:pt idx="2">
                  <c:v>2.8694908377341684E-2</c:v>
                </c:pt>
                <c:pt idx="3">
                  <c:v>0.10335369868205112</c:v>
                </c:pt>
                <c:pt idx="4">
                  <c:v>0.26265947117180866</c:v>
                </c:pt>
                <c:pt idx="5">
                  <c:v>0.11641756851225186</c:v>
                </c:pt>
                <c:pt idx="6">
                  <c:v>4.2122763763739114E-2</c:v>
                </c:pt>
                <c:pt idx="7">
                  <c:v>2.8266690075933812E-2</c:v>
                </c:pt>
                <c:pt idx="8">
                  <c:v>2.1989009777294368E-2</c:v>
                </c:pt>
                <c:pt idx="9">
                  <c:v>5.7203541793570942E-2</c:v>
                </c:pt>
                <c:pt idx="10">
                  <c:v>5.1271647773318357E-2</c:v>
                </c:pt>
                <c:pt idx="11">
                  <c:v>3.1862653262006435E-2</c:v>
                </c:pt>
                <c:pt idx="12">
                  <c:v>2.8002265274814447E-2</c:v>
                </c:pt>
              </c:numCache>
            </c:numRef>
          </c:val>
          <c:smooth val="0"/>
        </c:ser>
        <c:ser>
          <c:idx val="1"/>
          <c:order val="1"/>
          <c:tx>
            <c:strRef>
              <c:f>'įmonių dirbantieji'!$D$21</c:f>
              <c:strCache>
                <c:ptCount val="1"/>
                <c:pt idx="0">
                  <c:v>Kauno regionas</c:v>
                </c:pt>
              </c:strCache>
            </c:strRef>
          </c:tx>
          <c:spPr>
            <a:ln xmlns:a="http://schemas.openxmlformats.org/drawingml/2006/main" w="28575" cap="rnd">
              <a:solidFill>
                <a:schemeClr val="accent2"/>
              </a:solidFill>
              <a:round/>
            </a:ln>
            <a:effectLst xmlns:a="http://schemas.openxmlformats.org/drawingml/2006/main"/>
          </c:spPr>
          <c:marker>
            <c:symbol val="none"/>
          </c:marker>
          <c:cat>
            <c:strRef>
              <c:f>'įmonių dirbantieji'!$E$19:$Q$19</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dirbantieji'!$E$21:$Q$21</c:f>
              <c:numCache>
                <c:formatCode>0\ %</c:formatCode>
                <c:ptCount val="13"/>
                <c:pt idx="0">
                  <c:v>1.2667794023016028E-2</c:v>
                </c:pt>
                <c:pt idx="1">
                  <c:v>0.24739725463139359</c:v>
                </c:pt>
                <c:pt idx="2">
                  <c:v>2.5502270644327509E-2</c:v>
                </c:pt>
                <c:pt idx="3">
                  <c:v>0.10224078097807618</c:v>
                </c:pt>
                <c:pt idx="4">
                  <c:v>0.2838923271787373</c:v>
                </c:pt>
                <c:pt idx="5">
                  <c:v>9.5197149594785244E-2</c:v>
                </c:pt>
                <c:pt idx="6">
                  <c:v>4.0011739385638817E-2</c:v>
                </c:pt>
                <c:pt idx="7">
                  <c:v>2.3906126105716258E-2</c:v>
                </c:pt>
                <c:pt idx="8">
                  <c:v>1.930820006384578E-2</c:v>
                </c:pt>
                <c:pt idx="9">
                  <c:v>5.15451708904427E-2</c:v>
                </c:pt>
                <c:pt idx="10">
                  <c:v>4.0650197201083316E-2</c:v>
                </c:pt>
                <c:pt idx="11">
                  <c:v>3.4188386246382929E-2</c:v>
                </c:pt>
                <c:pt idx="12">
                  <c:v>2.7443388357412803E-2</c:v>
                </c:pt>
              </c:numCache>
            </c:numRef>
          </c:val>
          <c:smooth val="0"/>
        </c:ser>
        <c:dLbls>
          <c:showLegendKey val="0"/>
          <c:showVal val="0"/>
          <c:showCatName val="0"/>
          <c:showSerName val="0"/>
          <c:showPercent val="0"/>
          <c:showBubbleSize val="0"/>
        </c:dLbls>
        <c:marker val="1"/>
        <c:smooth val="0"/>
        <c:axId val="114012544"/>
        <c:axId val="114014080"/>
      </c:lineChart>
      <c:catAx>
        <c:axId val="11401254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14014080"/>
        <c:crosses val="autoZero"/>
        <c:auto val="1"/>
        <c:lblAlgn val="ctr"/>
        <c:lblOffset val="100"/>
        <c:noMultiLvlLbl val="0"/>
      </c:catAx>
      <c:valAx>
        <c:axId val="1140140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401254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254486381690554E-2"/>
          <c:y val="1.947702015971408E-2"/>
          <c:w val="0.90936001544407885"/>
          <c:h val="0.40041715530239569"/>
        </c:manualLayout>
      </c:layout>
      <c:barChart>
        <c:barDir val="col"/>
        <c:grouping val="clustered"/>
        <c:varyColors val="0"/>
        <c:ser>
          <c:idx val="1"/>
          <c:order val="1"/>
          <c:tx>
            <c:strRef>
              <c:f>'įmonių dirbantieji'!$D$44</c:f>
              <c:strCache>
                <c:ptCount val="1"/>
                <c:pt idx="0">
                  <c:v>Kauno m. sav.</c:v>
                </c:pt>
              </c:strCache>
            </c:strRef>
          </c:tx>
          <c:spPr>
            <a:solidFill xmlns:a="http://schemas.openxmlformats.org/drawingml/2006/main">
              <a:schemeClr val="accent2"/>
            </a:solidFill>
            <a:ln xmlns:a="http://schemas.openxmlformats.org/drawingml/2006/main">
              <a:solidFill>
                <a:schemeClr val="accent5">
                  <a:lumMod val="50000"/>
                </a:schemeClr>
              </a:solidFill>
              <a:prstDash val="sysDash"/>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dirbantieji'!$E$44:$Q$44</c:f>
              <c:numCache>
                <c:formatCode>0\ %</c:formatCode>
                <c:ptCount val="13"/>
                <c:pt idx="0">
                  <c:v>1.7658590605031201E-3</c:v>
                </c:pt>
                <c:pt idx="1">
                  <c:v>0.21577899824910585</c:v>
                </c:pt>
                <c:pt idx="2">
                  <c:v>2.4542447959534891E-2</c:v>
                </c:pt>
                <c:pt idx="3">
                  <c:v>0.10715621866722536</c:v>
                </c:pt>
                <c:pt idx="4">
                  <c:v>0.29119464854915222</c:v>
                </c:pt>
                <c:pt idx="5">
                  <c:v>8.3586489681696421E-2</c:v>
                </c:pt>
                <c:pt idx="6">
                  <c:v>4.6451072235607502E-2</c:v>
                </c:pt>
                <c:pt idx="7">
                  <c:v>3.0880086197866006E-2</c:v>
                </c:pt>
                <c:pt idx="8">
                  <c:v>2.1766457656794816E-2</c:v>
                </c:pt>
                <c:pt idx="9">
                  <c:v>6.4364066264609485E-2</c:v>
                </c:pt>
                <c:pt idx="10">
                  <c:v>4.4258713317270999E-2</c:v>
                </c:pt>
                <c:pt idx="11">
                  <c:v>4.0293012884785179E-2</c:v>
                </c:pt>
                <c:pt idx="12">
                  <c:v>2.7961929275848136E-2</c:v>
                </c:pt>
              </c:numCache>
            </c:numRef>
          </c:val>
        </c:ser>
        <c:ser>
          <c:idx val="2"/>
          <c:order val="2"/>
          <c:tx>
            <c:strRef>
              <c:f>'įmonių dirbantieji'!$D$45</c:f>
              <c:strCache>
                <c:ptCount val="1"/>
                <c:pt idx="0">
                  <c:v>Klaipėdos m. sav.</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dirbantieji'!$E$45:$Q$45</c:f>
              <c:numCache>
                <c:formatCode>0\ %</c:formatCode>
                <c:ptCount val="13"/>
                <c:pt idx="0">
                  <c:v>8.7126802134180944E-3</c:v>
                </c:pt>
                <c:pt idx="1">
                  <c:v>0.19064309229197413</c:v>
                </c:pt>
                <c:pt idx="2">
                  <c:v>2.3952775570439323E-2</c:v>
                </c:pt>
                <c:pt idx="3">
                  <c:v>9.6478033829038481E-2</c:v>
                </c:pt>
                <c:pt idx="4">
                  <c:v>0.22221591554092404</c:v>
                </c:pt>
                <c:pt idx="5">
                  <c:v>0.18940855942785786</c:v>
                </c:pt>
                <c:pt idx="6">
                  <c:v>4.3237030309910322E-2</c:v>
                </c:pt>
                <c:pt idx="7">
                  <c:v>1.2345328641162447E-2</c:v>
                </c:pt>
                <c:pt idx="8">
                  <c:v>2.6833352253377227E-2</c:v>
                </c:pt>
                <c:pt idx="9">
                  <c:v>5.1282778976047223E-2</c:v>
                </c:pt>
                <c:pt idx="10">
                  <c:v>7.5405834941537062E-2</c:v>
                </c:pt>
                <c:pt idx="11">
                  <c:v>3.3403337495742993E-2</c:v>
                </c:pt>
                <c:pt idx="12">
                  <c:v>2.6081280508570781E-2</c:v>
                </c:pt>
              </c:numCache>
            </c:numRef>
          </c:val>
        </c:ser>
        <c:ser>
          <c:idx val="3"/>
          <c:order val="3"/>
          <c:tx>
            <c:strRef>
              <c:f>'įmonių dirbantieji'!$D$46</c:f>
              <c:strCache>
                <c:ptCount val="1"/>
                <c:pt idx="0">
                  <c:v>Panevėžio m. sav.</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dirbantieji'!$E$46:$Q$46</c:f>
              <c:numCache>
                <c:formatCode>0\ %</c:formatCode>
                <c:ptCount val="13"/>
                <c:pt idx="0">
                  <c:v>1.0080701460445115E-2</c:v>
                </c:pt>
                <c:pt idx="1">
                  <c:v>0.27818268129904217</c:v>
                </c:pt>
                <c:pt idx="2">
                  <c:v>3.5352266063500039E-2</c:v>
                </c:pt>
                <c:pt idx="3">
                  <c:v>0.13009969003937338</c:v>
                </c:pt>
                <c:pt idx="4">
                  <c:v>0.26933065259277877</c:v>
                </c:pt>
                <c:pt idx="5">
                  <c:v>8.3773142330568817E-2</c:v>
                </c:pt>
                <c:pt idx="6">
                  <c:v>2.9962860573566782E-2</c:v>
                </c:pt>
                <c:pt idx="7">
                  <c:v>1.0499567172097959E-2</c:v>
                </c:pt>
                <c:pt idx="8">
                  <c:v>1.9910083493898521E-2</c:v>
                </c:pt>
                <c:pt idx="9">
                  <c:v>3.7893384714193963E-2</c:v>
                </c:pt>
                <c:pt idx="10">
                  <c:v>4.6103152662589707E-2</c:v>
                </c:pt>
                <c:pt idx="11">
                  <c:v>2.4377984418195525E-2</c:v>
                </c:pt>
                <c:pt idx="12">
                  <c:v>2.4433833179749238E-2</c:v>
                </c:pt>
              </c:numCache>
            </c:numRef>
          </c:val>
        </c:ser>
        <c:ser>
          <c:idx val="4"/>
          <c:order val="4"/>
          <c:tx>
            <c:strRef>
              <c:f>'įmonių dirbantieji'!$D$47</c:f>
              <c:strCache>
                <c:ptCount val="1"/>
                <c:pt idx="0">
                  <c:v>Šiaulių m. sav.</c:v>
                </c:pt>
              </c:strCache>
            </c:strRef>
          </c:tx>
          <c:spPr>
            <a:solidFill xmlns:a="http://schemas.openxmlformats.org/drawingml/2006/main">
              <a:schemeClr val="accent5"/>
            </a:solidFill>
            <a:ln xmlns:a="http://schemas.openxmlformats.org/drawingml/2006/main" w="0">
              <a:solidFill>
                <a:schemeClr val="accent1">
                  <a:lumMod val="75000"/>
                </a:schemeClr>
              </a:solidFill>
              <a:prstDash val="solid"/>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dirbantieji'!$E$47:$Q$47</c:f>
              <c:numCache>
                <c:formatCode>0\ %</c:formatCode>
                <c:ptCount val="13"/>
                <c:pt idx="0">
                  <c:v>3.6577750022303507E-3</c:v>
                </c:pt>
                <c:pt idx="1">
                  <c:v>0.25133821036666965</c:v>
                </c:pt>
                <c:pt idx="2">
                  <c:v>2.7433312516727631E-2</c:v>
                </c:pt>
                <c:pt idx="3">
                  <c:v>0.10284146667856187</c:v>
                </c:pt>
                <c:pt idx="4">
                  <c:v>0.25818538674279595</c:v>
                </c:pt>
                <c:pt idx="5">
                  <c:v>0.15523240253367829</c:v>
                </c:pt>
                <c:pt idx="6">
                  <c:v>3.2786153983406188E-2</c:v>
                </c:pt>
                <c:pt idx="7">
                  <c:v>1.9448657328932108E-2</c:v>
                </c:pt>
                <c:pt idx="8">
                  <c:v>2.0831474707824069E-2</c:v>
                </c:pt>
                <c:pt idx="9">
                  <c:v>4.0190918012311533E-2</c:v>
                </c:pt>
                <c:pt idx="10">
                  <c:v>3.3767508252297261E-2</c:v>
                </c:pt>
                <c:pt idx="11">
                  <c:v>2.3864751538941922E-2</c:v>
                </c:pt>
                <c:pt idx="12">
                  <c:v>3.0421982335623161E-2</c:v>
                </c:pt>
              </c:numCache>
            </c:numRef>
          </c:val>
        </c:ser>
        <c:ser>
          <c:idx val="5"/>
          <c:order val="5"/>
          <c:tx>
            <c:strRef>
              <c:f>'įmonių dirbantieji'!$D$48</c:f>
              <c:strCache>
                <c:ptCount val="1"/>
                <c:pt idx="0">
                  <c:v>Vilniaus m. sav.</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dirbantieji'!$E$48:$Q$48</c:f>
              <c:numCache>
                <c:formatCode>0\ %</c:formatCode>
                <c:ptCount val="13"/>
                <c:pt idx="0">
                  <c:v>1.5136033804963372E-3</c:v>
                </c:pt>
                <c:pt idx="1">
                  <c:v>0.1171120308955198</c:v>
                </c:pt>
                <c:pt idx="2">
                  <c:v>1.8755520149628526E-2</c:v>
                </c:pt>
                <c:pt idx="3">
                  <c:v>9.0570285575740789E-2</c:v>
                </c:pt>
                <c:pt idx="4">
                  <c:v>0.26648078554976362</c:v>
                </c:pt>
                <c:pt idx="5">
                  <c:v>0.11564345461787576</c:v>
                </c:pt>
                <c:pt idx="6">
                  <c:v>5.1656477841469962E-2</c:v>
                </c:pt>
                <c:pt idx="7">
                  <c:v>5.904438633254247E-2</c:v>
                </c:pt>
                <c:pt idx="8">
                  <c:v>3.0223576883778119E-2</c:v>
                </c:pt>
                <c:pt idx="9">
                  <c:v>9.8914154096600454E-2</c:v>
                </c:pt>
                <c:pt idx="10">
                  <c:v>7.850994925791871E-2</c:v>
                </c:pt>
                <c:pt idx="11">
                  <c:v>3.8712917583083664E-2</c:v>
                </c:pt>
                <c:pt idx="12">
                  <c:v>3.28628578355818E-2</c:v>
                </c:pt>
              </c:numCache>
            </c:numRef>
          </c:val>
        </c:ser>
        <c:dLbls>
          <c:showLegendKey val="0"/>
          <c:showVal val="0"/>
          <c:showCatName val="0"/>
          <c:showSerName val="0"/>
          <c:showPercent val="0"/>
          <c:showBubbleSize val="0"/>
        </c:dLbls>
        <c:gapWidth val="150"/>
        <c:axId val="115509888"/>
        <c:axId val="115511680"/>
      </c:barChart>
      <c:lineChart>
        <c:grouping val="standard"/>
        <c:varyColors val="0"/>
        <c:ser>
          <c:idx val="0"/>
          <c:order val="0"/>
          <c:tx>
            <c:strRef>
              <c:f>'įmonių dirbantieji'!$D$43</c:f>
              <c:strCache>
                <c:ptCount val="1"/>
                <c:pt idx="0">
                  <c:v>Lietuvos Respublika</c:v>
                </c:pt>
              </c:strCache>
            </c:strRef>
          </c:tx>
          <c:spPr>
            <a:ln xmlns:a="http://schemas.openxmlformats.org/drawingml/2006/main" w="28575" cap="rnd">
              <a:solidFill>
                <a:srgbClr val="C00000"/>
              </a:solidFill>
              <a:prstDash val="sysDash"/>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'įmonių dirbantieji'!$E$42:$Q$42</c:f>
              <c:strCache>
                <c:ptCount val="13"/>
                <c:pt idx="0">
                  <c:v>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Švietimas, sveikatos priežiūra ir kita komunalinė ir socialinė aptarnavimo veikla</c:v>
                </c:pt>
                <c:pt idx="12">
                  <c:v>Meninė, pramoginė ir poilsio organizavimo veikla, kompiuterių ir asmeninių bei namų ūkio reikmenų taisymas, kita aptarnavimo veikla</c:v>
                </c:pt>
              </c:strCache>
            </c:strRef>
          </c:cat>
          <c:val>
            <c:numRef>
              <c:f>'įmonių dirbantieji'!$E$43:$Q$43</c:f>
              <c:numCache>
                <c:formatCode>0\ %</c:formatCode>
                <c:ptCount val="13"/>
                <c:pt idx="0">
                  <c:v>1.343427866091855E-2</c:v>
                </c:pt>
                <c:pt idx="1">
                  <c:v>0.21472150287495062</c:v>
                </c:pt>
                <c:pt idx="2">
                  <c:v>2.8694908377341684E-2</c:v>
                </c:pt>
                <c:pt idx="3">
                  <c:v>0.10335369868205112</c:v>
                </c:pt>
                <c:pt idx="4">
                  <c:v>0.26265947117180866</c:v>
                </c:pt>
                <c:pt idx="5">
                  <c:v>0.11641756851225186</c:v>
                </c:pt>
                <c:pt idx="6">
                  <c:v>4.2122763763739114E-2</c:v>
                </c:pt>
                <c:pt idx="7">
                  <c:v>2.8266690075933812E-2</c:v>
                </c:pt>
                <c:pt idx="8">
                  <c:v>2.1989009777294368E-2</c:v>
                </c:pt>
                <c:pt idx="9">
                  <c:v>5.7203541793570942E-2</c:v>
                </c:pt>
                <c:pt idx="10">
                  <c:v>5.1271647773318357E-2</c:v>
                </c:pt>
                <c:pt idx="11">
                  <c:v>3.1862653262006435E-2</c:v>
                </c:pt>
                <c:pt idx="12">
                  <c:v>2.8002265274814447E-2</c:v>
                </c:pt>
              </c:numCache>
            </c:numRef>
          </c:val>
          <c:smooth val="0"/>
        </c:ser>
        <c:dLbls>
          <c:showLegendKey val="0"/>
          <c:showVal val="0"/>
          <c:showCatName val="0"/>
          <c:showSerName val="0"/>
          <c:showPercent val="0"/>
          <c:showBubbleSize val="0"/>
        </c:dLbls>
        <c:marker val="1"/>
        <c:smooth val="0"/>
        <c:axId val="115509888"/>
        <c:axId val="115511680"/>
      </c:lineChart>
      <c:catAx>
        <c:axId val="115509888"/>
        <c:scaling>
          <c:orientation val="minMax"/>
        </c:scaling>
        <c:delete val="0"/>
        <c:axPos val="b"/>
        <c:numFmt formatCode="General" sourceLinked="0"/>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800" b="0" i="0" u="none" strike="noStrike" kern="1200" baseline="0">
                <a:solidFill>
                  <a:schemeClr val="tx1">
                    <a:lumMod val="65000"/>
                    <a:lumOff val="35000"/>
                  </a:schemeClr>
                </a:solidFill>
                <a:latin typeface="+mn-lt"/>
                <a:ea typeface="+mn-ea"/>
                <a:cs typeface="+mn-cs"/>
              </a:defRPr>
            </a:pPr>
            <a:endParaRPr lang="lt-LT"/>
          </a:p>
        </c:txPr>
        <c:crossAx val="115511680"/>
        <c:crosses val="autoZero"/>
        <c:auto val="0"/>
        <c:lblAlgn val="ctr"/>
        <c:lblOffset val="100"/>
        <c:noMultiLvlLbl val="0"/>
      </c:catAx>
      <c:valAx>
        <c:axId val="1155116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5509888"/>
        <c:crosses val="autoZero"/>
        <c:crossBetween val="midCat"/>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Nedarbas!$B$85</c:f>
              <c:strCache>
                <c:ptCount val="1"/>
                <c:pt idx="0">
                  <c:v>Lietuvos Respublika</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Nedarbas!$C$85:$G$85</c:f>
              <c:numCache>
                <c:formatCode>General</c:formatCode>
                <c:ptCount val="5"/>
                <c:pt idx="0">
                  <c:v>15.9</c:v>
                </c:pt>
                <c:pt idx="1">
                  <c:v>13.1</c:v>
                </c:pt>
                <c:pt idx="2">
                  <c:v>11.7</c:v>
                </c:pt>
                <c:pt idx="3">
                  <c:v>10.9</c:v>
                </c:pt>
                <c:pt idx="4">
                  <c:v>9.5</c:v>
                </c:pt>
              </c:numCache>
            </c:numRef>
          </c:val>
          <c:smooth val="0"/>
        </c:ser>
        <c:ser>
          <c:idx val="1"/>
          <c:order val="1"/>
          <c:tx>
            <c:strRef>
              <c:f>Nedarbas!$B$86</c:f>
              <c:strCache>
                <c:ptCount val="1"/>
                <c:pt idx="0">
                  <c:v>Kauno m. sav.</c:v>
                </c:pt>
              </c:strCache>
            </c:strRef>
          </c:tx>
          <c:spPr>
            <a:ln xmlns:a="http://schemas.openxmlformats.org/drawingml/2006/main" w="28575" cap="rnd">
              <a:solidFill>
                <a:schemeClr val="accent2"/>
              </a:solidFill>
              <a:prstDash val="sysDash"/>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Nedarbas!$C$84:$G$84</c:f>
              <c:strCache>
                <c:ptCount val="5"/>
                <c:pt idx="0">
                  <c:v>2010</c:v>
                </c:pt>
                <c:pt idx="1">
                  <c:v>2011</c:v>
                </c:pt>
                <c:pt idx="2">
                  <c:v>2012</c:v>
                </c:pt>
                <c:pt idx="3">
                  <c:v>2013</c:v>
                </c:pt>
                <c:pt idx="4">
                  <c:v>2014</c:v>
                </c:pt>
              </c:strCache>
            </c:strRef>
          </c:cat>
          <c:val>
            <c:numRef>
              <c:f>Nedarbas!$C$86:$G$86</c:f>
              <c:numCache>
                <c:formatCode>General</c:formatCode>
                <c:ptCount val="5"/>
                <c:pt idx="0">
                  <c:v>13.9</c:v>
                </c:pt>
                <c:pt idx="1">
                  <c:v>11.7</c:v>
                </c:pt>
                <c:pt idx="2">
                  <c:v>10.6</c:v>
                </c:pt>
                <c:pt idx="3">
                  <c:v>9.6</c:v>
                </c:pt>
                <c:pt idx="4">
                  <c:v>8.1999999999999993</c:v>
                </c:pt>
              </c:numCache>
            </c:numRef>
          </c:val>
          <c:smooth val="0"/>
        </c:ser>
        <c:ser>
          <c:idx val="2"/>
          <c:order val="2"/>
          <c:tx>
            <c:strRef>
              <c:f>Nedarbas!$B$87</c:f>
              <c:strCache>
                <c:ptCount val="1"/>
                <c:pt idx="0">
                  <c:v>Klaipėdos m. sav.</c:v>
                </c:pt>
              </c:strCache>
            </c:strRef>
          </c:tx>
          <c:spPr>
            <a:ln xmlns:a="http://schemas.openxmlformats.org/drawingml/2006/main" w="28575" cap="rnd">
              <a:solidFill>
                <a:schemeClr val="accent3"/>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Nedarbas!$C$87:$G$87</c:f>
              <c:numCache>
                <c:formatCode>General</c:formatCode>
                <c:ptCount val="5"/>
                <c:pt idx="0">
                  <c:v>15.2</c:v>
                </c:pt>
                <c:pt idx="1">
                  <c:v>11.6</c:v>
                </c:pt>
                <c:pt idx="2">
                  <c:v>9.3000000000000007</c:v>
                </c:pt>
                <c:pt idx="3">
                  <c:v>8.4</c:v>
                </c:pt>
                <c:pt idx="4">
                  <c:v>7.4</c:v>
                </c:pt>
              </c:numCache>
            </c:numRef>
          </c:val>
          <c:smooth val="0"/>
        </c:ser>
        <c:ser>
          <c:idx val="3"/>
          <c:order val="3"/>
          <c:tx>
            <c:strRef>
              <c:f>Nedarbas!$B$88</c:f>
              <c:strCache>
                <c:ptCount val="1"/>
                <c:pt idx="0">
                  <c:v>Panevėžio m. sav.</c:v>
                </c:pt>
              </c:strCache>
            </c:strRef>
          </c:tx>
          <c:spPr>
            <a:ln xmlns:a="http://schemas.openxmlformats.org/drawingml/2006/main" w="28575" cap="rnd">
              <a:solidFill>
                <a:schemeClr val="accent4"/>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Nedarbas!$C$88:$G$88</c:f>
              <c:numCache>
                <c:formatCode>General</c:formatCode>
                <c:ptCount val="5"/>
                <c:pt idx="0">
                  <c:v>18.5</c:v>
                </c:pt>
                <c:pt idx="1">
                  <c:v>14.9</c:v>
                </c:pt>
                <c:pt idx="2">
                  <c:v>12.8</c:v>
                </c:pt>
                <c:pt idx="3">
                  <c:v>11.1</c:v>
                </c:pt>
                <c:pt idx="4">
                  <c:v>10.1</c:v>
                </c:pt>
              </c:numCache>
            </c:numRef>
          </c:val>
          <c:smooth val="0"/>
        </c:ser>
        <c:ser>
          <c:idx val="4"/>
          <c:order val="4"/>
          <c:tx>
            <c:strRef>
              <c:f>Nedarbas!$B$89</c:f>
              <c:strCache>
                <c:ptCount val="1"/>
                <c:pt idx="0">
                  <c:v>Šiaulių m. sav.</c:v>
                </c:pt>
              </c:strCache>
            </c:strRef>
          </c:tx>
          <c:spPr>
            <a:ln xmlns:a="http://schemas.openxmlformats.org/drawingml/2006/main" w="28575" cap="rnd">
              <a:solidFill>
                <a:schemeClr val="accent5"/>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Nedarbas!$C$89:$G$89</c:f>
              <c:numCache>
                <c:formatCode>General</c:formatCode>
                <c:ptCount val="5"/>
                <c:pt idx="0">
                  <c:v>13.9</c:v>
                </c:pt>
                <c:pt idx="1">
                  <c:v>10.7</c:v>
                </c:pt>
                <c:pt idx="2">
                  <c:v>9.1</c:v>
                </c:pt>
                <c:pt idx="3">
                  <c:v>8.1</c:v>
                </c:pt>
                <c:pt idx="4">
                  <c:v>6.3</c:v>
                </c:pt>
              </c:numCache>
            </c:numRef>
          </c:val>
          <c:smooth val="0"/>
        </c:ser>
        <c:ser>
          <c:idx val="5"/>
          <c:order val="5"/>
          <c:tx>
            <c:strRef>
              <c:f>Nedarbas!$B$90</c:f>
              <c:strCache>
                <c:ptCount val="1"/>
                <c:pt idx="0">
                  <c:v>Vilniaus m. sav.</c:v>
                </c:pt>
              </c:strCache>
            </c:strRef>
          </c:tx>
          <c:spPr>
            <a:ln xmlns:a="http://schemas.openxmlformats.org/drawingml/2006/main" w="28575" cap="rnd">
              <a:solidFill>
                <a:schemeClr val="accent6"/>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Nedarbas!$C$90:$G$90</c:f>
              <c:numCache>
                <c:formatCode>General</c:formatCode>
                <c:ptCount val="5"/>
                <c:pt idx="0">
                  <c:v>14.1</c:v>
                </c:pt>
                <c:pt idx="1">
                  <c:v>10.8</c:v>
                </c:pt>
                <c:pt idx="2">
                  <c:v>9.1</c:v>
                </c:pt>
                <c:pt idx="3">
                  <c:v>8.1</c:v>
                </c:pt>
                <c:pt idx="4">
                  <c:v>6.9</c:v>
                </c:pt>
              </c:numCache>
            </c:numRef>
          </c:val>
          <c:smooth val="0"/>
        </c:ser>
        <c:dLbls>
          <c:showLegendKey val="0"/>
          <c:showVal val="0"/>
          <c:showCatName val="0"/>
          <c:showSerName val="0"/>
          <c:showPercent val="0"/>
          <c:showBubbleSize val="0"/>
        </c:dLbls>
        <c:marker val="1"/>
        <c:smooth val="0"/>
        <c:axId val="121918592"/>
        <c:axId val="121920128"/>
      </c:lineChart>
      <c:catAx>
        <c:axId val="12191859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1920128"/>
        <c:crosses val="autoZero"/>
        <c:auto val="1"/>
        <c:lblAlgn val="ctr"/>
        <c:lblOffset val="100"/>
        <c:noMultiLvlLbl val="0"/>
      </c:catAx>
      <c:valAx>
        <c:axId val="12192012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1918592"/>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Nedarbas!$B$85</c:f>
              <c:strCache>
                <c:ptCount val="1"/>
                <c:pt idx="0">
                  <c:v>Lietuvos Respublika</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Nedarbas!$C$85:$G$85</c:f>
              <c:numCache>
                <c:formatCode>General</c:formatCode>
                <c:ptCount val="5"/>
                <c:pt idx="0">
                  <c:v>15.9</c:v>
                </c:pt>
                <c:pt idx="1">
                  <c:v>13.1</c:v>
                </c:pt>
                <c:pt idx="2">
                  <c:v>11.7</c:v>
                </c:pt>
                <c:pt idx="3">
                  <c:v>10.9</c:v>
                </c:pt>
                <c:pt idx="4">
                  <c:v>9.5</c:v>
                </c:pt>
              </c:numCache>
            </c:numRef>
          </c:val>
          <c:smooth val="0"/>
        </c:ser>
        <c:ser>
          <c:idx val="1"/>
          <c:order val="1"/>
          <c:tx>
            <c:strRef>
              <c:f>Nedarbas!$B$86</c:f>
              <c:strCache>
                <c:ptCount val="1"/>
                <c:pt idx="0">
                  <c:v>Kauno m. sav.</c:v>
                </c:pt>
              </c:strCache>
            </c:strRef>
          </c:tx>
          <c:spPr>
            <a:ln xmlns:a="http://schemas.openxmlformats.org/drawingml/2006/main" w="28575" cap="rnd">
              <a:solidFill>
                <a:schemeClr val="accent2"/>
              </a:solidFill>
              <a:prstDash val="sysDash"/>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Nedarbas!$C$84:$G$84</c:f>
              <c:strCache>
                <c:ptCount val="5"/>
                <c:pt idx="0">
                  <c:v>2010</c:v>
                </c:pt>
                <c:pt idx="1">
                  <c:v>2011</c:v>
                </c:pt>
                <c:pt idx="2">
                  <c:v>2012</c:v>
                </c:pt>
                <c:pt idx="3">
                  <c:v>2013</c:v>
                </c:pt>
                <c:pt idx="4">
                  <c:v>2014</c:v>
                </c:pt>
              </c:strCache>
            </c:strRef>
          </c:cat>
          <c:val>
            <c:numRef>
              <c:f>Nedarbas!$C$86:$G$86</c:f>
              <c:numCache>
                <c:formatCode>General</c:formatCode>
                <c:ptCount val="5"/>
                <c:pt idx="0">
                  <c:v>13.9</c:v>
                </c:pt>
                <c:pt idx="1">
                  <c:v>11.7</c:v>
                </c:pt>
                <c:pt idx="2">
                  <c:v>10.6</c:v>
                </c:pt>
                <c:pt idx="3">
                  <c:v>9.6</c:v>
                </c:pt>
                <c:pt idx="4">
                  <c:v>8.1999999999999993</c:v>
                </c:pt>
              </c:numCache>
            </c:numRef>
          </c:val>
          <c:smooth val="0"/>
        </c:ser>
        <c:ser>
          <c:idx val="2"/>
          <c:order val="2"/>
          <c:tx>
            <c:strRef>
              <c:f>Nedarbas!$B$87</c:f>
              <c:strCache>
                <c:ptCount val="1"/>
                <c:pt idx="0">
                  <c:v>Klaipėdos m. sav.</c:v>
                </c:pt>
              </c:strCache>
            </c:strRef>
          </c:tx>
          <c:spPr>
            <a:ln xmlns:a="http://schemas.openxmlformats.org/drawingml/2006/main" w="28575" cap="rnd">
              <a:solidFill>
                <a:schemeClr val="accent3"/>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Nedarbas!$C$87:$G$87</c:f>
              <c:numCache>
                <c:formatCode>General</c:formatCode>
                <c:ptCount val="5"/>
                <c:pt idx="0">
                  <c:v>15.2</c:v>
                </c:pt>
                <c:pt idx="1">
                  <c:v>11.6</c:v>
                </c:pt>
                <c:pt idx="2">
                  <c:v>9.3000000000000007</c:v>
                </c:pt>
                <c:pt idx="3">
                  <c:v>8.4</c:v>
                </c:pt>
                <c:pt idx="4">
                  <c:v>7.4</c:v>
                </c:pt>
              </c:numCache>
            </c:numRef>
          </c:val>
          <c:smooth val="0"/>
        </c:ser>
        <c:ser>
          <c:idx val="3"/>
          <c:order val="3"/>
          <c:tx>
            <c:strRef>
              <c:f>Nedarbas!$B$88</c:f>
              <c:strCache>
                <c:ptCount val="1"/>
                <c:pt idx="0">
                  <c:v>Panevėžio m. sav.</c:v>
                </c:pt>
              </c:strCache>
            </c:strRef>
          </c:tx>
          <c:spPr>
            <a:ln xmlns:a="http://schemas.openxmlformats.org/drawingml/2006/main" w="28575" cap="rnd">
              <a:solidFill>
                <a:schemeClr val="accent4"/>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Nedarbas!$C$88:$G$88</c:f>
              <c:numCache>
                <c:formatCode>General</c:formatCode>
                <c:ptCount val="5"/>
                <c:pt idx="0">
                  <c:v>18.5</c:v>
                </c:pt>
                <c:pt idx="1">
                  <c:v>14.9</c:v>
                </c:pt>
                <c:pt idx="2">
                  <c:v>12.8</c:v>
                </c:pt>
                <c:pt idx="3">
                  <c:v>11.1</c:v>
                </c:pt>
                <c:pt idx="4">
                  <c:v>10.1</c:v>
                </c:pt>
              </c:numCache>
            </c:numRef>
          </c:val>
          <c:smooth val="0"/>
        </c:ser>
        <c:ser>
          <c:idx val="4"/>
          <c:order val="4"/>
          <c:tx>
            <c:strRef>
              <c:f>Nedarbas!$B$89</c:f>
              <c:strCache>
                <c:ptCount val="1"/>
                <c:pt idx="0">
                  <c:v>Šiaulių m. sav.</c:v>
                </c:pt>
              </c:strCache>
            </c:strRef>
          </c:tx>
          <c:spPr>
            <a:ln xmlns:a="http://schemas.openxmlformats.org/drawingml/2006/main" w="28575" cap="rnd">
              <a:solidFill>
                <a:schemeClr val="accent5"/>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Nedarbas!$C$89:$G$89</c:f>
              <c:numCache>
                <c:formatCode>General</c:formatCode>
                <c:ptCount val="5"/>
                <c:pt idx="0">
                  <c:v>13.9</c:v>
                </c:pt>
                <c:pt idx="1">
                  <c:v>10.7</c:v>
                </c:pt>
                <c:pt idx="2">
                  <c:v>9.1</c:v>
                </c:pt>
                <c:pt idx="3">
                  <c:v>8.1</c:v>
                </c:pt>
                <c:pt idx="4">
                  <c:v>6.3</c:v>
                </c:pt>
              </c:numCache>
            </c:numRef>
          </c:val>
          <c:smooth val="0"/>
        </c:ser>
        <c:ser>
          <c:idx val="5"/>
          <c:order val="5"/>
          <c:tx>
            <c:strRef>
              <c:f>Nedarbas!$B$90</c:f>
              <c:strCache>
                <c:ptCount val="1"/>
                <c:pt idx="0">
                  <c:v>Vilniaus m. sav.</c:v>
                </c:pt>
              </c:strCache>
            </c:strRef>
          </c:tx>
          <c:spPr>
            <a:ln xmlns:a="http://schemas.openxmlformats.org/drawingml/2006/main" w="28575" cap="rnd">
              <a:solidFill>
                <a:schemeClr val="accent6"/>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Nedarbas!$C$90:$G$90</c:f>
              <c:numCache>
                <c:formatCode>General</c:formatCode>
                <c:ptCount val="5"/>
                <c:pt idx="0">
                  <c:v>14.1</c:v>
                </c:pt>
                <c:pt idx="1">
                  <c:v>10.8</c:v>
                </c:pt>
                <c:pt idx="2">
                  <c:v>9.1</c:v>
                </c:pt>
                <c:pt idx="3">
                  <c:v>8.1</c:v>
                </c:pt>
                <c:pt idx="4">
                  <c:v>6.9</c:v>
                </c:pt>
              </c:numCache>
            </c:numRef>
          </c:val>
          <c:smooth val="0"/>
        </c:ser>
        <c:dLbls>
          <c:showLegendKey val="0"/>
          <c:showVal val="0"/>
          <c:showCatName val="0"/>
          <c:showSerName val="0"/>
          <c:showPercent val="0"/>
          <c:showBubbleSize val="0"/>
        </c:dLbls>
        <c:marker val="1"/>
        <c:smooth val="0"/>
        <c:axId val="122435072"/>
        <c:axId val="122436608"/>
      </c:lineChart>
      <c:catAx>
        <c:axId val="12243507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2436608"/>
        <c:crosses val="autoZero"/>
        <c:auto val="1"/>
        <c:lblAlgn val="ctr"/>
        <c:lblOffset val="100"/>
        <c:noMultiLvlLbl val="0"/>
      </c:catAx>
      <c:valAx>
        <c:axId val="12243660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2435072"/>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Nedarbas!$B$85</c:f>
              <c:strCache>
                <c:ptCount val="1"/>
                <c:pt idx="0">
                  <c:v>Lietuvos Respublika</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Nedarbas!$C$85:$G$85</c:f>
              <c:numCache>
                <c:formatCode>General</c:formatCode>
                <c:ptCount val="5"/>
                <c:pt idx="0">
                  <c:v>15.9</c:v>
                </c:pt>
                <c:pt idx="1">
                  <c:v>13.1</c:v>
                </c:pt>
                <c:pt idx="2">
                  <c:v>11.7</c:v>
                </c:pt>
                <c:pt idx="3">
                  <c:v>10.9</c:v>
                </c:pt>
                <c:pt idx="4">
                  <c:v>9.5</c:v>
                </c:pt>
              </c:numCache>
            </c:numRef>
          </c:val>
          <c:smooth val="0"/>
        </c:ser>
        <c:ser>
          <c:idx val="1"/>
          <c:order val="1"/>
          <c:tx>
            <c:strRef>
              <c:f>Nedarbas!$B$86</c:f>
              <c:strCache>
                <c:ptCount val="1"/>
                <c:pt idx="0">
                  <c:v>Kauno m. sav.</c:v>
                </c:pt>
              </c:strCache>
            </c:strRef>
          </c:tx>
          <c:spPr>
            <a:ln xmlns:a="http://schemas.openxmlformats.org/drawingml/2006/main" w="28575" cap="rnd">
              <a:solidFill>
                <a:schemeClr val="accent2"/>
              </a:solidFill>
              <a:prstDash val="sysDash"/>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Nedarbas!$C$84:$G$84</c:f>
              <c:strCache>
                <c:ptCount val="5"/>
                <c:pt idx="0">
                  <c:v>2010</c:v>
                </c:pt>
                <c:pt idx="1">
                  <c:v>2011</c:v>
                </c:pt>
                <c:pt idx="2">
                  <c:v>2012</c:v>
                </c:pt>
                <c:pt idx="3">
                  <c:v>2013</c:v>
                </c:pt>
                <c:pt idx="4">
                  <c:v>2014</c:v>
                </c:pt>
              </c:strCache>
            </c:strRef>
          </c:cat>
          <c:val>
            <c:numRef>
              <c:f>Nedarbas!$C$86:$G$86</c:f>
              <c:numCache>
                <c:formatCode>General</c:formatCode>
                <c:ptCount val="5"/>
                <c:pt idx="0">
                  <c:v>13.9</c:v>
                </c:pt>
                <c:pt idx="1">
                  <c:v>11.7</c:v>
                </c:pt>
                <c:pt idx="2">
                  <c:v>10.6</c:v>
                </c:pt>
                <c:pt idx="3">
                  <c:v>9.6</c:v>
                </c:pt>
                <c:pt idx="4">
                  <c:v>8.1999999999999993</c:v>
                </c:pt>
              </c:numCache>
            </c:numRef>
          </c:val>
          <c:smooth val="0"/>
        </c:ser>
        <c:ser>
          <c:idx val="2"/>
          <c:order val="2"/>
          <c:tx>
            <c:strRef>
              <c:f>Nedarbas!$B$87</c:f>
              <c:strCache>
                <c:ptCount val="1"/>
                <c:pt idx="0">
                  <c:v>Klaipėdos m. sav.</c:v>
                </c:pt>
              </c:strCache>
            </c:strRef>
          </c:tx>
          <c:spPr>
            <a:ln xmlns:a="http://schemas.openxmlformats.org/drawingml/2006/main" w="28575" cap="rnd">
              <a:solidFill>
                <a:schemeClr val="accent3"/>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Nedarbas!$C$87:$G$87</c:f>
              <c:numCache>
                <c:formatCode>General</c:formatCode>
                <c:ptCount val="5"/>
                <c:pt idx="0">
                  <c:v>15.2</c:v>
                </c:pt>
                <c:pt idx="1">
                  <c:v>11.6</c:v>
                </c:pt>
                <c:pt idx="2">
                  <c:v>9.3000000000000007</c:v>
                </c:pt>
                <c:pt idx="3">
                  <c:v>8.4</c:v>
                </c:pt>
                <c:pt idx="4">
                  <c:v>7.4</c:v>
                </c:pt>
              </c:numCache>
            </c:numRef>
          </c:val>
          <c:smooth val="0"/>
        </c:ser>
        <c:ser>
          <c:idx val="3"/>
          <c:order val="3"/>
          <c:tx>
            <c:strRef>
              <c:f>Nedarbas!$B$88</c:f>
              <c:strCache>
                <c:ptCount val="1"/>
                <c:pt idx="0">
                  <c:v>Panevėžio m. sav.</c:v>
                </c:pt>
              </c:strCache>
            </c:strRef>
          </c:tx>
          <c:spPr>
            <a:ln xmlns:a="http://schemas.openxmlformats.org/drawingml/2006/main" w="28575" cap="rnd">
              <a:solidFill>
                <a:schemeClr val="accent4"/>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Nedarbas!$C$88:$G$88</c:f>
              <c:numCache>
                <c:formatCode>General</c:formatCode>
                <c:ptCount val="5"/>
                <c:pt idx="0">
                  <c:v>18.5</c:v>
                </c:pt>
                <c:pt idx="1">
                  <c:v>14.9</c:v>
                </c:pt>
                <c:pt idx="2">
                  <c:v>12.8</c:v>
                </c:pt>
                <c:pt idx="3">
                  <c:v>11.1</c:v>
                </c:pt>
                <c:pt idx="4">
                  <c:v>10.1</c:v>
                </c:pt>
              </c:numCache>
            </c:numRef>
          </c:val>
          <c:smooth val="0"/>
        </c:ser>
        <c:ser>
          <c:idx val="4"/>
          <c:order val="4"/>
          <c:tx>
            <c:strRef>
              <c:f>Nedarbas!$B$89</c:f>
              <c:strCache>
                <c:ptCount val="1"/>
                <c:pt idx="0">
                  <c:v>Šiaulių m. sav.</c:v>
                </c:pt>
              </c:strCache>
            </c:strRef>
          </c:tx>
          <c:spPr>
            <a:ln xmlns:a="http://schemas.openxmlformats.org/drawingml/2006/main" w="28575" cap="rnd">
              <a:solidFill>
                <a:schemeClr val="accent5"/>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Nedarbas!$C$89:$G$89</c:f>
              <c:numCache>
                <c:formatCode>General</c:formatCode>
                <c:ptCount val="5"/>
                <c:pt idx="0">
                  <c:v>13.9</c:v>
                </c:pt>
                <c:pt idx="1">
                  <c:v>10.7</c:v>
                </c:pt>
                <c:pt idx="2">
                  <c:v>9.1</c:v>
                </c:pt>
                <c:pt idx="3">
                  <c:v>8.1</c:v>
                </c:pt>
                <c:pt idx="4">
                  <c:v>6.3</c:v>
                </c:pt>
              </c:numCache>
            </c:numRef>
          </c:val>
          <c:smooth val="0"/>
        </c:ser>
        <c:ser>
          <c:idx val="5"/>
          <c:order val="5"/>
          <c:tx>
            <c:strRef>
              <c:f>Nedarbas!$B$90</c:f>
              <c:strCache>
                <c:ptCount val="1"/>
                <c:pt idx="0">
                  <c:v>Vilniaus m. sav.</c:v>
                </c:pt>
              </c:strCache>
            </c:strRef>
          </c:tx>
          <c:spPr>
            <a:ln xmlns:a="http://schemas.openxmlformats.org/drawingml/2006/main" w="28575" cap="rnd">
              <a:solidFill>
                <a:schemeClr val="accent6"/>
              </a:solidFill>
              <a:round/>
            </a:ln>
            <a:effectLst xmlns:a="http://schemas.openxmlformats.org/drawingml/2006/main"/>
          </c:spPr>
          <c:marker>
            <c:symbol val="none"/>
          </c:marker>
          <c:cat>
            <c:strRef>
              <c:f>Nedarbas!$C$84:$G$84</c:f>
              <c:strCache>
                <c:ptCount val="5"/>
                <c:pt idx="0">
                  <c:v>2010</c:v>
                </c:pt>
                <c:pt idx="1">
                  <c:v>2011</c:v>
                </c:pt>
                <c:pt idx="2">
                  <c:v>2012</c:v>
                </c:pt>
                <c:pt idx="3">
                  <c:v>2013</c:v>
                </c:pt>
                <c:pt idx="4">
                  <c:v>2014</c:v>
                </c:pt>
              </c:strCache>
            </c:strRef>
          </c:cat>
          <c:val>
            <c:numRef>
              <c:f>Nedarbas!$C$90:$G$90</c:f>
              <c:numCache>
                <c:formatCode>General</c:formatCode>
                <c:ptCount val="5"/>
                <c:pt idx="0">
                  <c:v>14.1</c:v>
                </c:pt>
                <c:pt idx="1">
                  <c:v>10.8</c:v>
                </c:pt>
                <c:pt idx="2">
                  <c:v>9.1</c:v>
                </c:pt>
                <c:pt idx="3">
                  <c:v>8.1</c:v>
                </c:pt>
                <c:pt idx="4">
                  <c:v>6.9</c:v>
                </c:pt>
              </c:numCache>
            </c:numRef>
          </c:val>
          <c:smooth val="0"/>
        </c:ser>
        <c:dLbls>
          <c:showLegendKey val="0"/>
          <c:showVal val="0"/>
          <c:showCatName val="0"/>
          <c:showSerName val="0"/>
          <c:showPercent val="0"/>
          <c:showBubbleSize val="0"/>
        </c:dLbls>
        <c:marker val="1"/>
        <c:smooth val="0"/>
        <c:axId val="116601984"/>
        <c:axId val="116603520"/>
      </c:lineChart>
      <c:catAx>
        <c:axId val="11660198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6603520"/>
        <c:crosses val="autoZero"/>
        <c:auto val="1"/>
        <c:lblAlgn val="ctr"/>
        <c:lblOffset val="100"/>
        <c:noMultiLvlLbl val="0"/>
      </c:catAx>
      <c:valAx>
        <c:axId val="11660352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660198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'[Eksportuota matricinė lentelė (70).xlsx]Report'!$B$19</c:f>
              <c:strCache>
                <c:ptCount val="1"/>
                <c:pt idx="0">
                  <c:v>Kauno m. sav. (2013)</c:v>
                </c:pt>
              </c:strCache>
            </c:strRef>
          </c:tx>
          <c:dPt>
            <c:idx val="0"/>
            <c:bubble3D val="0"/>
            <c:spPr>
              <a:solidFill xmlns:a="http://schemas.openxmlformats.org/drawingml/2006/main">
                <a:schemeClr val="accent1"/>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
            <c:bubble3D val="0"/>
            <c:spPr>
              <a:solidFill xmlns:a="http://schemas.openxmlformats.org/drawingml/2006/main">
                <a:schemeClr val="accent2"/>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2"/>
            <c:bubble3D val="0"/>
            <c:spPr>
              <a:solidFill xmlns:a="http://schemas.openxmlformats.org/drawingml/2006/main">
                <a:schemeClr val="accent3"/>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3"/>
            <c:bubble3D val="0"/>
            <c:spPr>
              <a:solidFill xmlns:a="http://schemas.openxmlformats.org/drawingml/2006/main">
                <a:schemeClr val="accent4"/>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4"/>
            <c:bubble3D val="0"/>
            <c:spPr>
              <a:solidFill xmlns:a="http://schemas.openxmlformats.org/drawingml/2006/main">
                <a:schemeClr val="accent5"/>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5"/>
            <c:bubble3D val="0"/>
            <c:spPr>
              <a:solidFill xmlns:a="http://schemas.openxmlformats.org/drawingml/2006/main">
                <a:schemeClr val="accent6"/>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6"/>
            <c:bubble3D val="0"/>
            <c:spPr>
              <a:solidFill xmlns:a="http://schemas.openxmlformats.org/drawingml/2006/main">
                <a:schemeClr val="accent1">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7"/>
            <c:bubble3D val="0"/>
            <c:spPr>
              <a:solidFill xmlns:a="http://schemas.openxmlformats.org/drawingml/2006/main">
                <a:schemeClr val="accent2">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8"/>
            <c:bubble3D val="0"/>
            <c:spPr>
              <a:solidFill xmlns:a="http://schemas.openxmlformats.org/drawingml/2006/main">
                <a:schemeClr val="accent3">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9"/>
            <c:bubble3D val="0"/>
            <c:spPr>
              <a:solidFill xmlns:a="http://schemas.openxmlformats.org/drawingml/2006/main">
                <a:schemeClr val="accent4">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0"/>
            <c:bubble3D val="0"/>
            <c:spPr>
              <a:solidFill xmlns:a="http://schemas.openxmlformats.org/drawingml/2006/main">
                <a:schemeClr val="accent5">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1"/>
            <c:bubble3D val="0"/>
            <c:spPr>
              <a:solidFill xmlns:a="http://schemas.openxmlformats.org/drawingml/2006/main">
                <a:schemeClr val="accent6">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2"/>
            <c:bubble3D val="0"/>
            <c:spPr>
              <a:solidFill xmlns:a="http://schemas.openxmlformats.org/drawingml/2006/main">
                <a:schemeClr val="accent1">
                  <a:lumMod val="80000"/>
                  <a:lumOff val="2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3"/>
            <c:bubble3D val="0"/>
            <c:spPr>
              <a:solidFill xmlns:a="http://schemas.openxmlformats.org/drawingml/2006/main">
                <a:schemeClr val="accent2">
                  <a:lumMod val="80000"/>
                  <a:lumOff val="2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Lbls>
            <c:spPr>
              <a:pattFill xmlns:a="http://schemas.openxmlformats.org/drawingml/2006/main" prst="pct75">
                <a:fgClr>
                  <a:sysClr val="windowText" lastClr="000000">
                    <a:lumMod val="75000"/>
                    <a:lumOff val="25000"/>
                  </a:sysClr>
                </a:fgClr>
                <a:bgClr>
                  <a:sysClr val="windowText" lastClr="000000">
                    <a:lumMod val="65000"/>
                    <a:lumOff val="35000"/>
                  </a:sysClr>
                </a:bgClr>
              </a:pattFill>
              <a:ln xmlns:a="http://schemas.openxmlformats.org/drawingml/2006/main">
                <a:noFill/>
              </a:ln>
              <a:effectLst xmlns:a="http://schemas.openxmlformats.org/drawingml/2006/main">
                <a:outerShdw blurRad="50800" dist="38100" dir="2700000" algn="tl" rotWithShape="0">
                  <a:prstClr val="black">
                    <a:alpha val="40000"/>
                  </a:prstClr>
                </a:outerShdw>
              </a:effectLst>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1000" b="1" i="0" u="none" strike="noStrike" kern="1200" baseline="0">
                    <a:solidFill>
                      <a:schemeClr val="lt1"/>
                    </a:solidFill>
                    <a:latin typeface="+mn-lt"/>
                    <a:ea typeface="+mn-ea"/>
                    <a:cs typeface="+mn-cs"/>
                  </a:defRPr>
                </a:pPr>
                <a:endParaRPr lang="lt-LT"/>
              </a:p>
            </c:txPr>
            <c:showLegendKey val="1"/>
            <c:showVal val="0"/>
            <c:showCatName val="0"/>
            <c:showSerName val="0"/>
            <c:showPercent val="1"/>
            <c:showBubbleSize val="0"/>
            <c:showLeaderLines val="1"/>
            <c:leaderLines>
              <c:spPr>
                <a:ln xmlns:a="http://schemas.openxmlformats.org/drawingml/2006/main" w="9525">
                  <a:solidFill>
                    <a:schemeClr val="dk1">
                      <a:lumMod val="50000"/>
                      <a:lumOff val="50000"/>
                    </a:schemeClr>
                  </a:solidFill>
                </a:ln>
                <a:effectLst xmlns:a="http://schemas.openxmlformats.org/drawingml/2006/main"/>
              </c:spPr>
            </c:leaderLines>
            <c:extLst>
              <c:ext uri="{CE6537A1-D6FC-4f65-9D91-7224C49458BB}"/>
            </c:extLst>
          </c:dLbls>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dLbls>
          <c:showLegendKey val="0"/>
          <c:showVal val="0"/>
          <c:showCatName val="0"/>
          <c:showSerName val="0"/>
          <c:showPercent val="1"/>
          <c:showBubbleSize val="0"/>
          <c:showLeaderLines val="1"/>
        </c:dLbls>
        <c:firstSliceAng val="0"/>
        <c:holeSize val="50"/>
      </c:doughnutChart>
      <c:spPr>
        <a:noFill xmlns:a="http://schemas.openxmlformats.org/drawingml/2006/main"/>
        <a:ln xmlns:a="http://schemas.openxmlformats.org/drawingml/2006/main">
          <a:noFill/>
        </a:ln>
        <a:effectLst xmlns:a="http://schemas.openxmlformats.org/drawingml/2006/main"/>
      </c:spPr>
    </c:plotArea>
    <c:legend>
      <c:legendPos val="r"/>
      <c:layout>
        <c:manualLayout>
          <c:xMode val="edge"/>
          <c:yMode val="edge"/>
          <c:x val="0.65657125099027558"/>
          <c:y val="5.6678211031189911E-2"/>
          <c:w val="0.33221641626771165"/>
          <c:h val="0.92842545602046089"/>
        </c:manualLayout>
      </c:layout>
      <c:overlay val="0"/>
      <c:spPr>
        <a:solidFill xmlns:a="http://schemas.openxmlformats.org/drawingml/2006/main">
          <a:schemeClr val="lt1">
            <a:lumMod val="95000"/>
            <a:alpha val="39000"/>
          </a:schemeClr>
        </a:solidFill>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dk1">
          <a:lumMod val="25000"/>
          <a:lumOff val="7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2"/>
          <c:tx>
            <c:strRef>
              <c:f>'[Eksportuota matricinė lentelė (70).xlsx]Report'!$B$18</c:f>
              <c:strCache>
                <c:ptCount val="1"/>
                <c:pt idx="0">
                  <c:v>Kauno m. sav. (2008)</c:v>
                </c:pt>
              </c:strCache>
            </c:strRef>
          </c:tx>
          <c:spPr>
            <a:solidFill xmlns:a="http://schemas.openxmlformats.org/drawingml/2006/main">
              <a:schemeClr val="accent2">
                <a:lumMod val="75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(70).xlsx]Report'!$C$18:$P$18</c:f>
              <c:numCache>
                <c:formatCode>_-* #,##0.0\ _€_-;\-* #,##0.0\ _€_-;_-* "-"??\ _€_-;_-@_-</c:formatCode>
                <c:ptCount val="14"/>
                <c:pt idx="0">
                  <c:v>1.3245857335893605</c:v>
                </c:pt>
                <c:pt idx="1">
                  <c:v>337.0077993504492</c:v>
                </c:pt>
                <c:pt idx="2">
                  <c:v>115.48491098309746</c:v>
                </c:pt>
                <c:pt idx="3">
                  <c:v>220.66353744399402</c:v>
                </c:pt>
                <c:pt idx="4">
                  <c:v>350.85223905364722</c:v>
                </c:pt>
                <c:pt idx="5">
                  <c:v>203.48540881397719</c:v>
                </c:pt>
                <c:pt idx="6">
                  <c:v>13.52440556622336</c:v>
                </c:pt>
                <c:pt idx="7">
                  <c:v>54.725837422658415</c:v>
                </c:pt>
                <c:pt idx="8">
                  <c:v>632.15928217528381</c:v>
                </c:pt>
                <c:pt idx="9">
                  <c:v>212.20041248844322</c:v>
                </c:pt>
                <c:pt idx="10">
                  <c:v>20.402176232131428</c:v>
                </c:pt>
                <c:pt idx="11">
                  <c:v>287.98627409145865</c:v>
                </c:pt>
                <c:pt idx="12">
                  <c:v>65.224735082853286</c:v>
                </c:pt>
                <c:pt idx="13">
                  <c:v>33.612474219472297</c:v>
                </c:pt>
              </c:numCache>
            </c:numRef>
          </c:val>
        </c:ser>
        <c:ser>
          <c:idx val="4"/>
          <c:order val="3"/>
          <c:tx>
            <c:strRef>
              <c:f>'[Eksportuota matricinė lentelė (70).xlsx]Report'!$B$19</c:f>
              <c:strCache>
                <c:ptCount val="1"/>
                <c:pt idx="0">
                  <c:v>Kauno m. sav. (2013)</c:v>
                </c:pt>
              </c:strCache>
            </c:strRef>
          </c:tx>
          <c:spPr>
            <a:solidFill xmlns:a="http://schemas.openxmlformats.org/drawingml/2006/main">
              <a:schemeClr val="accent2">
                <a:lumMod val="5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ser>
          <c:idx val="6"/>
          <c:order val="4"/>
          <c:tx>
            <c:strRef>
              <c:f>'[Eksportuota matricinė lentelė (70).xlsx]Report'!$B$21</c:f>
              <c:strCache>
                <c:ptCount val="1"/>
                <c:pt idx="0">
                  <c:v>Klaipėdos m. sav. (2008)</c:v>
                </c:pt>
              </c:strCache>
            </c:strRef>
          </c:tx>
          <c:spPr>
            <a:solidFill xmlns:a="http://schemas.openxmlformats.org/drawingml/2006/main">
              <a:schemeClr val="accent6">
                <a:lumMod val="40000"/>
                <a:lumOff val="6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(70).xlsx]Report'!$C$21:$P$21</c:f>
              <c:numCache>
                <c:formatCode>_-* #,##0.0\ _€_-;\-* #,##0.0\ _€_-;_-* "-"??\ _€_-;_-@_-</c:formatCode>
                <c:ptCount val="14"/>
                <c:pt idx="0">
                  <c:v>6.645621228711879</c:v>
                </c:pt>
                <c:pt idx="1">
                  <c:v>254.97984763413555</c:v>
                </c:pt>
                <c:pt idx="2">
                  <c:v>138.49800806094635</c:v>
                </c:pt>
                <c:pt idx="3">
                  <c:v>193.06082985811804</c:v>
                </c:pt>
                <c:pt idx="4">
                  <c:v>262.21955594902499</c:v>
                </c:pt>
                <c:pt idx="5">
                  <c:v>1087.95401067027</c:v>
                </c:pt>
                <c:pt idx="6">
                  <c:v>24.462409430841273</c:v>
                </c:pt>
                <c:pt idx="7">
                  <c:v>74.820026559187383</c:v>
                </c:pt>
                <c:pt idx="8">
                  <c:v>882.16107914171891</c:v>
                </c:pt>
                <c:pt idx="9">
                  <c:v>58.325373342962976</c:v>
                </c:pt>
                <c:pt idx="10">
                  <c:v>27.089206253057803</c:v>
                </c:pt>
                <c:pt idx="11">
                  <c:v>298.01039069962491</c:v>
                </c:pt>
                <c:pt idx="12">
                  <c:v>68.745194883861799</c:v>
                </c:pt>
                <c:pt idx="13">
                  <c:v>37.171213568483097</c:v>
                </c:pt>
              </c:numCache>
            </c:numRef>
          </c:val>
        </c:ser>
        <c:ser>
          <c:idx val="7"/>
          <c:order val="5"/>
          <c:tx>
            <c:strRef>
              <c:f>'[Eksportuota matricinė lentelė (70).xlsx]Report'!$B$22</c:f>
              <c:strCache>
                <c:ptCount val="1"/>
                <c:pt idx="0">
                  <c:v>Klaipėdos m. sav.</c:v>
                </c:pt>
              </c:strCache>
            </c:strRef>
          </c:tx>
          <c:spPr>
            <a:solidFill xmlns:a="http://schemas.openxmlformats.org/drawingml/2006/main">
              <a:schemeClr val="accent6">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(70).xlsx]Report'!$C$22:$P$22</c:f>
              <c:numCache>
                <c:formatCode>_-* #,##0.0\ _€_-;\-* #,##0.0\ _€_-;_-* "-"??\ _€_-;_-@_-</c:formatCode>
                <c:ptCount val="14"/>
                <c:pt idx="0">
                  <c:v>158.96987772522053</c:v>
                </c:pt>
                <c:pt idx="1">
                  <c:v>316.04642768944359</c:v>
                </c:pt>
                <c:pt idx="2">
                  <c:v>193.11943162173969</c:v>
                </c:pt>
                <c:pt idx="3">
                  <c:v>68.906998980515823</c:v>
                </c:pt>
                <c:pt idx="4">
                  <c:v>169.10772971638076</c:v>
                </c:pt>
                <c:pt idx="5">
                  <c:v>1602.8064309821875</c:v>
                </c:pt>
                <c:pt idx="6">
                  <c:v>28.577218011309309</c:v>
                </c:pt>
                <c:pt idx="7">
                  <c:v>37.777904421775169</c:v>
                </c:pt>
                <c:pt idx="8">
                  <c:v>238.3186742906353</c:v>
                </c:pt>
                <c:pt idx="9">
                  <c:v>35.561634467430331</c:v>
                </c:pt>
                <c:pt idx="10">
                  <c:v>30.210925577654933</c:v>
                </c:pt>
                <c:pt idx="11">
                  <c:v>239.43314146767727</c:v>
                </c:pt>
                <c:pt idx="12">
                  <c:v>108.42625836641908</c:v>
                </c:pt>
                <c:pt idx="13">
                  <c:v>17.204587045585509</c:v>
                </c:pt>
              </c:numCache>
            </c:numRef>
          </c:val>
        </c:ser>
        <c:ser>
          <c:idx val="9"/>
          <c:order val="6"/>
          <c:tx>
            <c:strRef>
              <c:f>'[Eksportuota matricinė lentelė (70).xlsx]Report'!$B$24</c:f>
              <c:strCache>
                <c:ptCount val="1"/>
                <c:pt idx="0">
                  <c:v>Panevėžio m. sav. (2008)</c:v>
                </c:pt>
              </c:strCache>
            </c:strRef>
          </c:tx>
          <c:spPr>
            <a:solidFill xmlns:a="http://schemas.openxmlformats.org/drawingml/2006/main">
              <a:schemeClr val="accent4">
                <a:lumMod val="40000"/>
                <a:lumOff val="6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(70).xlsx]Report'!$C$24:$P$24</c:f>
              <c:numCache>
                <c:formatCode>_-* #,##0.0\ _€_-;\-* #,##0.0\ _€_-;_-* "-"??\ _€_-;_-@_-</c:formatCode>
                <c:ptCount val="14"/>
                <c:pt idx="0">
                  <c:v>14.899095074022187</c:v>
                </c:pt>
                <c:pt idx="1">
                  <c:v>440.61186626784291</c:v>
                </c:pt>
                <c:pt idx="2">
                  <c:v>249.40365756692287</c:v>
                </c:pt>
                <c:pt idx="3">
                  <c:v>98.377569951913969</c:v>
                </c:pt>
                <c:pt idx="4">
                  <c:v>311.48006512437996</c:v>
                </c:pt>
                <c:pt idx="5">
                  <c:v>257.09931467948962</c:v>
                </c:pt>
                <c:pt idx="6">
                  <c:v>17.58736889932225</c:v>
                </c:pt>
                <c:pt idx="7">
                  <c:v>41.668244292150995</c:v>
                </c:pt>
                <c:pt idx="8">
                  <c:v>465.3742758699027</c:v>
                </c:pt>
                <c:pt idx="9">
                  <c:v>19.963272878724773</c:v>
                </c:pt>
                <c:pt idx="10">
                  <c:v>42.700011358903488</c:v>
                </c:pt>
                <c:pt idx="11">
                  <c:v>433.47468857672936</c:v>
                </c:pt>
                <c:pt idx="12">
                  <c:v>57.012229752754536</c:v>
                </c:pt>
                <c:pt idx="13">
                  <c:v>13.905191018893643</c:v>
                </c:pt>
              </c:numCache>
            </c:numRef>
          </c:val>
        </c:ser>
        <c:ser>
          <c:idx val="10"/>
          <c:order val="7"/>
          <c:tx>
            <c:strRef>
              <c:f>'[Eksportuota matricinė lentelė (70).xlsx]Report'!$B$25</c:f>
              <c:strCache>
                <c:ptCount val="1"/>
                <c:pt idx="0">
                  <c:v>Panevėžio m. sav. (2013)</c:v>
                </c:pt>
              </c:strCache>
            </c:strRef>
          </c:tx>
          <c:spPr>
            <a:solidFill xmlns:a="http://schemas.openxmlformats.org/drawingml/2006/main">
              <a:schemeClr val="accent4">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(70).xlsx]Report'!$C$25:$P$25</c:f>
              <c:numCache>
                <c:formatCode>_-* #,##0.0\ _€_-;\-* #,##0.0\ _€_-;_-* "-"??\ _€_-;_-@_-</c:formatCode>
                <c:ptCount val="14"/>
                <c:pt idx="0">
                  <c:v>17.090751373456154</c:v>
                </c:pt>
                <c:pt idx="1">
                  <c:v>662.50154901069845</c:v>
                </c:pt>
                <c:pt idx="2">
                  <c:v>403.21781155768514</c:v>
                </c:pt>
                <c:pt idx="3">
                  <c:v>87.519104465281515</c:v>
                </c:pt>
                <c:pt idx="4">
                  <c:v>117.68350613408236</c:v>
                </c:pt>
                <c:pt idx="5">
                  <c:v>125.76934198025528</c:v>
                </c:pt>
                <c:pt idx="6">
                  <c:v>6.4851914577223342</c:v>
                </c:pt>
                <c:pt idx="7">
                  <c:v>23.483002189268454</c:v>
                </c:pt>
                <c:pt idx="8">
                  <c:v>149.58279978520386</c:v>
                </c:pt>
                <c:pt idx="9">
                  <c:v>26.075013424759387</c:v>
                </c:pt>
                <c:pt idx="10">
                  <c:v>21.717129992977821</c:v>
                </c:pt>
                <c:pt idx="11">
                  <c:v>135.74497087859888</c:v>
                </c:pt>
                <c:pt idx="12">
                  <c:v>88.644718906191912</c:v>
                </c:pt>
                <c:pt idx="13">
                  <c:v>6.4438845057623197</c:v>
                </c:pt>
              </c:numCache>
            </c:numRef>
          </c:val>
        </c:ser>
        <c:ser>
          <c:idx val="12"/>
          <c:order val="8"/>
          <c:tx>
            <c:strRef>
              <c:f>'[Eksportuota matricinė lentelė (70).xlsx]Report'!$B$27</c:f>
              <c:strCache>
                <c:ptCount val="1"/>
                <c:pt idx="0">
                  <c:v>Šiaulių m. sav. (2008)</c:v>
                </c:pt>
              </c:strCache>
            </c:strRef>
          </c:tx>
          <c:spPr>
            <a:solidFill xmlns:a="http://schemas.openxmlformats.org/drawingml/2006/main">
              <a:schemeClr val="accent1">
                <a:tint val="69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(70).xlsx]Report'!$C$27:$P$27</c:f>
              <c:numCache>
                <c:formatCode>_-* #,##0.0\ _€_-;\-* #,##0.0\ _€_-;_-* "-"??\ _€_-;_-@_-</c:formatCode>
                <c:ptCount val="14"/>
                <c:pt idx="0">
                  <c:v>5.1789117448488629</c:v>
                </c:pt>
                <c:pt idx="1">
                  <c:v>292.19830275268561</c:v>
                </c:pt>
                <c:pt idx="2">
                  <c:v>88.408980198781336</c:v>
                </c:pt>
                <c:pt idx="3">
                  <c:v>218.75347183646264</c:v>
                </c:pt>
                <c:pt idx="4">
                  <c:v>232.2049686786938</c:v>
                </c:pt>
                <c:pt idx="5">
                  <c:v>220.11229521506158</c:v>
                </c:pt>
                <c:pt idx="6">
                  <c:v>14.365925153615411</c:v>
                </c:pt>
                <c:pt idx="7">
                  <c:v>54.57513267756574</c:v>
                </c:pt>
                <c:pt idx="8">
                  <c:v>469.44356609949324</c:v>
                </c:pt>
                <c:pt idx="9">
                  <c:v>14.86159657473956</c:v>
                </c:pt>
                <c:pt idx="10">
                  <c:v>105.65492723030773</c:v>
                </c:pt>
                <c:pt idx="11">
                  <c:v>675.97617358755008</c:v>
                </c:pt>
                <c:pt idx="12">
                  <c:v>67.257484211156026</c:v>
                </c:pt>
                <c:pt idx="13">
                  <c:v>36.910428755779272</c:v>
                </c:pt>
              </c:numCache>
            </c:numRef>
          </c:val>
        </c:ser>
        <c:ser>
          <c:idx val="13"/>
          <c:order val="9"/>
          <c:tx>
            <c:strRef>
              <c:f>'[Eksportuota matricinė lentelė (70).xlsx]Report'!$B$28</c:f>
              <c:strCache>
                <c:ptCount val="1"/>
                <c:pt idx="0">
                  <c:v>Šiaulių m. sav. (2013)</c:v>
                </c:pt>
              </c:strCache>
            </c:strRef>
          </c:tx>
          <c:spPr>
            <a:solidFill xmlns:a="http://schemas.openxmlformats.org/drawingml/2006/main">
              <a:schemeClr val="accent1">
                <a:tint val="62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(70).xlsx]Report'!$C$28:$P$28</c:f>
              <c:numCache>
                <c:formatCode>_-* #,##0.0\ _€_-;\-* #,##0.0\ _€_-;_-* "-"??\ _€_-;_-@_-</c:formatCode>
                <c:ptCount val="14"/>
                <c:pt idx="0">
                  <c:v>3.6967182195397963</c:v>
                </c:pt>
                <c:pt idx="1">
                  <c:v>247.98189362504715</c:v>
                </c:pt>
                <c:pt idx="2">
                  <c:v>110.14711429649189</c:v>
                </c:pt>
                <c:pt idx="3">
                  <c:v>62.580158430780841</c:v>
                </c:pt>
                <c:pt idx="4">
                  <c:v>240.7959260656356</c:v>
                </c:pt>
                <c:pt idx="5">
                  <c:v>340.18294983025271</c:v>
                </c:pt>
                <c:pt idx="6">
                  <c:v>5.7053941908713686</c:v>
                </c:pt>
                <c:pt idx="7">
                  <c:v>26.94266314598265</c:v>
                </c:pt>
                <c:pt idx="8">
                  <c:v>209.42097321765371</c:v>
                </c:pt>
                <c:pt idx="9">
                  <c:v>8.345907204828368</c:v>
                </c:pt>
                <c:pt idx="10">
                  <c:v>71.444737834779318</c:v>
                </c:pt>
                <c:pt idx="11">
                  <c:v>112.31610712938514</c:v>
                </c:pt>
                <c:pt idx="12">
                  <c:v>79.073934364390794</c:v>
                </c:pt>
                <c:pt idx="13">
                  <c:v>11.740852508487363</c:v>
                </c:pt>
              </c:numCache>
            </c:numRef>
          </c:val>
        </c:ser>
        <c:ser>
          <c:idx val="15"/>
          <c:order val="10"/>
          <c:tx>
            <c:strRef>
              <c:f>'[Eksportuota matricinė lentelė (70).xlsx]Report'!$B$30</c:f>
              <c:strCache>
                <c:ptCount val="1"/>
                <c:pt idx="0">
                  <c:v>Vilniaus m. sav. (2008)</c:v>
                </c:pt>
              </c:strCache>
            </c:strRef>
          </c:tx>
          <c:spPr>
            <a:solidFill xmlns:a="http://schemas.openxmlformats.org/drawingml/2006/main">
              <a:schemeClr val="bg2">
                <a:lumMod val="75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(70).xlsx]Report'!$C$30:$P$30</c:f>
              <c:numCache>
                <c:formatCode>_-* #,##0.0\ _€_-;\-* #,##0.0\ _€_-;_-* "-"??\ _€_-;_-@_-</c:formatCode>
                <c:ptCount val="14"/>
                <c:pt idx="0">
                  <c:v>13.968721129004598</c:v>
                </c:pt>
                <c:pt idx="1">
                  <c:v>321.00582168351212</c:v>
                </c:pt>
                <c:pt idx="2">
                  <c:v>278.60176328595952</c:v>
                </c:pt>
                <c:pt idx="3">
                  <c:v>551.09970255383257</c:v>
                </c:pt>
                <c:pt idx="4">
                  <c:v>498.85760755915271</c:v>
                </c:pt>
                <c:pt idx="5">
                  <c:v>798.8264430196042</c:v>
                </c:pt>
                <c:pt idx="6">
                  <c:v>88.00939730731001</c:v>
                </c:pt>
                <c:pt idx="7">
                  <c:v>186.05598921596288</c:v>
                </c:pt>
                <c:pt idx="8">
                  <c:v>1472.1741231054634</c:v>
                </c:pt>
                <c:pt idx="9">
                  <c:v>167.58592838056882</c:v>
                </c:pt>
                <c:pt idx="10">
                  <c:v>194.22146738879883</c:v>
                </c:pt>
                <c:pt idx="11">
                  <c:v>533.13306889576108</c:v>
                </c:pt>
                <c:pt idx="12">
                  <c:v>126.2717068394178</c:v>
                </c:pt>
                <c:pt idx="13">
                  <c:v>308.32978352631375</c:v>
                </c:pt>
              </c:numCache>
            </c:numRef>
          </c:val>
        </c:ser>
        <c:ser>
          <c:idx val="16"/>
          <c:order val="11"/>
          <c:tx>
            <c:strRef>
              <c:f>'[Eksportuota matricinė lentelė (70).xlsx]Report'!$B$31</c:f>
              <c:strCache>
                <c:ptCount val="1"/>
                <c:pt idx="0">
                  <c:v>Vilniaus m. sav. (2013)</c:v>
                </c:pt>
              </c:strCache>
            </c:strRef>
          </c:tx>
          <c:spPr>
            <a:solidFill xmlns:a="http://schemas.openxmlformats.org/drawingml/2006/main">
              <a:schemeClr val="tx2">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(70).xlsx]Report'!$C$31:$P$31</c:f>
              <c:numCache>
                <c:formatCode>_-* #,##0.0\ _€_-;\-* #,##0.0\ _€_-;_-* "-"??\ _€_-;_-@_-</c:formatCode>
                <c:ptCount val="14"/>
                <c:pt idx="0">
                  <c:v>23.670672139368165</c:v>
                </c:pt>
                <c:pt idx="1">
                  <c:v>212.56987909291831</c:v>
                </c:pt>
                <c:pt idx="2">
                  <c:v>158.97888304886428</c:v>
                </c:pt>
                <c:pt idx="3">
                  <c:v>187.19982170384267</c:v>
                </c:pt>
                <c:pt idx="4">
                  <c:v>428.77439964340766</c:v>
                </c:pt>
                <c:pt idx="5">
                  <c:v>851.57773526735139</c:v>
                </c:pt>
                <c:pt idx="6">
                  <c:v>53.115539624463722</c:v>
                </c:pt>
                <c:pt idx="7">
                  <c:v>163.96374644800625</c:v>
                </c:pt>
                <c:pt idx="8">
                  <c:v>865.91014616570396</c:v>
                </c:pt>
                <c:pt idx="9">
                  <c:v>175.24469290344149</c:v>
                </c:pt>
                <c:pt idx="10">
                  <c:v>117.65317682892855</c:v>
                </c:pt>
                <c:pt idx="11">
                  <c:v>292.25154616198949</c:v>
                </c:pt>
                <c:pt idx="12">
                  <c:v>126.43426257823673</c:v>
                </c:pt>
                <c:pt idx="13">
                  <c:v>72.486674219489998</c:v>
                </c:pt>
              </c:numCache>
            </c:numRef>
          </c:val>
        </c:ser>
        <c:dLbls>
          <c:showLegendKey val="0"/>
          <c:showVal val="0"/>
          <c:showCatName val="0"/>
          <c:showSerName val="0"/>
          <c:showPercent val="0"/>
          <c:showBubbleSize val="0"/>
        </c:dLbls>
        <c:gapWidth val="219"/>
        <c:axId val="124297984"/>
        <c:axId val="124299520"/>
        <c:extLst>
          <c:ext uri="{02D57815-91ED-43cb-92C2-25804820EDAC}">
            <c15:filteredBarSeries xmlns:c15="http://schemas.microsoft.com/office/drawing/2012/chart">
              <c15:ser>
                <c:idx val="2"/>
                <c:order val="2"/>
                <c:tx>
                  <c:strRef>
                    <c:extLst>
                      <c:ext uri="{02D57815-91ED-43cb-92C2-25804820EDAC}">
                        <c15:formulaRef>
                          <c15:sqref>'[Eksportuota matricinė lentelė (70).xlsx]Report'!$B$17</c15:sqref>
                        </c15:formulaRef>
                      </c:ext>
                    </c:extLst>
                    <c:strCache>
                      <c:ptCount val="1"/>
                    </c:strCache>
                  </c:strRef>
                </c:tx>
                <c:spPr>
                  <a:solidFill xmlns:a="http://schemas.openxmlformats.org/drawingml/2006/main">
                    <a:schemeClr val="accent1">
                      <a:shade val="53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(70).xlsx]Report'!$C$17:$P$17</c15:sqref>
                        </c15:formulaRef>
                      </c:ext>
                    </c:extLst>
                    <c:numCache>
                      <c:formatCode>General</c:formatCode>
                      <c:ptCount val="14"/>
                    </c:numCache>
                  </c:numRef>
                </c:val>
              </c15:ser>
            </c15:filteredBarSeries>
            <c15:filteredBarSeries xmlns:c15="http://schemas.microsoft.com/office/drawing/2012/chart">
              <c15:ser>
                <c:idx val="5"/>
                <c:order val="5"/>
                <c:tx>
                  <c:strRef>
                    <c:extLst>
                      <c:ext uri="{02D57815-91ED-43cb-92C2-25804820EDAC}">
                        <c15:formulaRef>
                          <c15:sqref>'[Eksportuota matricinė lentelė (70).xlsx]Report'!$B$20</c15:sqref>
                        </c15:formulaRef>
                      </c:ext>
                    </c:extLst>
                    <c:strCache>
                      <c:ptCount val="1"/>
                    </c:strCache>
                  </c:strRef>
                </c:tx>
                <c:spPr>
                  <a:solidFill xmlns:a="http://schemas.openxmlformats.org/drawingml/2006/main">
                    <a:schemeClr val="accent1">
                      <a:shade val="76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(70).xlsx]Report'!$C$20:$P$20</c15:sqref>
                        </c15:formulaRef>
                      </c:ext>
                    </c:extLst>
                    <c:numCache>
                      <c:formatCode>General</c:formatCode>
                      <c:ptCount val="14"/>
                    </c:numCache>
                  </c:numRef>
                </c:val>
              </c15:ser>
            </c15:filteredBarSeries>
            <c15:filteredBarSeries xmlns:c15="http://schemas.microsoft.com/office/drawing/2012/chart">
              <c15:ser>
                <c:idx val="8"/>
                <c:order val="8"/>
                <c:tx>
                  <c:strRef>
                    <c:extLst>
                      <c:ext uri="{02D57815-91ED-43cb-92C2-25804820EDAC}">
                        <c15:formulaRef>
                          <c15:sqref>'[Eksportuota matricinė lentelė (70).xlsx]Report'!$B$23</c15:sqref>
                        </c15:formulaRef>
                      </c:ext>
                    </c:extLst>
                    <c:strCache>
                      <c:ptCount val="1"/>
                    </c:strCache>
                  </c:strRef>
                </c:tx>
                <c:spPr>
                  <a:solidFill xmlns:a="http://schemas.openxmlformats.org/drawingml/2006/main">
                    <a:schemeClr val="accent1"/>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(70).xlsx]Report'!$C$23:$P$23</c15:sqref>
                        </c15:formulaRef>
                      </c:ext>
                    </c:extLst>
                    <c:numCache>
                      <c:formatCode>General</c:formatCode>
                      <c:ptCount val="14"/>
                    </c:numCache>
                  </c:numRef>
                </c:val>
              </c15:ser>
            </c15:filteredBarSeries>
            <c15:filteredBarSeries xmlns:c15="http://schemas.microsoft.com/office/drawing/2012/chart">
              <c15:ser>
                <c:idx val="11"/>
                <c:order val="11"/>
                <c:tx>
                  <c:strRef>
                    <c:extLst>
                      <c:ext uri="{02D57815-91ED-43cb-92C2-25804820EDAC}">
                        <c15:formulaRef>
                          <c15:sqref>'[Eksportuota matricinė lentelė (70).xlsx]Report'!$B$26</c15:sqref>
                        </c15:formulaRef>
                      </c:ext>
                    </c:extLst>
                    <c:strCache>
                      <c:ptCount val="1"/>
                    </c:strCache>
                  </c:strRef>
                </c:tx>
                <c:spPr>
                  <a:solidFill xmlns:a="http://schemas.openxmlformats.org/drawingml/2006/main">
                    <a:schemeClr val="accent1">
                      <a:tint val="77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(70).xlsx]Report'!$C$26:$P$26</c15:sqref>
                        </c15:formulaRef>
                      </c:ext>
                    </c:extLst>
                    <c:numCache>
                      <c:formatCode>General</c:formatCode>
                      <c:ptCount val="14"/>
                    </c:numCache>
                  </c:numRef>
                </c:val>
              </c15:ser>
            </c15:filteredBarSeries>
            <c15:filteredBarSeries xmlns:c15="http://schemas.microsoft.com/office/drawing/2012/chart">
              <c15:ser>
                <c:idx val="14"/>
                <c:order val="14"/>
                <c:tx>
                  <c:strRef>
                    <c:extLst>
                      <c:ext uri="{02D57815-91ED-43cb-92C2-25804820EDAC}">
                        <c15:formulaRef>
                          <c15:sqref>'[Eksportuota matricinė lentelė (70).xlsx]Report'!$B$29</c15:sqref>
                        </c15:formulaRef>
                      </c:ext>
                    </c:extLst>
                    <c:strCache>
                      <c:ptCount val="1"/>
                    </c:strCache>
                  </c:strRef>
                </c:tx>
                <c:spPr>
                  <a:solidFill xmlns:a="http://schemas.openxmlformats.org/drawingml/2006/main">
                    <a:schemeClr val="accent1">
                      <a:tint val="54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(70).xlsx]Report'!$C$29:$P$29</c15:sqref>
                        </c15:formulaRef>
                      </c:ext>
                    </c:extLst>
                    <c:numCache>
                      <c:formatCode>General</c:formatCode>
                      <c:ptCount val="14"/>
                    </c:numCache>
                  </c:numRef>
                </c:val>
              </c15:ser>
            </c15:filteredBarSeries>
          </c:ext>
        </c:extLst>
      </c:barChart>
      <c:lineChart>
        <c:grouping val="standard"/>
        <c:varyColors val="0"/>
        <c:ser>
          <c:idx val="0"/>
          <c:order val="0"/>
          <c:tx>
            <c:strRef>
              <c:f>'[Eksportuota matricinė lentelė (70).xlsx]Report'!$B$15</c:f>
              <c:strCache>
                <c:ptCount val="1"/>
                <c:pt idx="0">
                  <c:v>Lietuvos Respublika (2008)</c:v>
                </c:pt>
              </c:strCache>
            </c:strRef>
          </c:tx>
          <c:spPr>
            <a:ln xmlns:a="http://schemas.openxmlformats.org/drawingml/2006/main" w="28575" cap="rnd">
              <a:solidFill>
                <a:schemeClr val="accent1">
                  <a:shade val="37000"/>
                </a:schemeClr>
              </a:solidFill>
              <a:prstDash val="sysDot"/>
              <a:round/>
            </a:ln>
            <a:effectLst xmlns:a="http://schemas.openxmlformats.org/drawingml/2006/main"/>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(70).xlsx]Report'!$C$15:$P$15</c:f>
              <c:numCache>
                <c:formatCode>_-* #,##0.0\ _€_-;\-* #,##0.0\ _€_-;_-* "-"??\ _€_-;_-@_-</c:formatCode>
                <c:ptCount val="14"/>
                <c:pt idx="0">
                  <c:v>60.341169852959339</c:v>
                </c:pt>
                <c:pt idx="1">
                  <c:v>329.46900958686228</c:v>
                </c:pt>
                <c:pt idx="2">
                  <c:v>175.81312919548338</c:v>
                </c:pt>
                <c:pt idx="3">
                  <c:v>184.21933875320451</c:v>
                </c:pt>
                <c:pt idx="4">
                  <c:v>254.83243705661036</c:v>
                </c:pt>
                <c:pt idx="5">
                  <c:v>292.08709439687124</c:v>
                </c:pt>
                <c:pt idx="6">
                  <c:v>32.704954707774391</c:v>
                </c:pt>
                <c:pt idx="7">
                  <c:v>53.234115984742814</c:v>
                </c:pt>
                <c:pt idx="8">
                  <c:v>529.440806495841</c:v>
                </c:pt>
                <c:pt idx="9">
                  <c:v>66.114986691080162</c:v>
                </c:pt>
                <c:pt idx="10">
                  <c:v>49.250976555477074</c:v>
                </c:pt>
                <c:pt idx="11">
                  <c:v>455.99364148493339</c:v>
                </c:pt>
                <c:pt idx="12">
                  <c:v>52.256700657332132</c:v>
                </c:pt>
                <c:pt idx="13">
                  <c:v>68.425326375737086</c:v>
                </c:pt>
              </c:numCache>
            </c:numRef>
          </c:val>
          <c:smooth val="0"/>
        </c:ser>
        <c:ser>
          <c:idx val="1"/>
          <c:order val="1"/>
          <c:tx>
            <c:strRef>
              <c:f>'[Eksportuota matricinė lentelė (70).xlsx]Report'!$B$16</c:f>
              <c:strCache>
                <c:ptCount val="1"/>
                <c:pt idx="0">
                  <c:v>Lietuvos Respublika (2013)</c:v>
                </c:pt>
              </c:strCache>
            </c:strRef>
          </c:tx>
          <c:spPr>
            <a:ln xmlns:a="http://schemas.openxmlformats.org/drawingml/2006/main" w="28575" cap="rnd">
              <a:solidFill>
                <a:schemeClr val="accent1">
                  <a:shade val="45000"/>
                </a:schemeClr>
              </a:solidFill>
              <a:round/>
            </a:ln>
            <a:effectLst xmlns:a="http://schemas.openxmlformats.org/drawingml/2006/main"/>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(70).xlsx]Report'!$C$16:$P$16</c:f>
              <c:numCache>
                <c:formatCode>_-* #,##0.0\ _€_-;\-* #,##0.0\ _€_-;_-* "-"??\ _€_-;_-@_-</c:formatCode>
                <c:ptCount val="14"/>
                <c:pt idx="0">
                  <c:v>95.045489907830074</c:v>
                </c:pt>
                <c:pt idx="1">
                  <c:v>253.84311873222643</c:v>
                </c:pt>
                <c:pt idx="2">
                  <c:v>201.2365059341939</c:v>
                </c:pt>
                <c:pt idx="3">
                  <c:v>72.941407970885365</c:v>
                </c:pt>
                <c:pt idx="4">
                  <c:v>182.11718676304372</c:v>
                </c:pt>
                <c:pt idx="5">
                  <c:v>348.57755497619928</c:v>
                </c:pt>
                <c:pt idx="6">
                  <c:v>18.963454237413064</c:v>
                </c:pt>
                <c:pt idx="7">
                  <c:v>45.172768333655092</c:v>
                </c:pt>
                <c:pt idx="8">
                  <c:v>321.04119128143628</c:v>
                </c:pt>
                <c:pt idx="9">
                  <c:v>49.027805154632553</c:v>
                </c:pt>
                <c:pt idx="10">
                  <c:v>43.243897515932204</c:v>
                </c:pt>
                <c:pt idx="11">
                  <c:v>287.60968445296311</c:v>
                </c:pt>
                <c:pt idx="12">
                  <c:v>65.11502730679257</c:v>
                </c:pt>
                <c:pt idx="13">
                  <c:v>22.316071770899512</c:v>
                </c:pt>
              </c:numCache>
            </c:numRef>
          </c:val>
          <c:smooth val="0"/>
        </c:ser>
        <c:dLbls>
          <c:showLegendKey val="0"/>
          <c:showVal val="0"/>
          <c:showCatName val="0"/>
          <c:showSerName val="0"/>
          <c:showPercent val="0"/>
          <c:showBubbleSize val="0"/>
        </c:dLbls>
        <c:marker val="1"/>
        <c:smooth val="0"/>
        <c:axId val="124297984"/>
        <c:axId val="124299520"/>
      </c:lineChart>
      <c:catAx>
        <c:axId val="12429798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4299520"/>
        <c:crosses val="autoZero"/>
        <c:auto val="1"/>
        <c:lblAlgn val="ctr"/>
        <c:lblOffset val="100"/>
        <c:noMultiLvlLbl val="0"/>
      </c:catAx>
      <c:valAx>
        <c:axId val="12429952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_-* #,##0.0\ _€_-;\-* #,##0.0\ _€_-;_-* &quot;-&quot;??\ _€_-;_-@_-"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429798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955631399317405E-2"/>
          <c:y val="0.14011007805803311"/>
          <c:w val="0.92662116040955633"/>
          <c:h val="0.75549551894037459"/>
        </c:manualLayout>
      </c:layout>
      <c:lineChart>
        <c:grouping val="standard"/>
        <c:varyColors val="0"/>
        <c:ser>
          <c:idx val="0"/>
          <c:order val="0"/>
          <c:tx>
            <c:strRef>
              <c:f>'Ilgalaikiai demo pokyčiai'!$B$99</c:f>
              <c:strCache>
                <c:ptCount val="1"/>
                <c:pt idx="0">
                  <c:v>Lietuvos Respublika</c:v>
                </c:pt>
              </c:strCache>
            </c:strRef>
          </c:tx>
          <c:spPr>
            <a:ln xmlns:a="http://schemas.openxmlformats.org/drawingml/2006/main" w="38100">
              <a:solidFill>
                <a:schemeClr val="accent5">
                  <a:lumMod val="50000"/>
                </a:schemeClr>
              </a:solidFill>
              <a:prstDash val="sys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pokyčiai'!$C$99:$U$99</c:f>
              <c:numCache>
                <c:formatCode>0.0%</c:formatCode>
                <c:ptCount val="19"/>
                <c:pt idx="0">
                  <c:v>-7.5234868660537749E-3</c:v>
                </c:pt>
                <c:pt idx="1">
                  <c:v>-7.1772315206215806E-3</c:v>
                </c:pt>
                <c:pt idx="2">
                  <c:v>-7.2594343873174927E-3</c:v>
                </c:pt>
                <c:pt idx="3">
                  <c:v>-6.8790275763410316E-3</c:v>
                </c:pt>
                <c:pt idx="4">
                  <c:v>-7.1399406732318279E-3</c:v>
                </c:pt>
                <c:pt idx="5">
                  <c:v>-9.2804756412249167E-3</c:v>
                </c:pt>
                <c:pt idx="6">
                  <c:v>-6.6982435491775268E-3</c:v>
                </c:pt>
                <c:pt idx="7">
                  <c:v>-9.4909014928469988E-3</c:v>
                </c:pt>
                <c:pt idx="8">
                  <c:v>-1.2859639021585918E-2</c:v>
                </c:pt>
                <c:pt idx="9">
                  <c:v>-1.9487544780968164E-2</c:v>
                </c:pt>
                <c:pt idx="10">
                  <c:v>-1.2113677433670686E-2</c:v>
                </c:pt>
                <c:pt idx="11">
                  <c:v>-1.1500983235912312E-2</c:v>
                </c:pt>
                <c:pt idx="12">
                  <c:v>-8.9488125679938867E-3</c:v>
                </c:pt>
                <c:pt idx="13">
                  <c:v>-1.3153861229904871E-2</c:v>
                </c:pt>
                <c:pt idx="14">
                  <c:v>-2.8449612600478173E-2</c:v>
                </c:pt>
                <c:pt idx="15">
                  <c:v>-1.6034590976574632E-2</c:v>
                </c:pt>
                <c:pt idx="16">
                  <c:v>-1.0565843254902967E-2</c:v>
                </c:pt>
                <c:pt idx="17">
                  <c:v>-9.5672640949155518E-3</c:v>
                </c:pt>
                <c:pt idx="18">
                  <c:v>-7.5455108796686366E-3</c:v>
                </c:pt>
              </c:numCache>
            </c:numRef>
          </c:val>
          <c:smooth val="0"/>
        </c:ser>
        <c:ser>
          <c:idx val="1"/>
          <c:order val="1"/>
          <c:tx>
            <c:strRef>
              <c:f>'Ilgalaikiai demo pokyčiai'!$B$100</c:f>
              <c:strCache>
                <c:ptCount val="1"/>
                <c:pt idx="0">
                  <c:v>Kauno m. sav.</c:v>
                </c:pt>
              </c:strCache>
            </c:strRef>
          </c:tx>
          <c:spPr>
            <a:ln xmlns:a="http://schemas.openxmlformats.org/drawingml/2006/main" w="38100">
              <a:solidFill>
                <a:srgbClr val="ED7D31"/>
              </a:solidFill>
              <a:prstDash val="sysDash"/>
            </a:ln>
          </c:spPr>
          <c:marker>
            <c:symbol val="none"/>
          </c:marker>
          <c:dLbls>
            <c:dLbl>
              <c:idx val="18"/>
              <c:delete val="1"/>
              <c:extLst>
                <c:ext uri="{CE6537A1-D6FC-4f65-9D91-7224C49458BB}"/>
              </c:extLst>
            </c:dLbl>
            <c:spPr>
              <a:noFill xmlns:a="http://schemas.openxmlformats.org/drawingml/2006/main"/>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1"/>
              </c:ext>
            </c:extLst>
          </c:dLbls>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pokyčiai'!$C$100:$U$100</c:f>
              <c:numCache>
                <c:formatCode>0.0%</c:formatCode>
                <c:ptCount val="19"/>
                <c:pt idx="0">
                  <c:v>-1.6258630898494272E-2</c:v>
                </c:pt>
                <c:pt idx="1">
                  <c:v>-1.618162418140531E-2</c:v>
                </c:pt>
                <c:pt idx="2">
                  <c:v>-1.2468556837860727E-2</c:v>
                </c:pt>
                <c:pt idx="3">
                  <c:v>-1.2807745575657349E-2</c:v>
                </c:pt>
                <c:pt idx="4">
                  <c:v>-1.5336341476064519E-2</c:v>
                </c:pt>
                <c:pt idx="5">
                  <c:v>-1.4563899437986232E-2</c:v>
                </c:pt>
                <c:pt idx="6">
                  <c:v>-1.0513768921577012E-2</c:v>
                </c:pt>
                <c:pt idx="7">
                  <c:v>-1.6988888348701655E-2</c:v>
                </c:pt>
                <c:pt idx="8">
                  <c:v>-1.9227810260693718E-2</c:v>
                </c:pt>
                <c:pt idx="9">
                  <c:v>-2.3666915064686204E-2</c:v>
                </c:pt>
                <c:pt idx="10">
                  <c:v>-1.3124594698513082E-2</c:v>
                </c:pt>
                <c:pt idx="11">
                  <c:v>-1.2784503913564307E-2</c:v>
                </c:pt>
                <c:pt idx="12">
                  <c:v>-1.2199036918138039E-2</c:v>
                </c:pt>
                <c:pt idx="13">
                  <c:v>-1.744520607168307E-2</c:v>
                </c:pt>
                <c:pt idx="14">
                  <c:v>-3.7090871573274425E-2</c:v>
                </c:pt>
                <c:pt idx="15">
                  <c:v>-2.0629083036313615E-2</c:v>
                </c:pt>
                <c:pt idx="16">
                  <c:v>-1.2501086001679682E-2</c:v>
                </c:pt>
                <c:pt idx="17">
                  <c:v>-9.3714970934021535E-3</c:v>
                </c:pt>
                <c:pt idx="18">
                  <c:v>-8.733207899688171E-3</c:v>
                </c:pt>
              </c:numCache>
            </c:numRef>
          </c:val>
          <c:smooth val="0"/>
        </c:ser>
        <c:ser>
          <c:idx val="2"/>
          <c:order val="2"/>
          <c:tx>
            <c:strRef>
              <c:f>'Ilgalaikiai demo pokyčiai'!$B$101</c:f>
              <c:strCache>
                <c:ptCount val="1"/>
                <c:pt idx="0">
                  <c:v>Klaipėdos m. sav.</c:v>
                </c:pt>
              </c:strCache>
            </c:strRef>
          </c:tx>
          <c:spPr>
            <a:ln xmlns:a="http://schemas.openxmlformats.org/drawingml/2006/main" w="38100">
              <a:solidFill>
                <a:schemeClr val="accent2">
                  <a:lumMod val="60000"/>
                  <a:lumOff val="40000"/>
                </a:schemeClr>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pokyčiai'!$C$101:$U$101</c:f>
              <c:numCache>
                <c:formatCode>0.0%</c:formatCode>
                <c:ptCount val="19"/>
                <c:pt idx="0">
                  <c:v>-1.4753667333078676E-2</c:v>
                </c:pt>
                <c:pt idx="1">
                  <c:v>-1.0196220600897268E-2</c:v>
                </c:pt>
                <c:pt idx="2">
                  <c:v>-4.4765945324502232E-3</c:v>
                </c:pt>
                <c:pt idx="3">
                  <c:v>-5.2325521977741214E-3</c:v>
                </c:pt>
                <c:pt idx="4">
                  <c:v>-7.468896719644123E-3</c:v>
                </c:pt>
                <c:pt idx="5">
                  <c:v>-1.19501086844012E-2</c:v>
                </c:pt>
                <c:pt idx="6">
                  <c:v>-7.254689357868326E-3</c:v>
                </c:pt>
                <c:pt idx="7">
                  <c:v>-1.4325211316653125E-2</c:v>
                </c:pt>
                <c:pt idx="8">
                  <c:v>-1.7043964220522345E-2</c:v>
                </c:pt>
                <c:pt idx="9">
                  <c:v>-2.8574229280007843E-2</c:v>
                </c:pt>
                <c:pt idx="10">
                  <c:v>-1.6767574840228724E-2</c:v>
                </c:pt>
                <c:pt idx="11">
                  <c:v>-1.5411456818842689E-2</c:v>
                </c:pt>
                <c:pt idx="12">
                  <c:v>-1.1506433642565117E-2</c:v>
                </c:pt>
                <c:pt idx="13">
                  <c:v>-1.5026450067077137E-2</c:v>
                </c:pt>
                <c:pt idx="14">
                  <c:v>-3.1141827351993057E-2</c:v>
                </c:pt>
                <c:pt idx="15">
                  <c:v>-1.6918562536065513E-2</c:v>
                </c:pt>
                <c:pt idx="16">
                  <c:v>-9.9973773276217353E-3</c:v>
                </c:pt>
                <c:pt idx="17">
                  <c:v>-7.7960906011694132E-3</c:v>
                </c:pt>
                <c:pt idx="18">
                  <c:v>-7.3996376466100898E-3</c:v>
                </c:pt>
              </c:numCache>
            </c:numRef>
          </c:val>
          <c:smooth val="0"/>
        </c:ser>
        <c:ser>
          <c:idx val="3"/>
          <c:order val="3"/>
          <c:tx>
            <c:strRef>
              <c:f>'Ilgalaikiai demo pokyčiai'!$B$102</c:f>
              <c:strCache>
                <c:ptCount val="1"/>
                <c:pt idx="0">
                  <c:v>Panevėžio m. sav.</c:v>
                </c:pt>
              </c:strCache>
            </c:strRef>
          </c:tx>
          <c:spPr>
            <a:ln xmlns:a="http://schemas.openxmlformats.org/drawingml/2006/main" w="38100">
              <a:solidFill>
                <a:srgbClr val="FFC000"/>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pokyčiai'!$C$102:$U$102</c:f>
              <c:numCache>
                <c:formatCode>0.0%</c:formatCode>
                <c:ptCount val="19"/>
                <c:pt idx="0">
                  <c:v>-7.249020509810764E-3</c:v>
                </c:pt>
                <c:pt idx="1">
                  <c:v>-1.0281852171412139E-2</c:v>
                </c:pt>
                <c:pt idx="2">
                  <c:v>-1.1195867134842798E-2</c:v>
                </c:pt>
                <c:pt idx="3">
                  <c:v>-1.1853254747016278E-2</c:v>
                </c:pt>
                <c:pt idx="4">
                  <c:v>-1.0227516811790557E-2</c:v>
                </c:pt>
                <c:pt idx="5">
                  <c:v>-1.3162727029914532E-2</c:v>
                </c:pt>
                <c:pt idx="6">
                  <c:v>-1.1046172323671458E-2</c:v>
                </c:pt>
                <c:pt idx="7">
                  <c:v>-1.7173401753260636E-2</c:v>
                </c:pt>
                <c:pt idx="8">
                  <c:v>-2.0658388228025445E-2</c:v>
                </c:pt>
                <c:pt idx="9">
                  <c:v>-2.3475471597522723E-2</c:v>
                </c:pt>
                <c:pt idx="10">
                  <c:v>-1.4440268969345138E-2</c:v>
                </c:pt>
                <c:pt idx="11">
                  <c:v>-1.6793766272134719E-2</c:v>
                </c:pt>
                <c:pt idx="12">
                  <c:v>-1.5981970984553267E-2</c:v>
                </c:pt>
                <c:pt idx="13">
                  <c:v>-1.614611662992757E-2</c:v>
                </c:pt>
                <c:pt idx="14">
                  <c:v>-2.981542371073026E-2</c:v>
                </c:pt>
                <c:pt idx="15">
                  <c:v>-1.5575794535475423E-2</c:v>
                </c:pt>
                <c:pt idx="16">
                  <c:v>-1.1435070936030627E-2</c:v>
                </c:pt>
                <c:pt idx="17">
                  <c:v>-1.0427046628930688E-2</c:v>
                </c:pt>
                <c:pt idx="18">
                  <c:v>-1.1689228469396231E-2</c:v>
                </c:pt>
              </c:numCache>
            </c:numRef>
          </c:val>
          <c:smooth val="0"/>
        </c:ser>
        <c:ser>
          <c:idx val="4"/>
          <c:order val="4"/>
          <c:tx>
            <c:strRef>
              <c:f>'Ilgalaikiai demo pokyčiai'!$B$103</c:f>
              <c:strCache>
                <c:ptCount val="1"/>
                <c:pt idx="0">
                  <c:v>Šiaulių m. sav.</c:v>
                </c:pt>
              </c:strCache>
            </c:strRef>
          </c:tx>
          <c:spPr>
            <a:ln xmlns:a="http://schemas.openxmlformats.org/drawingml/2006/main" w="38100">
              <a:solidFill>
                <a:srgbClr val="4472C4"/>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pokyčiai'!$C$103:$U$103</c:f>
              <c:numCache>
                <c:formatCode>0.0%</c:formatCode>
                <c:ptCount val="19"/>
                <c:pt idx="0">
                  <c:v>-6.9510873031056689E-3</c:v>
                </c:pt>
                <c:pt idx="1">
                  <c:v>-9.2188258127122759E-3</c:v>
                </c:pt>
                <c:pt idx="2">
                  <c:v>-1.2444546868698508E-2</c:v>
                </c:pt>
                <c:pt idx="3">
                  <c:v>-1.1573128755615192E-2</c:v>
                </c:pt>
                <c:pt idx="4">
                  <c:v>-1.1133162659269152E-2</c:v>
                </c:pt>
                <c:pt idx="5">
                  <c:v>-1.5332159484302258E-2</c:v>
                </c:pt>
                <c:pt idx="6">
                  <c:v>-1.2206672374731962E-2</c:v>
                </c:pt>
                <c:pt idx="7">
                  <c:v>-1.9644692634582638E-2</c:v>
                </c:pt>
                <c:pt idx="8">
                  <c:v>-1.9130706936348343E-2</c:v>
                </c:pt>
                <c:pt idx="9">
                  <c:v>-2.492022973835354E-2</c:v>
                </c:pt>
                <c:pt idx="10">
                  <c:v>-1.6067279688471481E-2</c:v>
                </c:pt>
                <c:pt idx="11">
                  <c:v>-2.0312292137820941E-2</c:v>
                </c:pt>
                <c:pt idx="12">
                  <c:v>-1.3859066952957251E-2</c:v>
                </c:pt>
                <c:pt idx="13">
                  <c:v>-1.4544390512582189E-2</c:v>
                </c:pt>
                <c:pt idx="14">
                  <c:v>-4.1552407734092543E-2</c:v>
                </c:pt>
                <c:pt idx="15">
                  <c:v>-1.8761161934613843E-2</c:v>
                </c:pt>
                <c:pt idx="16">
                  <c:v>-1.1319633388739796E-2</c:v>
                </c:pt>
                <c:pt idx="17">
                  <c:v>-8.0773926927773087E-3</c:v>
                </c:pt>
                <c:pt idx="18">
                  <c:v>-9.8570211154246756E-3</c:v>
                </c:pt>
              </c:numCache>
            </c:numRef>
          </c:val>
          <c:smooth val="0"/>
        </c:ser>
        <c:ser>
          <c:idx val="5"/>
          <c:order val="5"/>
          <c:tx>
            <c:strRef>
              <c:f>'Ilgalaikiai demo pokyčiai'!$B$104</c:f>
              <c:strCache>
                <c:ptCount val="1"/>
                <c:pt idx="0">
                  <c:v>Vilniaus m. sav.</c:v>
                </c:pt>
              </c:strCache>
            </c:strRef>
          </c:tx>
          <c:spPr>
            <a:ln xmlns:a="http://schemas.openxmlformats.org/drawingml/2006/main" w="38100">
              <a:solidFill>
                <a:srgbClr val="70AD47"/>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pokyčiai'!$C$104:$U$104</c:f>
              <c:numCache>
                <c:formatCode>0.0%</c:formatCode>
                <c:ptCount val="19"/>
                <c:pt idx="0">
                  <c:v>-1.2385726414295027E-2</c:v>
                </c:pt>
                <c:pt idx="1">
                  <c:v>-9.2495325335630405E-3</c:v>
                </c:pt>
                <c:pt idx="2">
                  <c:v>-6.2345263403436411E-3</c:v>
                </c:pt>
                <c:pt idx="3">
                  <c:v>-6.2896436935519148E-3</c:v>
                </c:pt>
                <c:pt idx="4">
                  <c:v>-8.1153725018610779E-3</c:v>
                </c:pt>
                <c:pt idx="5">
                  <c:v>-6.0564948103940062E-3</c:v>
                </c:pt>
                <c:pt idx="6">
                  <c:v>-1.290559133383189E-3</c:v>
                </c:pt>
                <c:pt idx="7">
                  <c:v>-2.6971372904675103E-3</c:v>
                </c:pt>
                <c:pt idx="8">
                  <c:v>-3.5646011054637169E-3</c:v>
                </c:pt>
                <c:pt idx="9">
                  <c:v>-7.7692204991833902E-3</c:v>
                </c:pt>
                <c:pt idx="10">
                  <c:v>-1.4616837933735772E-3</c:v>
                </c:pt>
                <c:pt idx="11">
                  <c:v>-2.5104664298952251E-4</c:v>
                </c:pt>
                <c:pt idx="12">
                  <c:v>2.5350999638106631E-3</c:v>
                </c:pt>
                <c:pt idx="13">
                  <c:v>4.0886312109899458E-4</c:v>
                </c:pt>
                <c:pt idx="14">
                  <c:v>-1.3004633729203909E-2</c:v>
                </c:pt>
                <c:pt idx="15">
                  <c:v>-5.3121741676878803E-3</c:v>
                </c:pt>
                <c:pt idx="16">
                  <c:v>7.2626148788907871E-3</c:v>
                </c:pt>
                <c:pt idx="17">
                  <c:v>4.7565679733110929E-3</c:v>
                </c:pt>
                <c:pt idx="18">
                  <c:v>5.4084901622547046E-3</c:v>
                </c:pt>
              </c:numCache>
            </c:numRef>
          </c:val>
          <c:smooth val="0"/>
        </c:ser>
        <c:dLbls>
          <c:showLegendKey val="0"/>
          <c:showVal val="0"/>
          <c:showCatName val="0"/>
          <c:showSerName val="0"/>
          <c:showPercent val="0"/>
          <c:showBubbleSize val="0"/>
        </c:dLbls>
        <c:marker val="1"/>
        <c:smooth val="0"/>
        <c:axId val="100927744"/>
        <c:axId val="100945920"/>
      </c:lineChart>
      <c:catAx>
        <c:axId val="100927744"/>
        <c:scaling>
          <c:orientation val="minMax"/>
        </c:scaling>
        <c:delete val="0"/>
        <c:axPos val="b"/>
        <c:numFmt formatCode="General" sourceLinked="1"/>
        <c:majorTickMark val="none"/>
        <c:minorTickMark val="none"/>
        <c:tickLblPos val="nextTo"/>
        <c:spPr>
          <a:ln xmlns:a="http://schemas.openxmlformats.org/drawingml/2006/main" w="25400">
            <a:solidFill>
              <a:schemeClr val="accent2"/>
            </a:solidFill>
            <a:prstDash val="solid"/>
          </a:ln>
        </c:spPr>
        <c:txPr>
          <a:bodyPr xmlns:a="http://schemas.openxmlformats.org/drawingml/2006/main" rot="4800000" vert="horz"/>
          <a:lstStyle xmlns:a="http://schemas.openxmlformats.org/drawingml/2006/main"/>
          <a:p xmlns:a="http://schemas.openxmlformats.org/drawingml/2006/main">
            <a:pPr>
              <a:defRPr sz="900" b="0" i="0" u="none" strike="noStrike" baseline="0">
                <a:solidFill>
                  <a:srgbClr val="000000"/>
                </a:solidFill>
                <a:latin typeface="Calibri"/>
                <a:ea typeface="Calibri"/>
                <a:cs typeface="Calibri"/>
              </a:defRPr>
            </a:pPr>
            <a:endParaRPr lang="lt-LT"/>
          </a:p>
        </c:txPr>
        <c:crossAx val="100945920"/>
        <c:crossesAt val="0"/>
        <c:auto val="1"/>
        <c:lblAlgn val="ctr"/>
        <c:lblOffset val="100"/>
        <c:tickLblSkip val="1"/>
        <c:tickMarkSkip val="1"/>
        <c:noMultiLvlLbl val="0"/>
      </c:catAx>
      <c:valAx>
        <c:axId val="100945920"/>
        <c:scaling>
          <c:orientation val="minMax"/>
        </c:scaling>
        <c:delete val="0"/>
        <c:axPos val="l"/>
        <c:majorGridlines>
          <c:spPr>
            <a:ln xmlns:a="http://schemas.openxmlformats.org/drawingml/2006/main" w="12700">
              <a:solidFill>
                <a:srgbClr val="D9D9D9"/>
              </a:solidFill>
              <a:prstDash val="solid"/>
            </a:ln>
          </c:spPr>
        </c:majorGridlines>
        <c:numFmt formatCode="0.0%" sourceLinked="1"/>
        <c:majorTickMark val="none"/>
        <c:minorTickMark val="none"/>
        <c:tickLblPos val="nextTo"/>
        <c:spPr>
          <a:ln xmlns:a="http://schemas.openxmlformats.org/drawingml/2006/main" w="6350">
            <a:noFill/>
          </a:ln>
        </c:spPr>
        <c:txPr>
          <a:bodyPr xmlns:a="http://schemas.openxmlformats.org/drawingml/2006/main" rot="4800000" vert="horz"/>
          <a:lstStyle xmlns:a="http://schemas.openxmlformats.org/drawingml/2006/main"/>
          <a:p xmlns:a="http://schemas.openxmlformats.org/drawingml/2006/main">
            <a:pPr>
              <a:defRPr sz="900" b="0" i="0" u="none" strike="noStrike" baseline="0">
                <a:solidFill>
                  <a:srgbClr val="000000"/>
                </a:solidFill>
                <a:latin typeface="Calibri"/>
                <a:ea typeface="Calibri"/>
                <a:cs typeface="Calibri"/>
              </a:defRPr>
            </a:pPr>
            <a:endParaRPr lang="lt-LT"/>
          </a:p>
        </c:txPr>
        <c:crossAx val="100927744"/>
        <c:crossesAt val="1"/>
        <c:crossBetween val="midCat"/>
      </c:valAx>
      <c:spPr>
        <a:noFill xmlns:a="http://schemas.openxmlformats.org/drawingml/2006/main"/>
        <a:ln xmlns:a="http://schemas.openxmlformats.org/drawingml/2006/main" w="25400">
          <a:noFill/>
        </a:ln>
      </c:spPr>
    </c:plotArea>
    <c:legend>
      <c:legendPos val="b"/>
      <c:layout>
        <c:manualLayout>
          <c:xMode val="edge"/>
          <c:yMode val="edge"/>
          <c:x val="0.14761092150170649"/>
          <c:y val="0.92582541775602267"/>
          <c:w val="0.71245733788395904"/>
          <c:h val="5.7692385082719518E-2"/>
        </c:manualLayout>
      </c:layout>
      <c:overlay val="0"/>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sz="82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xmlns:a="http://schemas.openxmlformats.org/drawingml/2006/main">
      <a:srgbClr val="FFFFFF"/>
    </a:solidFill>
    <a:ln xmlns:a="http://schemas.openxmlformats.org/drawingml/2006/main" w="12700">
      <a:solidFill>
        <a:srgbClr val="D9D9D9"/>
      </a:solidFill>
      <a:prstDash val="solid"/>
    </a:ln>
  </c:spPr>
  <c:txPr>
    <a:bodyPr xmlns:a="http://schemas.openxmlformats.org/drawingml/2006/main"/>
    <a:lstStyle xmlns:a="http://schemas.openxmlformats.org/drawingml/2006/main"/>
    <a:p xmlns:a="http://schemas.openxmlformats.org/drawingml/2006/main">
      <a:pPr>
        <a:defRPr sz="1000" b="0" i="0" u="none" strike="noStrike" baseline="0">
          <a:solidFill>
            <a:srgbClr val="000000"/>
          </a:solidFill>
          <a:latin typeface="Arial"/>
          <a:ea typeface="Arial"/>
          <a:cs typeface="Arial"/>
        </a:defRPr>
      </a:pPr>
      <a:endParaRPr lang="lt-LT"/>
    </a:p>
  </c:txPr>
  <c:externalData xmlns:r="http://schemas.openxmlformats.org/officeDocument/2006/relationships" r:id="rId1">
    <c:autoUpdate val="0"/>
  </c:externalData>
</c:chartSpace>
</file>

<file path=word/charts/chart3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'[Eksportuota matricinė lentelė (70).xlsx]Report'!$B$19</c:f>
              <c:strCache>
                <c:ptCount val="1"/>
                <c:pt idx="0">
                  <c:v>Kauno m. sav. (2013)</c:v>
                </c:pt>
              </c:strCache>
            </c:strRef>
          </c:tx>
          <c:dPt>
            <c:idx val="0"/>
            <c:bubble3D val="0"/>
            <c:spPr>
              <a:solidFill xmlns:a="http://schemas.openxmlformats.org/drawingml/2006/main">
                <a:schemeClr val="accent1"/>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
            <c:bubble3D val="0"/>
            <c:spPr>
              <a:solidFill xmlns:a="http://schemas.openxmlformats.org/drawingml/2006/main">
                <a:schemeClr val="accent2"/>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2"/>
            <c:bubble3D val="0"/>
            <c:spPr>
              <a:solidFill xmlns:a="http://schemas.openxmlformats.org/drawingml/2006/main">
                <a:schemeClr val="accent3"/>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3"/>
            <c:bubble3D val="0"/>
            <c:spPr>
              <a:solidFill xmlns:a="http://schemas.openxmlformats.org/drawingml/2006/main">
                <a:schemeClr val="accent4"/>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4"/>
            <c:bubble3D val="0"/>
            <c:spPr>
              <a:solidFill xmlns:a="http://schemas.openxmlformats.org/drawingml/2006/main">
                <a:schemeClr val="accent5"/>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5"/>
            <c:bubble3D val="0"/>
            <c:spPr>
              <a:solidFill xmlns:a="http://schemas.openxmlformats.org/drawingml/2006/main">
                <a:schemeClr val="accent6"/>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6"/>
            <c:bubble3D val="0"/>
            <c:spPr>
              <a:solidFill xmlns:a="http://schemas.openxmlformats.org/drawingml/2006/main">
                <a:schemeClr val="accent1">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7"/>
            <c:bubble3D val="0"/>
            <c:spPr>
              <a:solidFill xmlns:a="http://schemas.openxmlformats.org/drawingml/2006/main">
                <a:schemeClr val="accent2">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8"/>
            <c:bubble3D val="0"/>
            <c:spPr>
              <a:solidFill xmlns:a="http://schemas.openxmlformats.org/drawingml/2006/main">
                <a:schemeClr val="accent3">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9"/>
            <c:bubble3D val="0"/>
            <c:spPr>
              <a:solidFill xmlns:a="http://schemas.openxmlformats.org/drawingml/2006/main">
                <a:schemeClr val="accent4">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0"/>
            <c:bubble3D val="0"/>
            <c:spPr>
              <a:solidFill xmlns:a="http://schemas.openxmlformats.org/drawingml/2006/main">
                <a:schemeClr val="accent5">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1"/>
            <c:bubble3D val="0"/>
            <c:spPr>
              <a:solidFill xmlns:a="http://schemas.openxmlformats.org/drawingml/2006/main">
                <a:schemeClr val="accent6">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2"/>
            <c:bubble3D val="0"/>
            <c:spPr>
              <a:solidFill xmlns:a="http://schemas.openxmlformats.org/drawingml/2006/main">
                <a:schemeClr val="accent1">
                  <a:lumMod val="80000"/>
                  <a:lumOff val="2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3"/>
            <c:bubble3D val="0"/>
            <c:spPr>
              <a:solidFill xmlns:a="http://schemas.openxmlformats.org/drawingml/2006/main">
                <a:schemeClr val="accent2">
                  <a:lumMod val="80000"/>
                  <a:lumOff val="2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Lbls>
            <c:spPr>
              <a:pattFill xmlns:a="http://schemas.openxmlformats.org/drawingml/2006/main" prst="pct75">
                <a:fgClr>
                  <a:sysClr val="windowText" lastClr="000000">
                    <a:lumMod val="75000"/>
                    <a:lumOff val="25000"/>
                  </a:sysClr>
                </a:fgClr>
                <a:bgClr>
                  <a:sysClr val="windowText" lastClr="000000">
                    <a:lumMod val="65000"/>
                    <a:lumOff val="35000"/>
                  </a:sysClr>
                </a:bgClr>
              </a:pattFill>
              <a:ln xmlns:a="http://schemas.openxmlformats.org/drawingml/2006/main">
                <a:noFill/>
              </a:ln>
              <a:effectLst xmlns:a="http://schemas.openxmlformats.org/drawingml/2006/main">
                <a:outerShdw blurRad="50800" dist="38100" dir="2700000" algn="tl" rotWithShape="0">
                  <a:prstClr val="black">
                    <a:alpha val="40000"/>
                  </a:prstClr>
                </a:outerShdw>
              </a:effectLst>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1000" b="1" i="0" u="none" strike="noStrike" kern="1200" baseline="0">
                    <a:solidFill>
                      <a:schemeClr val="lt1"/>
                    </a:solidFill>
                    <a:latin typeface="+mn-lt"/>
                    <a:ea typeface="+mn-ea"/>
                    <a:cs typeface="+mn-cs"/>
                  </a:defRPr>
                </a:pPr>
                <a:endParaRPr lang="lt-LT"/>
              </a:p>
            </c:txPr>
            <c:showLegendKey val="1"/>
            <c:showVal val="0"/>
            <c:showCatName val="0"/>
            <c:showSerName val="0"/>
            <c:showPercent val="1"/>
            <c:showBubbleSize val="0"/>
            <c:showLeaderLines val="1"/>
            <c:leaderLines>
              <c:spPr>
                <a:ln xmlns:a="http://schemas.openxmlformats.org/drawingml/2006/main" w="9525">
                  <a:solidFill>
                    <a:schemeClr val="dk1">
                      <a:lumMod val="50000"/>
                      <a:lumOff val="50000"/>
                    </a:schemeClr>
                  </a:solidFill>
                </a:ln>
                <a:effectLst xmlns:a="http://schemas.openxmlformats.org/drawingml/2006/main"/>
              </c:spPr>
            </c:leaderLines>
            <c:extLst>
              <c:ext uri="{CE6537A1-D6FC-4f65-9D91-7224C49458BB}"/>
            </c:extLst>
          </c:dLbls>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dLbls>
          <c:showLegendKey val="0"/>
          <c:showVal val="0"/>
          <c:showCatName val="0"/>
          <c:showSerName val="0"/>
          <c:showPercent val="1"/>
          <c:showBubbleSize val="0"/>
          <c:showLeaderLines val="1"/>
        </c:dLbls>
        <c:firstSliceAng val="0"/>
        <c:holeSize val="50"/>
      </c:doughnutChart>
      <c:spPr>
        <a:noFill xmlns:a="http://schemas.openxmlformats.org/drawingml/2006/main"/>
        <a:ln xmlns:a="http://schemas.openxmlformats.org/drawingml/2006/main">
          <a:noFill/>
        </a:ln>
        <a:effectLst xmlns:a="http://schemas.openxmlformats.org/drawingml/2006/main"/>
      </c:spPr>
    </c:plotArea>
    <c:legend>
      <c:legendPos val="r"/>
      <c:layout>
        <c:manualLayout>
          <c:xMode val="edge"/>
          <c:yMode val="edge"/>
          <c:x val="0.65657125099027558"/>
          <c:y val="5.6678211031189911E-2"/>
          <c:w val="0.33221641626771165"/>
          <c:h val="0.92842545602046089"/>
        </c:manualLayout>
      </c:layout>
      <c:overlay val="0"/>
      <c:spPr>
        <a:solidFill xmlns:a="http://schemas.openxmlformats.org/drawingml/2006/main">
          <a:schemeClr val="lt1">
            <a:lumMod val="95000"/>
            <a:alpha val="39000"/>
          </a:schemeClr>
        </a:solidFill>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dk1">
          <a:lumMod val="25000"/>
          <a:lumOff val="7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2"/>
          <c:tx>
            <c:strRef>
              <c:f>'[Eksportuota matricinė lentelė (70).xlsx]Report'!$B$18</c:f>
              <c:strCache>
                <c:ptCount val="1"/>
                <c:pt idx="0">
                  <c:v>Kauno m. sav. (2008)</c:v>
                </c:pt>
              </c:strCache>
            </c:strRef>
          </c:tx>
          <c:spPr>
            <a:solidFill xmlns:a="http://schemas.openxmlformats.org/drawingml/2006/main">
              <a:schemeClr val="accent2">
                <a:lumMod val="75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(70).xlsx]Report'!$C$18:$P$18</c:f>
              <c:numCache>
                <c:formatCode>_-* #,##0.0\ _€_-;\-* #,##0.0\ _€_-;_-* "-"??\ _€_-;_-@_-</c:formatCode>
                <c:ptCount val="14"/>
                <c:pt idx="0">
                  <c:v>1.3245857335893605</c:v>
                </c:pt>
                <c:pt idx="1">
                  <c:v>337.0077993504492</c:v>
                </c:pt>
                <c:pt idx="2">
                  <c:v>115.48491098309746</c:v>
                </c:pt>
                <c:pt idx="3">
                  <c:v>220.66353744399402</c:v>
                </c:pt>
                <c:pt idx="4">
                  <c:v>350.85223905364722</c:v>
                </c:pt>
                <c:pt idx="5">
                  <c:v>203.48540881397719</c:v>
                </c:pt>
                <c:pt idx="6">
                  <c:v>13.52440556622336</c:v>
                </c:pt>
                <c:pt idx="7">
                  <c:v>54.725837422658415</c:v>
                </c:pt>
                <c:pt idx="8">
                  <c:v>632.15928217528381</c:v>
                </c:pt>
                <c:pt idx="9">
                  <c:v>212.20041248844322</c:v>
                </c:pt>
                <c:pt idx="10">
                  <c:v>20.402176232131428</c:v>
                </c:pt>
                <c:pt idx="11">
                  <c:v>287.98627409145865</c:v>
                </c:pt>
                <c:pt idx="12">
                  <c:v>65.224735082853286</c:v>
                </c:pt>
                <c:pt idx="13">
                  <c:v>33.612474219472297</c:v>
                </c:pt>
              </c:numCache>
            </c:numRef>
          </c:val>
        </c:ser>
        <c:ser>
          <c:idx val="4"/>
          <c:order val="3"/>
          <c:tx>
            <c:strRef>
              <c:f>'[Eksportuota matricinė lentelė (70).xlsx]Report'!$B$19</c:f>
              <c:strCache>
                <c:ptCount val="1"/>
                <c:pt idx="0">
                  <c:v>Kauno m. sav. (2013)</c:v>
                </c:pt>
              </c:strCache>
            </c:strRef>
          </c:tx>
          <c:spPr>
            <a:solidFill xmlns:a="http://schemas.openxmlformats.org/drawingml/2006/main">
              <a:schemeClr val="accent2">
                <a:lumMod val="5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ser>
          <c:idx val="6"/>
          <c:order val="4"/>
          <c:tx>
            <c:strRef>
              <c:f>'[Eksportuota matricinė lentelė (70).xlsx]Report'!$B$21</c:f>
              <c:strCache>
                <c:ptCount val="1"/>
                <c:pt idx="0">
                  <c:v>Klaipėdos m. sav. (2008)</c:v>
                </c:pt>
              </c:strCache>
            </c:strRef>
          </c:tx>
          <c:spPr>
            <a:solidFill xmlns:a="http://schemas.openxmlformats.org/drawingml/2006/main">
              <a:schemeClr val="accent6">
                <a:lumMod val="40000"/>
                <a:lumOff val="6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(70).xlsx]Report'!$C$21:$P$21</c:f>
              <c:numCache>
                <c:formatCode>_-* #,##0.0\ _€_-;\-* #,##0.0\ _€_-;_-* "-"??\ _€_-;_-@_-</c:formatCode>
                <c:ptCount val="14"/>
                <c:pt idx="0">
                  <c:v>6.645621228711879</c:v>
                </c:pt>
                <c:pt idx="1">
                  <c:v>254.97984763413555</c:v>
                </c:pt>
                <c:pt idx="2">
                  <c:v>138.49800806094635</c:v>
                </c:pt>
                <c:pt idx="3">
                  <c:v>193.06082985811804</c:v>
                </c:pt>
                <c:pt idx="4">
                  <c:v>262.21955594902499</c:v>
                </c:pt>
                <c:pt idx="5">
                  <c:v>1087.95401067027</c:v>
                </c:pt>
                <c:pt idx="6">
                  <c:v>24.462409430841273</c:v>
                </c:pt>
                <c:pt idx="7">
                  <c:v>74.820026559187383</c:v>
                </c:pt>
                <c:pt idx="8">
                  <c:v>882.16107914171891</c:v>
                </c:pt>
                <c:pt idx="9">
                  <c:v>58.325373342962976</c:v>
                </c:pt>
                <c:pt idx="10">
                  <c:v>27.089206253057803</c:v>
                </c:pt>
                <c:pt idx="11">
                  <c:v>298.01039069962491</c:v>
                </c:pt>
                <c:pt idx="12">
                  <c:v>68.745194883861799</c:v>
                </c:pt>
                <c:pt idx="13">
                  <c:v>37.171213568483097</c:v>
                </c:pt>
              </c:numCache>
            </c:numRef>
          </c:val>
        </c:ser>
        <c:ser>
          <c:idx val="7"/>
          <c:order val="5"/>
          <c:tx>
            <c:strRef>
              <c:f>'[Eksportuota matricinė lentelė (70).xlsx]Report'!$B$22</c:f>
              <c:strCache>
                <c:ptCount val="1"/>
                <c:pt idx="0">
                  <c:v>Klaipėdos m. sav.</c:v>
                </c:pt>
              </c:strCache>
            </c:strRef>
          </c:tx>
          <c:spPr>
            <a:solidFill xmlns:a="http://schemas.openxmlformats.org/drawingml/2006/main">
              <a:schemeClr val="accent6">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(70).xlsx]Report'!$C$22:$P$22</c:f>
              <c:numCache>
                <c:formatCode>_-* #,##0.0\ _€_-;\-* #,##0.0\ _€_-;_-* "-"??\ _€_-;_-@_-</c:formatCode>
                <c:ptCount val="14"/>
                <c:pt idx="0">
                  <c:v>158.96987772522053</c:v>
                </c:pt>
                <c:pt idx="1">
                  <c:v>316.04642768944359</c:v>
                </c:pt>
                <c:pt idx="2">
                  <c:v>193.11943162173969</c:v>
                </c:pt>
                <c:pt idx="3">
                  <c:v>68.906998980515823</c:v>
                </c:pt>
                <c:pt idx="4">
                  <c:v>169.10772971638076</c:v>
                </c:pt>
                <c:pt idx="5">
                  <c:v>1602.8064309821875</c:v>
                </c:pt>
                <c:pt idx="6">
                  <c:v>28.577218011309309</c:v>
                </c:pt>
                <c:pt idx="7">
                  <c:v>37.777904421775169</c:v>
                </c:pt>
                <c:pt idx="8">
                  <c:v>238.3186742906353</c:v>
                </c:pt>
                <c:pt idx="9">
                  <c:v>35.561634467430331</c:v>
                </c:pt>
                <c:pt idx="10">
                  <c:v>30.210925577654933</c:v>
                </c:pt>
                <c:pt idx="11">
                  <c:v>239.43314146767727</c:v>
                </c:pt>
                <c:pt idx="12">
                  <c:v>108.42625836641908</c:v>
                </c:pt>
                <c:pt idx="13">
                  <c:v>17.204587045585509</c:v>
                </c:pt>
              </c:numCache>
            </c:numRef>
          </c:val>
        </c:ser>
        <c:ser>
          <c:idx val="9"/>
          <c:order val="6"/>
          <c:tx>
            <c:strRef>
              <c:f>'[Eksportuota matricinė lentelė (70).xlsx]Report'!$B$24</c:f>
              <c:strCache>
                <c:ptCount val="1"/>
                <c:pt idx="0">
                  <c:v>Panevėžio m. sav. (2008)</c:v>
                </c:pt>
              </c:strCache>
            </c:strRef>
          </c:tx>
          <c:spPr>
            <a:solidFill xmlns:a="http://schemas.openxmlformats.org/drawingml/2006/main">
              <a:schemeClr val="accent4">
                <a:lumMod val="40000"/>
                <a:lumOff val="6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(70).xlsx]Report'!$C$24:$P$24</c:f>
              <c:numCache>
                <c:formatCode>_-* #,##0.0\ _€_-;\-* #,##0.0\ _€_-;_-* "-"??\ _€_-;_-@_-</c:formatCode>
                <c:ptCount val="14"/>
                <c:pt idx="0">
                  <c:v>14.899095074022187</c:v>
                </c:pt>
                <c:pt idx="1">
                  <c:v>440.61186626784291</c:v>
                </c:pt>
                <c:pt idx="2">
                  <c:v>249.40365756692287</c:v>
                </c:pt>
                <c:pt idx="3">
                  <c:v>98.377569951913969</c:v>
                </c:pt>
                <c:pt idx="4">
                  <c:v>311.48006512437996</c:v>
                </c:pt>
                <c:pt idx="5">
                  <c:v>257.09931467948962</c:v>
                </c:pt>
                <c:pt idx="6">
                  <c:v>17.58736889932225</c:v>
                </c:pt>
                <c:pt idx="7">
                  <c:v>41.668244292150995</c:v>
                </c:pt>
                <c:pt idx="8">
                  <c:v>465.3742758699027</c:v>
                </c:pt>
                <c:pt idx="9">
                  <c:v>19.963272878724773</c:v>
                </c:pt>
                <c:pt idx="10">
                  <c:v>42.700011358903488</c:v>
                </c:pt>
                <c:pt idx="11">
                  <c:v>433.47468857672936</c:v>
                </c:pt>
                <c:pt idx="12">
                  <c:v>57.012229752754536</c:v>
                </c:pt>
                <c:pt idx="13">
                  <c:v>13.905191018893643</c:v>
                </c:pt>
              </c:numCache>
            </c:numRef>
          </c:val>
        </c:ser>
        <c:ser>
          <c:idx val="10"/>
          <c:order val="7"/>
          <c:tx>
            <c:strRef>
              <c:f>'[Eksportuota matricinė lentelė (70).xlsx]Report'!$B$25</c:f>
              <c:strCache>
                <c:ptCount val="1"/>
                <c:pt idx="0">
                  <c:v>Panevėžio m. sav. (2013)</c:v>
                </c:pt>
              </c:strCache>
            </c:strRef>
          </c:tx>
          <c:spPr>
            <a:solidFill xmlns:a="http://schemas.openxmlformats.org/drawingml/2006/main">
              <a:schemeClr val="accent4">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(70).xlsx]Report'!$C$25:$P$25</c:f>
              <c:numCache>
                <c:formatCode>_-* #,##0.0\ _€_-;\-* #,##0.0\ _€_-;_-* "-"??\ _€_-;_-@_-</c:formatCode>
                <c:ptCount val="14"/>
                <c:pt idx="0">
                  <c:v>17.090751373456154</c:v>
                </c:pt>
                <c:pt idx="1">
                  <c:v>662.50154901069845</c:v>
                </c:pt>
                <c:pt idx="2">
                  <c:v>403.21781155768514</c:v>
                </c:pt>
                <c:pt idx="3">
                  <c:v>87.519104465281515</c:v>
                </c:pt>
                <c:pt idx="4">
                  <c:v>117.68350613408236</c:v>
                </c:pt>
                <c:pt idx="5">
                  <c:v>125.76934198025528</c:v>
                </c:pt>
                <c:pt idx="6">
                  <c:v>6.4851914577223342</c:v>
                </c:pt>
                <c:pt idx="7">
                  <c:v>23.483002189268454</c:v>
                </c:pt>
                <c:pt idx="8">
                  <c:v>149.58279978520386</c:v>
                </c:pt>
                <c:pt idx="9">
                  <c:v>26.075013424759387</c:v>
                </c:pt>
                <c:pt idx="10">
                  <c:v>21.717129992977821</c:v>
                </c:pt>
                <c:pt idx="11">
                  <c:v>135.74497087859888</c:v>
                </c:pt>
                <c:pt idx="12">
                  <c:v>88.644718906191912</c:v>
                </c:pt>
                <c:pt idx="13">
                  <c:v>6.4438845057623197</c:v>
                </c:pt>
              </c:numCache>
            </c:numRef>
          </c:val>
        </c:ser>
        <c:ser>
          <c:idx val="12"/>
          <c:order val="8"/>
          <c:tx>
            <c:strRef>
              <c:f>'[Eksportuota matricinė lentelė (70).xlsx]Report'!$B$27</c:f>
              <c:strCache>
                <c:ptCount val="1"/>
                <c:pt idx="0">
                  <c:v>Šiaulių m. sav. (2008)</c:v>
                </c:pt>
              </c:strCache>
            </c:strRef>
          </c:tx>
          <c:spPr>
            <a:solidFill xmlns:a="http://schemas.openxmlformats.org/drawingml/2006/main">
              <a:schemeClr val="accent1">
                <a:tint val="69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(70).xlsx]Report'!$C$27:$P$27</c:f>
              <c:numCache>
                <c:formatCode>_-* #,##0.0\ _€_-;\-* #,##0.0\ _€_-;_-* "-"??\ _€_-;_-@_-</c:formatCode>
                <c:ptCount val="14"/>
                <c:pt idx="0">
                  <c:v>5.1789117448488629</c:v>
                </c:pt>
                <c:pt idx="1">
                  <c:v>292.19830275268561</c:v>
                </c:pt>
                <c:pt idx="2">
                  <c:v>88.408980198781336</c:v>
                </c:pt>
                <c:pt idx="3">
                  <c:v>218.75347183646264</c:v>
                </c:pt>
                <c:pt idx="4">
                  <c:v>232.2049686786938</c:v>
                </c:pt>
                <c:pt idx="5">
                  <c:v>220.11229521506158</c:v>
                </c:pt>
                <c:pt idx="6">
                  <c:v>14.365925153615411</c:v>
                </c:pt>
                <c:pt idx="7">
                  <c:v>54.57513267756574</c:v>
                </c:pt>
                <c:pt idx="8">
                  <c:v>469.44356609949324</c:v>
                </c:pt>
                <c:pt idx="9">
                  <c:v>14.86159657473956</c:v>
                </c:pt>
                <c:pt idx="10">
                  <c:v>105.65492723030773</c:v>
                </c:pt>
                <c:pt idx="11">
                  <c:v>675.97617358755008</c:v>
                </c:pt>
                <c:pt idx="12">
                  <c:v>67.257484211156026</c:v>
                </c:pt>
                <c:pt idx="13">
                  <c:v>36.910428755779272</c:v>
                </c:pt>
              </c:numCache>
            </c:numRef>
          </c:val>
        </c:ser>
        <c:ser>
          <c:idx val="13"/>
          <c:order val="9"/>
          <c:tx>
            <c:strRef>
              <c:f>'[Eksportuota matricinė lentelė (70).xlsx]Report'!$B$28</c:f>
              <c:strCache>
                <c:ptCount val="1"/>
                <c:pt idx="0">
                  <c:v>Šiaulių m. sav. (2013)</c:v>
                </c:pt>
              </c:strCache>
            </c:strRef>
          </c:tx>
          <c:spPr>
            <a:solidFill xmlns:a="http://schemas.openxmlformats.org/drawingml/2006/main">
              <a:schemeClr val="accent1">
                <a:tint val="62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(70).xlsx]Report'!$C$28:$P$28</c:f>
              <c:numCache>
                <c:formatCode>_-* #,##0.0\ _€_-;\-* #,##0.0\ _€_-;_-* "-"??\ _€_-;_-@_-</c:formatCode>
                <c:ptCount val="14"/>
                <c:pt idx="0">
                  <c:v>3.6967182195397963</c:v>
                </c:pt>
                <c:pt idx="1">
                  <c:v>247.98189362504715</c:v>
                </c:pt>
                <c:pt idx="2">
                  <c:v>110.14711429649189</c:v>
                </c:pt>
                <c:pt idx="3">
                  <c:v>62.580158430780841</c:v>
                </c:pt>
                <c:pt idx="4">
                  <c:v>240.7959260656356</c:v>
                </c:pt>
                <c:pt idx="5">
                  <c:v>340.18294983025271</c:v>
                </c:pt>
                <c:pt idx="6">
                  <c:v>5.7053941908713686</c:v>
                </c:pt>
                <c:pt idx="7">
                  <c:v>26.94266314598265</c:v>
                </c:pt>
                <c:pt idx="8">
                  <c:v>209.42097321765371</c:v>
                </c:pt>
                <c:pt idx="9">
                  <c:v>8.345907204828368</c:v>
                </c:pt>
                <c:pt idx="10">
                  <c:v>71.444737834779318</c:v>
                </c:pt>
                <c:pt idx="11">
                  <c:v>112.31610712938514</c:v>
                </c:pt>
                <c:pt idx="12">
                  <c:v>79.073934364390794</c:v>
                </c:pt>
                <c:pt idx="13">
                  <c:v>11.740852508487363</c:v>
                </c:pt>
              </c:numCache>
            </c:numRef>
          </c:val>
        </c:ser>
        <c:ser>
          <c:idx val="15"/>
          <c:order val="10"/>
          <c:tx>
            <c:strRef>
              <c:f>'[Eksportuota matricinė lentelė (70).xlsx]Report'!$B$30</c:f>
              <c:strCache>
                <c:ptCount val="1"/>
                <c:pt idx="0">
                  <c:v>Vilniaus m. sav. (2008)</c:v>
                </c:pt>
              </c:strCache>
            </c:strRef>
          </c:tx>
          <c:spPr>
            <a:solidFill xmlns:a="http://schemas.openxmlformats.org/drawingml/2006/main">
              <a:schemeClr val="bg2">
                <a:lumMod val="75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(70).xlsx]Report'!$C$30:$P$30</c:f>
              <c:numCache>
                <c:formatCode>_-* #,##0.0\ _€_-;\-* #,##0.0\ _€_-;_-* "-"??\ _€_-;_-@_-</c:formatCode>
                <c:ptCount val="14"/>
                <c:pt idx="0">
                  <c:v>13.968721129004598</c:v>
                </c:pt>
                <c:pt idx="1">
                  <c:v>321.00582168351212</c:v>
                </c:pt>
                <c:pt idx="2">
                  <c:v>278.60176328595952</c:v>
                </c:pt>
                <c:pt idx="3">
                  <c:v>551.09970255383257</c:v>
                </c:pt>
                <c:pt idx="4">
                  <c:v>498.85760755915271</c:v>
                </c:pt>
                <c:pt idx="5">
                  <c:v>798.8264430196042</c:v>
                </c:pt>
                <c:pt idx="6">
                  <c:v>88.00939730731001</c:v>
                </c:pt>
                <c:pt idx="7">
                  <c:v>186.05598921596288</c:v>
                </c:pt>
                <c:pt idx="8">
                  <c:v>1472.1741231054634</c:v>
                </c:pt>
                <c:pt idx="9">
                  <c:v>167.58592838056882</c:v>
                </c:pt>
                <c:pt idx="10">
                  <c:v>194.22146738879883</c:v>
                </c:pt>
                <c:pt idx="11">
                  <c:v>533.13306889576108</c:v>
                </c:pt>
                <c:pt idx="12">
                  <c:v>126.2717068394178</c:v>
                </c:pt>
                <c:pt idx="13">
                  <c:v>308.32978352631375</c:v>
                </c:pt>
              </c:numCache>
            </c:numRef>
          </c:val>
        </c:ser>
        <c:ser>
          <c:idx val="16"/>
          <c:order val="11"/>
          <c:tx>
            <c:strRef>
              <c:f>'[Eksportuota matricinė lentelė (70).xlsx]Report'!$B$31</c:f>
              <c:strCache>
                <c:ptCount val="1"/>
                <c:pt idx="0">
                  <c:v>Vilniaus m. sav. (2013)</c:v>
                </c:pt>
              </c:strCache>
            </c:strRef>
          </c:tx>
          <c:spPr>
            <a:solidFill xmlns:a="http://schemas.openxmlformats.org/drawingml/2006/main">
              <a:schemeClr val="tx2">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(70).xlsx]Report'!$C$31:$P$31</c:f>
              <c:numCache>
                <c:formatCode>_-* #,##0.0\ _€_-;\-* #,##0.0\ _€_-;_-* "-"??\ _€_-;_-@_-</c:formatCode>
                <c:ptCount val="14"/>
                <c:pt idx="0">
                  <c:v>23.670672139368165</c:v>
                </c:pt>
                <c:pt idx="1">
                  <c:v>212.56987909291831</c:v>
                </c:pt>
                <c:pt idx="2">
                  <c:v>158.97888304886428</c:v>
                </c:pt>
                <c:pt idx="3">
                  <c:v>187.19982170384267</c:v>
                </c:pt>
                <c:pt idx="4">
                  <c:v>428.77439964340766</c:v>
                </c:pt>
                <c:pt idx="5">
                  <c:v>851.57773526735139</c:v>
                </c:pt>
                <c:pt idx="6">
                  <c:v>53.115539624463722</c:v>
                </c:pt>
                <c:pt idx="7">
                  <c:v>163.96374644800625</c:v>
                </c:pt>
                <c:pt idx="8">
                  <c:v>865.91014616570396</c:v>
                </c:pt>
                <c:pt idx="9">
                  <c:v>175.24469290344149</c:v>
                </c:pt>
                <c:pt idx="10">
                  <c:v>117.65317682892855</c:v>
                </c:pt>
                <c:pt idx="11">
                  <c:v>292.25154616198949</c:v>
                </c:pt>
                <c:pt idx="12">
                  <c:v>126.43426257823673</c:v>
                </c:pt>
                <c:pt idx="13">
                  <c:v>72.486674219489998</c:v>
                </c:pt>
              </c:numCache>
            </c:numRef>
          </c:val>
        </c:ser>
        <c:dLbls>
          <c:showLegendKey val="0"/>
          <c:showVal val="0"/>
          <c:showCatName val="0"/>
          <c:showSerName val="0"/>
          <c:showPercent val="0"/>
          <c:showBubbleSize val="0"/>
        </c:dLbls>
        <c:gapWidth val="219"/>
        <c:axId val="124506880"/>
        <c:axId val="124508416"/>
        <c:extLst>
          <c:ext uri="{02D57815-91ED-43cb-92C2-25804820EDAC}">
            <c15:filteredBarSeries xmlns:c15="http://schemas.microsoft.com/office/drawing/2012/chart">
              <c15:ser>
                <c:idx val="2"/>
                <c:order val="2"/>
                <c:tx>
                  <c:strRef>
                    <c:extLst>
                      <c:ext uri="{02D57815-91ED-43cb-92C2-25804820EDAC}">
                        <c15:formulaRef>
                          <c15:sqref>'[Eksportuota matricinė lentelė (70).xlsx]Report'!$B$17</c15:sqref>
                        </c15:formulaRef>
                      </c:ext>
                    </c:extLst>
                    <c:strCache>
                      <c:ptCount val="1"/>
                    </c:strCache>
                  </c:strRef>
                </c:tx>
                <c:spPr>
                  <a:solidFill xmlns:a="http://schemas.openxmlformats.org/drawingml/2006/main">
                    <a:schemeClr val="accent1">
                      <a:shade val="53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(70).xlsx]Report'!$C$17:$P$17</c15:sqref>
                        </c15:formulaRef>
                      </c:ext>
                    </c:extLst>
                    <c:numCache>
                      <c:formatCode>General</c:formatCode>
                      <c:ptCount val="14"/>
                    </c:numCache>
                  </c:numRef>
                </c:val>
              </c15:ser>
            </c15:filteredBarSeries>
            <c15:filteredBarSeries xmlns:c15="http://schemas.microsoft.com/office/drawing/2012/chart">
              <c15:ser>
                <c:idx val="5"/>
                <c:order val="5"/>
                <c:tx>
                  <c:strRef>
                    <c:extLst>
                      <c:ext uri="{02D57815-91ED-43cb-92C2-25804820EDAC}">
                        <c15:formulaRef>
                          <c15:sqref>'[Eksportuota matricinė lentelė (70).xlsx]Report'!$B$20</c15:sqref>
                        </c15:formulaRef>
                      </c:ext>
                    </c:extLst>
                    <c:strCache>
                      <c:ptCount val="1"/>
                    </c:strCache>
                  </c:strRef>
                </c:tx>
                <c:spPr>
                  <a:solidFill xmlns:a="http://schemas.openxmlformats.org/drawingml/2006/main">
                    <a:schemeClr val="accent1">
                      <a:shade val="76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(70).xlsx]Report'!$C$20:$P$20</c15:sqref>
                        </c15:formulaRef>
                      </c:ext>
                    </c:extLst>
                    <c:numCache>
                      <c:formatCode>General</c:formatCode>
                      <c:ptCount val="14"/>
                    </c:numCache>
                  </c:numRef>
                </c:val>
              </c15:ser>
            </c15:filteredBarSeries>
            <c15:filteredBarSeries xmlns:c15="http://schemas.microsoft.com/office/drawing/2012/chart">
              <c15:ser>
                <c:idx val="8"/>
                <c:order val="8"/>
                <c:tx>
                  <c:strRef>
                    <c:extLst>
                      <c:ext uri="{02D57815-91ED-43cb-92C2-25804820EDAC}">
                        <c15:formulaRef>
                          <c15:sqref>'[Eksportuota matricinė lentelė (70).xlsx]Report'!$B$23</c15:sqref>
                        </c15:formulaRef>
                      </c:ext>
                    </c:extLst>
                    <c:strCache>
                      <c:ptCount val="1"/>
                    </c:strCache>
                  </c:strRef>
                </c:tx>
                <c:spPr>
                  <a:solidFill xmlns:a="http://schemas.openxmlformats.org/drawingml/2006/main">
                    <a:schemeClr val="accent1"/>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(70).xlsx]Report'!$C$23:$P$23</c15:sqref>
                        </c15:formulaRef>
                      </c:ext>
                    </c:extLst>
                    <c:numCache>
                      <c:formatCode>General</c:formatCode>
                      <c:ptCount val="14"/>
                    </c:numCache>
                  </c:numRef>
                </c:val>
              </c15:ser>
            </c15:filteredBarSeries>
            <c15:filteredBarSeries xmlns:c15="http://schemas.microsoft.com/office/drawing/2012/chart">
              <c15:ser>
                <c:idx val="11"/>
                <c:order val="11"/>
                <c:tx>
                  <c:strRef>
                    <c:extLst>
                      <c:ext uri="{02D57815-91ED-43cb-92C2-25804820EDAC}">
                        <c15:formulaRef>
                          <c15:sqref>'[Eksportuota matricinė lentelė (70).xlsx]Report'!$B$26</c15:sqref>
                        </c15:formulaRef>
                      </c:ext>
                    </c:extLst>
                    <c:strCache>
                      <c:ptCount val="1"/>
                    </c:strCache>
                  </c:strRef>
                </c:tx>
                <c:spPr>
                  <a:solidFill xmlns:a="http://schemas.openxmlformats.org/drawingml/2006/main">
                    <a:schemeClr val="accent1">
                      <a:tint val="77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(70).xlsx]Report'!$C$26:$P$26</c15:sqref>
                        </c15:formulaRef>
                      </c:ext>
                    </c:extLst>
                    <c:numCache>
                      <c:formatCode>General</c:formatCode>
                      <c:ptCount val="14"/>
                    </c:numCache>
                  </c:numRef>
                </c:val>
              </c15:ser>
            </c15:filteredBarSeries>
            <c15:filteredBarSeries xmlns:c15="http://schemas.microsoft.com/office/drawing/2012/chart">
              <c15:ser>
                <c:idx val="14"/>
                <c:order val="14"/>
                <c:tx>
                  <c:strRef>
                    <c:extLst>
                      <c:ext uri="{02D57815-91ED-43cb-92C2-25804820EDAC}">
                        <c15:formulaRef>
                          <c15:sqref>'[Eksportuota matricinė lentelė (70).xlsx]Report'!$B$29</c15:sqref>
                        </c15:formulaRef>
                      </c:ext>
                    </c:extLst>
                    <c:strCache>
                      <c:ptCount val="1"/>
                    </c:strCache>
                  </c:strRef>
                </c:tx>
                <c:spPr>
                  <a:solidFill xmlns:a="http://schemas.openxmlformats.org/drawingml/2006/main">
                    <a:schemeClr val="accent1">
                      <a:tint val="54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(70).xlsx]Report'!$C$29:$P$29</c15:sqref>
                        </c15:formulaRef>
                      </c:ext>
                    </c:extLst>
                    <c:numCache>
                      <c:formatCode>General</c:formatCode>
                      <c:ptCount val="14"/>
                    </c:numCache>
                  </c:numRef>
                </c:val>
              </c15:ser>
            </c15:filteredBarSeries>
          </c:ext>
        </c:extLst>
      </c:barChart>
      <c:lineChart>
        <c:grouping val="standard"/>
        <c:varyColors val="0"/>
        <c:ser>
          <c:idx val="0"/>
          <c:order val="0"/>
          <c:tx>
            <c:strRef>
              <c:f>'[Eksportuota matricinė lentelė (70).xlsx]Report'!$B$15</c:f>
              <c:strCache>
                <c:ptCount val="1"/>
                <c:pt idx="0">
                  <c:v>Lietuvos Respublika (2008)</c:v>
                </c:pt>
              </c:strCache>
            </c:strRef>
          </c:tx>
          <c:spPr>
            <a:ln xmlns:a="http://schemas.openxmlformats.org/drawingml/2006/main" w="28575" cap="rnd">
              <a:solidFill>
                <a:schemeClr val="accent1">
                  <a:shade val="37000"/>
                </a:schemeClr>
              </a:solidFill>
              <a:prstDash val="sysDot"/>
              <a:round/>
            </a:ln>
            <a:effectLst xmlns:a="http://schemas.openxmlformats.org/drawingml/2006/main"/>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(70).xlsx]Report'!$C$15:$P$15</c:f>
              <c:numCache>
                <c:formatCode>_-* #,##0.0\ _€_-;\-* #,##0.0\ _€_-;_-* "-"??\ _€_-;_-@_-</c:formatCode>
                <c:ptCount val="14"/>
                <c:pt idx="0">
                  <c:v>60.341169852959339</c:v>
                </c:pt>
                <c:pt idx="1">
                  <c:v>329.46900958686228</c:v>
                </c:pt>
                <c:pt idx="2">
                  <c:v>175.81312919548338</c:v>
                </c:pt>
                <c:pt idx="3">
                  <c:v>184.21933875320451</c:v>
                </c:pt>
                <c:pt idx="4">
                  <c:v>254.83243705661036</c:v>
                </c:pt>
                <c:pt idx="5">
                  <c:v>292.08709439687124</c:v>
                </c:pt>
                <c:pt idx="6">
                  <c:v>32.704954707774391</c:v>
                </c:pt>
                <c:pt idx="7">
                  <c:v>53.234115984742814</c:v>
                </c:pt>
                <c:pt idx="8">
                  <c:v>529.440806495841</c:v>
                </c:pt>
                <c:pt idx="9">
                  <c:v>66.114986691080162</c:v>
                </c:pt>
                <c:pt idx="10">
                  <c:v>49.250976555477074</c:v>
                </c:pt>
                <c:pt idx="11">
                  <c:v>455.99364148493339</c:v>
                </c:pt>
                <c:pt idx="12">
                  <c:v>52.256700657332132</c:v>
                </c:pt>
                <c:pt idx="13">
                  <c:v>68.425326375737086</c:v>
                </c:pt>
              </c:numCache>
            </c:numRef>
          </c:val>
          <c:smooth val="0"/>
        </c:ser>
        <c:ser>
          <c:idx val="1"/>
          <c:order val="1"/>
          <c:tx>
            <c:strRef>
              <c:f>'[Eksportuota matricinė lentelė (70).xlsx]Report'!$B$16</c:f>
              <c:strCache>
                <c:ptCount val="1"/>
                <c:pt idx="0">
                  <c:v>Lietuvos Respublika (2013)</c:v>
                </c:pt>
              </c:strCache>
            </c:strRef>
          </c:tx>
          <c:spPr>
            <a:ln xmlns:a="http://schemas.openxmlformats.org/drawingml/2006/main" w="28575" cap="rnd">
              <a:solidFill>
                <a:schemeClr val="accent1">
                  <a:shade val="45000"/>
                </a:schemeClr>
              </a:solidFill>
              <a:round/>
            </a:ln>
            <a:effectLst xmlns:a="http://schemas.openxmlformats.org/drawingml/2006/main"/>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(70).xlsx]Report'!$C$16:$P$16</c:f>
              <c:numCache>
                <c:formatCode>_-* #,##0.0\ _€_-;\-* #,##0.0\ _€_-;_-* "-"??\ _€_-;_-@_-</c:formatCode>
                <c:ptCount val="14"/>
                <c:pt idx="0">
                  <c:v>95.045489907830074</c:v>
                </c:pt>
                <c:pt idx="1">
                  <c:v>253.84311873222643</c:v>
                </c:pt>
                <c:pt idx="2">
                  <c:v>201.2365059341939</c:v>
                </c:pt>
                <c:pt idx="3">
                  <c:v>72.941407970885365</c:v>
                </c:pt>
                <c:pt idx="4">
                  <c:v>182.11718676304372</c:v>
                </c:pt>
                <c:pt idx="5">
                  <c:v>348.57755497619928</c:v>
                </c:pt>
                <c:pt idx="6">
                  <c:v>18.963454237413064</c:v>
                </c:pt>
                <c:pt idx="7">
                  <c:v>45.172768333655092</c:v>
                </c:pt>
                <c:pt idx="8">
                  <c:v>321.04119128143628</c:v>
                </c:pt>
                <c:pt idx="9">
                  <c:v>49.027805154632553</c:v>
                </c:pt>
                <c:pt idx="10">
                  <c:v>43.243897515932204</c:v>
                </c:pt>
                <c:pt idx="11">
                  <c:v>287.60968445296311</c:v>
                </c:pt>
                <c:pt idx="12">
                  <c:v>65.11502730679257</c:v>
                </c:pt>
                <c:pt idx="13">
                  <c:v>22.316071770899512</c:v>
                </c:pt>
              </c:numCache>
            </c:numRef>
          </c:val>
          <c:smooth val="0"/>
        </c:ser>
        <c:dLbls>
          <c:showLegendKey val="0"/>
          <c:showVal val="0"/>
          <c:showCatName val="0"/>
          <c:showSerName val="0"/>
          <c:showPercent val="0"/>
          <c:showBubbleSize val="0"/>
        </c:dLbls>
        <c:marker val="1"/>
        <c:smooth val="0"/>
        <c:axId val="124506880"/>
        <c:axId val="124508416"/>
      </c:lineChart>
      <c:catAx>
        <c:axId val="12450688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4508416"/>
        <c:crosses val="autoZero"/>
        <c:auto val="1"/>
        <c:lblAlgn val="ctr"/>
        <c:lblOffset val="100"/>
        <c:noMultiLvlLbl val="0"/>
      </c:catAx>
      <c:valAx>
        <c:axId val="124508416"/>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_-* #,##0.0\ _€_-;\-* #,##0.0\ _€_-;_-* &quot;-&quot;??\ _€_-;_-@_-"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4506880"/>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'[Eksportuota matricinė lentelė (70).xlsx]Report'!$B$19</c:f>
              <c:strCache>
                <c:ptCount val="1"/>
                <c:pt idx="0">
                  <c:v>Kauno m. sav. (2013)</c:v>
                </c:pt>
              </c:strCache>
            </c:strRef>
          </c:tx>
          <c:dPt>
            <c:idx val="0"/>
            <c:bubble3D val="0"/>
            <c:spPr>
              <a:solidFill xmlns:a="http://schemas.openxmlformats.org/drawingml/2006/main">
                <a:schemeClr val="accent1"/>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
            <c:bubble3D val="0"/>
            <c:spPr>
              <a:solidFill xmlns:a="http://schemas.openxmlformats.org/drawingml/2006/main">
                <a:schemeClr val="accent2"/>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2"/>
            <c:bubble3D val="0"/>
            <c:spPr>
              <a:solidFill xmlns:a="http://schemas.openxmlformats.org/drawingml/2006/main">
                <a:schemeClr val="accent3"/>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3"/>
            <c:bubble3D val="0"/>
            <c:spPr>
              <a:solidFill xmlns:a="http://schemas.openxmlformats.org/drawingml/2006/main">
                <a:schemeClr val="accent4"/>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4"/>
            <c:bubble3D val="0"/>
            <c:spPr>
              <a:solidFill xmlns:a="http://schemas.openxmlformats.org/drawingml/2006/main">
                <a:schemeClr val="accent5"/>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5"/>
            <c:bubble3D val="0"/>
            <c:spPr>
              <a:solidFill xmlns:a="http://schemas.openxmlformats.org/drawingml/2006/main">
                <a:schemeClr val="accent6"/>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6"/>
            <c:bubble3D val="0"/>
            <c:spPr>
              <a:solidFill xmlns:a="http://schemas.openxmlformats.org/drawingml/2006/main">
                <a:schemeClr val="accent1">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7"/>
            <c:bubble3D val="0"/>
            <c:spPr>
              <a:solidFill xmlns:a="http://schemas.openxmlformats.org/drawingml/2006/main">
                <a:schemeClr val="accent2">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8"/>
            <c:bubble3D val="0"/>
            <c:spPr>
              <a:solidFill xmlns:a="http://schemas.openxmlformats.org/drawingml/2006/main">
                <a:schemeClr val="accent3">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9"/>
            <c:bubble3D val="0"/>
            <c:spPr>
              <a:solidFill xmlns:a="http://schemas.openxmlformats.org/drawingml/2006/main">
                <a:schemeClr val="accent4">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0"/>
            <c:bubble3D val="0"/>
            <c:spPr>
              <a:solidFill xmlns:a="http://schemas.openxmlformats.org/drawingml/2006/main">
                <a:schemeClr val="accent5">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1"/>
            <c:bubble3D val="0"/>
            <c:spPr>
              <a:solidFill xmlns:a="http://schemas.openxmlformats.org/drawingml/2006/main">
                <a:schemeClr val="accent6">
                  <a:lumMod val="6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2"/>
            <c:bubble3D val="0"/>
            <c:spPr>
              <a:solidFill xmlns:a="http://schemas.openxmlformats.org/drawingml/2006/main">
                <a:schemeClr val="accent1">
                  <a:lumMod val="80000"/>
                  <a:lumOff val="2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Pt>
            <c:idx val="13"/>
            <c:bubble3D val="0"/>
            <c:spPr>
              <a:solidFill xmlns:a="http://schemas.openxmlformats.org/drawingml/2006/main">
                <a:schemeClr val="accent2">
                  <a:lumMod val="80000"/>
                  <a:lumOff val="20000"/>
                </a:schemeClr>
              </a:solidFill>
              <a:ln xmlns:a="http://schemas.openxmlformats.org/drawingml/2006/main">
                <a:noFill/>
              </a:ln>
              <a:effectLst xmlns:a="http://schemas.openxmlformats.org/drawingml/2006/main">
                <a:outerShdw blurRad="254000" sx="102000" sy="102000" algn="ctr" rotWithShape="0">
                  <a:prstClr val="black">
                    <a:alpha val="20000"/>
                  </a:prstClr>
                </a:outerShdw>
              </a:effectLst>
            </c:spPr>
          </c:dPt>
          <c:dLbls>
            <c:spPr>
              <a:pattFill xmlns:a="http://schemas.openxmlformats.org/drawingml/2006/main" prst="pct75">
                <a:fgClr>
                  <a:sysClr val="windowText" lastClr="000000">
                    <a:lumMod val="75000"/>
                    <a:lumOff val="25000"/>
                  </a:sysClr>
                </a:fgClr>
                <a:bgClr>
                  <a:sysClr val="windowText" lastClr="000000">
                    <a:lumMod val="65000"/>
                    <a:lumOff val="35000"/>
                  </a:sysClr>
                </a:bgClr>
              </a:pattFill>
              <a:ln xmlns:a="http://schemas.openxmlformats.org/drawingml/2006/main">
                <a:noFill/>
              </a:ln>
              <a:effectLst xmlns:a="http://schemas.openxmlformats.org/drawingml/2006/main">
                <a:outerShdw blurRad="50800" dist="38100" dir="2700000" algn="tl" rotWithShape="0">
                  <a:prstClr val="black">
                    <a:alpha val="40000"/>
                  </a:prstClr>
                </a:outerShdw>
              </a:effectLst>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1000" b="1" i="0" u="none" strike="noStrike" kern="1200" baseline="0">
                    <a:solidFill>
                      <a:schemeClr val="lt1"/>
                    </a:solidFill>
                    <a:latin typeface="+mn-lt"/>
                    <a:ea typeface="+mn-ea"/>
                    <a:cs typeface="+mn-cs"/>
                  </a:defRPr>
                </a:pPr>
                <a:endParaRPr lang="lt-LT"/>
              </a:p>
            </c:txPr>
            <c:showLegendKey val="1"/>
            <c:showVal val="0"/>
            <c:showCatName val="0"/>
            <c:showSerName val="0"/>
            <c:showPercent val="1"/>
            <c:showBubbleSize val="0"/>
            <c:showLeaderLines val="1"/>
            <c:leaderLines>
              <c:spPr>
                <a:ln xmlns:a="http://schemas.openxmlformats.org/drawingml/2006/main" w="9525">
                  <a:solidFill>
                    <a:schemeClr val="dk1">
                      <a:lumMod val="50000"/>
                      <a:lumOff val="50000"/>
                    </a:schemeClr>
                  </a:solidFill>
                </a:ln>
                <a:effectLst xmlns:a="http://schemas.openxmlformats.org/drawingml/2006/main"/>
              </c:spPr>
            </c:leaderLines>
            <c:extLst>
              <c:ext uri="{CE6537A1-D6FC-4f65-9D91-7224C49458BB}"/>
            </c:extLst>
          </c:dLbls>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dLbls>
          <c:showLegendKey val="0"/>
          <c:showVal val="0"/>
          <c:showCatName val="0"/>
          <c:showSerName val="0"/>
          <c:showPercent val="1"/>
          <c:showBubbleSize val="0"/>
          <c:showLeaderLines val="1"/>
        </c:dLbls>
        <c:firstSliceAng val="0"/>
        <c:holeSize val="50"/>
      </c:doughnutChart>
      <c:spPr>
        <a:noFill xmlns:a="http://schemas.openxmlformats.org/drawingml/2006/main"/>
        <a:ln xmlns:a="http://schemas.openxmlformats.org/drawingml/2006/main">
          <a:noFill/>
        </a:ln>
        <a:effectLst xmlns:a="http://schemas.openxmlformats.org/drawingml/2006/main"/>
      </c:spPr>
    </c:plotArea>
    <c:legend>
      <c:legendPos val="r"/>
      <c:layout>
        <c:manualLayout>
          <c:xMode val="edge"/>
          <c:yMode val="edge"/>
          <c:x val="0.65657125099027558"/>
          <c:y val="5.6678211031189911E-2"/>
          <c:w val="0.33221641626771165"/>
          <c:h val="0.92842545602046089"/>
        </c:manualLayout>
      </c:layout>
      <c:overlay val="0"/>
      <c:spPr>
        <a:solidFill xmlns:a="http://schemas.openxmlformats.org/drawingml/2006/main">
          <a:schemeClr val="lt1">
            <a:lumMod val="95000"/>
            <a:alpha val="39000"/>
          </a:schemeClr>
        </a:solidFill>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dk1">
          <a:lumMod val="25000"/>
          <a:lumOff val="7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2"/>
          <c:tx>
            <c:strRef>
              <c:f>'[Eksportuota matricinė lentelė (70).xlsx]Report'!$B$18</c:f>
              <c:strCache>
                <c:ptCount val="1"/>
                <c:pt idx="0">
                  <c:v>Kauno m. sav. (2008)</c:v>
                </c:pt>
              </c:strCache>
            </c:strRef>
          </c:tx>
          <c:spPr>
            <a:solidFill xmlns:a="http://schemas.openxmlformats.org/drawingml/2006/main">
              <a:schemeClr val="accent2">
                <a:lumMod val="75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(70).xlsx]Report'!$C$18:$P$18</c:f>
              <c:numCache>
                <c:formatCode>_-* #,##0.0\ _€_-;\-* #,##0.0\ _€_-;_-* "-"??\ _€_-;_-@_-</c:formatCode>
                <c:ptCount val="14"/>
                <c:pt idx="0">
                  <c:v>1.3245857335893605</c:v>
                </c:pt>
                <c:pt idx="1">
                  <c:v>337.0077993504492</c:v>
                </c:pt>
                <c:pt idx="2">
                  <c:v>115.48491098309746</c:v>
                </c:pt>
                <c:pt idx="3">
                  <c:v>220.66353744399402</c:v>
                </c:pt>
                <c:pt idx="4">
                  <c:v>350.85223905364722</c:v>
                </c:pt>
                <c:pt idx="5">
                  <c:v>203.48540881397719</c:v>
                </c:pt>
                <c:pt idx="6">
                  <c:v>13.52440556622336</c:v>
                </c:pt>
                <c:pt idx="7">
                  <c:v>54.725837422658415</c:v>
                </c:pt>
                <c:pt idx="8">
                  <c:v>632.15928217528381</c:v>
                </c:pt>
                <c:pt idx="9">
                  <c:v>212.20041248844322</c:v>
                </c:pt>
                <c:pt idx="10">
                  <c:v>20.402176232131428</c:v>
                </c:pt>
                <c:pt idx="11">
                  <c:v>287.98627409145865</c:v>
                </c:pt>
                <c:pt idx="12">
                  <c:v>65.224735082853286</c:v>
                </c:pt>
                <c:pt idx="13">
                  <c:v>33.612474219472297</c:v>
                </c:pt>
              </c:numCache>
            </c:numRef>
          </c:val>
        </c:ser>
        <c:ser>
          <c:idx val="4"/>
          <c:order val="3"/>
          <c:tx>
            <c:strRef>
              <c:f>'[Eksportuota matricinė lentelė (70).xlsx]Report'!$B$19</c:f>
              <c:strCache>
                <c:ptCount val="1"/>
                <c:pt idx="0">
                  <c:v>Kauno m. sav. (2013)</c:v>
                </c:pt>
              </c:strCache>
            </c:strRef>
          </c:tx>
          <c:spPr>
            <a:solidFill xmlns:a="http://schemas.openxmlformats.org/drawingml/2006/main">
              <a:schemeClr val="accent2">
                <a:lumMod val="5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ser>
          <c:idx val="6"/>
          <c:order val="4"/>
          <c:tx>
            <c:strRef>
              <c:f>'[Eksportuota matricinė lentelė (70).xlsx]Report'!$B$21</c:f>
              <c:strCache>
                <c:ptCount val="1"/>
                <c:pt idx="0">
                  <c:v>Klaipėdos m. sav. (2008)</c:v>
                </c:pt>
              </c:strCache>
            </c:strRef>
          </c:tx>
          <c:spPr>
            <a:solidFill xmlns:a="http://schemas.openxmlformats.org/drawingml/2006/main">
              <a:schemeClr val="accent6">
                <a:lumMod val="40000"/>
                <a:lumOff val="6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(70).xlsx]Report'!$C$21:$P$21</c:f>
              <c:numCache>
                <c:formatCode>_-* #,##0.0\ _€_-;\-* #,##0.0\ _€_-;_-* "-"??\ _€_-;_-@_-</c:formatCode>
                <c:ptCount val="14"/>
                <c:pt idx="0">
                  <c:v>6.645621228711879</c:v>
                </c:pt>
                <c:pt idx="1">
                  <c:v>254.97984763413555</c:v>
                </c:pt>
                <c:pt idx="2">
                  <c:v>138.49800806094635</c:v>
                </c:pt>
                <c:pt idx="3">
                  <c:v>193.06082985811804</c:v>
                </c:pt>
                <c:pt idx="4">
                  <c:v>262.21955594902499</c:v>
                </c:pt>
                <c:pt idx="5">
                  <c:v>1087.95401067027</c:v>
                </c:pt>
                <c:pt idx="6">
                  <c:v>24.462409430841273</c:v>
                </c:pt>
                <c:pt idx="7">
                  <c:v>74.820026559187383</c:v>
                </c:pt>
                <c:pt idx="8">
                  <c:v>882.16107914171891</c:v>
                </c:pt>
                <c:pt idx="9">
                  <c:v>58.325373342962976</c:v>
                </c:pt>
                <c:pt idx="10">
                  <c:v>27.089206253057803</c:v>
                </c:pt>
                <c:pt idx="11">
                  <c:v>298.01039069962491</c:v>
                </c:pt>
                <c:pt idx="12">
                  <c:v>68.745194883861799</c:v>
                </c:pt>
                <c:pt idx="13">
                  <c:v>37.171213568483097</c:v>
                </c:pt>
              </c:numCache>
            </c:numRef>
          </c:val>
        </c:ser>
        <c:ser>
          <c:idx val="7"/>
          <c:order val="5"/>
          <c:tx>
            <c:strRef>
              <c:f>'[Eksportuota matricinė lentelė (70).xlsx]Report'!$B$22</c:f>
              <c:strCache>
                <c:ptCount val="1"/>
                <c:pt idx="0">
                  <c:v>Klaipėdos m. sav.</c:v>
                </c:pt>
              </c:strCache>
            </c:strRef>
          </c:tx>
          <c:spPr>
            <a:solidFill xmlns:a="http://schemas.openxmlformats.org/drawingml/2006/main">
              <a:schemeClr val="accent6">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(70).xlsx]Report'!$C$22:$P$22</c:f>
              <c:numCache>
                <c:formatCode>_-* #,##0.0\ _€_-;\-* #,##0.0\ _€_-;_-* "-"??\ _€_-;_-@_-</c:formatCode>
                <c:ptCount val="14"/>
                <c:pt idx="0">
                  <c:v>158.96987772522053</c:v>
                </c:pt>
                <c:pt idx="1">
                  <c:v>316.04642768944359</c:v>
                </c:pt>
                <c:pt idx="2">
                  <c:v>193.11943162173969</c:v>
                </c:pt>
                <c:pt idx="3">
                  <c:v>68.906998980515823</c:v>
                </c:pt>
                <c:pt idx="4">
                  <c:v>169.10772971638076</c:v>
                </c:pt>
                <c:pt idx="5">
                  <c:v>1602.8064309821875</c:v>
                </c:pt>
                <c:pt idx="6">
                  <c:v>28.577218011309309</c:v>
                </c:pt>
                <c:pt idx="7">
                  <c:v>37.777904421775169</c:v>
                </c:pt>
                <c:pt idx="8">
                  <c:v>238.3186742906353</c:v>
                </c:pt>
                <c:pt idx="9">
                  <c:v>35.561634467430331</c:v>
                </c:pt>
                <c:pt idx="10">
                  <c:v>30.210925577654933</c:v>
                </c:pt>
                <c:pt idx="11">
                  <c:v>239.43314146767727</c:v>
                </c:pt>
                <c:pt idx="12">
                  <c:v>108.42625836641908</c:v>
                </c:pt>
                <c:pt idx="13">
                  <c:v>17.204587045585509</c:v>
                </c:pt>
              </c:numCache>
            </c:numRef>
          </c:val>
        </c:ser>
        <c:ser>
          <c:idx val="9"/>
          <c:order val="6"/>
          <c:tx>
            <c:strRef>
              <c:f>'[Eksportuota matricinė lentelė (70).xlsx]Report'!$B$24</c:f>
              <c:strCache>
                <c:ptCount val="1"/>
                <c:pt idx="0">
                  <c:v>Panevėžio m. sav. (2008)</c:v>
                </c:pt>
              </c:strCache>
            </c:strRef>
          </c:tx>
          <c:spPr>
            <a:solidFill xmlns:a="http://schemas.openxmlformats.org/drawingml/2006/main">
              <a:schemeClr val="accent4">
                <a:lumMod val="40000"/>
                <a:lumOff val="6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(70).xlsx]Report'!$C$24:$P$24</c:f>
              <c:numCache>
                <c:formatCode>_-* #,##0.0\ _€_-;\-* #,##0.0\ _€_-;_-* "-"??\ _€_-;_-@_-</c:formatCode>
                <c:ptCount val="14"/>
                <c:pt idx="0">
                  <c:v>14.899095074022187</c:v>
                </c:pt>
                <c:pt idx="1">
                  <c:v>440.61186626784291</c:v>
                </c:pt>
                <c:pt idx="2">
                  <c:v>249.40365756692287</c:v>
                </c:pt>
                <c:pt idx="3">
                  <c:v>98.377569951913969</c:v>
                </c:pt>
                <c:pt idx="4">
                  <c:v>311.48006512437996</c:v>
                </c:pt>
                <c:pt idx="5">
                  <c:v>257.09931467948962</c:v>
                </c:pt>
                <c:pt idx="6">
                  <c:v>17.58736889932225</c:v>
                </c:pt>
                <c:pt idx="7">
                  <c:v>41.668244292150995</c:v>
                </c:pt>
                <c:pt idx="8">
                  <c:v>465.3742758699027</c:v>
                </c:pt>
                <c:pt idx="9">
                  <c:v>19.963272878724773</c:v>
                </c:pt>
                <c:pt idx="10">
                  <c:v>42.700011358903488</c:v>
                </c:pt>
                <c:pt idx="11">
                  <c:v>433.47468857672936</c:v>
                </c:pt>
                <c:pt idx="12">
                  <c:v>57.012229752754536</c:v>
                </c:pt>
                <c:pt idx="13">
                  <c:v>13.905191018893643</c:v>
                </c:pt>
              </c:numCache>
            </c:numRef>
          </c:val>
        </c:ser>
        <c:ser>
          <c:idx val="10"/>
          <c:order val="7"/>
          <c:tx>
            <c:strRef>
              <c:f>'[Eksportuota matricinė lentelė (70).xlsx]Report'!$B$25</c:f>
              <c:strCache>
                <c:ptCount val="1"/>
                <c:pt idx="0">
                  <c:v>Panevėžio m. sav. (2013)</c:v>
                </c:pt>
              </c:strCache>
            </c:strRef>
          </c:tx>
          <c:spPr>
            <a:solidFill xmlns:a="http://schemas.openxmlformats.org/drawingml/2006/main">
              <a:schemeClr val="accent4">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(70).xlsx]Report'!$C$25:$P$25</c:f>
              <c:numCache>
                <c:formatCode>_-* #,##0.0\ _€_-;\-* #,##0.0\ _€_-;_-* "-"??\ _€_-;_-@_-</c:formatCode>
                <c:ptCount val="14"/>
                <c:pt idx="0">
                  <c:v>17.090751373456154</c:v>
                </c:pt>
                <c:pt idx="1">
                  <c:v>662.50154901069845</c:v>
                </c:pt>
                <c:pt idx="2">
                  <c:v>403.21781155768514</c:v>
                </c:pt>
                <c:pt idx="3">
                  <c:v>87.519104465281515</c:v>
                </c:pt>
                <c:pt idx="4">
                  <c:v>117.68350613408236</c:v>
                </c:pt>
                <c:pt idx="5">
                  <c:v>125.76934198025528</c:v>
                </c:pt>
                <c:pt idx="6">
                  <c:v>6.4851914577223342</c:v>
                </c:pt>
                <c:pt idx="7">
                  <c:v>23.483002189268454</c:v>
                </c:pt>
                <c:pt idx="8">
                  <c:v>149.58279978520386</c:v>
                </c:pt>
                <c:pt idx="9">
                  <c:v>26.075013424759387</c:v>
                </c:pt>
                <c:pt idx="10">
                  <c:v>21.717129992977821</c:v>
                </c:pt>
                <c:pt idx="11">
                  <c:v>135.74497087859888</c:v>
                </c:pt>
                <c:pt idx="12">
                  <c:v>88.644718906191912</c:v>
                </c:pt>
                <c:pt idx="13">
                  <c:v>6.4438845057623197</c:v>
                </c:pt>
              </c:numCache>
            </c:numRef>
          </c:val>
        </c:ser>
        <c:ser>
          <c:idx val="12"/>
          <c:order val="8"/>
          <c:tx>
            <c:strRef>
              <c:f>'[Eksportuota matricinė lentelė (70).xlsx]Report'!$B$27</c:f>
              <c:strCache>
                <c:ptCount val="1"/>
                <c:pt idx="0">
                  <c:v>Šiaulių m. sav. (2008)</c:v>
                </c:pt>
              </c:strCache>
            </c:strRef>
          </c:tx>
          <c:spPr>
            <a:solidFill xmlns:a="http://schemas.openxmlformats.org/drawingml/2006/main">
              <a:schemeClr val="accent1">
                <a:tint val="69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(70).xlsx]Report'!$C$27:$P$27</c:f>
              <c:numCache>
                <c:formatCode>_-* #,##0.0\ _€_-;\-* #,##0.0\ _€_-;_-* "-"??\ _€_-;_-@_-</c:formatCode>
                <c:ptCount val="14"/>
                <c:pt idx="0">
                  <c:v>5.1789117448488629</c:v>
                </c:pt>
                <c:pt idx="1">
                  <c:v>292.19830275268561</c:v>
                </c:pt>
                <c:pt idx="2">
                  <c:v>88.408980198781336</c:v>
                </c:pt>
                <c:pt idx="3">
                  <c:v>218.75347183646264</c:v>
                </c:pt>
                <c:pt idx="4">
                  <c:v>232.2049686786938</c:v>
                </c:pt>
                <c:pt idx="5">
                  <c:v>220.11229521506158</c:v>
                </c:pt>
                <c:pt idx="6">
                  <c:v>14.365925153615411</c:v>
                </c:pt>
                <c:pt idx="7">
                  <c:v>54.57513267756574</c:v>
                </c:pt>
                <c:pt idx="8">
                  <c:v>469.44356609949324</c:v>
                </c:pt>
                <c:pt idx="9">
                  <c:v>14.86159657473956</c:v>
                </c:pt>
                <c:pt idx="10">
                  <c:v>105.65492723030773</c:v>
                </c:pt>
                <c:pt idx="11">
                  <c:v>675.97617358755008</c:v>
                </c:pt>
                <c:pt idx="12">
                  <c:v>67.257484211156026</c:v>
                </c:pt>
                <c:pt idx="13">
                  <c:v>36.910428755779272</c:v>
                </c:pt>
              </c:numCache>
            </c:numRef>
          </c:val>
        </c:ser>
        <c:ser>
          <c:idx val="13"/>
          <c:order val="9"/>
          <c:tx>
            <c:strRef>
              <c:f>'[Eksportuota matricinė lentelė (70).xlsx]Report'!$B$28</c:f>
              <c:strCache>
                <c:ptCount val="1"/>
                <c:pt idx="0">
                  <c:v>Šiaulių m. sav. (2013)</c:v>
                </c:pt>
              </c:strCache>
            </c:strRef>
          </c:tx>
          <c:spPr>
            <a:solidFill xmlns:a="http://schemas.openxmlformats.org/drawingml/2006/main">
              <a:schemeClr val="accent1">
                <a:tint val="62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(70).xlsx]Report'!$C$28:$P$28</c:f>
              <c:numCache>
                <c:formatCode>_-* #,##0.0\ _€_-;\-* #,##0.0\ _€_-;_-* "-"??\ _€_-;_-@_-</c:formatCode>
                <c:ptCount val="14"/>
                <c:pt idx="0">
                  <c:v>3.6967182195397963</c:v>
                </c:pt>
                <c:pt idx="1">
                  <c:v>247.98189362504715</c:v>
                </c:pt>
                <c:pt idx="2">
                  <c:v>110.14711429649189</c:v>
                </c:pt>
                <c:pt idx="3">
                  <c:v>62.580158430780841</c:v>
                </c:pt>
                <c:pt idx="4">
                  <c:v>240.7959260656356</c:v>
                </c:pt>
                <c:pt idx="5">
                  <c:v>340.18294983025271</c:v>
                </c:pt>
                <c:pt idx="6">
                  <c:v>5.7053941908713686</c:v>
                </c:pt>
                <c:pt idx="7">
                  <c:v>26.94266314598265</c:v>
                </c:pt>
                <c:pt idx="8">
                  <c:v>209.42097321765371</c:v>
                </c:pt>
                <c:pt idx="9">
                  <c:v>8.345907204828368</c:v>
                </c:pt>
                <c:pt idx="10">
                  <c:v>71.444737834779318</c:v>
                </c:pt>
                <c:pt idx="11">
                  <c:v>112.31610712938514</c:v>
                </c:pt>
                <c:pt idx="12">
                  <c:v>79.073934364390794</c:v>
                </c:pt>
                <c:pt idx="13">
                  <c:v>11.740852508487363</c:v>
                </c:pt>
              </c:numCache>
            </c:numRef>
          </c:val>
        </c:ser>
        <c:ser>
          <c:idx val="15"/>
          <c:order val="10"/>
          <c:tx>
            <c:strRef>
              <c:f>'[Eksportuota matricinė lentelė (70).xlsx]Report'!$B$30</c:f>
              <c:strCache>
                <c:ptCount val="1"/>
                <c:pt idx="0">
                  <c:v>Vilniaus m. sav. (2008)</c:v>
                </c:pt>
              </c:strCache>
            </c:strRef>
          </c:tx>
          <c:spPr>
            <a:solidFill xmlns:a="http://schemas.openxmlformats.org/drawingml/2006/main">
              <a:schemeClr val="bg2">
                <a:lumMod val="75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(70).xlsx]Report'!$C$30:$P$30</c:f>
              <c:numCache>
                <c:formatCode>_-* #,##0.0\ _€_-;\-* #,##0.0\ _€_-;_-* "-"??\ _€_-;_-@_-</c:formatCode>
                <c:ptCount val="14"/>
                <c:pt idx="0">
                  <c:v>13.968721129004598</c:v>
                </c:pt>
                <c:pt idx="1">
                  <c:v>321.00582168351212</c:v>
                </c:pt>
                <c:pt idx="2">
                  <c:v>278.60176328595952</c:v>
                </c:pt>
                <c:pt idx="3">
                  <c:v>551.09970255383257</c:v>
                </c:pt>
                <c:pt idx="4">
                  <c:v>498.85760755915271</c:v>
                </c:pt>
                <c:pt idx="5">
                  <c:v>798.8264430196042</c:v>
                </c:pt>
                <c:pt idx="6">
                  <c:v>88.00939730731001</c:v>
                </c:pt>
                <c:pt idx="7">
                  <c:v>186.05598921596288</c:v>
                </c:pt>
                <c:pt idx="8">
                  <c:v>1472.1741231054634</c:v>
                </c:pt>
                <c:pt idx="9">
                  <c:v>167.58592838056882</c:v>
                </c:pt>
                <c:pt idx="10">
                  <c:v>194.22146738879883</c:v>
                </c:pt>
                <c:pt idx="11">
                  <c:v>533.13306889576108</c:v>
                </c:pt>
                <c:pt idx="12">
                  <c:v>126.2717068394178</c:v>
                </c:pt>
                <c:pt idx="13">
                  <c:v>308.32978352631375</c:v>
                </c:pt>
              </c:numCache>
            </c:numRef>
          </c:val>
        </c:ser>
        <c:ser>
          <c:idx val="16"/>
          <c:order val="11"/>
          <c:tx>
            <c:strRef>
              <c:f>'[Eksportuota matricinė lentelė (70).xlsx]Report'!$B$31</c:f>
              <c:strCache>
                <c:ptCount val="1"/>
                <c:pt idx="0">
                  <c:v>Vilniaus m. sav. (2013)</c:v>
                </c:pt>
              </c:strCache>
            </c:strRef>
          </c:tx>
          <c:spPr>
            <a:solidFill xmlns:a="http://schemas.openxmlformats.org/drawingml/2006/main">
              <a:schemeClr val="tx2">
                <a:lumMod val="60000"/>
                <a:lumOff val="40000"/>
              </a:schemeClr>
            </a:solidFill>
            <a:ln xmlns:a="http://schemas.openxmlformats.org/drawingml/2006/main">
              <a:noFill/>
            </a:ln>
            <a:effectLst xmlns:a="http://schemas.openxmlformats.org/drawingml/2006/main"/>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(70).xlsx]Report'!$C$31:$P$31</c:f>
              <c:numCache>
                <c:formatCode>_-* #,##0.0\ _€_-;\-* #,##0.0\ _€_-;_-* "-"??\ _€_-;_-@_-</c:formatCode>
                <c:ptCount val="14"/>
                <c:pt idx="0">
                  <c:v>23.670672139368165</c:v>
                </c:pt>
                <c:pt idx="1">
                  <c:v>212.56987909291831</c:v>
                </c:pt>
                <c:pt idx="2">
                  <c:v>158.97888304886428</c:v>
                </c:pt>
                <c:pt idx="3">
                  <c:v>187.19982170384267</c:v>
                </c:pt>
                <c:pt idx="4">
                  <c:v>428.77439964340766</c:v>
                </c:pt>
                <c:pt idx="5">
                  <c:v>851.57773526735139</c:v>
                </c:pt>
                <c:pt idx="6">
                  <c:v>53.115539624463722</c:v>
                </c:pt>
                <c:pt idx="7">
                  <c:v>163.96374644800625</c:v>
                </c:pt>
                <c:pt idx="8">
                  <c:v>865.91014616570396</c:v>
                </c:pt>
                <c:pt idx="9">
                  <c:v>175.24469290344149</c:v>
                </c:pt>
                <c:pt idx="10">
                  <c:v>117.65317682892855</c:v>
                </c:pt>
                <c:pt idx="11">
                  <c:v>292.25154616198949</c:v>
                </c:pt>
                <c:pt idx="12">
                  <c:v>126.43426257823673</c:v>
                </c:pt>
                <c:pt idx="13">
                  <c:v>72.486674219489998</c:v>
                </c:pt>
              </c:numCache>
            </c:numRef>
          </c:val>
        </c:ser>
        <c:dLbls>
          <c:showLegendKey val="0"/>
          <c:showVal val="0"/>
          <c:showCatName val="0"/>
          <c:showSerName val="0"/>
          <c:showPercent val="0"/>
          <c:showBubbleSize val="0"/>
        </c:dLbls>
        <c:gapWidth val="219"/>
        <c:axId val="125526784"/>
        <c:axId val="125528320"/>
        <c:extLst>
          <c:ext uri="{02D57815-91ED-43cb-92C2-25804820EDAC}">
            <c15:filteredBarSeries xmlns:c15="http://schemas.microsoft.com/office/drawing/2012/chart">
              <c15:ser>
                <c:idx val="2"/>
                <c:order val="2"/>
                <c:tx>
                  <c:strRef>
                    <c:extLst>
                      <c:ext uri="{02D57815-91ED-43cb-92C2-25804820EDAC}">
                        <c15:formulaRef>
                          <c15:sqref>'[Eksportuota matricinė lentelė (70).xlsx]Report'!$B$17</c15:sqref>
                        </c15:formulaRef>
                      </c:ext>
                    </c:extLst>
                    <c:strCache>
                      <c:ptCount val="1"/>
                    </c:strCache>
                  </c:strRef>
                </c:tx>
                <c:spPr>
                  <a:solidFill xmlns:a="http://schemas.openxmlformats.org/drawingml/2006/main">
                    <a:schemeClr val="accent1">
                      <a:shade val="53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(70).xlsx]Report'!$C$17:$P$17</c15:sqref>
                        </c15:formulaRef>
                      </c:ext>
                    </c:extLst>
                    <c:numCache>
                      <c:formatCode>General</c:formatCode>
                      <c:ptCount val="14"/>
                    </c:numCache>
                  </c:numRef>
                </c:val>
              </c15:ser>
            </c15:filteredBarSeries>
            <c15:filteredBarSeries xmlns:c15="http://schemas.microsoft.com/office/drawing/2012/chart">
              <c15:ser>
                <c:idx val="5"/>
                <c:order val="5"/>
                <c:tx>
                  <c:strRef>
                    <c:extLst>
                      <c:ext uri="{02D57815-91ED-43cb-92C2-25804820EDAC}">
                        <c15:formulaRef>
                          <c15:sqref>'[Eksportuota matricinė lentelė (70).xlsx]Report'!$B$20</c15:sqref>
                        </c15:formulaRef>
                      </c:ext>
                    </c:extLst>
                    <c:strCache>
                      <c:ptCount val="1"/>
                    </c:strCache>
                  </c:strRef>
                </c:tx>
                <c:spPr>
                  <a:solidFill xmlns:a="http://schemas.openxmlformats.org/drawingml/2006/main">
                    <a:schemeClr val="accent1">
                      <a:shade val="76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(70).xlsx]Report'!$C$20:$P$20</c15:sqref>
                        </c15:formulaRef>
                      </c:ext>
                    </c:extLst>
                    <c:numCache>
                      <c:formatCode>General</c:formatCode>
                      <c:ptCount val="14"/>
                    </c:numCache>
                  </c:numRef>
                </c:val>
              </c15:ser>
            </c15:filteredBarSeries>
            <c15:filteredBarSeries xmlns:c15="http://schemas.microsoft.com/office/drawing/2012/chart">
              <c15:ser>
                <c:idx val="8"/>
                <c:order val="8"/>
                <c:tx>
                  <c:strRef>
                    <c:extLst>
                      <c:ext uri="{02D57815-91ED-43cb-92C2-25804820EDAC}">
                        <c15:formulaRef>
                          <c15:sqref>'[Eksportuota matricinė lentelė (70).xlsx]Report'!$B$23</c15:sqref>
                        </c15:formulaRef>
                      </c:ext>
                    </c:extLst>
                    <c:strCache>
                      <c:ptCount val="1"/>
                    </c:strCache>
                  </c:strRef>
                </c:tx>
                <c:spPr>
                  <a:solidFill xmlns:a="http://schemas.openxmlformats.org/drawingml/2006/main">
                    <a:schemeClr val="accent1"/>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(70).xlsx]Report'!$C$23:$P$23</c15:sqref>
                        </c15:formulaRef>
                      </c:ext>
                    </c:extLst>
                    <c:numCache>
                      <c:formatCode>General</c:formatCode>
                      <c:ptCount val="14"/>
                    </c:numCache>
                  </c:numRef>
                </c:val>
              </c15:ser>
            </c15:filteredBarSeries>
            <c15:filteredBarSeries xmlns:c15="http://schemas.microsoft.com/office/drawing/2012/chart">
              <c15:ser>
                <c:idx val="11"/>
                <c:order val="11"/>
                <c:tx>
                  <c:strRef>
                    <c:extLst>
                      <c:ext uri="{02D57815-91ED-43cb-92C2-25804820EDAC}">
                        <c15:formulaRef>
                          <c15:sqref>'[Eksportuota matricinė lentelė (70).xlsx]Report'!$B$26</c15:sqref>
                        </c15:formulaRef>
                      </c:ext>
                    </c:extLst>
                    <c:strCache>
                      <c:ptCount val="1"/>
                    </c:strCache>
                  </c:strRef>
                </c:tx>
                <c:spPr>
                  <a:solidFill xmlns:a="http://schemas.openxmlformats.org/drawingml/2006/main">
                    <a:schemeClr val="accent1">
                      <a:tint val="77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(70).xlsx]Report'!$C$26:$P$26</c15:sqref>
                        </c15:formulaRef>
                      </c:ext>
                    </c:extLst>
                    <c:numCache>
                      <c:formatCode>General</c:formatCode>
                      <c:ptCount val="14"/>
                    </c:numCache>
                  </c:numRef>
                </c:val>
              </c15:ser>
            </c15:filteredBarSeries>
            <c15:filteredBarSeries xmlns:c15="http://schemas.microsoft.com/office/drawing/2012/chart">
              <c15:ser>
                <c:idx val="14"/>
                <c:order val="14"/>
                <c:tx>
                  <c:strRef>
                    <c:extLst>
                      <c:ext uri="{02D57815-91ED-43cb-92C2-25804820EDAC}">
                        <c15:formulaRef>
                          <c15:sqref>'[Eksportuota matricinė lentelė (70).xlsx]Report'!$B$29</c15:sqref>
                        </c15:formulaRef>
                      </c:ext>
                    </c:extLst>
                    <c:strCache>
                      <c:ptCount val="1"/>
                    </c:strCache>
                  </c:strRef>
                </c:tx>
                <c:spPr>
                  <a:solidFill xmlns:a="http://schemas.openxmlformats.org/drawingml/2006/main">
                    <a:schemeClr val="accent1">
                      <a:tint val="54000"/>
                    </a:schemeClr>
                  </a:solidFill>
                  <a:ln xmlns:a="http://schemas.openxmlformats.org/drawingml/2006/main">
                    <a:noFill/>
                  </a:ln>
                  <a:effectLst xmlns:a="http://schemas.openxmlformats.org/drawingml/2006/main"/>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(70).xlsx]Report'!$C$29:$P$29</c15:sqref>
                        </c15:formulaRef>
                      </c:ext>
                    </c:extLst>
                    <c:numCache>
                      <c:formatCode>General</c:formatCode>
                      <c:ptCount val="14"/>
                    </c:numCache>
                  </c:numRef>
                </c:val>
              </c15:ser>
            </c15:filteredBarSeries>
          </c:ext>
        </c:extLst>
      </c:barChart>
      <c:lineChart>
        <c:grouping val="standard"/>
        <c:varyColors val="0"/>
        <c:ser>
          <c:idx val="0"/>
          <c:order val="0"/>
          <c:tx>
            <c:strRef>
              <c:f>'[Eksportuota matricinė lentelė (70).xlsx]Report'!$B$15</c:f>
              <c:strCache>
                <c:ptCount val="1"/>
                <c:pt idx="0">
                  <c:v>Lietuvos Respublika (2008)</c:v>
                </c:pt>
              </c:strCache>
            </c:strRef>
          </c:tx>
          <c:spPr>
            <a:ln xmlns:a="http://schemas.openxmlformats.org/drawingml/2006/main" w="28575" cap="rnd">
              <a:solidFill>
                <a:schemeClr val="accent1">
                  <a:shade val="37000"/>
                </a:schemeClr>
              </a:solidFill>
              <a:prstDash val="sysDot"/>
              <a:round/>
            </a:ln>
            <a:effectLst xmlns:a="http://schemas.openxmlformats.org/drawingml/2006/main"/>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(70).xlsx]Report'!$C$15:$P$15</c:f>
              <c:numCache>
                <c:formatCode>_-* #,##0.0\ _€_-;\-* #,##0.0\ _€_-;_-* "-"??\ _€_-;_-@_-</c:formatCode>
                <c:ptCount val="14"/>
                <c:pt idx="0">
                  <c:v>60.341169852959339</c:v>
                </c:pt>
                <c:pt idx="1">
                  <c:v>329.46900958686228</c:v>
                </c:pt>
                <c:pt idx="2">
                  <c:v>175.81312919548338</c:v>
                </c:pt>
                <c:pt idx="3">
                  <c:v>184.21933875320451</c:v>
                </c:pt>
                <c:pt idx="4">
                  <c:v>254.83243705661036</c:v>
                </c:pt>
                <c:pt idx="5">
                  <c:v>292.08709439687124</c:v>
                </c:pt>
                <c:pt idx="6">
                  <c:v>32.704954707774391</c:v>
                </c:pt>
                <c:pt idx="7">
                  <c:v>53.234115984742814</c:v>
                </c:pt>
                <c:pt idx="8">
                  <c:v>529.440806495841</c:v>
                </c:pt>
                <c:pt idx="9">
                  <c:v>66.114986691080162</c:v>
                </c:pt>
                <c:pt idx="10">
                  <c:v>49.250976555477074</c:v>
                </c:pt>
                <c:pt idx="11">
                  <c:v>455.99364148493339</c:v>
                </c:pt>
                <c:pt idx="12">
                  <c:v>52.256700657332132</c:v>
                </c:pt>
                <c:pt idx="13">
                  <c:v>68.425326375737086</c:v>
                </c:pt>
              </c:numCache>
            </c:numRef>
          </c:val>
          <c:smooth val="0"/>
        </c:ser>
        <c:ser>
          <c:idx val="1"/>
          <c:order val="1"/>
          <c:tx>
            <c:strRef>
              <c:f>'[Eksportuota matricinė lentelė (70).xlsx]Report'!$B$16</c:f>
              <c:strCache>
                <c:ptCount val="1"/>
                <c:pt idx="0">
                  <c:v>Lietuvos Respublika (2013)</c:v>
                </c:pt>
              </c:strCache>
            </c:strRef>
          </c:tx>
          <c:spPr>
            <a:ln xmlns:a="http://schemas.openxmlformats.org/drawingml/2006/main" w="28575" cap="rnd">
              <a:solidFill>
                <a:schemeClr val="accent1">
                  <a:shade val="45000"/>
                </a:schemeClr>
              </a:solidFill>
              <a:round/>
            </a:ln>
            <a:effectLst xmlns:a="http://schemas.openxmlformats.org/drawingml/2006/main"/>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(70).xlsx]Report'!$C$16:$P$16</c:f>
              <c:numCache>
                <c:formatCode>_-* #,##0.0\ _€_-;\-* #,##0.0\ _€_-;_-* "-"??\ _€_-;_-@_-</c:formatCode>
                <c:ptCount val="14"/>
                <c:pt idx="0">
                  <c:v>95.045489907830074</c:v>
                </c:pt>
                <c:pt idx="1">
                  <c:v>253.84311873222643</c:v>
                </c:pt>
                <c:pt idx="2">
                  <c:v>201.2365059341939</c:v>
                </c:pt>
                <c:pt idx="3">
                  <c:v>72.941407970885365</c:v>
                </c:pt>
                <c:pt idx="4">
                  <c:v>182.11718676304372</c:v>
                </c:pt>
                <c:pt idx="5">
                  <c:v>348.57755497619928</c:v>
                </c:pt>
                <c:pt idx="6">
                  <c:v>18.963454237413064</c:v>
                </c:pt>
                <c:pt idx="7">
                  <c:v>45.172768333655092</c:v>
                </c:pt>
                <c:pt idx="8">
                  <c:v>321.04119128143628</c:v>
                </c:pt>
                <c:pt idx="9">
                  <c:v>49.027805154632553</c:v>
                </c:pt>
                <c:pt idx="10">
                  <c:v>43.243897515932204</c:v>
                </c:pt>
                <c:pt idx="11">
                  <c:v>287.60968445296311</c:v>
                </c:pt>
                <c:pt idx="12">
                  <c:v>65.11502730679257</c:v>
                </c:pt>
                <c:pt idx="13">
                  <c:v>22.316071770899512</c:v>
                </c:pt>
              </c:numCache>
            </c:numRef>
          </c:val>
          <c:smooth val="0"/>
        </c:ser>
        <c:dLbls>
          <c:showLegendKey val="0"/>
          <c:showVal val="0"/>
          <c:showCatName val="0"/>
          <c:showSerName val="0"/>
          <c:showPercent val="0"/>
          <c:showBubbleSize val="0"/>
        </c:dLbls>
        <c:marker val="1"/>
        <c:smooth val="0"/>
        <c:axId val="125526784"/>
        <c:axId val="125528320"/>
      </c:lineChart>
      <c:catAx>
        <c:axId val="12552678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5400000" spcFirstLastPara="1" vertOverflow="ellipsis"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5528320"/>
        <c:crosses val="autoZero"/>
        <c:auto val="1"/>
        <c:lblAlgn val="ctr"/>
        <c:lblOffset val="100"/>
        <c:noMultiLvlLbl val="0"/>
      </c:catAx>
      <c:valAx>
        <c:axId val="12552832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_-* #,##0.0\ _€_-;\-* #,##0.0\ _€_-;_-* &quot;-&quot;??\ _€_-;_-@_-"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552678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Lapas1!$A$26</c:f>
              <c:strCache>
                <c:ptCount val="1"/>
                <c:pt idx="0">
                  <c:v>Aleksoto sen.</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Lapas1!$B$26:$D$26</c:f>
              <c:numCache>
                <c:formatCode>0.00%</c:formatCode>
                <c:ptCount val="3"/>
                <c:pt idx="0">
                  <c:v>0.154</c:v>
                </c:pt>
                <c:pt idx="1">
                  <c:v>0.20699999999999999</c:v>
                </c:pt>
                <c:pt idx="2">
                  <c:v>0.16800000000000001</c:v>
                </c:pt>
              </c:numCache>
            </c:numRef>
          </c:val>
        </c:ser>
        <c:ser>
          <c:idx val="4"/>
          <c:order val="4"/>
          <c:tx>
            <c:strRef>
              <c:f>Lapas1!$A$27</c:f>
              <c:strCache>
                <c:ptCount val="1"/>
                <c:pt idx="0">
                  <c:v>Centro sen.</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Lapas1!$B$27:$D$27</c:f>
              <c:numCache>
                <c:formatCode>0.00%</c:formatCode>
                <c:ptCount val="3"/>
                <c:pt idx="0">
                  <c:v>0.112</c:v>
                </c:pt>
                <c:pt idx="1">
                  <c:v>0.28000000000000003</c:v>
                </c:pt>
                <c:pt idx="2">
                  <c:v>0.20300000000000001</c:v>
                </c:pt>
              </c:numCache>
            </c:numRef>
          </c:val>
        </c:ser>
        <c:ser>
          <c:idx val="5"/>
          <c:order val="5"/>
          <c:tx>
            <c:strRef>
              <c:f>Lapas1!$A$28</c:f>
              <c:strCache>
                <c:ptCount val="1"/>
                <c:pt idx="0">
                  <c:v>Dainavos sen.</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Lapas1!$B$28:$D$28</c:f>
              <c:numCache>
                <c:formatCode>0.00%</c:formatCode>
                <c:ptCount val="3"/>
                <c:pt idx="0">
                  <c:v>0.13100000000000001</c:v>
                </c:pt>
                <c:pt idx="1">
                  <c:v>0.214</c:v>
                </c:pt>
                <c:pt idx="2">
                  <c:v>0.23799999999999999</c:v>
                </c:pt>
              </c:numCache>
            </c:numRef>
          </c:val>
        </c:ser>
        <c:ser>
          <c:idx val="6"/>
          <c:order val="6"/>
          <c:tx>
            <c:strRef>
              <c:f>Lapas1!$A$29</c:f>
              <c:strCache>
                <c:ptCount val="1"/>
                <c:pt idx="0">
                  <c:v>Eigulių sen.</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Lapas1!$B$29:$D$29</c:f>
              <c:numCache>
                <c:formatCode>0.00%</c:formatCode>
                <c:ptCount val="3"/>
                <c:pt idx="0">
                  <c:v>0.14199999999999999</c:v>
                </c:pt>
                <c:pt idx="1">
                  <c:v>0.19500000000000001</c:v>
                </c:pt>
                <c:pt idx="2">
                  <c:v>0.17799999999999999</c:v>
                </c:pt>
              </c:numCache>
            </c:numRef>
          </c:val>
        </c:ser>
        <c:ser>
          <c:idx val="7"/>
          <c:order val="7"/>
          <c:tx>
            <c:strRef>
              <c:f>Lapas1!$A$30</c:f>
              <c:strCache>
                <c:ptCount val="1"/>
                <c:pt idx="0">
                  <c:v>Gričiupio sen.</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Lapas1!$B$30:$D$30</c:f>
              <c:numCache>
                <c:formatCode>0.00%</c:formatCode>
                <c:ptCount val="3"/>
                <c:pt idx="0">
                  <c:v>0.127</c:v>
                </c:pt>
                <c:pt idx="1">
                  <c:v>0.21</c:v>
                </c:pt>
                <c:pt idx="2">
                  <c:v>0.22800000000000001</c:v>
                </c:pt>
              </c:numCache>
            </c:numRef>
          </c:val>
        </c:ser>
        <c:ser>
          <c:idx val="8"/>
          <c:order val="8"/>
          <c:tx>
            <c:strRef>
              <c:f>Lapas1!$A$31</c:f>
              <c:strCache>
                <c:ptCount val="1"/>
                <c:pt idx="0">
                  <c:v>Panemunės sen.</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Lapas1!$B$31:$D$31</c:f>
              <c:numCache>
                <c:formatCode>0.00%</c:formatCode>
                <c:ptCount val="3"/>
                <c:pt idx="0">
                  <c:v>0.154</c:v>
                </c:pt>
                <c:pt idx="1">
                  <c:v>0.19500000000000001</c:v>
                </c:pt>
                <c:pt idx="2">
                  <c:v>0.186</c:v>
                </c:pt>
              </c:numCache>
            </c:numRef>
          </c:val>
        </c:ser>
        <c:ser>
          <c:idx val="9"/>
          <c:order val="9"/>
          <c:tx>
            <c:strRef>
              <c:f>Lapas1!$A$32</c:f>
              <c:strCache>
                <c:ptCount val="1"/>
                <c:pt idx="0">
                  <c:v>Petrašiūnų sen.</c:v>
                </c:pt>
              </c:strCache>
            </c:strRef>
          </c:tx>
          <c:spPr>
            <a:solidFill xmlns:a="http://schemas.openxmlformats.org/drawingml/2006/main">
              <a:schemeClr val="accent4">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Lapas1!$B$32:$D$32</c:f>
              <c:numCache>
                <c:formatCode>0.00%</c:formatCode>
                <c:ptCount val="3"/>
                <c:pt idx="0">
                  <c:v>0.13800000000000001</c:v>
                </c:pt>
                <c:pt idx="1">
                  <c:v>0.215</c:v>
                </c:pt>
                <c:pt idx="2">
                  <c:v>0.17499999999999999</c:v>
                </c:pt>
              </c:numCache>
            </c:numRef>
          </c:val>
        </c:ser>
        <c:ser>
          <c:idx val="10"/>
          <c:order val="10"/>
          <c:tx>
            <c:strRef>
              <c:f>Lapas1!$A$33</c:f>
              <c:strCache>
                <c:ptCount val="1"/>
                <c:pt idx="0">
                  <c:v>Šančių sen.</c:v>
                </c:pt>
              </c:strCache>
            </c:strRef>
          </c:tx>
          <c:spPr>
            <a:solidFill xmlns:a="http://schemas.openxmlformats.org/drawingml/2006/main">
              <a:schemeClr val="accent5">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Lapas1!$B$33:$D$33</c:f>
              <c:numCache>
                <c:formatCode>0.00%</c:formatCode>
                <c:ptCount val="3"/>
                <c:pt idx="0">
                  <c:v>0.15</c:v>
                </c:pt>
                <c:pt idx="1">
                  <c:v>0.2</c:v>
                </c:pt>
                <c:pt idx="2">
                  <c:v>0.187</c:v>
                </c:pt>
              </c:numCache>
            </c:numRef>
          </c:val>
        </c:ser>
        <c:ser>
          <c:idx val="11"/>
          <c:order val="11"/>
          <c:tx>
            <c:strRef>
              <c:f>Lapas1!$A$34</c:f>
              <c:strCache>
                <c:ptCount val="1"/>
                <c:pt idx="0">
                  <c:v>Šilainių sen.</c:v>
                </c:pt>
              </c:strCache>
            </c:strRef>
          </c:tx>
          <c:spPr>
            <a:solidFill xmlns:a="http://schemas.openxmlformats.org/drawingml/2006/main">
              <a:schemeClr val="accent6">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Lapas1!$B$34:$D$34</c:f>
              <c:numCache>
                <c:formatCode>0.00%</c:formatCode>
                <c:ptCount val="3"/>
                <c:pt idx="0">
                  <c:v>0.154</c:v>
                </c:pt>
                <c:pt idx="1">
                  <c:v>0.23699999999999999</c:v>
                </c:pt>
                <c:pt idx="2">
                  <c:v>0.108</c:v>
                </c:pt>
              </c:numCache>
            </c:numRef>
          </c:val>
        </c:ser>
        <c:ser>
          <c:idx val="12"/>
          <c:order val="12"/>
          <c:tx>
            <c:strRef>
              <c:f>Lapas1!$A$35</c:f>
              <c:strCache>
                <c:ptCount val="1"/>
                <c:pt idx="0">
                  <c:v>Vilijampolės sen.</c:v>
                </c:pt>
              </c:strCache>
            </c:strRef>
          </c:tx>
          <c:spPr>
            <a:solidFill xmlns:a="http://schemas.openxmlformats.org/drawingml/2006/main">
              <a:schemeClr val="accent1">
                <a:lumMod val="80000"/>
                <a:lumOff val="2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Lapas1!$B$35:$D$35</c:f>
              <c:numCache>
                <c:formatCode>0.00%</c:formatCode>
                <c:ptCount val="3"/>
                <c:pt idx="0">
                  <c:v>0.14399999999999999</c:v>
                </c:pt>
                <c:pt idx="1">
                  <c:v>0.19900000000000001</c:v>
                </c:pt>
                <c:pt idx="2">
                  <c:v>0.20699999999999999</c:v>
                </c:pt>
              </c:numCache>
            </c:numRef>
          </c:val>
        </c:ser>
        <c:ser>
          <c:idx val="13"/>
          <c:order val="13"/>
          <c:tx>
            <c:strRef>
              <c:f>Lapas1!$A$36</c:f>
              <c:strCache>
                <c:ptCount val="1"/>
                <c:pt idx="0">
                  <c:v>Žaliakalnio sen.</c:v>
                </c:pt>
              </c:strCache>
            </c:strRef>
          </c:tx>
          <c:spPr>
            <a:solidFill xmlns:a="http://schemas.openxmlformats.org/drawingml/2006/main">
              <a:schemeClr val="accent2">
                <a:lumMod val="80000"/>
                <a:lumOff val="2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Lapas1!$B$36:$D$36</c:f>
              <c:numCache>
                <c:formatCode>0.00%</c:formatCode>
                <c:ptCount val="3"/>
                <c:pt idx="0">
                  <c:v>0.13300000000000001</c:v>
                </c:pt>
                <c:pt idx="1">
                  <c:v>0.218</c:v>
                </c:pt>
                <c:pt idx="2">
                  <c:v>0.20699999999999999</c:v>
                </c:pt>
              </c:numCache>
            </c:numRef>
          </c:val>
        </c:ser>
        <c:dLbls>
          <c:showLegendKey val="0"/>
          <c:showVal val="0"/>
          <c:showCatName val="0"/>
          <c:showSerName val="0"/>
          <c:showPercent val="0"/>
          <c:showBubbleSize val="0"/>
        </c:dLbls>
        <c:gapWidth val="150"/>
        <c:axId val="104547456"/>
        <c:axId val="104548992"/>
      </c:barChart>
      <c:lineChart>
        <c:grouping val="standard"/>
        <c:varyColors val="0"/>
        <c:ser>
          <c:idx val="0"/>
          <c:order val="0"/>
          <c:tx>
            <c:strRef>
              <c:f>Lapas1!$A$23</c:f>
              <c:strCache>
                <c:ptCount val="1"/>
                <c:pt idx="0">
                  <c:v>Vaikų dalis vidutiniškai Kaune</c:v>
                </c:pt>
              </c:strCache>
            </c:strRef>
          </c:tx>
          <c:spPr>
            <a:ln xmlns:a="http://schemas.openxmlformats.org/drawingml/2006/main" w="28575" cap="rnd">
              <a:solidFill>
                <a:schemeClr val="accent1"/>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Lapas1!$B$23:$D$23</c:f>
              <c:numCache>
                <c:formatCode>0.00%</c:formatCode>
                <c:ptCount val="3"/>
                <c:pt idx="0">
                  <c:v>0.14000000000000001</c:v>
                </c:pt>
                <c:pt idx="1">
                  <c:v>0.14000000000000001</c:v>
                </c:pt>
                <c:pt idx="2">
                  <c:v>0.14000000000000001</c:v>
                </c:pt>
              </c:numCache>
            </c:numRef>
          </c:val>
          <c:smooth val="0"/>
        </c:ser>
        <c:ser>
          <c:idx val="1"/>
          <c:order val="1"/>
          <c:tx>
            <c:strRef>
              <c:f>Lapas1!$A$24</c:f>
              <c:strCache>
                <c:ptCount val="1"/>
                <c:pt idx="0">
                  <c:v>Jaunimo dalis vidutiniškai Kaune</c:v>
                </c:pt>
              </c:strCache>
            </c:strRef>
          </c:tx>
          <c:spPr>
            <a:ln xmlns:a="http://schemas.openxmlformats.org/drawingml/2006/main" w="31750" cap="rnd">
              <a:solidFill>
                <a:schemeClr val="accent6">
                  <a:lumMod val="75000"/>
                </a:schemeClr>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Lapas1!$B$24:$D$24</c:f>
              <c:numCache>
                <c:formatCode>0.00%</c:formatCode>
                <c:ptCount val="3"/>
                <c:pt idx="0">
                  <c:v>0.214</c:v>
                </c:pt>
                <c:pt idx="1">
                  <c:v>0.214</c:v>
                </c:pt>
                <c:pt idx="2">
                  <c:v>0.214</c:v>
                </c:pt>
              </c:numCache>
            </c:numRef>
          </c:val>
          <c:smooth val="0"/>
        </c:ser>
        <c:ser>
          <c:idx val="2"/>
          <c:order val="2"/>
          <c:tx>
            <c:strRef>
              <c:f>Lapas1!$A$25</c:f>
              <c:strCache>
                <c:ptCount val="1"/>
                <c:pt idx="0">
                  <c:v>Pagyvenusių asmenų dalis vidutiniškai Kaune</c:v>
                </c:pt>
              </c:strCache>
            </c:strRef>
          </c:tx>
          <c:spPr>
            <a:ln xmlns:a="http://schemas.openxmlformats.org/drawingml/2006/main" w="31750" cap="rnd">
              <a:solidFill>
                <a:srgbClr val="C00000"/>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Lapas1!$B$25:$D$25</c:f>
              <c:numCache>
                <c:formatCode>0.00%</c:formatCode>
                <c:ptCount val="3"/>
                <c:pt idx="0">
                  <c:v>0.188</c:v>
                </c:pt>
                <c:pt idx="1">
                  <c:v>0.188</c:v>
                </c:pt>
                <c:pt idx="2">
                  <c:v>0.188</c:v>
                </c:pt>
              </c:numCache>
            </c:numRef>
          </c:val>
          <c:smooth val="0"/>
        </c:ser>
        <c:dLbls>
          <c:showLegendKey val="0"/>
          <c:showVal val="0"/>
          <c:showCatName val="0"/>
          <c:showSerName val="0"/>
          <c:showPercent val="0"/>
          <c:showBubbleSize val="0"/>
        </c:dLbls>
        <c:marker val="1"/>
        <c:smooth val="0"/>
        <c:axId val="104547456"/>
        <c:axId val="104548992"/>
      </c:lineChart>
      <c:catAx>
        <c:axId val="10454745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4548992"/>
        <c:crosses val="autoZero"/>
        <c:auto val="1"/>
        <c:lblAlgn val="ctr"/>
        <c:lblOffset val="100"/>
        <c:noMultiLvlLbl val="0"/>
      </c:catAx>
      <c:valAx>
        <c:axId val="10454899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4547456"/>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Lapas1!$A$26</c:f>
              <c:strCache>
                <c:ptCount val="1"/>
                <c:pt idx="0">
                  <c:v>Aleksoto sen.</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Lapas1!$B$26:$D$26</c:f>
              <c:numCache>
                <c:formatCode>0.00%</c:formatCode>
                <c:ptCount val="3"/>
                <c:pt idx="0">
                  <c:v>0.154</c:v>
                </c:pt>
                <c:pt idx="1">
                  <c:v>0.20699999999999999</c:v>
                </c:pt>
                <c:pt idx="2">
                  <c:v>0.16800000000000001</c:v>
                </c:pt>
              </c:numCache>
            </c:numRef>
          </c:val>
        </c:ser>
        <c:ser>
          <c:idx val="4"/>
          <c:order val="4"/>
          <c:tx>
            <c:strRef>
              <c:f>Lapas1!$A$27</c:f>
              <c:strCache>
                <c:ptCount val="1"/>
                <c:pt idx="0">
                  <c:v>Centro sen.</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Lapas1!$B$27:$D$27</c:f>
              <c:numCache>
                <c:formatCode>0.00%</c:formatCode>
                <c:ptCount val="3"/>
                <c:pt idx="0">
                  <c:v>0.112</c:v>
                </c:pt>
                <c:pt idx="1">
                  <c:v>0.28000000000000003</c:v>
                </c:pt>
                <c:pt idx="2">
                  <c:v>0.20300000000000001</c:v>
                </c:pt>
              </c:numCache>
            </c:numRef>
          </c:val>
        </c:ser>
        <c:ser>
          <c:idx val="5"/>
          <c:order val="5"/>
          <c:tx>
            <c:strRef>
              <c:f>Lapas1!$A$28</c:f>
              <c:strCache>
                <c:ptCount val="1"/>
                <c:pt idx="0">
                  <c:v>Dainavos sen.</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Lapas1!$B$28:$D$28</c:f>
              <c:numCache>
                <c:formatCode>0.00%</c:formatCode>
                <c:ptCount val="3"/>
                <c:pt idx="0">
                  <c:v>0.13100000000000001</c:v>
                </c:pt>
                <c:pt idx="1">
                  <c:v>0.214</c:v>
                </c:pt>
                <c:pt idx="2">
                  <c:v>0.23799999999999999</c:v>
                </c:pt>
              </c:numCache>
            </c:numRef>
          </c:val>
        </c:ser>
        <c:ser>
          <c:idx val="6"/>
          <c:order val="6"/>
          <c:tx>
            <c:strRef>
              <c:f>Lapas1!$A$29</c:f>
              <c:strCache>
                <c:ptCount val="1"/>
                <c:pt idx="0">
                  <c:v>Eigulių sen.</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Lapas1!$B$29:$D$29</c:f>
              <c:numCache>
                <c:formatCode>0.00%</c:formatCode>
                <c:ptCount val="3"/>
                <c:pt idx="0">
                  <c:v>0.14199999999999999</c:v>
                </c:pt>
                <c:pt idx="1">
                  <c:v>0.19500000000000001</c:v>
                </c:pt>
                <c:pt idx="2">
                  <c:v>0.17799999999999999</c:v>
                </c:pt>
              </c:numCache>
            </c:numRef>
          </c:val>
        </c:ser>
        <c:ser>
          <c:idx val="7"/>
          <c:order val="7"/>
          <c:tx>
            <c:strRef>
              <c:f>Lapas1!$A$30</c:f>
              <c:strCache>
                <c:ptCount val="1"/>
                <c:pt idx="0">
                  <c:v>Gričiupio sen.</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Lapas1!$B$30:$D$30</c:f>
              <c:numCache>
                <c:formatCode>0.00%</c:formatCode>
                <c:ptCount val="3"/>
                <c:pt idx="0">
                  <c:v>0.127</c:v>
                </c:pt>
                <c:pt idx="1">
                  <c:v>0.21</c:v>
                </c:pt>
                <c:pt idx="2">
                  <c:v>0.22800000000000001</c:v>
                </c:pt>
              </c:numCache>
            </c:numRef>
          </c:val>
        </c:ser>
        <c:ser>
          <c:idx val="8"/>
          <c:order val="8"/>
          <c:tx>
            <c:strRef>
              <c:f>Lapas1!$A$31</c:f>
              <c:strCache>
                <c:ptCount val="1"/>
                <c:pt idx="0">
                  <c:v>Panemunės sen.</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Lapas1!$B$31:$D$31</c:f>
              <c:numCache>
                <c:formatCode>0.00%</c:formatCode>
                <c:ptCount val="3"/>
                <c:pt idx="0">
                  <c:v>0.154</c:v>
                </c:pt>
                <c:pt idx="1">
                  <c:v>0.19500000000000001</c:v>
                </c:pt>
                <c:pt idx="2">
                  <c:v>0.186</c:v>
                </c:pt>
              </c:numCache>
            </c:numRef>
          </c:val>
        </c:ser>
        <c:ser>
          <c:idx val="9"/>
          <c:order val="9"/>
          <c:tx>
            <c:strRef>
              <c:f>Lapas1!$A$32</c:f>
              <c:strCache>
                <c:ptCount val="1"/>
                <c:pt idx="0">
                  <c:v>Petrašiūnų sen.</c:v>
                </c:pt>
              </c:strCache>
            </c:strRef>
          </c:tx>
          <c:spPr>
            <a:solidFill xmlns:a="http://schemas.openxmlformats.org/drawingml/2006/main">
              <a:schemeClr val="accent4">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Lapas1!$B$32:$D$32</c:f>
              <c:numCache>
                <c:formatCode>0.00%</c:formatCode>
                <c:ptCount val="3"/>
                <c:pt idx="0">
                  <c:v>0.13800000000000001</c:v>
                </c:pt>
                <c:pt idx="1">
                  <c:v>0.215</c:v>
                </c:pt>
                <c:pt idx="2">
                  <c:v>0.17499999999999999</c:v>
                </c:pt>
              </c:numCache>
            </c:numRef>
          </c:val>
        </c:ser>
        <c:ser>
          <c:idx val="10"/>
          <c:order val="10"/>
          <c:tx>
            <c:strRef>
              <c:f>Lapas1!$A$33</c:f>
              <c:strCache>
                <c:ptCount val="1"/>
                <c:pt idx="0">
                  <c:v>Šančių sen.</c:v>
                </c:pt>
              </c:strCache>
            </c:strRef>
          </c:tx>
          <c:spPr>
            <a:solidFill xmlns:a="http://schemas.openxmlformats.org/drawingml/2006/main">
              <a:schemeClr val="accent5">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Lapas1!$B$33:$D$33</c:f>
              <c:numCache>
                <c:formatCode>0.00%</c:formatCode>
                <c:ptCount val="3"/>
                <c:pt idx="0">
                  <c:v>0.15</c:v>
                </c:pt>
                <c:pt idx="1">
                  <c:v>0.2</c:v>
                </c:pt>
                <c:pt idx="2">
                  <c:v>0.187</c:v>
                </c:pt>
              </c:numCache>
            </c:numRef>
          </c:val>
        </c:ser>
        <c:ser>
          <c:idx val="11"/>
          <c:order val="11"/>
          <c:tx>
            <c:strRef>
              <c:f>Lapas1!$A$34</c:f>
              <c:strCache>
                <c:ptCount val="1"/>
                <c:pt idx="0">
                  <c:v>Šilainių sen.</c:v>
                </c:pt>
              </c:strCache>
            </c:strRef>
          </c:tx>
          <c:spPr>
            <a:solidFill xmlns:a="http://schemas.openxmlformats.org/drawingml/2006/main">
              <a:schemeClr val="accent6">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Lapas1!$B$34:$D$34</c:f>
              <c:numCache>
                <c:formatCode>0.00%</c:formatCode>
                <c:ptCount val="3"/>
                <c:pt idx="0">
                  <c:v>0.154</c:v>
                </c:pt>
                <c:pt idx="1">
                  <c:v>0.23699999999999999</c:v>
                </c:pt>
                <c:pt idx="2">
                  <c:v>0.108</c:v>
                </c:pt>
              </c:numCache>
            </c:numRef>
          </c:val>
        </c:ser>
        <c:ser>
          <c:idx val="12"/>
          <c:order val="12"/>
          <c:tx>
            <c:strRef>
              <c:f>Lapas1!$A$35</c:f>
              <c:strCache>
                <c:ptCount val="1"/>
                <c:pt idx="0">
                  <c:v>Vilijampolės sen.</c:v>
                </c:pt>
              </c:strCache>
            </c:strRef>
          </c:tx>
          <c:spPr>
            <a:solidFill xmlns:a="http://schemas.openxmlformats.org/drawingml/2006/main">
              <a:schemeClr val="accent1">
                <a:lumMod val="80000"/>
                <a:lumOff val="2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Lapas1!$B$35:$D$35</c:f>
              <c:numCache>
                <c:formatCode>0.00%</c:formatCode>
                <c:ptCount val="3"/>
                <c:pt idx="0">
                  <c:v>0.14399999999999999</c:v>
                </c:pt>
                <c:pt idx="1">
                  <c:v>0.19900000000000001</c:v>
                </c:pt>
                <c:pt idx="2">
                  <c:v>0.20699999999999999</c:v>
                </c:pt>
              </c:numCache>
            </c:numRef>
          </c:val>
        </c:ser>
        <c:ser>
          <c:idx val="13"/>
          <c:order val="13"/>
          <c:tx>
            <c:strRef>
              <c:f>Lapas1!$A$36</c:f>
              <c:strCache>
                <c:ptCount val="1"/>
                <c:pt idx="0">
                  <c:v>Žaliakalnio sen.</c:v>
                </c:pt>
              </c:strCache>
            </c:strRef>
          </c:tx>
          <c:spPr>
            <a:solidFill xmlns:a="http://schemas.openxmlformats.org/drawingml/2006/main">
              <a:schemeClr val="accent2">
                <a:lumMod val="80000"/>
                <a:lumOff val="2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Lapas1!$B$36:$D$36</c:f>
              <c:numCache>
                <c:formatCode>0.00%</c:formatCode>
                <c:ptCount val="3"/>
                <c:pt idx="0">
                  <c:v>0.13300000000000001</c:v>
                </c:pt>
                <c:pt idx="1">
                  <c:v>0.218</c:v>
                </c:pt>
                <c:pt idx="2">
                  <c:v>0.20699999999999999</c:v>
                </c:pt>
              </c:numCache>
            </c:numRef>
          </c:val>
        </c:ser>
        <c:dLbls>
          <c:showLegendKey val="0"/>
          <c:showVal val="0"/>
          <c:showCatName val="0"/>
          <c:showSerName val="0"/>
          <c:showPercent val="0"/>
          <c:showBubbleSize val="0"/>
        </c:dLbls>
        <c:gapWidth val="150"/>
        <c:axId val="116806784"/>
        <c:axId val="116808320"/>
      </c:barChart>
      <c:lineChart>
        <c:grouping val="standard"/>
        <c:varyColors val="0"/>
        <c:ser>
          <c:idx val="0"/>
          <c:order val="0"/>
          <c:tx>
            <c:strRef>
              <c:f>Lapas1!$A$23</c:f>
              <c:strCache>
                <c:ptCount val="1"/>
                <c:pt idx="0">
                  <c:v>Vaikų dalis vidutiniškai Kaune</c:v>
                </c:pt>
              </c:strCache>
            </c:strRef>
          </c:tx>
          <c:spPr>
            <a:ln xmlns:a="http://schemas.openxmlformats.org/drawingml/2006/main" w="28575" cap="rnd">
              <a:solidFill>
                <a:schemeClr val="accent1"/>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Lapas1!$B$23:$D$23</c:f>
              <c:numCache>
                <c:formatCode>0.00%</c:formatCode>
                <c:ptCount val="3"/>
                <c:pt idx="0">
                  <c:v>0.14000000000000001</c:v>
                </c:pt>
                <c:pt idx="1">
                  <c:v>0.14000000000000001</c:v>
                </c:pt>
                <c:pt idx="2">
                  <c:v>0.14000000000000001</c:v>
                </c:pt>
              </c:numCache>
            </c:numRef>
          </c:val>
          <c:smooth val="0"/>
        </c:ser>
        <c:ser>
          <c:idx val="1"/>
          <c:order val="1"/>
          <c:tx>
            <c:strRef>
              <c:f>Lapas1!$A$24</c:f>
              <c:strCache>
                <c:ptCount val="1"/>
                <c:pt idx="0">
                  <c:v>Jaunimo dalis vidutiniškai Kaune</c:v>
                </c:pt>
              </c:strCache>
            </c:strRef>
          </c:tx>
          <c:spPr>
            <a:ln xmlns:a="http://schemas.openxmlformats.org/drawingml/2006/main" w="31750" cap="rnd">
              <a:solidFill>
                <a:schemeClr val="accent6">
                  <a:lumMod val="75000"/>
                </a:schemeClr>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Lapas1!$B$24:$D$24</c:f>
              <c:numCache>
                <c:formatCode>0.00%</c:formatCode>
                <c:ptCount val="3"/>
                <c:pt idx="0">
                  <c:v>0.214</c:v>
                </c:pt>
                <c:pt idx="1">
                  <c:v>0.214</c:v>
                </c:pt>
                <c:pt idx="2">
                  <c:v>0.214</c:v>
                </c:pt>
              </c:numCache>
            </c:numRef>
          </c:val>
          <c:smooth val="0"/>
        </c:ser>
        <c:ser>
          <c:idx val="2"/>
          <c:order val="2"/>
          <c:tx>
            <c:strRef>
              <c:f>Lapas1!$A$25</c:f>
              <c:strCache>
                <c:ptCount val="1"/>
                <c:pt idx="0">
                  <c:v>Pagyvenusių asmenų dalis vidutiniškai Kaune</c:v>
                </c:pt>
              </c:strCache>
            </c:strRef>
          </c:tx>
          <c:spPr>
            <a:ln xmlns:a="http://schemas.openxmlformats.org/drawingml/2006/main" w="31750" cap="rnd">
              <a:solidFill>
                <a:srgbClr val="C00000"/>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Lapas1!$B$25:$D$25</c:f>
              <c:numCache>
                <c:formatCode>0.00%</c:formatCode>
                <c:ptCount val="3"/>
                <c:pt idx="0">
                  <c:v>0.188</c:v>
                </c:pt>
                <c:pt idx="1">
                  <c:v>0.188</c:v>
                </c:pt>
                <c:pt idx="2">
                  <c:v>0.188</c:v>
                </c:pt>
              </c:numCache>
            </c:numRef>
          </c:val>
          <c:smooth val="0"/>
        </c:ser>
        <c:dLbls>
          <c:showLegendKey val="0"/>
          <c:showVal val="0"/>
          <c:showCatName val="0"/>
          <c:showSerName val="0"/>
          <c:showPercent val="0"/>
          <c:showBubbleSize val="0"/>
        </c:dLbls>
        <c:marker val="1"/>
        <c:smooth val="0"/>
        <c:axId val="116806784"/>
        <c:axId val="116808320"/>
      </c:lineChart>
      <c:catAx>
        <c:axId val="11680678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6808320"/>
        <c:crosses val="autoZero"/>
        <c:auto val="1"/>
        <c:lblAlgn val="ctr"/>
        <c:lblOffset val="100"/>
        <c:noMultiLvlLbl val="0"/>
      </c:catAx>
      <c:valAx>
        <c:axId val="11680832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680678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Lapas1!$A$26</c:f>
              <c:strCache>
                <c:ptCount val="1"/>
                <c:pt idx="0">
                  <c:v>Aleksoto sen.</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Lapas1!$B$26:$D$26</c:f>
              <c:numCache>
                <c:formatCode>0.00%</c:formatCode>
                <c:ptCount val="3"/>
                <c:pt idx="0">
                  <c:v>0.154</c:v>
                </c:pt>
                <c:pt idx="1">
                  <c:v>0.20699999999999999</c:v>
                </c:pt>
                <c:pt idx="2">
                  <c:v>0.16800000000000001</c:v>
                </c:pt>
              </c:numCache>
            </c:numRef>
          </c:val>
        </c:ser>
        <c:ser>
          <c:idx val="4"/>
          <c:order val="4"/>
          <c:tx>
            <c:strRef>
              <c:f>Lapas1!$A$27</c:f>
              <c:strCache>
                <c:ptCount val="1"/>
                <c:pt idx="0">
                  <c:v>Centro sen.</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Lapas1!$B$27:$D$27</c:f>
              <c:numCache>
                <c:formatCode>0.00%</c:formatCode>
                <c:ptCount val="3"/>
                <c:pt idx="0">
                  <c:v>0.112</c:v>
                </c:pt>
                <c:pt idx="1">
                  <c:v>0.28000000000000003</c:v>
                </c:pt>
                <c:pt idx="2">
                  <c:v>0.20300000000000001</c:v>
                </c:pt>
              </c:numCache>
            </c:numRef>
          </c:val>
        </c:ser>
        <c:ser>
          <c:idx val="5"/>
          <c:order val="5"/>
          <c:tx>
            <c:strRef>
              <c:f>Lapas1!$A$28</c:f>
              <c:strCache>
                <c:ptCount val="1"/>
                <c:pt idx="0">
                  <c:v>Dainavos sen.</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Lapas1!$B$28:$D$28</c:f>
              <c:numCache>
                <c:formatCode>0.00%</c:formatCode>
                <c:ptCount val="3"/>
                <c:pt idx="0">
                  <c:v>0.13100000000000001</c:v>
                </c:pt>
                <c:pt idx="1">
                  <c:v>0.214</c:v>
                </c:pt>
                <c:pt idx="2">
                  <c:v>0.23799999999999999</c:v>
                </c:pt>
              </c:numCache>
            </c:numRef>
          </c:val>
        </c:ser>
        <c:ser>
          <c:idx val="6"/>
          <c:order val="6"/>
          <c:tx>
            <c:strRef>
              <c:f>Lapas1!$A$29</c:f>
              <c:strCache>
                <c:ptCount val="1"/>
                <c:pt idx="0">
                  <c:v>Eigulių sen.</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Lapas1!$B$29:$D$29</c:f>
              <c:numCache>
                <c:formatCode>0.00%</c:formatCode>
                <c:ptCount val="3"/>
                <c:pt idx="0">
                  <c:v>0.14199999999999999</c:v>
                </c:pt>
                <c:pt idx="1">
                  <c:v>0.19500000000000001</c:v>
                </c:pt>
                <c:pt idx="2">
                  <c:v>0.17799999999999999</c:v>
                </c:pt>
              </c:numCache>
            </c:numRef>
          </c:val>
        </c:ser>
        <c:ser>
          <c:idx val="7"/>
          <c:order val="7"/>
          <c:tx>
            <c:strRef>
              <c:f>Lapas1!$A$30</c:f>
              <c:strCache>
                <c:ptCount val="1"/>
                <c:pt idx="0">
                  <c:v>Gričiupio sen.</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Lapas1!$B$30:$D$30</c:f>
              <c:numCache>
                <c:formatCode>0.00%</c:formatCode>
                <c:ptCount val="3"/>
                <c:pt idx="0">
                  <c:v>0.127</c:v>
                </c:pt>
                <c:pt idx="1">
                  <c:v>0.21</c:v>
                </c:pt>
                <c:pt idx="2">
                  <c:v>0.22800000000000001</c:v>
                </c:pt>
              </c:numCache>
            </c:numRef>
          </c:val>
        </c:ser>
        <c:ser>
          <c:idx val="8"/>
          <c:order val="8"/>
          <c:tx>
            <c:strRef>
              <c:f>Lapas1!$A$31</c:f>
              <c:strCache>
                <c:ptCount val="1"/>
                <c:pt idx="0">
                  <c:v>Panemunės sen.</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Lapas1!$B$31:$D$31</c:f>
              <c:numCache>
                <c:formatCode>0.00%</c:formatCode>
                <c:ptCount val="3"/>
                <c:pt idx="0">
                  <c:v>0.154</c:v>
                </c:pt>
                <c:pt idx="1">
                  <c:v>0.19500000000000001</c:v>
                </c:pt>
                <c:pt idx="2">
                  <c:v>0.186</c:v>
                </c:pt>
              </c:numCache>
            </c:numRef>
          </c:val>
        </c:ser>
        <c:ser>
          <c:idx val="9"/>
          <c:order val="9"/>
          <c:tx>
            <c:strRef>
              <c:f>Lapas1!$A$32</c:f>
              <c:strCache>
                <c:ptCount val="1"/>
                <c:pt idx="0">
                  <c:v>Petrašiūnų sen.</c:v>
                </c:pt>
              </c:strCache>
            </c:strRef>
          </c:tx>
          <c:spPr>
            <a:solidFill xmlns:a="http://schemas.openxmlformats.org/drawingml/2006/main">
              <a:schemeClr val="accent4">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Lapas1!$B$32:$D$32</c:f>
              <c:numCache>
                <c:formatCode>0.00%</c:formatCode>
                <c:ptCount val="3"/>
                <c:pt idx="0">
                  <c:v>0.13800000000000001</c:v>
                </c:pt>
                <c:pt idx="1">
                  <c:v>0.215</c:v>
                </c:pt>
                <c:pt idx="2">
                  <c:v>0.17499999999999999</c:v>
                </c:pt>
              </c:numCache>
            </c:numRef>
          </c:val>
        </c:ser>
        <c:ser>
          <c:idx val="10"/>
          <c:order val="10"/>
          <c:tx>
            <c:strRef>
              <c:f>Lapas1!$A$33</c:f>
              <c:strCache>
                <c:ptCount val="1"/>
                <c:pt idx="0">
                  <c:v>Šančių sen.</c:v>
                </c:pt>
              </c:strCache>
            </c:strRef>
          </c:tx>
          <c:spPr>
            <a:solidFill xmlns:a="http://schemas.openxmlformats.org/drawingml/2006/main">
              <a:schemeClr val="accent5">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Lapas1!$B$33:$D$33</c:f>
              <c:numCache>
                <c:formatCode>0.00%</c:formatCode>
                <c:ptCount val="3"/>
                <c:pt idx="0">
                  <c:v>0.15</c:v>
                </c:pt>
                <c:pt idx="1">
                  <c:v>0.2</c:v>
                </c:pt>
                <c:pt idx="2">
                  <c:v>0.187</c:v>
                </c:pt>
              </c:numCache>
            </c:numRef>
          </c:val>
        </c:ser>
        <c:ser>
          <c:idx val="11"/>
          <c:order val="11"/>
          <c:tx>
            <c:strRef>
              <c:f>Lapas1!$A$34</c:f>
              <c:strCache>
                <c:ptCount val="1"/>
                <c:pt idx="0">
                  <c:v>Šilainių sen.</c:v>
                </c:pt>
              </c:strCache>
            </c:strRef>
          </c:tx>
          <c:spPr>
            <a:solidFill xmlns:a="http://schemas.openxmlformats.org/drawingml/2006/main">
              <a:schemeClr val="accent6">
                <a:lumMod val="6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Lapas1!$B$34:$D$34</c:f>
              <c:numCache>
                <c:formatCode>0.00%</c:formatCode>
                <c:ptCount val="3"/>
                <c:pt idx="0">
                  <c:v>0.154</c:v>
                </c:pt>
                <c:pt idx="1">
                  <c:v>0.23699999999999999</c:v>
                </c:pt>
                <c:pt idx="2">
                  <c:v>0.108</c:v>
                </c:pt>
              </c:numCache>
            </c:numRef>
          </c:val>
        </c:ser>
        <c:ser>
          <c:idx val="12"/>
          <c:order val="12"/>
          <c:tx>
            <c:strRef>
              <c:f>Lapas1!$A$35</c:f>
              <c:strCache>
                <c:ptCount val="1"/>
                <c:pt idx="0">
                  <c:v>Vilijampolės sen.</c:v>
                </c:pt>
              </c:strCache>
            </c:strRef>
          </c:tx>
          <c:spPr>
            <a:solidFill xmlns:a="http://schemas.openxmlformats.org/drawingml/2006/main">
              <a:schemeClr val="accent1">
                <a:lumMod val="80000"/>
                <a:lumOff val="2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Lapas1!$B$35:$D$35</c:f>
              <c:numCache>
                <c:formatCode>0.00%</c:formatCode>
                <c:ptCount val="3"/>
                <c:pt idx="0">
                  <c:v>0.14399999999999999</c:v>
                </c:pt>
                <c:pt idx="1">
                  <c:v>0.19900000000000001</c:v>
                </c:pt>
                <c:pt idx="2">
                  <c:v>0.20699999999999999</c:v>
                </c:pt>
              </c:numCache>
            </c:numRef>
          </c:val>
        </c:ser>
        <c:ser>
          <c:idx val="13"/>
          <c:order val="13"/>
          <c:tx>
            <c:strRef>
              <c:f>Lapas1!$A$36</c:f>
              <c:strCache>
                <c:ptCount val="1"/>
                <c:pt idx="0">
                  <c:v>Žaliakalnio sen.</c:v>
                </c:pt>
              </c:strCache>
            </c:strRef>
          </c:tx>
          <c:spPr>
            <a:solidFill xmlns:a="http://schemas.openxmlformats.org/drawingml/2006/main">
              <a:schemeClr val="accent2">
                <a:lumMod val="80000"/>
                <a:lumOff val="20000"/>
              </a:schemeClr>
            </a:solidFill>
            <a:ln xmlns:a="http://schemas.openxmlformats.org/drawingml/2006/main">
              <a:noFill/>
            </a:ln>
            <a:effectLst xmlns:a="http://schemas.openxmlformats.org/drawingml/2006/main"/>
          </c:spPr>
          <c:invertIfNegative val="0"/>
          <c:cat>
            <c:strRef>
              <c:f>Lapas1!$B$22:$D$22</c:f>
              <c:strCache>
                <c:ptCount val="3"/>
                <c:pt idx="0">
                  <c:v>Vaikų (0-14 m.) dalis</c:v>
                </c:pt>
                <c:pt idx="1">
                  <c:v>Jaunimo (15-29 m.) dalis</c:v>
                </c:pt>
                <c:pt idx="2">
                  <c:v>Pagyvenusių (65+ m.) gyventojų dalis</c:v>
                </c:pt>
              </c:strCache>
            </c:strRef>
          </c:cat>
          <c:val>
            <c:numRef>
              <c:f>Lapas1!$B$36:$D$36</c:f>
              <c:numCache>
                <c:formatCode>0.00%</c:formatCode>
                <c:ptCount val="3"/>
                <c:pt idx="0">
                  <c:v>0.13300000000000001</c:v>
                </c:pt>
                <c:pt idx="1">
                  <c:v>0.218</c:v>
                </c:pt>
                <c:pt idx="2">
                  <c:v>0.20699999999999999</c:v>
                </c:pt>
              </c:numCache>
            </c:numRef>
          </c:val>
        </c:ser>
        <c:dLbls>
          <c:showLegendKey val="0"/>
          <c:showVal val="0"/>
          <c:showCatName val="0"/>
          <c:showSerName val="0"/>
          <c:showPercent val="0"/>
          <c:showBubbleSize val="0"/>
        </c:dLbls>
        <c:gapWidth val="150"/>
        <c:axId val="125260928"/>
        <c:axId val="125262464"/>
      </c:barChart>
      <c:lineChart>
        <c:grouping val="standard"/>
        <c:varyColors val="0"/>
        <c:ser>
          <c:idx val="0"/>
          <c:order val="0"/>
          <c:tx>
            <c:strRef>
              <c:f>Lapas1!$A$23</c:f>
              <c:strCache>
                <c:ptCount val="1"/>
                <c:pt idx="0">
                  <c:v>Vaikų dalis vidutiniškai Kaune</c:v>
                </c:pt>
              </c:strCache>
            </c:strRef>
          </c:tx>
          <c:spPr>
            <a:ln xmlns:a="http://schemas.openxmlformats.org/drawingml/2006/main" w="28575" cap="rnd">
              <a:solidFill>
                <a:schemeClr val="accent1"/>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Lapas1!$B$23:$D$23</c:f>
              <c:numCache>
                <c:formatCode>0.00%</c:formatCode>
                <c:ptCount val="3"/>
                <c:pt idx="0">
                  <c:v>0.14000000000000001</c:v>
                </c:pt>
                <c:pt idx="1">
                  <c:v>0.14000000000000001</c:v>
                </c:pt>
                <c:pt idx="2">
                  <c:v>0.14000000000000001</c:v>
                </c:pt>
              </c:numCache>
            </c:numRef>
          </c:val>
          <c:smooth val="0"/>
        </c:ser>
        <c:ser>
          <c:idx val="1"/>
          <c:order val="1"/>
          <c:tx>
            <c:strRef>
              <c:f>Lapas1!$A$24</c:f>
              <c:strCache>
                <c:ptCount val="1"/>
                <c:pt idx="0">
                  <c:v>Jaunimo dalis vidutiniškai Kaune</c:v>
                </c:pt>
              </c:strCache>
            </c:strRef>
          </c:tx>
          <c:spPr>
            <a:ln xmlns:a="http://schemas.openxmlformats.org/drawingml/2006/main" w="31750" cap="rnd">
              <a:solidFill>
                <a:schemeClr val="accent6">
                  <a:lumMod val="75000"/>
                </a:schemeClr>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Lapas1!$B$24:$D$24</c:f>
              <c:numCache>
                <c:formatCode>0.00%</c:formatCode>
                <c:ptCount val="3"/>
                <c:pt idx="0">
                  <c:v>0.214</c:v>
                </c:pt>
                <c:pt idx="1">
                  <c:v>0.214</c:v>
                </c:pt>
                <c:pt idx="2">
                  <c:v>0.214</c:v>
                </c:pt>
              </c:numCache>
            </c:numRef>
          </c:val>
          <c:smooth val="0"/>
        </c:ser>
        <c:ser>
          <c:idx val="2"/>
          <c:order val="2"/>
          <c:tx>
            <c:strRef>
              <c:f>Lapas1!$A$25</c:f>
              <c:strCache>
                <c:ptCount val="1"/>
                <c:pt idx="0">
                  <c:v>Pagyvenusių asmenų dalis vidutiniškai Kaune</c:v>
                </c:pt>
              </c:strCache>
            </c:strRef>
          </c:tx>
          <c:spPr>
            <a:ln xmlns:a="http://schemas.openxmlformats.org/drawingml/2006/main" w="31750" cap="rnd">
              <a:solidFill>
                <a:srgbClr val="C00000"/>
              </a:solidFill>
              <a:round/>
            </a:ln>
            <a:effectLst xmlns:a="http://schemas.openxmlformats.org/drawingml/2006/main"/>
          </c:spPr>
          <c:marker>
            <c:symbol val="none"/>
          </c:marker>
          <c:cat>
            <c:strRef>
              <c:f>Lapas1!$B$22:$D$22</c:f>
              <c:strCache>
                <c:ptCount val="3"/>
                <c:pt idx="0">
                  <c:v>Vaikų (0-14 m.) dalis</c:v>
                </c:pt>
                <c:pt idx="1">
                  <c:v>Jaunimo (15-29 m.) dalis</c:v>
                </c:pt>
                <c:pt idx="2">
                  <c:v>Pagyvenusių (65+ m.) gyventojų dalis</c:v>
                </c:pt>
              </c:strCache>
            </c:strRef>
          </c:cat>
          <c:val>
            <c:numRef>
              <c:f>Lapas1!$B$25:$D$25</c:f>
              <c:numCache>
                <c:formatCode>0.00%</c:formatCode>
                <c:ptCount val="3"/>
                <c:pt idx="0">
                  <c:v>0.188</c:v>
                </c:pt>
                <c:pt idx="1">
                  <c:v>0.188</c:v>
                </c:pt>
                <c:pt idx="2">
                  <c:v>0.188</c:v>
                </c:pt>
              </c:numCache>
            </c:numRef>
          </c:val>
          <c:smooth val="0"/>
        </c:ser>
        <c:dLbls>
          <c:showLegendKey val="0"/>
          <c:showVal val="0"/>
          <c:showCatName val="0"/>
          <c:showSerName val="0"/>
          <c:showPercent val="0"/>
          <c:showBubbleSize val="0"/>
        </c:dLbls>
        <c:marker val="1"/>
        <c:smooth val="0"/>
        <c:axId val="125260928"/>
        <c:axId val="125262464"/>
      </c:lineChart>
      <c:catAx>
        <c:axId val="125260928"/>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5262464"/>
        <c:crosses val="autoZero"/>
        <c:auto val="1"/>
        <c:lblAlgn val="ctr"/>
        <c:lblOffset val="100"/>
        <c:noMultiLvlLbl val="0"/>
      </c:catAx>
      <c:valAx>
        <c:axId val="125262464"/>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25260928"/>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'Ilgalaikiai demo pokyčiai'!$B$109</c:f>
              <c:strCache>
                <c:ptCount val="1"/>
                <c:pt idx="0">
                  <c:v>Kauno m. sav.</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-4.2127931383844408E-2</c:v>
                </c:pt>
                <c:pt idx="1">
                  <c:v>-7.9148202859452843E-2</c:v>
                </c:pt>
                <c:pt idx="2">
                  <c:v>-0.11842797200071457</c:v>
                </c:pt>
                <c:pt idx="3">
                  <c:v>-4.211166811146675E-2</c:v>
                </c:pt>
              </c:numCache>
            </c:numRef>
          </c:val>
        </c:ser>
        <c:ser>
          <c:idx val="3"/>
          <c:order val="3"/>
          <c:tx>
            <c:strRef>
              <c:f>'Ilgalaikiai demo pokyčiai'!$B$111</c:f>
              <c:strCache>
                <c:ptCount val="1"/>
                <c:pt idx="0">
                  <c:v>Panevėžio m. sav.</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-8.5516160932394794E-2</c:v>
                </c:pt>
                <c:pt idx="2">
                  <c:v>-0.11665301816421368</c:v>
                </c:pt>
                <c:pt idx="3">
                  <c:v>-4.9127140569832972E-2</c:v>
                </c:pt>
              </c:numCache>
            </c:numRef>
          </c:val>
        </c:ser>
        <c:ser>
          <c:idx val="4"/>
          <c:order val="4"/>
          <c:tx>
            <c:strRef>
              <c:f>'Ilgalaikiai demo pokyčiai'!$B$112</c:f>
              <c:strCache>
                <c:ptCount val="1"/>
                <c:pt idx="0">
                  <c:v>Šiaulių m. sav.</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-9.1234461168318737E-2</c:v>
                </c:pt>
                <c:pt idx="2">
                  <c:v>-0.13125566676427797</c:v>
                </c:pt>
                <c:pt idx="3">
                  <c:v>-4.8015209131555624E-2</c:v>
                </c:pt>
              </c:numCache>
            </c:numRef>
          </c:val>
        </c:ser>
        <c:ser>
          <c:idx val="5"/>
          <c:order val="5"/>
          <c:tx>
            <c:strRef>
              <c:f>'Ilgalaikiai demo pokyčiai'!$B$113</c:f>
              <c:strCache>
                <c:ptCount val="1"/>
                <c:pt idx="0">
                  <c:v>Vilniaus m. sav.</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-4.2274801483614698E-2</c:v>
                </c:pt>
                <c:pt idx="1">
                  <c:v>-2.1378012838891812E-2</c:v>
                </c:pt>
                <c:pt idx="2">
                  <c:v>-1.9542621579840741E-2</c:v>
                </c:pt>
                <c:pt idx="3">
                  <c:v>1.2115498846768704E-2</c:v>
                </c:pt>
              </c:numCache>
            </c:numRef>
          </c:val>
        </c:ser>
        <c:dLbls>
          <c:showLegendKey val="0"/>
          <c:showVal val="0"/>
          <c:showCatName val="0"/>
          <c:showSerName val="0"/>
          <c:showPercent val="0"/>
          <c:showBubbleSize val="0"/>
        </c:dLbls>
        <c:gapWidth val="219"/>
        <c:axId val="100995840"/>
        <c:axId val="100997376"/>
      </c:barChart>
      <c:lineChart>
        <c:grouping val="standard"/>
        <c:varyColors val="0"/>
        <c:ser>
          <c:idx val="0"/>
          <c:order val="0"/>
          <c:tx>
            <c:strRef>
              <c:f>'Ilgalaikiai demo pokyčiai'!$B$108</c:f>
              <c:strCache>
                <c:ptCount val="1"/>
                <c:pt idx="0">
                  <c:v>Lietuvos Respublika</c:v>
                </c:pt>
              </c:strCache>
            </c:strRef>
          </c:tx>
          <c:spPr>
            <a:ln xmlns:a="http://schemas.openxmlformats.org/drawingml/2006/main" w="28575" cap="rnd">
              <a:solidFill>
                <a:schemeClr val="accent1"/>
              </a:solidFill>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-3.5979121023565708E-2</c:v>
                </c:pt>
                <c:pt idx="1">
                  <c:v>-5.7816804485803522E-2</c:v>
                </c:pt>
                <c:pt idx="2">
                  <c:v>-9.3654491848928101E-2</c:v>
                </c:pt>
                <c:pt idx="3">
                  <c:v>-4.3713209206061789E-2</c:v>
                </c:pt>
              </c:numCache>
            </c:numRef>
          </c:val>
          <c:smooth val="0"/>
        </c:ser>
        <c:dLbls>
          <c:showLegendKey val="0"/>
          <c:showVal val="0"/>
          <c:showCatName val="0"/>
          <c:showSerName val="0"/>
          <c:showPercent val="0"/>
          <c:showBubbleSize val="0"/>
        </c:dLbls>
        <c:marker val="1"/>
        <c:smooth val="0"/>
        <c:axId val="100995840"/>
        <c:axId val="100997376"/>
      </c:lineChart>
      <c:catAx>
        <c:axId val="10099584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0997376"/>
        <c:crosses val="autoZero"/>
        <c:auto val="1"/>
        <c:lblAlgn val="ctr"/>
        <c:lblOffset val="100"/>
        <c:noMultiLvlLbl val="0"/>
      </c:catAx>
      <c:valAx>
        <c:axId val="100997376"/>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0995840"/>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955631399317405E-2"/>
          <c:y val="0.14011007805803311"/>
          <c:w val="0.92662116040955633"/>
          <c:h val="0.75549551894037459"/>
        </c:manualLayout>
      </c:layout>
      <c:lineChart>
        <c:grouping val="standard"/>
        <c:varyColors val="0"/>
        <c:ser>
          <c:idx val="0"/>
          <c:order val="0"/>
          <c:tx>
            <c:strRef>
              <c:f>'Ilgalaikiai demo pokyčiai'!$B$99</c:f>
              <c:strCache>
                <c:ptCount val="1"/>
                <c:pt idx="0">
                  <c:v>Lietuvos Respublika</c:v>
                </c:pt>
              </c:strCache>
            </c:strRef>
          </c:tx>
          <c:spPr>
            <a:ln xmlns:a="http://schemas.openxmlformats.org/drawingml/2006/main" w="38100">
              <a:solidFill>
                <a:schemeClr val="accent5">
                  <a:lumMod val="50000"/>
                </a:schemeClr>
              </a:solidFill>
              <a:prstDash val="sys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pokyčiai'!$C$99:$U$99</c:f>
              <c:numCache>
                <c:formatCode>0.0%</c:formatCode>
                <c:ptCount val="19"/>
                <c:pt idx="0">
                  <c:v>-7.5234868660537749E-3</c:v>
                </c:pt>
                <c:pt idx="1">
                  <c:v>-7.1772315206215806E-3</c:v>
                </c:pt>
                <c:pt idx="2">
                  <c:v>-7.2594343873174927E-3</c:v>
                </c:pt>
                <c:pt idx="3">
                  <c:v>-6.8790275763410316E-3</c:v>
                </c:pt>
                <c:pt idx="4">
                  <c:v>-7.1399406732318279E-3</c:v>
                </c:pt>
                <c:pt idx="5">
                  <c:v>-9.2804756412249167E-3</c:v>
                </c:pt>
                <c:pt idx="6">
                  <c:v>-6.6982435491775268E-3</c:v>
                </c:pt>
                <c:pt idx="7">
                  <c:v>-9.4909014928469988E-3</c:v>
                </c:pt>
                <c:pt idx="8">
                  <c:v>-1.2859639021585918E-2</c:v>
                </c:pt>
                <c:pt idx="9">
                  <c:v>-1.9487544780968164E-2</c:v>
                </c:pt>
                <c:pt idx="10">
                  <c:v>-1.2113677433670686E-2</c:v>
                </c:pt>
                <c:pt idx="11">
                  <c:v>-1.1500983235912312E-2</c:v>
                </c:pt>
                <c:pt idx="12">
                  <c:v>-8.9488125679938867E-3</c:v>
                </c:pt>
                <c:pt idx="13">
                  <c:v>-1.3153861229904871E-2</c:v>
                </c:pt>
                <c:pt idx="14">
                  <c:v>-2.8449612600478173E-2</c:v>
                </c:pt>
                <c:pt idx="15">
                  <c:v>-1.6034590976574632E-2</c:v>
                </c:pt>
                <c:pt idx="16">
                  <c:v>-1.0565843254902967E-2</c:v>
                </c:pt>
                <c:pt idx="17">
                  <c:v>-9.5672640949155518E-3</c:v>
                </c:pt>
                <c:pt idx="18">
                  <c:v>-7.5455108796686366E-3</c:v>
                </c:pt>
              </c:numCache>
            </c:numRef>
          </c:val>
          <c:smooth val="0"/>
        </c:ser>
        <c:ser>
          <c:idx val="1"/>
          <c:order val="1"/>
          <c:tx>
            <c:strRef>
              <c:f>'Ilgalaikiai demo pokyčiai'!$B$100</c:f>
              <c:strCache>
                <c:ptCount val="1"/>
                <c:pt idx="0">
                  <c:v>Kauno m. sav.</c:v>
                </c:pt>
              </c:strCache>
            </c:strRef>
          </c:tx>
          <c:spPr>
            <a:ln xmlns:a="http://schemas.openxmlformats.org/drawingml/2006/main" w="38100">
              <a:solidFill>
                <a:srgbClr val="ED7D31"/>
              </a:solidFill>
              <a:prstDash val="sysDash"/>
            </a:ln>
          </c:spPr>
          <c:marker>
            <c:symbol val="none"/>
          </c:marker>
          <c:dLbls>
            <c:dLbl>
              <c:idx val="18"/>
              <c:delete val="1"/>
              <c:extLst>
                <c:ext uri="{CE6537A1-D6FC-4f65-9D91-7224C49458BB}"/>
              </c:extLst>
            </c:dLbl>
            <c:spPr>
              <a:noFill xmlns:a="http://schemas.openxmlformats.org/drawingml/2006/main"/>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1"/>
              </c:ext>
            </c:extLst>
          </c:dLbls>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pokyčiai'!$C$100:$U$100</c:f>
              <c:numCache>
                <c:formatCode>0.0%</c:formatCode>
                <c:ptCount val="19"/>
                <c:pt idx="0">
                  <c:v>-1.6258630898494272E-2</c:v>
                </c:pt>
                <c:pt idx="1">
                  <c:v>-1.618162418140531E-2</c:v>
                </c:pt>
                <c:pt idx="2">
                  <c:v>-1.2468556837860727E-2</c:v>
                </c:pt>
                <c:pt idx="3">
                  <c:v>-1.2807745575657349E-2</c:v>
                </c:pt>
                <c:pt idx="4">
                  <c:v>-1.5336341476064519E-2</c:v>
                </c:pt>
                <c:pt idx="5">
                  <c:v>-1.4563899437986232E-2</c:v>
                </c:pt>
                <c:pt idx="6">
                  <c:v>-1.0513768921577012E-2</c:v>
                </c:pt>
                <c:pt idx="7">
                  <c:v>-1.6988888348701655E-2</c:v>
                </c:pt>
                <c:pt idx="8">
                  <c:v>-1.9227810260693718E-2</c:v>
                </c:pt>
                <c:pt idx="9">
                  <c:v>-2.3666915064686204E-2</c:v>
                </c:pt>
                <c:pt idx="10">
                  <c:v>-1.3124594698513082E-2</c:v>
                </c:pt>
                <c:pt idx="11">
                  <c:v>-1.2784503913564307E-2</c:v>
                </c:pt>
                <c:pt idx="12">
                  <c:v>-1.2199036918138039E-2</c:v>
                </c:pt>
                <c:pt idx="13">
                  <c:v>-1.744520607168307E-2</c:v>
                </c:pt>
                <c:pt idx="14">
                  <c:v>-3.7090871573274425E-2</c:v>
                </c:pt>
                <c:pt idx="15">
                  <c:v>-2.0629083036313615E-2</c:v>
                </c:pt>
                <c:pt idx="16">
                  <c:v>-1.2501086001679682E-2</c:v>
                </c:pt>
                <c:pt idx="17">
                  <c:v>-9.3714970934021535E-3</c:v>
                </c:pt>
                <c:pt idx="18">
                  <c:v>-8.733207899688171E-3</c:v>
                </c:pt>
              </c:numCache>
            </c:numRef>
          </c:val>
          <c:smooth val="0"/>
        </c:ser>
        <c:ser>
          <c:idx val="2"/>
          <c:order val="2"/>
          <c:tx>
            <c:strRef>
              <c:f>'Ilgalaikiai demo pokyčiai'!$B$101</c:f>
              <c:strCache>
                <c:ptCount val="1"/>
                <c:pt idx="0">
                  <c:v>Klaipėdos m. sav.</c:v>
                </c:pt>
              </c:strCache>
            </c:strRef>
          </c:tx>
          <c:spPr>
            <a:ln xmlns:a="http://schemas.openxmlformats.org/drawingml/2006/main" w="38100">
              <a:solidFill>
                <a:schemeClr val="accent2">
                  <a:lumMod val="60000"/>
                  <a:lumOff val="40000"/>
                </a:schemeClr>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pokyčiai'!$C$101:$U$101</c:f>
              <c:numCache>
                <c:formatCode>0.0%</c:formatCode>
                <c:ptCount val="19"/>
                <c:pt idx="0">
                  <c:v>-1.4753667333078676E-2</c:v>
                </c:pt>
                <c:pt idx="1">
                  <c:v>-1.0196220600897268E-2</c:v>
                </c:pt>
                <c:pt idx="2">
                  <c:v>-4.4765945324502232E-3</c:v>
                </c:pt>
                <c:pt idx="3">
                  <c:v>-5.2325521977741214E-3</c:v>
                </c:pt>
                <c:pt idx="4">
                  <c:v>-7.468896719644123E-3</c:v>
                </c:pt>
                <c:pt idx="5">
                  <c:v>-1.19501086844012E-2</c:v>
                </c:pt>
                <c:pt idx="6">
                  <c:v>-7.254689357868326E-3</c:v>
                </c:pt>
                <c:pt idx="7">
                  <c:v>-1.4325211316653125E-2</c:v>
                </c:pt>
                <c:pt idx="8">
                  <c:v>-1.7043964220522345E-2</c:v>
                </c:pt>
                <c:pt idx="9">
                  <c:v>-2.8574229280007843E-2</c:v>
                </c:pt>
                <c:pt idx="10">
                  <c:v>-1.6767574840228724E-2</c:v>
                </c:pt>
                <c:pt idx="11">
                  <c:v>-1.5411456818842689E-2</c:v>
                </c:pt>
                <c:pt idx="12">
                  <c:v>-1.1506433642565117E-2</c:v>
                </c:pt>
                <c:pt idx="13">
                  <c:v>-1.5026450067077137E-2</c:v>
                </c:pt>
                <c:pt idx="14">
                  <c:v>-3.1141827351993057E-2</c:v>
                </c:pt>
                <c:pt idx="15">
                  <c:v>-1.6918562536065513E-2</c:v>
                </c:pt>
                <c:pt idx="16">
                  <c:v>-9.9973773276217353E-3</c:v>
                </c:pt>
                <c:pt idx="17">
                  <c:v>-7.7960906011694132E-3</c:v>
                </c:pt>
                <c:pt idx="18">
                  <c:v>-7.3996376466100898E-3</c:v>
                </c:pt>
              </c:numCache>
            </c:numRef>
          </c:val>
          <c:smooth val="0"/>
        </c:ser>
        <c:ser>
          <c:idx val="3"/>
          <c:order val="3"/>
          <c:tx>
            <c:strRef>
              <c:f>'Ilgalaikiai demo pokyčiai'!$B$102</c:f>
              <c:strCache>
                <c:ptCount val="1"/>
                <c:pt idx="0">
                  <c:v>Panevėžio m. sav.</c:v>
                </c:pt>
              </c:strCache>
            </c:strRef>
          </c:tx>
          <c:spPr>
            <a:ln xmlns:a="http://schemas.openxmlformats.org/drawingml/2006/main" w="38100">
              <a:solidFill>
                <a:srgbClr val="FFC000"/>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pokyčiai'!$C$102:$U$102</c:f>
              <c:numCache>
                <c:formatCode>0.0%</c:formatCode>
                <c:ptCount val="19"/>
                <c:pt idx="0">
                  <c:v>-7.249020509810764E-3</c:v>
                </c:pt>
                <c:pt idx="1">
                  <c:v>-1.0281852171412139E-2</c:v>
                </c:pt>
                <c:pt idx="2">
                  <c:v>-1.1195867134842798E-2</c:v>
                </c:pt>
                <c:pt idx="3">
                  <c:v>-1.1853254747016278E-2</c:v>
                </c:pt>
                <c:pt idx="4">
                  <c:v>-1.0227516811790557E-2</c:v>
                </c:pt>
                <c:pt idx="5">
                  <c:v>-1.3162727029914532E-2</c:v>
                </c:pt>
                <c:pt idx="6">
                  <c:v>-1.1046172323671458E-2</c:v>
                </c:pt>
                <c:pt idx="7">
                  <c:v>-1.7173401753260636E-2</c:v>
                </c:pt>
                <c:pt idx="8">
                  <c:v>-2.0658388228025445E-2</c:v>
                </c:pt>
                <c:pt idx="9">
                  <c:v>-2.3475471597522723E-2</c:v>
                </c:pt>
                <c:pt idx="10">
                  <c:v>-1.4440268969345138E-2</c:v>
                </c:pt>
                <c:pt idx="11">
                  <c:v>-1.6793766272134719E-2</c:v>
                </c:pt>
                <c:pt idx="12">
                  <c:v>-1.5981970984553267E-2</c:v>
                </c:pt>
                <c:pt idx="13">
                  <c:v>-1.614611662992757E-2</c:v>
                </c:pt>
                <c:pt idx="14">
                  <c:v>-2.981542371073026E-2</c:v>
                </c:pt>
                <c:pt idx="15">
                  <c:v>-1.5575794535475423E-2</c:v>
                </c:pt>
                <c:pt idx="16">
                  <c:v>-1.1435070936030627E-2</c:v>
                </c:pt>
                <c:pt idx="17">
                  <c:v>-1.0427046628930688E-2</c:v>
                </c:pt>
                <c:pt idx="18">
                  <c:v>-1.1689228469396231E-2</c:v>
                </c:pt>
              </c:numCache>
            </c:numRef>
          </c:val>
          <c:smooth val="0"/>
        </c:ser>
        <c:ser>
          <c:idx val="4"/>
          <c:order val="4"/>
          <c:tx>
            <c:strRef>
              <c:f>'Ilgalaikiai demo pokyčiai'!$B$103</c:f>
              <c:strCache>
                <c:ptCount val="1"/>
                <c:pt idx="0">
                  <c:v>Šiaulių m. sav.</c:v>
                </c:pt>
              </c:strCache>
            </c:strRef>
          </c:tx>
          <c:spPr>
            <a:ln xmlns:a="http://schemas.openxmlformats.org/drawingml/2006/main" w="38100">
              <a:solidFill>
                <a:srgbClr val="4472C4"/>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pokyčiai'!$C$103:$U$103</c:f>
              <c:numCache>
                <c:formatCode>0.0%</c:formatCode>
                <c:ptCount val="19"/>
                <c:pt idx="0">
                  <c:v>-6.9510873031056689E-3</c:v>
                </c:pt>
                <c:pt idx="1">
                  <c:v>-9.2188258127122759E-3</c:v>
                </c:pt>
                <c:pt idx="2">
                  <c:v>-1.2444546868698508E-2</c:v>
                </c:pt>
                <c:pt idx="3">
                  <c:v>-1.1573128755615192E-2</c:v>
                </c:pt>
                <c:pt idx="4">
                  <c:v>-1.1133162659269152E-2</c:v>
                </c:pt>
                <c:pt idx="5">
                  <c:v>-1.5332159484302258E-2</c:v>
                </c:pt>
                <c:pt idx="6">
                  <c:v>-1.2206672374731962E-2</c:v>
                </c:pt>
                <c:pt idx="7">
                  <c:v>-1.9644692634582638E-2</c:v>
                </c:pt>
                <c:pt idx="8">
                  <c:v>-1.9130706936348343E-2</c:v>
                </c:pt>
                <c:pt idx="9">
                  <c:v>-2.492022973835354E-2</c:v>
                </c:pt>
                <c:pt idx="10">
                  <c:v>-1.6067279688471481E-2</c:v>
                </c:pt>
                <c:pt idx="11">
                  <c:v>-2.0312292137820941E-2</c:v>
                </c:pt>
                <c:pt idx="12">
                  <c:v>-1.3859066952957251E-2</c:v>
                </c:pt>
                <c:pt idx="13">
                  <c:v>-1.4544390512582189E-2</c:v>
                </c:pt>
                <c:pt idx="14">
                  <c:v>-4.1552407734092543E-2</c:v>
                </c:pt>
                <c:pt idx="15">
                  <c:v>-1.8761161934613843E-2</c:v>
                </c:pt>
                <c:pt idx="16">
                  <c:v>-1.1319633388739796E-2</c:v>
                </c:pt>
                <c:pt idx="17">
                  <c:v>-8.0773926927773087E-3</c:v>
                </c:pt>
                <c:pt idx="18">
                  <c:v>-9.8570211154246756E-3</c:v>
                </c:pt>
              </c:numCache>
            </c:numRef>
          </c:val>
          <c:smooth val="0"/>
        </c:ser>
        <c:ser>
          <c:idx val="5"/>
          <c:order val="5"/>
          <c:tx>
            <c:strRef>
              <c:f>'Ilgalaikiai demo pokyčiai'!$B$104</c:f>
              <c:strCache>
                <c:ptCount val="1"/>
                <c:pt idx="0">
                  <c:v>Vilniaus m. sav.</c:v>
                </c:pt>
              </c:strCache>
            </c:strRef>
          </c:tx>
          <c:spPr>
            <a:ln xmlns:a="http://schemas.openxmlformats.org/drawingml/2006/main" w="38100">
              <a:solidFill>
                <a:srgbClr val="70AD47"/>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pokyčiai'!$C$104:$U$104</c:f>
              <c:numCache>
                <c:formatCode>0.0%</c:formatCode>
                <c:ptCount val="19"/>
                <c:pt idx="0">
                  <c:v>-1.2385726414295027E-2</c:v>
                </c:pt>
                <c:pt idx="1">
                  <c:v>-9.2495325335630405E-3</c:v>
                </c:pt>
                <c:pt idx="2">
                  <c:v>-6.2345263403436411E-3</c:v>
                </c:pt>
                <c:pt idx="3">
                  <c:v>-6.2896436935519148E-3</c:v>
                </c:pt>
                <c:pt idx="4">
                  <c:v>-8.1153725018610779E-3</c:v>
                </c:pt>
                <c:pt idx="5">
                  <c:v>-6.0564948103940062E-3</c:v>
                </c:pt>
                <c:pt idx="6">
                  <c:v>-1.290559133383189E-3</c:v>
                </c:pt>
                <c:pt idx="7">
                  <c:v>-2.6971372904675103E-3</c:v>
                </c:pt>
                <c:pt idx="8">
                  <c:v>-3.5646011054637169E-3</c:v>
                </c:pt>
                <c:pt idx="9">
                  <c:v>-7.7692204991833902E-3</c:v>
                </c:pt>
                <c:pt idx="10">
                  <c:v>-1.4616837933735772E-3</c:v>
                </c:pt>
                <c:pt idx="11">
                  <c:v>-2.5104664298952251E-4</c:v>
                </c:pt>
                <c:pt idx="12">
                  <c:v>2.5350999638106631E-3</c:v>
                </c:pt>
                <c:pt idx="13">
                  <c:v>4.0886312109899458E-4</c:v>
                </c:pt>
                <c:pt idx="14">
                  <c:v>-1.3004633729203909E-2</c:v>
                </c:pt>
                <c:pt idx="15">
                  <c:v>-5.3121741676878803E-3</c:v>
                </c:pt>
                <c:pt idx="16">
                  <c:v>7.2626148788907871E-3</c:v>
                </c:pt>
                <c:pt idx="17">
                  <c:v>4.7565679733110929E-3</c:v>
                </c:pt>
                <c:pt idx="18">
                  <c:v>5.4084901622547046E-3</c:v>
                </c:pt>
              </c:numCache>
            </c:numRef>
          </c:val>
          <c:smooth val="0"/>
        </c:ser>
        <c:dLbls>
          <c:showLegendKey val="0"/>
          <c:showVal val="0"/>
          <c:showCatName val="0"/>
          <c:showSerName val="0"/>
          <c:showPercent val="0"/>
          <c:showBubbleSize val="0"/>
        </c:dLbls>
        <c:marker val="1"/>
        <c:smooth val="0"/>
        <c:axId val="59454208"/>
        <c:axId val="59455744"/>
      </c:lineChart>
      <c:catAx>
        <c:axId val="59454208"/>
        <c:scaling>
          <c:orientation val="minMax"/>
        </c:scaling>
        <c:delete val="0"/>
        <c:axPos val="b"/>
        <c:numFmt formatCode="General" sourceLinked="1"/>
        <c:majorTickMark val="none"/>
        <c:minorTickMark val="none"/>
        <c:tickLblPos val="nextTo"/>
        <c:spPr>
          <a:ln xmlns:a="http://schemas.openxmlformats.org/drawingml/2006/main" w="25400">
            <a:solidFill>
              <a:schemeClr val="accent2"/>
            </a:solidFill>
            <a:prstDash val="solid"/>
          </a:ln>
        </c:spPr>
        <c:txPr>
          <a:bodyPr xmlns:a="http://schemas.openxmlformats.org/drawingml/2006/main" rot="4800000" vert="horz"/>
          <a:lstStyle xmlns:a="http://schemas.openxmlformats.org/drawingml/2006/main"/>
          <a:p xmlns:a="http://schemas.openxmlformats.org/drawingml/2006/main">
            <a:pPr>
              <a:defRPr sz="900" b="0" i="0" u="none" strike="noStrike" baseline="0">
                <a:solidFill>
                  <a:srgbClr val="000000"/>
                </a:solidFill>
                <a:latin typeface="Calibri"/>
                <a:ea typeface="Calibri"/>
                <a:cs typeface="Calibri"/>
              </a:defRPr>
            </a:pPr>
            <a:endParaRPr lang="lt-LT"/>
          </a:p>
        </c:txPr>
        <c:crossAx val="59455744"/>
        <c:crossesAt val="0"/>
        <c:auto val="1"/>
        <c:lblAlgn val="ctr"/>
        <c:lblOffset val="100"/>
        <c:tickLblSkip val="1"/>
        <c:tickMarkSkip val="1"/>
        <c:noMultiLvlLbl val="0"/>
      </c:catAx>
      <c:valAx>
        <c:axId val="59455744"/>
        <c:scaling>
          <c:orientation val="minMax"/>
        </c:scaling>
        <c:delete val="0"/>
        <c:axPos val="l"/>
        <c:majorGridlines>
          <c:spPr>
            <a:ln xmlns:a="http://schemas.openxmlformats.org/drawingml/2006/main" w="12700">
              <a:solidFill>
                <a:srgbClr val="D9D9D9"/>
              </a:solidFill>
              <a:prstDash val="solid"/>
            </a:ln>
          </c:spPr>
        </c:majorGridlines>
        <c:numFmt formatCode="0.0%" sourceLinked="1"/>
        <c:majorTickMark val="none"/>
        <c:minorTickMark val="none"/>
        <c:tickLblPos val="nextTo"/>
        <c:spPr>
          <a:ln xmlns:a="http://schemas.openxmlformats.org/drawingml/2006/main" w="6350">
            <a:noFill/>
          </a:ln>
        </c:spPr>
        <c:txPr>
          <a:bodyPr xmlns:a="http://schemas.openxmlformats.org/drawingml/2006/main" rot="4800000" vert="horz"/>
          <a:lstStyle xmlns:a="http://schemas.openxmlformats.org/drawingml/2006/main"/>
          <a:p xmlns:a="http://schemas.openxmlformats.org/drawingml/2006/main">
            <a:pPr>
              <a:defRPr sz="900" b="0" i="0" u="none" strike="noStrike" baseline="0">
                <a:solidFill>
                  <a:srgbClr val="000000"/>
                </a:solidFill>
                <a:latin typeface="Calibri"/>
                <a:ea typeface="Calibri"/>
                <a:cs typeface="Calibri"/>
              </a:defRPr>
            </a:pPr>
            <a:endParaRPr lang="lt-LT"/>
          </a:p>
        </c:txPr>
        <c:crossAx val="59454208"/>
        <c:crossesAt val="1"/>
        <c:crossBetween val="midCat"/>
      </c:valAx>
      <c:spPr>
        <a:noFill xmlns:a="http://schemas.openxmlformats.org/drawingml/2006/main"/>
        <a:ln xmlns:a="http://schemas.openxmlformats.org/drawingml/2006/main" w="25400">
          <a:noFill/>
        </a:ln>
      </c:spPr>
    </c:plotArea>
    <c:legend>
      <c:legendPos val="b"/>
      <c:layout>
        <c:manualLayout>
          <c:xMode val="edge"/>
          <c:yMode val="edge"/>
          <c:x val="0.14761092150170649"/>
          <c:y val="0.92582541775602267"/>
          <c:w val="0.71245733788395904"/>
          <c:h val="5.7692385082719518E-2"/>
        </c:manualLayout>
      </c:layout>
      <c:overlay val="0"/>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sz="82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xmlns:a="http://schemas.openxmlformats.org/drawingml/2006/main">
      <a:srgbClr val="FFFFFF"/>
    </a:solidFill>
    <a:ln xmlns:a="http://schemas.openxmlformats.org/drawingml/2006/main" w="12700">
      <a:solidFill>
        <a:srgbClr val="D9D9D9"/>
      </a:solidFill>
      <a:prstDash val="solid"/>
    </a:ln>
  </c:spPr>
  <c:txPr>
    <a:bodyPr xmlns:a="http://schemas.openxmlformats.org/drawingml/2006/main"/>
    <a:lstStyle xmlns:a="http://schemas.openxmlformats.org/drawingml/2006/main"/>
    <a:p xmlns:a="http://schemas.openxmlformats.org/drawingml/2006/main">
      <a:pPr>
        <a:defRPr sz="1000" b="0" i="0" u="none" strike="noStrike" baseline="0">
          <a:solidFill>
            <a:srgbClr val="000000"/>
          </a:solidFill>
          <a:latin typeface="Arial"/>
          <a:ea typeface="Arial"/>
          <a:cs typeface="Arial"/>
        </a:defRPr>
      </a:pPr>
      <a:endParaRPr lang="lt-LT"/>
    </a:p>
  </c:txPr>
  <c:externalData xmlns:r="http://schemas.openxmlformats.org/officeDocument/2006/relationships" r:id="rId1">
    <c:autoUpdate val="0"/>
  </c:externalData>
</c:chartSpace>
</file>

<file path=word/charts/chart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'Ilgalaikiai demo pokyčiai'!$B$109</c:f>
              <c:strCache>
                <c:ptCount val="1"/>
                <c:pt idx="0">
                  <c:v>Kauno m. sav.</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xmlns:a="http://schemas.openxmlformats.org/drawingml/2006/main">
              <a:schemeClr val="accent3"/>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-4.2127931383844408E-2</c:v>
                </c:pt>
                <c:pt idx="1">
                  <c:v>-7.9148202859452843E-2</c:v>
                </c:pt>
                <c:pt idx="2">
                  <c:v>-0.11842797200071457</c:v>
                </c:pt>
                <c:pt idx="3">
                  <c:v>-4.211166811146675E-2</c:v>
                </c:pt>
              </c:numCache>
            </c:numRef>
          </c:val>
        </c:ser>
        <c:ser>
          <c:idx val="3"/>
          <c:order val="3"/>
          <c:tx>
            <c:strRef>
              <c:f>'Ilgalaikiai demo pokyčiai'!$B$111</c:f>
              <c:strCache>
                <c:ptCount val="1"/>
                <c:pt idx="0">
                  <c:v>Panevėžio m. sav.</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-8.5516160932394794E-2</c:v>
                </c:pt>
                <c:pt idx="2">
                  <c:v>-0.11665301816421368</c:v>
                </c:pt>
                <c:pt idx="3">
                  <c:v>-4.9127140569832972E-2</c:v>
                </c:pt>
              </c:numCache>
            </c:numRef>
          </c:val>
        </c:ser>
        <c:ser>
          <c:idx val="4"/>
          <c:order val="4"/>
          <c:tx>
            <c:strRef>
              <c:f>'Ilgalaikiai demo pokyčiai'!$B$112</c:f>
              <c:strCache>
                <c:ptCount val="1"/>
                <c:pt idx="0">
                  <c:v>Šiaulių m. sav.</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-9.1234461168318737E-2</c:v>
                </c:pt>
                <c:pt idx="2">
                  <c:v>-0.13125566676427797</c:v>
                </c:pt>
                <c:pt idx="3">
                  <c:v>-4.8015209131555624E-2</c:v>
                </c:pt>
              </c:numCache>
            </c:numRef>
          </c:val>
        </c:ser>
        <c:ser>
          <c:idx val="5"/>
          <c:order val="5"/>
          <c:tx>
            <c:strRef>
              <c:f>'Ilgalaikiai demo pokyčiai'!$B$113</c:f>
              <c:strCache>
                <c:ptCount val="1"/>
                <c:pt idx="0">
                  <c:v>Vilniaus m. sav.</c:v>
                </c:pt>
              </c:strCache>
            </c:strRef>
          </c:tx>
          <c:spPr>
            <a:solidFill xmlns:a="http://schemas.openxmlformats.org/drawingml/2006/main">
              <a:schemeClr val="accent6"/>
            </a:solidFill>
            <a:ln xmlns:a="http://schemas.openxmlformats.org/drawingml/2006/main">
              <a:noFill/>
            </a:ln>
            <a:effectLst xmlns:a="http://schemas.openxmlformats.org/drawingml/2006/main"/>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-4.2274801483614698E-2</c:v>
                </c:pt>
                <c:pt idx="1">
                  <c:v>-2.1378012838891812E-2</c:v>
                </c:pt>
                <c:pt idx="2">
                  <c:v>-1.9542621579840741E-2</c:v>
                </c:pt>
                <c:pt idx="3">
                  <c:v>1.2115498846768704E-2</c:v>
                </c:pt>
              </c:numCache>
            </c:numRef>
          </c:val>
        </c:ser>
        <c:dLbls>
          <c:showLegendKey val="0"/>
          <c:showVal val="0"/>
          <c:showCatName val="0"/>
          <c:showSerName val="0"/>
          <c:showPercent val="0"/>
          <c:showBubbleSize val="0"/>
        </c:dLbls>
        <c:gapWidth val="219"/>
        <c:axId val="59505664"/>
        <c:axId val="59519744"/>
      </c:barChart>
      <c:lineChart>
        <c:grouping val="standard"/>
        <c:varyColors val="0"/>
        <c:ser>
          <c:idx val="0"/>
          <c:order val="0"/>
          <c:tx>
            <c:strRef>
              <c:f>'Ilgalaikiai demo pokyčiai'!$B$108</c:f>
              <c:strCache>
                <c:ptCount val="1"/>
                <c:pt idx="0">
                  <c:v>Lietuvos Respublika</c:v>
                </c:pt>
              </c:strCache>
            </c:strRef>
          </c:tx>
          <c:spPr>
            <a:ln xmlns:a="http://schemas.openxmlformats.org/drawingml/2006/main" w="28575" cap="rnd">
              <a:solidFill>
                <a:schemeClr val="accent1"/>
              </a:solidFill>
              <a:round/>
            </a:ln>
            <a:effectLst xmlns:a="http://schemas.openxmlformats.org/drawingml/2006/main"/>
          </c:spPr>
          <c:marker>
            <c:symbol val="none"/>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xmlns:a="http://schemas.openxmlformats.org/drawingml/2006/main" w="9525" cap="flat" cmpd="sng" algn="ctr">
                      <a:solidFill>
                        <a:schemeClr val="tx1">
                          <a:lumMod val="35000"/>
                          <a:lumOff val="65000"/>
                        </a:schemeClr>
                      </a:solidFill>
                      <a:round/>
                    </a:ln>
                    <a:effectLst xmlns:a="http://schemas.openxmlformats.org/drawingml/2006/main"/>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-3.5979121023565708E-2</c:v>
                </c:pt>
                <c:pt idx="1">
                  <c:v>-5.7816804485803522E-2</c:v>
                </c:pt>
                <c:pt idx="2">
                  <c:v>-9.3654491848928101E-2</c:v>
                </c:pt>
                <c:pt idx="3">
                  <c:v>-4.3713209206061789E-2</c:v>
                </c:pt>
              </c:numCache>
            </c:numRef>
          </c:val>
          <c:smooth val="0"/>
        </c:ser>
        <c:dLbls>
          <c:showLegendKey val="0"/>
          <c:showVal val="0"/>
          <c:showCatName val="0"/>
          <c:showSerName val="0"/>
          <c:showPercent val="0"/>
          <c:showBubbleSize val="0"/>
        </c:dLbls>
        <c:marker val="1"/>
        <c:smooth val="0"/>
        <c:axId val="59505664"/>
        <c:axId val="59519744"/>
      </c:lineChart>
      <c:catAx>
        <c:axId val="5950566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59519744"/>
        <c:crosses val="autoZero"/>
        <c:auto val="1"/>
        <c:lblAlgn val="ctr"/>
        <c:lblOffset val="100"/>
        <c:noMultiLvlLbl val="0"/>
      </c:catAx>
      <c:valAx>
        <c:axId val="59519744"/>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5950566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transformacija!$A$390</c:f>
              <c:strCache>
                <c:ptCount val="1"/>
                <c:pt idx="0">
                  <c:v>Bendras kaitos rodiklis</c:v>
                </c:pt>
              </c:strCache>
            </c:strRef>
          </c:tx>
          <c:spPr>
            <a:ln xmlns:a="http://schemas.openxmlformats.org/drawingml/2006/main" w="50800" cap="rnd">
              <a:solidFill>
                <a:schemeClr val="accent6">
                  <a:lumMod val="50000"/>
                </a:schemeClr>
              </a:solidFill>
              <a:prstDash val="sysDot"/>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transformacija!$B$390:$O$390</c:f>
              <c:numCache>
                <c:formatCode>0.0\ %</c:formatCode>
                <c:ptCount val="14"/>
                <c:pt idx="0">
                  <c:v>-1.4563899437986232E-2</c:v>
                </c:pt>
                <c:pt idx="1">
                  <c:v>-1.0513768921577012E-2</c:v>
                </c:pt>
                <c:pt idx="2">
                  <c:v>-1.6988888348701658E-2</c:v>
                </c:pt>
                <c:pt idx="3">
                  <c:v>-1.9227810260693718E-2</c:v>
                </c:pt>
                <c:pt idx="4">
                  <c:v>-2.3666915064686204E-2</c:v>
                </c:pt>
                <c:pt idx="5">
                  <c:v>-1.3124594698513082E-2</c:v>
                </c:pt>
                <c:pt idx="6">
                  <c:v>-1.2784503913564308E-2</c:v>
                </c:pt>
                <c:pt idx="7">
                  <c:v>-1.2199036918138041E-2</c:v>
                </c:pt>
                <c:pt idx="8">
                  <c:v>-1.744520607168307E-2</c:v>
                </c:pt>
                <c:pt idx="9">
                  <c:v>-3.7090871573274425E-2</c:v>
                </c:pt>
                <c:pt idx="10">
                  <c:v>-2.0629083036313615E-2</c:v>
                </c:pt>
                <c:pt idx="11">
                  <c:v>-1.2501086001679682E-2</c:v>
                </c:pt>
                <c:pt idx="12">
                  <c:v>-9.3714970934021535E-3</c:v>
                </c:pt>
                <c:pt idx="13">
                  <c:v>-8.733207899688171E-3</c:v>
                </c:pt>
              </c:numCache>
            </c:numRef>
          </c:val>
          <c:smooth val="0"/>
        </c:ser>
        <c:ser>
          <c:idx val="1"/>
          <c:order val="1"/>
          <c:tx>
            <c:strRef>
              <c:f>transformacija!$A$391</c:f>
              <c:strCache>
                <c:ptCount val="1"/>
                <c:pt idx="0">
                  <c:v>Emigrantai</c:v>
                </c:pt>
              </c:strCache>
            </c:strRef>
          </c:tx>
          <c:spPr>
            <a:ln xmlns:a="http://schemas.openxmlformats.org/drawingml/2006/main" w="28575" cap="rnd">
              <a:solidFill>
                <a:schemeClr val="accent2">
                  <a:lumMod val="75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transformacija!$B$391:$O$391</c:f>
              <c:numCache>
                <c:formatCode>0.0%</c:formatCode>
                <c:ptCount val="14"/>
                <c:pt idx="0">
                  <c:v>-7.9842317087649613E-3</c:v>
                </c:pt>
                <c:pt idx="1">
                  <c:v>-4.8395822773854387E-3</c:v>
                </c:pt>
                <c:pt idx="2">
                  <c:v>-7.6593393495608475E-3</c:v>
                </c:pt>
                <c:pt idx="3">
                  <c:v>-1.1089081295902328E-2</c:v>
                </c:pt>
                <c:pt idx="4">
                  <c:v>-1.7252221910932813E-2</c:v>
                </c:pt>
                <c:pt idx="5">
                  <c:v>-9.8454785726335824E-3</c:v>
                </c:pt>
                <c:pt idx="6">
                  <c:v>-9.3486642853208776E-3</c:v>
                </c:pt>
                <c:pt idx="7">
                  <c:v>-8.0153022235849095E-3</c:v>
                </c:pt>
                <c:pt idx="8">
                  <c:v>-1.2092255428637476E-2</c:v>
                </c:pt>
                <c:pt idx="9">
                  <c:v>-2.6466465689107745E-2</c:v>
                </c:pt>
                <c:pt idx="10">
                  <c:v>-1.764502776005147E-2</c:v>
                </c:pt>
                <c:pt idx="11">
                  <c:v>-1.3683392922123516E-2</c:v>
                </c:pt>
                <c:pt idx="12">
                  <c:v>-1.3061655739332179E-2</c:v>
                </c:pt>
                <c:pt idx="13">
                  <c:v>-1.2441429712937647E-2</c:v>
                </c:pt>
              </c:numCache>
            </c:numRef>
          </c:val>
          <c:smooth val="0"/>
        </c:ser>
        <c:ser>
          <c:idx val="2"/>
          <c:order val="2"/>
          <c:tx>
            <c:strRef>
              <c:f>transformacija!$A$392</c:f>
              <c:strCache>
                <c:ptCount val="1"/>
                <c:pt idx="0">
                  <c:v>Vidaus migrantai (išvyko)</c:v>
                </c:pt>
              </c:strCache>
            </c:strRef>
          </c:tx>
          <c:spPr>
            <a:ln xmlns:a="http://schemas.openxmlformats.org/drawingml/2006/main" w="28575" cap="rnd">
              <a:solidFill>
                <a:schemeClr val="accent2">
                  <a:lumMod val="50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transformacija!$B$392:$O$392</c:f>
              <c:numCache>
                <c:formatCode>0.0%</c:formatCode>
                <c:ptCount val="14"/>
                <c:pt idx="0">
                  <c:v>-1.0415953395521798E-2</c:v>
                </c:pt>
                <c:pt idx="1">
                  <c:v>-1.0676793808261352E-2</c:v>
                </c:pt>
                <c:pt idx="2">
                  <c:v>-1.739402877037181E-2</c:v>
                </c:pt>
                <c:pt idx="3">
                  <c:v>-1.511737811579549E-2</c:v>
                </c:pt>
                <c:pt idx="4">
                  <c:v>-1.3026888618701569E-2</c:v>
                </c:pt>
                <c:pt idx="5">
                  <c:v>-1.2585149179641096E-2</c:v>
                </c:pt>
                <c:pt idx="6">
                  <c:v>-1.3944616959166347E-2</c:v>
                </c:pt>
                <c:pt idx="7">
                  <c:v>-1.6039583548087825E-2</c:v>
                </c:pt>
                <c:pt idx="8">
                  <c:v>-1.383451652240804E-2</c:v>
                </c:pt>
                <c:pt idx="9">
                  <c:v>-1.2468820362806561E-2</c:v>
                </c:pt>
                <c:pt idx="10">
                  <c:v>-1.3368250876877843E-2</c:v>
                </c:pt>
                <c:pt idx="11">
                  <c:v>-1.458620922667027E-2</c:v>
                </c:pt>
                <c:pt idx="12">
                  <c:v>-1.4578608482573446E-2</c:v>
                </c:pt>
                <c:pt idx="13">
                  <c:v>-1.6828283094088393E-2</c:v>
                </c:pt>
              </c:numCache>
            </c:numRef>
          </c:val>
          <c:smooth val="0"/>
        </c:ser>
        <c:ser>
          <c:idx val="3"/>
          <c:order val="3"/>
          <c:tx>
            <c:strRef>
              <c:f>transformacija!$A$393</c:f>
              <c:strCache>
                <c:ptCount val="1"/>
                <c:pt idx="0">
                  <c:v>Imigrantai</c:v>
                </c:pt>
              </c:strCache>
            </c:strRef>
          </c:tx>
          <c:spPr>
            <a:ln xmlns:a="http://schemas.openxmlformats.org/drawingml/2006/main" w="28575" cap="rnd">
              <a:solidFill>
                <a:schemeClr val="accent1">
                  <a:lumMod val="75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transformacija!$B$393:$O$393</c:f>
              <c:numCache>
                <c:formatCode>0.0%</c:formatCode>
                <c:ptCount val="14"/>
                <c:pt idx="0">
                  <c:v>1.3484116658678031E-3</c:v>
                </c:pt>
                <c:pt idx="1">
                  <c:v>1.4698965192850423E-3</c:v>
                </c:pt>
                <c:pt idx="2">
                  <c:v>1.2640381156108708E-3</c:v>
                </c:pt>
                <c:pt idx="3">
                  <c:v>1.8656306326108936E-3</c:v>
                </c:pt>
                <c:pt idx="4">
                  <c:v>2.2804058786286188E-3</c:v>
                </c:pt>
                <c:pt idx="5">
                  <c:v>2.7976562813839647E-3</c:v>
                </c:pt>
                <c:pt idx="6">
                  <c:v>3.0093157949827292E-3</c:v>
                </c:pt>
                <c:pt idx="7">
                  <c:v>3.4694508666264154E-3</c:v>
                </c:pt>
                <c:pt idx="8">
                  <c:v>2.3405378168298088E-3</c:v>
                </c:pt>
                <c:pt idx="9">
                  <c:v>1.7418113624363511E-3</c:v>
                </c:pt>
                <c:pt idx="10">
                  <c:v>5.2407829345233027E-3</c:v>
                </c:pt>
                <c:pt idx="11">
                  <c:v>6.567494602169429E-3</c:v>
                </c:pt>
                <c:pt idx="12">
                  <c:v>7.3707671854226949E-3</c:v>
                </c:pt>
                <c:pt idx="13">
                  <c:v>7.9141612831072454E-3</c:v>
                </c:pt>
              </c:numCache>
            </c:numRef>
          </c:val>
          <c:smooth val="0"/>
        </c:ser>
        <c:ser>
          <c:idx val="4"/>
          <c:order val="4"/>
          <c:tx>
            <c:strRef>
              <c:f>transformacija!$A$394</c:f>
              <c:strCache>
                <c:ptCount val="1"/>
                <c:pt idx="0">
                  <c:v>Vidaus migrantai (atvyko)</c:v>
                </c:pt>
              </c:strCache>
            </c:strRef>
          </c:tx>
          <c:spPr>
            <a:ln xmlns:a="http://schemas.openxmlformats.org/drawingml/2006/main" w="28575" cap="rnd">
              <a:solidFill>
                <a:schemeClr val="accent1">
                  <a:lumMod val="50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transformacija!$B$394:$O$394</c:f>
              <c:numCache>
                <c:formatCode>0.0%</c:formatCode>
                <c:ptCount val="14"/>
                <c:pt idx="0">
                  <c:v>6.0388827145212345E-3</c:v>
                </c:pt>
                <c:pt idx="1">
                  <c:v>6.1976182331309332E-3</c:v>
                </c:pt>
                <c:pt idx="2">
                  <c:v>9.1291641683007331E-3</c:v>
                </c:pt>
                <c:pt idx="3">
                  <c:v>1.0237613751263903E-2</c:v>
                </c:pt>
                <c:pt idx="4">
                  <c:v>1.0443922746348269E-2</c:v>
                </c:pt>
                <c:pt idx="5">
                  <c:v>1.0768824640034891E-2</c:v>
                </c:pt>
                <c:pt idx="6">
                  <c:v>1.1935498877685123E-2</c:v>
                </c:pt>
                <c:pt idx="7">
                  <c:v>1.1842667177168776E-2</c:v>
                </c:pt>
                <c:pt idx="8">
                  <c:v>1.0068784977623266E-2</c:v>
                </c:pt>
                <c:pt idx="9">
                  <c:v>9.7438262801099705E-3</c:v>
                </c:pt>
                <c:pt idx="10">
                  <c:v>1.078410054235643E-2</c:v>
                </c:pt>
                <c:pt idx="11">
                  <c:v>1.3936217110238019E-2</c:v>
                </c:pt>
                <c:pt idx="12">
                  <c:v>1.5301999426500873E-2</c:v>
                </c:pt>
                <c:pt idx="13">
                  <c:v>1.6019104509032538E-2</c:v>
                </c:pt>
              </c:numCache>
            </c:numRef>
          </c:val>
          <c:smooth val="0"/>
        </c:ser>
        <c:ser>
          <c:idx val="5"/>
          <c:order val="5"/>
          <c:tx>
            <c:strRef>
              <c:f>transformacija!$A$395</c:f>
              <c:strCache>
                <c:ptCount val="1"/>
                <c:pt idx="0">
                  <c:v>Natūrali kaita</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transformacija!$B$395:$O$395</c:f>
              <c:numCache>
                <c:formatCode>0.0%</c:formatCode>
                <c:ptCount val="14"/>
                <c:pt idx="0">
                  <c:v>-2.4281944451760044E-3</c:v>
                </c:pt>
                <c:pt idx="1">
                  <c:v>-2.4747712306508168E-3</c:v>
                </c:pt>
                <c:pt idx="2">
                  <c:v>-2.5091696782104677E-3</c:v>
                </c:pt>
                <c:pt idx="3">
                  <c:v>-2.5635248604211546E-3</c:v>
                </c:pt>
                <c:pt idx="4">
                  <c:v>-2.7538562391792782E-3</c:v>
                </c:pt>
                <c:pt idx="5">
                  <c:v>-3.4777019620896052E-3</c:v>
                </c:pt>
                <c:pt idx="6">
                  <c:v>-3.0878196852866264E-3</c:v>
                </c:pt>
                <c:pt idx="7">
                  <c:v>-2.3620539855979503E-3</c:v>
                </c:pt>
                <c:pt idx="8">
                  <c:v>-1.6965172200970205E-3</c:v>
                </c:pt>
                <c:pt idx="9">
                  <c:v>-1.9481583531082533E-3</c:v>
                </c:pt>
                <c:pt idx="10">
                  <c:v>-2.3036754811404298E-3</c:v>
                </c:pt>
                <c:pt idx="11">
                  <c:v>-2.6965019483674579E-3</c:v>
                </c:pt>
                <c:pt idx="12">
                  <c:v>-2.847944526993561E-3</c:v>
                </c:pt>
                <c:pt idx="13">
                  <c:v>-2.2926726576582503E-3</c:v>
                </c:pt>
              </c:numCache>
            </c:numRef>
          </c:val>
          <c:smooth val="0"/>
        </c:ser>
        <c:dLbls>
          <c:showLegendKey val="0"/>
          <c:showVal val="0"/>
          <c:showCatName val="0"/>
          <c:showSerName val="0"/>
          <c:showPercent val="0"/>
          <c:showBubbleSize val="0"/>
        </c:dLbls>
        <c:marker val="1"/>
        <c:smooth val="0"/>
        <c:axId val="104817024"/>
        <c:axId val="104818560"/>
      </c:lineChart>
      <c:catAx>
        <c:axId val="104817024"/>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38100" cap="flat" cmpd="sng" algn="ctr">
            <a:solidFill>
              <a:schemeClr val="tx1">
                <a:alpha val="28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tx1">
                    <a:lumMod val="65000"/>
                    <a:lumOff val="35000"/>
                  </a:schemeClr>
                </a:solidFill>
                <a:latin typeface="+mn-lt"/>
                <a:ea typeface="+mn-ea"/>
                <a:cs typeface="+mn-cs"/>
              </a:defRPr>
            </a:pPr>
            <a:endParaRPr lang="lt-LT"/>
          </a:p>
        </c:txPr>
        <c:crossAx val="104818560"/>
        <c:crosses val="autoZero"/>
        <c:auto val="1"/>
        <c:lblAlgn val="ctr"/>
        <c:lblOffset val="100"/>
        <c:noMultiLvlLbl val="0"/>
      </c:catAx>
      <c:valAx>
        <c:axId val="10481856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4817024"/>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transformacija!$A$390</c:f>
              <c:strCache>
                <c:ptCount val="1"/>
                <c:pt idx="0">
                  <c:v>Bendras kaitos rodiklis</c:v>
                </c:pt>
              </c:strCache>
            </c:strRef>
          </c:tx>
          <c:spPr>
            <a:ln xmlns:a="http://schemas.openxmlformats.org/drawingml/2006/main" w="50800" cap="rnd">
              <a:solidFill>
                <a:schemeClr val="accent6">
                  <a:lumMod val="50000"/>
                </a:schemeClr>
              </a:solidFill>
              <a:prstDash val="sysDot"/>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transformacija!$B$390:$O$390</c:f>
              <c:numCache>
                <c:formatCode>0.0\ %</c:formatCode>
                <c:ptCount val="14"/>
                <c:pt idx="0">
                  <c:v>-1.4563899437986232E-2</c:v>
                </c:pt>
                <c:pt idx="1">
                  <c:v>-1.0513768921577012E-2</c:v>
                </c:pt>
                <c:pt idx="2">
                  <c:v>-1.6988888348701658E-2</c:v>
                </c:pt>
                <c:pt idx="3">
                  <c:v>-1.9227810260693718E-2</c:v>
                </c:pt>
                <c:pt idx="4">
                  <c:v>-2.3666915064686204E-2</c:v>
                </c:pt>
                <c:pt idx="5">
                  <c:v>-1.3124594698513082E-2</c:v>
                </c:pt>
                <c:pt idx="6">
                  <c:v>-1.2784503913564308E-2</c:v>
                </c:pt>
                <c:pt idx="7">
                  <c:v>-1.2199036918138041E-2</c:v>
                </c:pt>
                <c:pt idx="8">
                  <c:v>-1.744520607168307E-2</c:v>
                </c:pt>
                <c:pt idx="9">
                  <c:v>-3.7090871573274425E-2</c:v>
                </c:pt>
                <c:pt idx="10">
                  <c:v>-2.0629083036313615E-2</c:v>
                </c:pt>
                <c:pt idx="11">
                  <c:v>-1.2501086001679682E-2</c:v>
                </c:pt>
                <c:pt idx="12">
                  <c:v>-9.3714970934021535E-3</c:v>
                </c:pt>
                <c:pt idx="13">
                  <c:v>-8.733207899688171E-3</c:v>
                </c:pt>
              </c:numCache>
            </c:numRef>
          </c:val>
          <c:smooth val="0"/>
        </c:ser>
        <c:ser>
          <c:idx val="1"/>
          <c:order val="1"/>
          <c:tx>
            <c:strRef>
              <c:f>transformacija!$A$391</c:f>
              <c:strCache>
                <c:ptCount val="1"/>
                <c:pt idx="0">
                  <c:v>Emigrantai</c:v>
                </c:pt>
              </c:strCache>
            </c:strRef>
          </c:tx>
          <c:spPr>
            <a:ln xmlns:a="http://schemas.openxmlformats.org/drawingml/2006/main" w="28575" cap="rnd">
              <a:solidFill>
                <a:schemeClr val="accent2">
                  <a:lumMod val="75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transformacija!$B$391:$O$391</c:f>
              <c:numCache>
                <c:formatCode>0.0%</c:formatCode>
                <c:ptCount val="14"/>
                <c:pt idx="0">
                  <c:v>-7.9842317087649613E-3</c:v>
                </c:pt>
                <c:pt idx="1">
                  <c:v>-4.8395822773854387E-3</c:v>
                </c:pt>
                <c:pt idx="2">
                  <c:v>-7.6593393495608475E-3</c:v>
                </c:pt>
                <c:pt idx="3">
                  <c:v>-1.1089081295902328E-2</c:v>
                </c:pt>
                <c:pt idx="4">
                  <c:v>-1.7252221910932813E-2</c:v>
                </c:pt>
                <c:pt idx="5">
                  <c:v>-9.8454785726335824E-3</c:v>
                </c:pt>
                <c:pt idx="6">
                  <c:v>-9.3486642853208776E-3</c:v>
                </c:pt>
                <c:pt idx="7">
                  <c:v>-8.0153022235849095E-3</c:v>
                </c:pt>
                <c:pt idx="8">
                  <c:v>-1.2092255428637476E-2</c:v>
                </c:pt>
                <c:pt idx="9">
                  <c:v>-2.6466465689107745E-2</c:v>
                </c:pt>
                <c:pt idx="10">
                  <c:v>-1.764502776005147E-2</c:v>
                </c:pt>
                <c:pt idx="11">
                  <c:v>-1.3683392922123516E-2</c:v>
                </c:pt>
                <c:pt idx="12">
                  <c:v>-1.3061655739332179E-2</c:v>
                </c:pt>
                <c:pt idx="13">
                  <c:v>-1.2441429712937647E-2</c:v>
                </c:pt>
              </c:numCache>
            </c:numRef>
          </c:val>
          <c:smooth val="0"/>
        </c:ser>
        <c:ser>
          <c:idx val="2"/>
          <c:order val="2"/>
          <c:tx>
            <c:strRef>
              <c:f>transformacija!$A$392</c:f>
              <c:strCache>
                <c:ptCount val="1"/>
                <c:pt idx="0">
                  <c:v>Vidaus migrantai (išvyko)</c:v>
                </c:pt>
              </c:strCache>
            </c:strRef>
          </c:tx>
          <c:spPr>
            <a:ln xmlns:a="http://schemas.openxmlformats.org/drawingml/2006/main" w="28575" cap="rnd">
              <a:solidFill>
                <a:schemeClr val="accent2">
                  <a:lumMod val="50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transformacija!$B$392:$O$392</c:f>
              <c:numCache>
                <c:formatCode>0.0%</c:formatCode>
                <c:ptCount val="14"/>
                <c:pt idx="0">
                  <c:v>-1.0415953395521798E-2</c:v>
                </c:pt>
                <c:pt idx="1">
                  <c:v>-1.0676793808261352E-2</c:v>
                </c:pt>
                <c:pt idx="2">
                  <c:v>-1.739402877037181E-2</c:v>
                </c:pt>
                <c:pt idx="3">
                  <c:v>-1.511737811579549E-2</c:v>
                </c:pt>
                <c:pt idx="4">
                  <c:v>-1.3026888618701569E-2</c:v>
                </c:pt>
                <c:pt idx="5">
                  <c:v>-1.2585149179641096E-2</c:v>
                </c:pt>
                <c:pt idx="6">
                  <c:v>-1.3944616959166347E-2</c:v>
                </c:pt>
                <c:pt idx="7">
                  <c:v>-1.6039583548087825E-2</c:v>
                </c:pt>
                <c:pt idx="8">
                  <c:v>-1.383451652240804E-2</c:v>
                </c:pt>
                <c:pt idx="9">
                  <c:v>-1.2468820362806561E-2</c:v>
                </c:pt>
                <c:pt idx="10">
                  <c:v>-1.3368250876877843E-2</c:v>
                </c:pt>
                <c:pt idx="11">
                  <c:v>-1.458620922667027E-2</c:v>
                </c:pt>
                <c:pt idx="12">
                  <c:v>-1.4578608482573446E-2</c:v>
                </c:pt>
                <c:pt idx="13">
                  <c:v>-1.6828283094088393E-2</c:v>
                </c:pt>
              </c:numCache>
            </c:numRef>
          </c:val>
          <c:smooth val="0"/>
        </c:ser>
        <c:ser>
          <c:idx val="3"/>
          <c:order val="3"/>
          <c:tx>
            <c:strRef>
              <c:f>transformacija!$A$393</c:f>
              <c:strCache>
                <c:ptCount val="1"/>
                <c:pt idx="0">
                  <c:v>Imigrantai</c:v>
                </c:pt>
              </c:strCache>
            </c:strRef>
          </c:tx>
          <c:spPr>
            <a:ln xmlns:a="http://schemas.openxmlformats.org/drawingml/2006/main" w="28575" cap="rnd">
              <a:solidFill>
                <a:schemeClr val="accent1">
                  <a:lumMod val="75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transformacija!$B$393:$O$393</c:f>
              <c:numCache>
                <c:formatCode>0.0%</c:formatCode>
                <c:ptCount val="14"/>
                <c:pt idx="0">
                  <c:v>1.3484116658678031E-3</c:v>
                </c:pt>
                <c:pt idx="1">
                  <c:v>1.4698965192850423E-3</c:v>
                </c:pt>
                <c:pt idx="2">
                  <c:v>1.2640381156108708E-3</c:v>
                </c:pt>
                <c:pt idx="3">
                  <c:v>1.8656306326108936E-3</c:v>
                </c:pt>
                <c:pt idx="4">
                  <c:v>2.2804058786286188E-3</c:v>
                </c:pt>
                <c:pt idx="5">
                  <c:v>2.7976562813839647E-3</c:v>
                </c:pt>
                <c:pt idx="6">
                  <c:v>3.0093157949827292E-3</c:v>
                </c:pt>
                <c:pt idx="7">
                  <c:v>3.4694508666264154E-3</c:v>
                </c:pt>
                <c:pt idx="8">
                  <c:v>2.3405378168298088E-3</c:v>
                </c:pt>
                <c:pt idx="9">
                  <c:v>1.7418113624363511E-3</c:v>
                </c:pt>
                <c:pt idx="10">
                  <c:v>5.2407829345233027E-3</c:v>
                </c:pt>
                <c:pt idx="11">
                  <c:v>6.567494602169429E-3</c:v>
                </c:pt>
                <c:pt idx="12">
                  <c:v>7.3707671854226949E-3</c:v>
                </c:pt>
                <c:pt idx="13">
                  <c:v>7.9141612831072454E-3</c:v>
                </c:pt>
              </c:numCache>
            </c:numRef>
          </c:val>
          <c:smooth val="0"/>
        </c:ser>
        <c:ser>
          <c:idx val="4"/>
          <c:order val="4"/>
          <c:tx>
            <c:strRef>
              <c:f>transformacija!$A$394</c:f>
              <c:strCache>
                <c:ptCount val="1"/>
                <c:pt idx="0">
                  <c:v>Vidaus migrantai (atvyko)</c:v>
                </c:pt>
              </c:strCache>
            </c:strRef>
          </c:tx>
          <c:spPr>
            <a:ln xmlns:a="http://schemas.openxmlformats.org/drawingml/2006/main" w="28575" cap="rnd">
              <a:solidFill>
                <a:schemeClr val="accent1">
                  <a:lumMod val="50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transformacija!$B$394:$O$394</c:f>
              <c:numCache>
                <c:formatCode>0.0%</c:formatCode>
                <c:ptCount val="14"/>
                <c:pt idx="0">
                  <c:v>6.0388827145212345E-3</c:v>
                </c:pt>
                <c:pt idx="1">
                  <c:v>6.1976182331309332E-3</c:v>
                </c:pt>
                <c:pt idx="2">
                  <c:v>9.1291641683007331E-3</c:v>
                </c:pt>
                <c:pt idx="3">
                  <c:v>1.0237613751263903E-2</c:v>
                </c:pt>
                <c:pt idx="4">
                  <c:v>1.0443922746348269E-2</c:v>
                </c:pt>
                <c:pt idx="5">
                  <c:v>1.0768824640034891E-2</c:v>
                </c:pt>
                <c:pt idx="6">
                  <c:v>1.1935498877685123E-2</c:v>
                </c:pt>
                <c:pt idx="7">
                  <c:v>1.1842667177168776E-2</c:v>
                </c:pt>
                <c:pt idx="8">
                  <c:v>1.0068784977623266E-2</c:v>
                </c:pt>
                <c:pt idx="9">
                  <c:v>9.7438262801099705E-3</c:v>
                </c:pt>
                <c:pt idx="10">
                  <c:v>1.078410054235643E-2</c:v>
                </c:pt>
                <c:pt idx="11">
                  <c:v>1.3936217110238019E-2</c:v>
                </c:pt>
                <c:pt idx="12">
                  <c:v>1.5301999426500873E-2</c:v>
                </c:pt>
                <c:pt idx="13">
                  <c:v>1.6019104509032538E-2</c:v>
                </c:pt>
              </c:numCache>
            </c:numRef>
          </c:val>
          <c:smooth val="0"/>
        </c:ser>
        <c:ser>
          <c:idx val="5"/>
          <c:order val="5"/>
          <c:tx>
            <c:strRef>
              <c:f>transformacija!$A$395</c:f>
              <c:strCache>
                <c:ptCount val="1"/>
                <c:pt idx="0">
                  <c:v>Natūrali kaita</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transformacija!$B$395:$O$395</c:f>
              <c:numCache>
                <c:formatCode>0.0%</c:formatCode>
                <c:ptCount val="14"/>
                <c:pt idx="0">
                  <c:v>-2.4281944451760044E-3</c:v>
                </c:pt>
                <c:pt idx="1">
                  <c:v>-2.4747712306508168E-3</c:v>
                </c:pt>
                <c:pt idx="2">
                  <c:v>-2.5091696782104677E-3</c:v>
                </c:pt>
                <c:pt idx="3">
                  <c:v>-2.5635248604211546E-3</c:v>
                </c:pt>
                <c:pt idx="4">
                  <c:v>-2.7538562391792782E-3</c:v>
                </c:pt>
                <c:pt idx="5">
                  <c:v>-3.4777019620896052E-3</c:v>
                </c:pt>
                <c:pt idx="6">
                  <c:v>-3.0878196852866264E-3</c:v>
                </c:pt>
                <c:pt idx="7">
                  <c:v>-2.3620539855979503E-3</c:v>
                </c:pt>
                <c:pt idx="8">
                  <c:v>-1.6965172200970205E-3</c:v>
                </c:pt>
                <c:pt idx="9">
                  <c:v>-1.9481583531082533E-3</c:v>
                </c:pt>
                <c:pt idx="10">
                  <c:v>-2.3036754811404298E-3</c:v>
                </c:pt>
                <c:pt idx="11">
                  <c:v>-2.6965019483674579E-3</c:v>
                </c:pt>
                <c:pt idx="12">
                  <c:v>-2.847944526993561E-3</c:v>
                </c:pt>
                <c:pt idx="13">
                  <c:v>-2.2926726576582503E-3</c:v>
                </c:pt>
              </c:numCache>
            </c:numRef>
          </c:val>
          <c:smooth val="0"/>
        </c:ser>
        <c:dLbls>
          <c:showLegendKey val="0"/>
          <c:showVal val="0"/>
          <c:showCatName val="0"/>
          <c:showSerName val="0"/>
          <c:showPercent val="0"/>
          <c:showBubbleSize val="0"/>
        </c:dLbls>
        <c:marker val="1"/>
        <c:smooth val="0"/>
        <c:axId val="116740480"/>
        <c:axId val="116742016"/>
      </c:lineChart>
      <c:catAx>
        <c:axId val="11674048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38100" cap="flat" cmpd="sng" algn="ctr">
            <a:solidFill>
              <a:schemeClr val="tx1">
                <a:alpha val="28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tx1">
                    <a:lumMod val="65000"/>
                    <a:lumOff val="35000"/>
                  </a:schemeClr>
                </a:solidFill>
                <a:latin typeface="+mn-lt"/>
                <a:ea typeface="+mn-ea"/>
                <a:cs typeface="+mn-cs"/>
              </a:defRPr>
            </a:pPr>
            <a:endParaRPr lang="lt-LT"/>
          </a:p>
        </c:txPr>
        <c:crossAx val="116742016"/>
        <c:crosses val="autoZero"/>
        <c:auto val="1"/>
        <c:lblAlgn val="ctr"/>
        <c:lblOffset val="100"/>
        <c:noMultiLvlLbl val="0"/>
      </c:catAx>
      <c:valAx>
        <c:axId val="116742016"/>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16740480"/>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layout/>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transformacija!$A$390</c:f>
              <c:strCache>
                <c:ptCount val="1"/>
                <c:pt idx="0">
                  <c:v>Bendras kaitos rodiklis</c:v>
                </c:pt>
              </c:strCache>
            </c:strRef>
          </c:tx>
          <c:spPr>
            <a:ln xmlns:a="http://schemas.openxmlformats.org/drawingml/2006/main" w="50800" cap="rnd">
              <a:solidFill>
                <a:schemeClr val="accent6">
                  <a:lumMod val="50000"/>
                </a:schemeClr>
              </a:solidFill>
              <a:prstDash val="sysDot"/>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transformacija!$B$390:$O$390</c:f>
              <c:numCache>
                <c:formatCode>0.0\ %</c:formatCode>
                <c:ptCount val="14"/>
                <c:pt idx="0">
                  <c:v>-1.4563899437986232E-2</c:v>
                </c:pt>
                <c:pt idx="1">
                  <c:v>-1.0513768921577012E-2</c:v>
                </c:pt>
                <c:pt idx="2">
                  <c:v>-1.6988888348701658E-2</c:v>
                </c:pt>
                <c:pt idx="3">
                  <c:v>-1.9227810260693718E-2</c:v>
                </c:pt>
                <c:pt idx="4">
                  <c:v>-2.3666915064686204E-2</c:v>
                </c:pt>
                <c:pt idx="5">
                  <c:v>-1.3124594698513082E-2</c:v>
                </c:pt>
                <c:pt idx="6">
                  <c:v>-1.2784503913564308E-2</c:v>
                </c:pt>
                <c:pt idx="7">
                  <c:v>-1.2199036918138041E-2</c:v>
                </c:pt>
                <c:pt idx="8">
                  <c:v>-1.744520607168307E-2</c:v>
                </c:pt>
                <c:pt idx="9">
                  <c:v>-3.7090871573274425E-2</c:v>
                </c:pt>
                <c:pt idx="10">
                  <c:v>-2.0629083036313615E-2</c:v>
                </c:pt>
                <c:pt idx="11">
                  <c:v>-1.2501086001679682E-2</c:v>
                </c:pt>
                <c:pt idx="12">
                  <c:v>-9.3714970934021535E-3</c:v>
                </c:pt>
                <c:pt idx="13">
                  <c:v>-8.733207899688171E-3</c:v>
                </c:pt>
              </c:numCache>
            </c:numRef>
          </c:val>
          <c:smooth val="0"/>
        </c:ser>
        <c:ser>
          <c:idx val="1"/>
          <c:order val="1"/>
          <c:tx>
            <c:strRef>
              <c:f>transformacija!$A$391</c:f>
              <c:strCache>
                <c:ptCount val="1"/>
                <c:pt idx="0">
                  <c:v>Emigrantai</c:v>
                </c:pt>
              </c:strCache>
            </c:strRef>
          </c:tx>
          <c:spPr>
            <a:ln xmlns:a="http://schemas.openxmlformats.org/drawingml/2006/main" w="28575" cap="rnd">
              <a:solidFill>
                <a:schemeClr val="accent2">
                  <a:lumMod val="75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transformacija!$B$391:$O$391</c:f>
              <c:numCache>
                <c:formatCode>0.0%</c:formatCode>
                <c:ptCount val="14"/>
                <c:pt idx="0">
                  <c:v>-7.9842317087649613E-3</c:v>
                </c:pt>
                <c:pt idx="1">
                  <c:v>-4.8395822773854387E-3</c:v>
                </c:pt>
                <c:pt idx="2">
                  <c:v>-7.6593393495608475E-3</c:v>
                </c:pt>
                <c:pt idx="3">
                  <c:v>-1.1089081295902328E-2</c:v>
                </c:pt>
                <c:pt idx="4">
                  <c:v>-1.7252221910932813E-2</c:v>
                </c:pt>
                <c:pt idx="5">
                  <c:v>-9.8454785726335824E-3</c:v>
                </c:pt>
                <c:pt idx="6">
                  <c:v>-9.3486642853208776E-3</c:v>
                </c:pt>
                <c:pt idx="7">
                  <c:v>-8.0153022235849095E-3</c:v>
                </c:pt>
                <c:pt idx="8">
                  <c:v>-1.2092255428637476E-2</c:v>
                </c:pt>
                <c:pt idx="9">
                  <c:v>-2.6466465689107745E-2</c:v>
                </c:pt>
                <c:pt idx="10">
                  <c:v>-1.764502776005147E-2</c:v>
                </c:pt>
                <c:pt idx="11">
                  <c:v>-1.3683392922123516E-2</c:v>
                </c:pt>
                <c:pt idx="12">
                  <c:v>-1.3061655739332179E-2</c:v>
                </c:pt>
                <c:pt idx="13">
                  <c:v>-1.2441429712937647E-2</c:v>
                </c:pt>
              </c:numCache>
            </c:numRef>
          </c:val>
          <c:smooth val="0"/>
        </c:ser>
        <c:ser>
          <c:idx val="2"/>
          <c:order val="2"/>
          <c:tx>
            <c:strRef>
              <c:f>transformacija!$A$392</c:f>
              <c:strCache>
                <c:ptCount val="1"/>
                <c:pt idx="0">
                  <c:v>Vidaus migrantai (išvyko)</c:v>
                </c:pt>
              </c:strCache>
            </c:strRef>
          </c:tx>
          <c:spPr>
            <a:ln xmlns:a="http://schemas.openxmlformats.org/drawingml/2006/main" w="28575" cap="rnd">
              <a:solidFill>
                <a:schemeClr val="accent2">
                  <a:lumMod val="50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transformacija!$B$392:$O$392</c:f>
              <c:numCache>
                <c:formatCode>0.0%</c:formatCode>
                <c:ptCount val="14"/>
                <c:pt idx="0">
                  <c:v>-1.0415953395521798E-2</c:v>
                </c:pt>
                <c:pt idx="1">
                  <c:v>-1.0676793808261352E-2</c:v>
                </c:pt>
                <c:pt idx="2">
                  <c:v>-1.739402877037181E-2</c:v>
                </c:pt>
                <c:pt idx="3">
                  <c:v>-1.511737811579549E-2</c:v>
                </c:pt>
                <c:pt idx="4">
                  <c:v>-1.3026888618701569E-2</c:v>
                </c:pt>
                <c:pt idx="5">
                  <c:v>-1.2585149179641096E-2</c:v>
                </c:pt>
                <c:pt idx="6">
                  <c:v>-1.3944616959166347E-2</c:v>
                </c:pt>
                <c:pt idx="7">
                  <c:v>-1.6039583548087825E-2</c:v>
                </c:pt>
                <c:pt idx="8">
                  <c:v>-1.383451652240804E-2</c:v>
                </c:pt>
                <c:pt idx="9">
                  <c:v>-1.2468820362806561E-2</c:v>
                </c:pt>
                <c:pt idx="10">
                  <c:v>-1.3368250876877843E-2</c:v>
                </c:pt>
                <c:pt idx="11">
                  <c:v>-1.458620922667027E-2</c:v>
                </c:pt>
                <c:pt idx="12">
                  <c:v>-1.4578608482573446E-2</c:v>
                </c:pt>
                <c:pt idx="13">
                  <c:v>-1.6828283094088393E-2</c:v>
                </c:pt>
              </c:numCache>
            </c:numRef>
          </c:val>
          <c:smooth val="0"/>
        </c:ser>
        <c:ser>
          <c:idx val="3"/>
          <c:order val="3"/>
          <c:tx>
            <c:strRef>
              <c:f>transformacija!$A$393</c:f>
              <c:strCache>
                <c:ptCount val="1"/>
                <c:pt idx="0">
                  <c:v>Imigrantai</c:v>
                </c:pt>
              </c:strCache>
            </c:strRef>
          </c:tx>
          <c:spPr>
            <a:ln xmlns:a="http://schemas.openxmlformats.org/drawingml/2006/main" w="28575" cap="rnd">
              <a:solidFill>
                <a:schemeClr val="accent1">
                  <a:lumMod val="75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transformacija!$B$393:$O$393</c:f>
              <c:numCache>
                <c:formatCode>0.0%</c:formatCode>
                <c:ptCount val="14"/>
                <c:pt idx="0">
                  <c:v>1.3484116658678031E-3</c:v>
                </c:pt>
                <c:pt idx="1">
                  <c:v>1.4698965192850423E-3</c:v>
                </c:pt>
                <c:pt idx="2">
                  <c:v>1.2640381156108708E-3</c:v>
                </c:pt>
                <c:pt idx="3">
                  <c:v>1.8656306326108936E-3</c:v>
                </c:pt>
                <c:pt idx="4">
                  <c:v>2.2804058786286188E-3</c:v>
                </c:pt>
                <c:pt idx="5">
                  <c:v>2.7976562813839647E-3</c:v>
                </c:pt>
                <c:pt idx="6">
                  <c:v>3.0093157949827292E-3</c:v>
                </c:pt>
                <c:pt idx="7">
                  <c:v>3.4694508666264154E-3</c:v>
                </c:pt>
                <c:pt idx="8">
                  <c:v>2.3405378168298088E-3</c:v>
                </c:pt>
                <c:pt idx="9">
                  <c:v>1.7418113624363511E-3</c:v>
                </c:pt>
                <c:pt idx="10">
                  <c:v>5.2407829345233027E-3</c:v>
                </c:pt>
                <c:pt idx="11">
                  <c:v>6.567494602169429E-3</c:v>
                </c:pt>
                <c:pt idx="12">
                  <c:v>7.3707671854226949E-3</c:v>
                </c:pt>
                <c:pt idx="13">
                  <c:v>7.9141612831072454E-3</c:v>
                </c:pt>
              </c:numCache>
            </c:numRef>
          </c:val>
          <c:smooth val="0"/>
        </c:ser>
        <c:ser>
          <c:idx val="4"/>
          <c:order val="4"/>
          <c:tx>
            <c:strRef>
              <c:f>transformacija!$A$394</c:f>
              <c:strCache>
                <c:ptCount val="1"/>
                <c:pt idx="0">
                  <c:v>Vidaus migrantai (atvyko)</c:v>
                </c:pt>
              </c:strCache>
            </c:strRef>
          </c:tx>
          <c:spPr>
            <a:ln xmlns:a="http://schemas.openxmlformats.org/drawingml/2006/main" w="28575" cap="rnd">
              <a:solidFill>
                <a:schemeClr val="accent1">
                  <a:lumMod val="50000"/>
                </a:schemeClr>
              </a:solidFill>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transformacija!$B$394:$O$394</c:f>
              <c:numCache>
                <c:formatCode>0.0%</c:formatCode>
                <c:ptCount val="14"/>
                <c:pt idx="0">
                  <c:v>6.0388827145212345E-3</c:v>
                </c:pt>
                <c:pt idx="1">
                  <c:v>6.1976182331309332E-3</c:v>
                </c:pt>
                <c:pt idx="2">
                  <c:v>9.1291641683007331E-3</c:v>
                </c:pt>
                <c:pt idx="3">
                  <c:v>1.0237613751263903E-2</c:v>
                </c:pt>
                <c:pt idx="4">
                  <c:v>1.0443922746348269E-2</c:v>
                </c:pt>
                <c:pt idx="5">
                  <c:v>1.0768824640034891E-2</c:v>
                </c:pt>
                <c:pt idx="6">
                  <c:v>1.1935498877685123E-2</c:v>
                </c:pt>
                <c:pt idx="7">
                  <c:v>1.1842667177168776E-2</c:v>
                </c:pt>
                <c:pt idx="8">
                  <c:v>1.0068784977623266E-2</c:v>
                </c:pt>
                <c:pt idx="9">
                  <c:v>9.7438262801099705E-3</c:v>
                </c:pt>
                <c:pt idx="10">
                  <c:v>1.078410054235643E-2</c:v>
                </c:pt>
                <c:pt idx="11">
                  <c:v>1.3936217110238019E-2</c:v>
                </c:pt>
                <c:pt idx="12">
                  <c:v>1.5301999426500873E-2</c:v>
                </c:pt>
                <c:pt idx="13">
                  <c:v>1.6019104509032538E-2</c:v>
                </c:pt>
              </c:numCache>
            </c:numRef>
          </c:val>
          <c:smooth val="0"/>
        </c:ser>
        <c:ser>
          <c:idx val="5"/>
          <c:order val="5"/>
          <c:tx>
            <c:strRef>
              <c:f>transformacija!$A$395</c:f>
              <c:strCache>
                <c:ptCount val="1"/>
                <c:pt idx="0">
                  <c:v>Natūrali kaita</c:v>
                </c:pt>
              </c:strCache>
            </c:strRef>
          </c:tx>
          <c:spPr>
            <a:ln xmlns:a="http://schemas.openxmlformats.org/drawingml/2006/main" w="28575" cap="rnd">
              <a:solidFill>
                <a:schemeClr val="tx1"/>
              </a:solidFill>
              <a:prstDash val="sysDash"/>
              <a:round/>
            </a:ln>
            <a:effectLst xmlns:a="http://schemas.openxmlformats.org/drawingml/2006/main"/>
          </c:spPr>
          <c:marker>
            <c:symbol val="none"/>
          </c:marker>
          <c:cat>
            <c:strRef>
              <c:f>transformacija!$B$389:$O$389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transformacija!$B$395:$O$395</c:f>
              <c:numCache>
                <c:formatCode>0.0%</c:formatCode>
                <c:ptCount val="14"/>
                <c:pt idx="0">
                  <c:v>-2.4281944451760044E-3</c:v>
                </c:pt>
                <c:pt idx="1">
                  <c:v>-2.4747712306508168E-3</c:v>
                </c:pt>
                <c:pt idx="2">
                  <c:v>-2.5091696782104677E-3</c:v>
                </c:pt>
                <c:pt idx="3">
                  <c:v>-2.5635248604211546E-3</c:v>
                </c:pt>
                <c:pt idx="4">
                  <c:v>-2.7538562391792782E-3</c:v>
                </c:pt>
                <c:pt idx="5">
                  <c:v>-3.4777019620896052E-3</c:v>
                </c:pt>
                <c:pt idx="6">
                  <c:v>-3.0878196852866264E-3</c:v>
                </c:pt>
                <c:pt idx="7">
                  <c:v>-2.3620539855979503E-3</c:v>
                </c:pt>
                <c:pt idx="8">
                  <c:v>-1.6965172200970205E-3</c:v>
                </c:pt>
                <c:pt idx="9">
                  <c:v>-1.9481583531082533E-3</c:v>
                </c:pt>
                <c:pt idx="10">
                  <c:v>-2.3036754811404298E-3</c:v>
                </c:pt>
                <c:pt idx="11">
                  <c:v>-2.6965019483674579E-3</c:v>
                </c:pt>
                <c:pt idx="12">
                  <c:v>-2.847944526993561E-3</c:v>
                </c:pt>
                <c:pt idx="13">
                  <c:v>-2.2926726576582503E-3</c:v>
                </c:pt>
              </c:numCache>
            </c:numRef>
          </c:val>
          <c:smooth val="0"/>
        </c:ser>
        <c:dLbls>
          <c:showLegendKey val="0"/>
          <c:showVal val="0"/>
          <c:showCatName val="0"/>
          <c:showSerName val="0"/>
          <c:showPercent val="0"/>
          <c:showBubbleSize val="0"/>
        </c:dLbls>
        <c:marker val="1"/>
        <c:smooth val="0"/>
        <c:axId val="104419712"/>
        <c:axId val="104421248"/>
      </c:lineChart>
      <c:catAx>
        <c:axId val="10441971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38100" cap="flat" cmpd="sng" algn="ctr">
            <a:solidFill>
              <a:schemeClr val="tx1">
                <a:alpha val="28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tx1">
                    <a:lumMod val="65000"/>
                    <a:lumOff val="35000"/>
                  </a:schemeClr>
                </a:solidFill>
                <a:latin typeface="+mn-lt"/>
                <a:ea typeface="+mn-ea"/>
                <a:cs typeface="+mn-cs"/>
              </a:defRPr>
            </a:pPr>
            <a:endParaRPr lang="lt-LT"/>
          </a:p>
        </c:txPr>
        <c:crossAx val="104421248"/>
        <c:crosses val="autoZero"/>
        <c:auto val="1"/>
        <c:lblAlgn val="ctr"/>
        <c:lblOffset val="100"/>
        <c:noMultiLvlLbl val="0"/>
      </c:catAx>
      <c:valAx>
        <c:axId val="10442124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0\ %" sourceLinked="1"/>
        <c:majorTickMark val="none"/>
        <c:minorTickMark val="none"/>
        <c:tickLblPos val="nextTo"/>
        <c:spPr>
          <a:noFill xmlns:a="http://schemas.openxmlformats.org/drawingml/2006/main"/>
          <a:ln xmlns:a="http://schemas.openxmlformats.org/drawingml/2006/main">
            <a:noFill/>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crossAx val="104419712"/>
        <c:crosses val="autoZero"/>
        <c:crossBetween val="between"/>
      </c:valAx>
      <c:spPr>
        <a:noFill xmlns:a="http://schemas.openxmlformats.org/drawingml/2006/main"/>
        <a:ln xmlns:a="http://schemas.openxmlformats.org/drawingml/2006/main">
          <a:noFill/>
        </a:ln>
        <a:effectLst xmlns:a="http://schemas.openxmlformats.org/drawingml/2006/main"/>
      </c:spPr>
    </c:plotArea>
    <c:legend>
      <c:legendPos val="b"/>
      <c:overlay val="0"/>
      <c:spPr>
        <a:noFill xmlns:a="http://schemas.openxmlformats.org/drawingml/2006/main"/>
        <a:ln xmlns:a="http://schemas.openxmlformats.org/drawingml/2006/main">
          <a:noFill/>
        </a:ln>
        <a:effectLst xmlns:a="http://schemas.openxmlformats.org/drawingml/2006/mai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xmlns:a="http://schemas.openxmlformats.org/drawingml/2006/main">
      <a:schemeClr val="bg1"/>
    </a:solidFill>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olors1.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10.xml><?xml version="1.0" encoding="utf-8"?>
<cs:colorStyle xmlns:cs="http://schemas.microsoft.com/office/drawing/2012/chartStyle" meth="withinLinear" id="14">
  <a:schemeClr xmlns:a="http://schemas.openxmlformats.org/drawingml/2006/main" val="accent1"/>
</cs:colorStyle>
</file>

<file path=word/charts/colors11.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2.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3.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4.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5.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6.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7.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8.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colors9.xml><?xml version="1.0" encoding="utf-8"?>
<cs:colorStyle xmlns:cs="http://schemas.microsoft.com/office/drawing/2012/chartStyle" meth="cycle" id="10">
  <a:schemeClr xmlns:a="http://schemas.openxmlformats.org/drawingml/2006/main" val="accent1"/>
  <a:schemeClr xmlns:a="http://schemas.openxmlformats.org/drawingml/2006/main" val="accent2"/>
  <a:schemeClr xmlns:a="http://schemas.openxmlformats.org/drawingml/2006/main" val="accent3"/>
  <a:schemeClr xmlns:a="http://schemas.openxmlformats.org/drawingml/2006/main" val="accent4"/>
  <a:schemeClr xmlns:a="http://schemas.openxmlformats.org/drawingml/2006/main" val="accent5"/>
  <a:schemeClr xmlns:a="http://schemas.openxmlformats.org/drawingml/2006/main" val="accent6"/>
  <cs:variation/>
  <cs:variation>
    <a:lumMod xmlns:a="http://schemas.openxmlformats.org/drawingml/2006/main" val="60000"/>
  </cs:variation>
  <cs:variation>
    <a:lumMod xmlns:a="http://schemas.openxmlformats.org/drawingml/2006/main" val="80000"/>
    <a:lumOff xmlns:a="http://schemas.openxmlformats.org/drawingml/2006/main" val="20000"/>
  </cs:variation>
  <cs:variation>
    <a:lumMod xmlns:a="http://schemas.openxmlformats.org/drawingml/2006/main" val="80000"/>
  </cs:variation>
  <cs:variation>
    <a:lumMod xmlns:a="http://schemas.openxmlformats.org/drawingml/2006/main" val="60000"/>
    <a:lumOff xmlns:a="http://schemas.openxmlformats.org/drawingml/2006/main" val="40000"/>
  </cs:variation>
  <cs:variation>
    <a:lumMod xmlns:a="http://schemas.openxmlformats.org/drawingml/2006/main" val="50000"/>
  </cs:variation>
  <cs:variation>
    <a:lumMod xmlns:a="http://schemas.openxmlformats.org/drawingml/2006/main" val="70000"/>
    <a:lumOff xmlns:a="http://schemas.openxmlformats.org/drawingml/2006/main" val="30000"/>
  </cs:variation>
  <cs:variation>
    <a:lumMod xmlns:a="http://schemas.openxmlformats.org/drawingml/2006/main" val="70000"/>
  </cs:variation>
  <cs:variation>
    <a:lumMod xmlns:a="http://schemas.openxmlformats.org/drawingml/2006/main" val="50000"/>
    <a:lumOff xmlns:a="http://schemas.openxmlformats.org/drawingml/2006/main" val="50000"/>
  </cs:variation>
</cs:colorStyle>
</file>

<file path=word/charts/style1.xml><?xml version="1.0" encoding="utf-8"?>
<cs:chartStyle xmlns:cs="http://schemas.microsoft.com/office/drawing/2012/chartStyle" id="201">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dataPoint>
  <cs:dataPoint3D>
    <cs:lnRef idx="0"/>
    <cs:fillRef idx="1">
      <cs:styleClr val="auto"/>
    </cs:fillRef>
    <cs:effectRef idx="0"/>
    <cs:fontRef idx="minor">
      <a:schemeClr xmlns:a="http://schemas.openxmlformats.org/drawingml/2006/main" val="tx1"/>
    </cs:fontRef>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10.xml><?xml version="1.0" encoding="utf-8"?>
<cs:chartStyle xmlns:cs="http://schemas.microsoft.com/office/drawing/2012/chartStyle" id="201">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dataPoint>
  <cs:dataPoint3D>
    <cs:lnRef idx="0"/>
    <cs:fillRef idx="1">
      <cs:styleClr val="auto"/>
    </cs:fillRef>
    <cs:effectRef idx="0"/>
    <cs:fontRef idx="minor">
      <a:schemeClr xmlns:a="http://schemas.openxmlformats.org/drawingml/2006/main" val="tx1"/>
    </cs:fontRef>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11.xml><?xml version="1.0" encoding="utf-8"?>
<cs:chartStyle xmlns:cs="http://schemas.microsoft.com/office/drawing/2012/chartStyle" id="322">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dataPoint>
  <cs:dataPoint3D>
    <cs:lnRef idx="0"/>
    <cs:fillRef idx="1">
      <cs:styleClr val="auto"/>
    </cs:fillRef>
    <cs:effectRef idx="0"/>
    <cs:fontRef idx="minor">
      <a:schemeClr xmlns:a="http://schemas.openxmlformats.org/drawingml/2006/main" val="tx1"/>
    </cs:fontRef>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tx1"/>
    </cs:fontRef>
    <cs:spPr>
      <a:solidFill xmlns:a="http://schemas.openxmlformats.org/drawingml/2006/main">
        <a:schemeClr val="dk1">
          <a:lumMod val="75000"/>
          <a:lumOff val="25000"/>
        </a:schemeClr>
      </a:solidFill>
      <a:ln xmlns:a="http://schemas.openxmlformats.org/drawingml/2006/main" w="9525" cap="flat" cmpd="sng" algn="ctr">
        <a:solidFill>
          <a:schemeClr val="tx1">
            <a:lumMod val="65000"/>
            <a:lumOff val="35000"/>
          </a:schemeClr>
        </a:solidFill>
        <a:round/>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tx1"/>
    </cs:fontRef>
    <cs:spPr>
      <a:solidFill xmlns:a="http://schemas.openxmlformats.org/drawingml/2006/main">
        <a:schemeClr val="lt1"/>
      </a:solidFill>
      <a:ln xmlns:a="http://schemas.openxmlformats.org/drawingml/2006/main" w="9525" cap="flat" cmpd="sng" algn="ctr">
        <a:solidFill>
          <a:schemeClr val="tx1">
            <a:lumMod val="65000"/>
            <a:lumOff val="35000"/>
          </a:schemeClr>
        </a:solidFill>
        <a:round/>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2.xml><?xml version="1.0" encoding="utf-8"?>
<cs:chartStyle xmlns:cs="http://schemas.microsoft.com/office/drawing/2012/chartStyle" id="227">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
  <cs:dataPoint3D>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solidFill xmlns:a="http://schemas.openxmlformats.org/drawingml/2006/main">
        <a:schemeClr val="phClr"/>
      </a:solidFill>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3.xml><?xml version="1.0" encoding="utf-8"?>
<cs:chartStyle xmlns:cs="http://schemas.microsoft.com/office/drawing/2012/chartStyle" id="227">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
  <cs:dataPoint3D>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solidFill xmlns:a="http://schemas.openxmlformats.org/drawingml/2006/main">
        <a:schemeClr val="phClr"/>
      </a:solidFill>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4.xml><?xml version="1.0" encoding="utf-8"?>
<cs:chartStyle xmlns:cs="http://schemas.microsoft.com/office/drawing/2012/chartStyle" id="201">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dataPoint>
  <cs:dataPoint3D>
    <cs:lnRef idx="0"/>
    <cs:fillRef idx="1">
      <cs:styleClr val="auto"/>
    </cs:fillRef>
    <cs:effectRef idx="0"/>
    <cs:fontRef idx="minor">
      <a:schemeClr xmlns:a="http://schemas.openxmlformats.org/drawingml/2006/main" val="tx1"/>
    </cs:fontRef>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5.xml><?xml version="1.0" encoding="utf-8"?>
<cs:chartStyle xmlns:cs="http://schemas.microsoft.com/office/drawing/2012/chartStyle" id="201">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dataPoint>
  <cs:dataPoint3D>
    <cs:lnRef idx="0"/>
    <cs:fillRef idx="1">
      <cs:styleClr val="auto"/>
    </cs:fillRef>
    <cs:effectRef idx="0"/>
    <cs:fontRef idx="minor">
      <a:schemeClr xmlns:a="http://schemas.openxmlformats.org/drawingml/2006/main" val="tx1"/>
    </cs:fontRef>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6.xml><?xml version="1.0" encoding="utf-8"?>
<cs:chartStyle xmlns:cs="http://schemas.microsoft.com/office/drawing/2012/chartStyle" id="227">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
  <cs:dataPoint3D>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solidFill xmlns:a="http://schemas.openxmlformats.org/drawingml/2006/main">
        <a:schemeClr val="phClr"/>
      </a:solidFill>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7.xml><?xml version="1.0" encoding="utf-8"?>
<cs:chartStyle xmlns:cs="http://schemas.microsoft.com/office/drawing/2012/chartStyle" id="227">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
  <cs:dataPoint3D>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solidFill xmlns:a="http://schemas.openxmlformats.org/drawingml/2006/main">
        <a:schemeClr val="phClr"/>
      </a:solidFill>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8.xml><?xml version="1.0" encoding="utf-8"?>
<cs:chartStyle xmlns:cs="http://schemas.microsoft.com/office/drawing/2012/chartStyle" id="227">
  <cs:axisTitle>
    <cs:lnRef idx="0"/>
    <cs:fillRef idx="0"/>
    <cs:effectRef idx="0"/>
    <cs:fontRef idx="minor">
      <a:schemeClr xmlns:a="http://schemas.openxmlformats.org/drawingml/2006/main" val="tx1">
        <a:lumMod val="65000"/>
        <a:lumOff val="35000"/>
      </a:schemeClr>
    </cs:fontRef>
    <cs:defRPr sz="1000" kern="1200"/>
  </cs:axisTitle>
  <cs:categoryAxis>
    <cs:lnRef idx="0"/>
    <cs:fillRef idx="0"/>
    <cs:effectRef idx="0"/>
    <cs:fontRef idx="minor">
      <a:schemeClr xmlns:a="http://schemas.openxmlformats.org/drawingml/2006/main" val="tx1">
        <a:lumMod val="65000"/>
        <a:lumOff val="35000"/>
      </a:schemeClr>
    </cs:fontRef>
    <cs:spPr>
      <a:ln xmlns:a="http://schemas.openxmlformats.org/drawingml/2006/mai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xmlns:a="http://schemas.openxmlformats.org/drawingml/2006/main" val="tx1"/>
    </cs:fontRef>
    <cs:spPr>
      <a:solidFill xmlns:a="http://schemas.openxmlformats.org/drawingml/2006/main">
        <a:schemeClr val="bg1"/>
      </a:solidFill>
      <a:ln xmlns:a="http://schemas.openxmlformats.org/drawingml/2006/main" w="9525" cap="flat" cmpd="sng" algn="ctr">
        <a:solidFill>
          <a:schemeClr val="tx1">
            <a:lumMod val="15000"/>
            <a:lumOff val="85000"/>
          </a:schemeClr>
        </a:solidFill>
        <a:round/>
      </a:ln>
    </cs:spPr>
    <cs:defRPr sz="1000" kern="1200"/>
  </cs:chartArea>
  <cs:dataLabel>
    <cs:lnRef idx="0"/>
    <cs:fillRef idx="0"/>
    <cs:effectRef idx="0"/>
    <cs:fontRef idx="minor">
      <a:schemeClr xmlns:a="http://schemas.openxmlformats.org/drawingml/2006/main" val="tx1">
        <a:lumMod val="75000"/>
        <a:lumOff val="25000"/>
      </a:schemeClr>
    </cs:fontRef>
    <cs:defRPr sz="900" kern="1200"/>
  </cs:dataLabel>
  <cs:dataLabelCallout>
    <cs:lnRef idx="0"/>
    <cs:fillRef idx="0"/>
    <cs:effectRef idx="0"/>
    <cs:fontRef idx="minor">
      <a:schemeClr xmlns:a="http://schemas.openxmlformats.org/drawingml/2006/main" val="dk1">
        <a:lumMod val="65000"/>
        <a:lumOff val="35000"/>
      </a:schemeClr>
    </cs:fontRef>
    <cs:spPr>
      <a:solidFill xmlns:a="http://schemas.openxmlformats.org/drawingml/2006/main">
        <a:schemeClr val="lt1"/>
      </a:solidFill>
      <a:ln xmlns:a="http://schemas.openxmlformats.org/drawingml/2006/mai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xmlns:a="http://schemas.openxmlformats.org/drawingml/2006/main"/>
    </cs:bodyPr>
  </cs:dataLabelCallout>
  <cs:dataPoint>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
  <cs:dataPoint3D>
    <cs:lnRef idx="0"/>
    <cs:fillRef idx="1">
      <cs:styleClr val="auto"/>
    </cs:fillRef>
    <cs:effectRef idx="0"/>
    <cs:fontRef idx="minor">
      <a:schemeClr xmlns:a="http://schemas.openxmlformats.org/drawingml/2006/main" val="tx1"/>
    </cs:fontRef>
    <cs:spPr>
      <a:solidFill xmlns:a="http://schemas.openxmlformats.org/drawingml/2006/main">
        <a:schemeClr val="phClr"/>
      </a:solidFill>
    </cs:spPr>
  </cs:dataPoint3D>
  <cs:dataPointLine>
    <cs:lnRef idx="0">
      <cs:styleClr val="auto"/>
    </cs:lnRef>
    <cs:fillRef idx="1"/>
    <cs:effectRef idx="0"/>
    <cs:fontRef idx="minor">
      <a:schemeClr xmlns:a="http://schemas.openxmlformats.org/drawingml/2006/main" val="tx1"/>
    </cs:fontRef>
    <cs:spPr>
      <a:ln xmlns:a="http://schemas.openxmlformats.org/drawingml/2006/main" w="28575" cap="rnd">
        <a:solidFill>
          <a:schemeClr val="phClr"/>
        </a:solidFill>
        <a:round/>
      </a:ln>
    </cs:spPr>
  </cs:dataPointLine>
  <cs:dataPointMarker>
    <cs:lnRef idx="0">
      <cs:styleClr val="auto"/>
    </cs:lnRef>
    <cs:fillRef idx="1">
      <cs:styleClr val="auto"/>
    </cs:fillRef>
    <cs:effectRef idx="0"/>
    <cs:fontRef idx="minor">
      <a:schemeClr xmlns:a="http://schemas.openxmlformats.org/drawingml/2006/main" val="tx1"/>
    </cs:fontRef>
    <cs:spPr>
      <a:solidFill xmlns:a="http://schemas.openxmlformats.org/drawingml/2006/main">
        <a:schemeClr val="phClr"/>
      </a:solidFill>
      <a:ln xmlns:a="http://schemas.openxmlformats.org/drawingml/2006/main" w="9525">
        <a:solidFill>
          <a:schemeClr val="phClr"/>
        </a:solidFill>
      </a:ln>
    </cs:spPr>
  </cs:dataPointMarker>
  <cs:dataPointMarkerLayout symbol="circle" size="5"/>
  <cs:dataPointWireframe>
    <cs:lnRef idx="0">
      <cs:styleClr val="auto"/>
    </cs:lnRef>
    <cs:fillRef idx="1"/>
    <cs:effectRef idx="0"/>
    <cs:fontRef idx="minor">
      <a:schemeClr xmlns:a="http://schemas.openxmlformats.org/drawingml/2006/main" val="tx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tx1">
        <a:lumMod val="65000"/>
        <a:lumOff val="35000"/>
      </a:schemeClr>
    </cs:fontRef>
    <cs:spPr>
      <a:noFill xmlns:a="http://schemas.openxmlformats.org/drawingml/2006/main"/>
      <a:ln xmlns:a="http://schemas.openxmlformats.org/drawingml/2006/main" w="9525" cap="flat" cmpd="sng" algn="ctr">
        <a:solidFill>
          <a:schemeClr val="tx1">
            <a:lumMod val="15000"/>
            <a:lumOff val="85000"/>
          </a:schemeClr>
        </a:solidFill>
        <a:round/>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65000"/>
          <a:lumOff val="35000"/>
        </a:schemeClr>
      </a:solidFill>
      <a:ln xmlns:a="http://schemas.openxmlformats.org/drawingml/2006/main" w="9525">
        <a:solidFill>
          <a:schemeClr val="tx1">
            <a:lumMod val="65000"/>
            <a:lumOff val="35000"/>
          </a:schemeClr>
        </a:solidFill>
      </a:ln>
    </cs:spPr>
  </cs:downBar>
  <cs:drop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dropLine>
  <cs:errorBar>
    <cs:lnRef idx="0"/>
    <cs:fillRef idx="0"/>
    <cs:effectRef idx="0"/>
    <cs:fontRef idx="minor">
      <a:schemeClr xmlns:a="http://schemas.openxmlformats.org/drawingml/2006/main" val="tx1"/>
    </cs:fontRef>
    <cs:spPr>
      <a:ln xmlns:a="http://schemas.openxmlformats.org/drawingml/2006/main" w="9525" cap="flat" cmpd="sng" algn="ctr">
        <a:solidFill>
          <a:schemeClr val="tx1">
            <a:lumMod val="65000"/>
            <a:lumOff val="35000"/>
          </a:schemeClr>
        </a:solidFill>
        <a:round/>
      </a:ln>
    </cs:spPr>
  </cs:errorBar>
  <cs:floor>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floor>
  <cs:gridlineMaj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15000"/>
            <a:lumOff val="85000"/>
          </a:schemeClr>
        </a:solidFill>
        <a:round/>
      </a:ln>
    </cs:spPr>
  </cs:gridlineMajor>
  <cs:gridlineMinor>
    <cs:lnRef idx="0"/>
    <cs:fillRef idx="0"/>
    <cs:effectRef idx="0"/>
    <cs:fontRef idx="minor">
      <a:schemeClr xmlns:a="http://schemas.openxmlformats.org/drawingml/2006/main" val="tx1"/>
    </cs:fontRef>
    <cs:spPr>
      <a:ln xmlns:a="http://schemas.openxmlformats.org/drawingml/2006/main" w="9525" cap="flat" cmpd="sng" algn="ctr">
        <a:solidFill>
          <a:schemeClr val="tx1">
            <a:lumMod val="5000"/>
            <a:lumOff val="95000"/>
          </a:schemeClr>
        </a:solidFill>
        <a:round/>
      </a:ln>
    </cs:spPr>
  </cs:gridlineMinor>
  <cs:hiLo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75000"/>
            <a:lumOff val="25000"/>
          </a:schemeClr>
        </a:solidFill>
        <a:round/>
      </a:ln>
    </cs:spPr>
  </cs:hiLoLine>
  <cs:leader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leaderLine>
  <cs:legend>
    <cs:lnRef idx="0"/>
    <cs:fillRef idx="0"/>
    <cs:effectRef idx="0"/>
    <cs:fontRef idx="minor">
      <a:schemeClr xmlns:a="http://schemas.openxmlformats.org/drawingml/2006/main" val="tx1">
        <a:lumMod val="65000"/>
        <a:lumOff val="35000"/>
      </a:schemeClr>
    </cs:fontRef>
    <cs:defRPr sz="900" kern="1200"/>
  </cs:legend>
  <cs:plotArea mods="allowNoFillOverride allowNoLineOverride">
    <cs:lnRef idx="0"/>
    <cs:fillRef idx="0"/>
    <cs:effectRef idx="0"/>
    <cs:fontRef idx="minor">
      <a:schemeClr xmlns:a="http://schemas.openxmlformats.org/drawingml/2006/main" val="tx1"/>
    </cs:fontRef>
  </cs:plotArea>
  <cs:plotArea3D mods="allowNoFillOverride allowNoLineOverride">
    <cs:lnRef idx="0"/>
    <cs:fillRef idx="0"/>
    <cs:effectRef idx="0"/>
    <cs:fontRef idx="minor">
      <a:schemeClr xmlns:a="http://schemas.openxmlformats.org/drawingml/2006/main" val="tx1"/>
    </cs:fontRef>
  </cs:plotArea3D>
  <cs:seriesAxis>
    <cs:lnRef idx="0"/>
    <cs:fillRef idx="0"/>
    <cs:effectRef idx="0"/>
    <cs:fontRef idx="minor">
      <a:schemeClr xmlns:a="http://schemas.openxmlformats.org/drawingml/2006/main" val="tx1">
        <a:lumMod val="65000"/>
        <a:lumOff val="35000"/>
      </a:schemeClr>
    </cs:fontRef>
    <cs:defRPr sz="900" kern="1200"/>
  </cs:seriesAxis>
  <cs:seriesLine>
    <cs:lnRef idx="0"/>
    <cs:fillRef idx="0"/>
    <cs:effectRef idx="0"/>
    <cs:fontRef idx="minor">
      <a:schemeClr xmlns:a="http://schemas.openxmlformats.org/drawingml/2006/main" val="tx1"/>
    </cs:fontRef>
    <cs:spPr>
      <a:ln xmlns:a="http://schemas.openxmlformats.org/drawingml/2006/main" w="9525" cap="flat" cmpd="sng" algn="ctr">
        <a:solidFill>
          <a:schemeClr val="tx1">
            <a:lumMod val="35000"/>
            <a:lumOff val="65000"/>
          </a:schemeClr>
        </a:solidFill>
        <a:round/>
      </a:ln>
    </cs:spPr>
  </cs:seriesLine>
  <cs:title>
    <cs:lnRef idx="0"/>
    <cs:fillRef idx="0"/>
    <cs:effectRef idx="0"/>
    <cs:fontRef idx="minor">
      <a:schemeClr xmlns:a="http://schemas.openxmlformats.org/drawingml/2006/main" val="tx1">
        <a:lumMod val="65000"/>
        <a:lumOff val="35000"/>
      </a:schemeClr>
    </cs:fontRef>
    <cs:defRPr sz="1400" b="0" kern="1200" spc="0" baseline="0"/>
  </cs:title>
  <cs:trendline>
    <cs:lnRef idx="0">
      <cs:styleClr val="auto"/>
    </cs:lnRef>
    <cs:fillRef idx="0"/>
    <cs:effectRef idx="0"/>
    <cs:fontRef idx="minor">
      <a:schemeClr xmlns:a="http://schemas.openxmlformats.org/drawingml/2006/main" val="tx1"/>
    </cs:fontRef>
    <cs:spPr>
      <a:ln xmlns:a="http://schemas.openxmlformats.org/drawingml/2006/main" w="19050" cap="rnd">
        <a:solidFill>
          <a:schemeClr val="phClr"/>
        </a:solidFill>
        <a:prstDash val="sysDot"/>
      </a:ln>
    </cs:spPr>
  </cs:trendline>
  <cs:trendlineLabel>
    <cs:lnRef idx="0"/>
    <cs:fillRef idx="0"/>
    <cs:effectRef idx="0"/>
    <cs:fontRef idx="minor">
      <a:schemeClr xmlns:a="http://schemas.openxmlformats.org/drawingml/2006/main" val="tx1">
        <a:lumMod val="65000"/>
        <a:lumOff val="3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tx1">
            <a:lumMod val="15000"/>
            <a:lumOff val="85000"/>
          </a:schemeClr>
        </a:solidFill>
      </a:ln>
    </cs:spPr>
  </cs:upBar>
  <cs:valueAxis>
    <cs:lnRef idx="0"/>
    <cs:fillRef idx="0"/>
    <cs:effectRef idx="0"/>
    <cs:fontRef idx="minor">
      <a:schemeClr xmlns:a="http://schemas.openxmlformats.org/drawingml/2006/main" val="tx1">
        <a:lumMod val="65000"/>
        <a:lumOff val="35000"/>
      </a:schemeClr>
    </cs:fontRef>
    <cs:defRPr sz="900" kern="1200"/>
  </cs:valueAxis>
  <cs:wall>
    <cs:lnRef idx="0"/>
    <cs:fillRef idx="0"/>
    <cs:effectRef idx="0"/>
    <cs:fontRef idx="minor">
      <a:schemeClr xmlns:a="http://schemas.openxmlformats.org/drawingml/2006/main" val="tx1"/>
    </cs:fontRef>
    <cs:spPr>
      <a:noFill xmlns:a="http://schemas.openxmlformats.org/drawingml/2006/main"/>
      <a:ln xmlns:a="http://schemas.openxmlformats.org/drawingml/2006/main">
        <a:noFill/>
      </a:ln>
    </cs:spPr>
  </cs:wall>
</cs:chartStyle>
</file>

<file path=word/charts/style9.xml><?xml version="1.0" encoding="utf-8"?>
<cs:chartStyle xmlns:cs="http://schemas.microsoft.com/office/drawing/2012/chartStyle" id="253">
  <cs:axisTitle>
    <cs:lnRef idx="0"/>
    <cs:fillRef idx="0"/>
    <cs:effectRef idx="0"/>
    <cs:fontRef idx="minor">
      <a:schemeClr xmlns:a="http://schemas.openxmlformats.org/drawingml/2006/main" val="dk1">
        <a:lumMod val="75000"/>
        <a:lumOff val="25000"/>
      </a:schemeClr>
    </cs:fontRef>
    <cs:defRPr sz="900" b="1" kern="1200"/>
  </cs:axisTitle>
  <cs:categoryAxis>
    <cs:lnRef idx="0"/>
    <cs:fillRef idx="0"/>
    <cs:effectRef idx="0"/>
    <cs:fontRef idx="minor">
      <a:schemeClr xmlns:a="http://schemas.openxmlformats.org/drawingml/2006/main" val="dk1">
        <a:lumMod val="75000"/>
        <a:lumOff val="25000"/>
      </a:schemeClr>
    </cs:fontRef>
    <cs:spPr>
      <a:ln xmlns:a="http://schemas.openxmlformats.org/drawingml/2006/main" w="19050" cap="flat" cmpd="sng" algn="ctr">
        <a:solidFill>
          <a:schemeClr val="dk1">
            <a:lumMod val="75000"/>
            <a:lumOff val="25000"/>
          </a:schemeClr>
        </a:solidFill>
        <a:round/>
      </a:ln>
    </cs:spPr>
    <cs:defRPr sz="900" kern="1200" cap="all" baseline="0"/>
  </cs:categoryAxis>
  <cs:chartArea>
    <cs:lnRef idx="0"/>
    <cs:fillRef idx="0"/>
    <cs:effectRef idx="0"/>
    <cs:fontRef idx="minor">
      <a:schemeClr xmlns:a="http://schemas.openxmlformats.org/drawingml/2006/main" val="dk1"/>
    </cs:fontRef>
    <cs:spPr>
      <a:gradFill xmlns:a="http://schemas.openxmlformats.org/drawingml/2006/main" flip="none" rotWithShape="1">
        <a:gsLst>
          <a:gs pos="0">
            <a:schemeClr val="lt1"/>
          </a:gs>
          <a:gs pos="39000">
            <a:schemeClr val="lt1"/>
          </a:gs>
          <a:gs pos="100000">
            <a:schemeClr val="lt1">
              <a:lumMod val="75000"/>
            </a:schemeClr>
          </a:gs>
        </a:gsLst>
        <a:path path="circle">
          <a:fillToRect l="50000" t="-80000" r="50000" b="180000"/>
        </a:path>
        <a:tileRect/>
      </a:gradFill>
      <a:ln xmlns:a="http://schemas.openxmlformats.org/drawingml/2006/main" w="9525" cap="flat" cmpd="sng" algn="ctr">
        <a:solidFill>
          <a:schemeClr val="dk1">
            <a:lumMod val="25000"/>
            <a:lumOff val="75000"/>
          </a:schemeClr>
        </a:solidFill>
        <a:round/>
      </a:ln>
    </cs:spPr>
    <cs:defRPr sz="900" kern="1200"/>
  </cs:chartArea>
  <cs:dataLabel>
    <cs:lnRef idx="0"/>
    <cs:fillRef idx="0"/>
    <cs:effectRef idx="0"/>
    <cs:fontRef idx="minor">
      <a:schemeClr xmlns:a="http://schemas.openxmlformats.org/drawingml/2006/main" val="lt1"/>
    </cs:fontRef>
    <cs:spPr>
      <a:pattFill xmlns:a="http://schemas.openxmlformats.org/drawingml/2006/main" prst="pct75">
        <a:fgClr>
          <a:schemeClr val="dk1">
            <a:lumMod val="75000"/>
            <a:lumOff val="25000"/>
          </a:schemeClr>
        </a:fgClr>
        <a:bgClr>
          <a:schemeClr val="dk1">
            <a:lumMod val="65000"/>
            <a:lumOff val="35000"/>
          </a:schemeClr>
        </a:bgClr>
      </a:pattFill>
      <a:effectLst xmlns:a="http://schemas.openxmlformats.org/drawingml/2006/main">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xmlns:a="http://schemas.openxmlformats.org/drawingml/2006/main" val="lt1"/>
    </cs:fontRef>
    <cs:spPr>
      <a:pattFill xmlns:a="http://schemas.openxmlformats.org/drawingml/2006/main" prst="pct75">
        <a:fgClr>
          <a:schemeClr val="dk1">
            <a:lumMod val="75000"/>
            <a:lumOff val="25000"/>
          </a:schemeClr>
        </a:fgClr>
        <a:bgClr>
          <a:schemeClr val="dk1">
            <a:lumMod val="65000"/>
            <a:lumOff val="35000"/>
          </a:schemeClr>
        </a:bgClr>
      </a:pattFill>
      <a:effectLst xmlns:a="http://schemas.openxmlformats.org/drawingml/2006/main">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xmlns:a="http://schemas.openxmlformats.org/drawingml/2006/main"/>
    </cs:bodyPr>
  </cs:dataLabelCallout>
  <cs:dataPoint>
    <cs:lnRef idx="0"/>
    <cs:fillRef idx="0">
      <cs:styleClr val="auto"/>
    </cs:fillRef>
    <cs:effectRef idx="0"/>
    <cs:fontRef idx="minor">
      <a:schemeClr xmlns:a="http://schemas.openxmlformats.org/drawingml/2006/main" val="dk1"/>
    </cs:fontRef>
    <cs:spPr>
      <a:solidFill xmlns:a="http://schemas.openxmlformats.org/drawingml/2006/main">
        <a:schemeClr val="phClr"/>
      </a:solidFill>
      <a:effectLst xmlns:a="http://schemas.openxmlformats.org/drawingml/2006/main">
        <a:outerShdw blurRad="254000" sx="102000" sy="102000" algn="ctr" rotWithShape="0">
          <a:prstClr val="black">
            <a:alpha val="20000"/>
          </a:prstClr>
        </a:outerShdw>
      </a:effectLst>
    </cs:spPr>
  </cs:dataPoint>
  <cs:dataPoint3D>
    <cs:lnRef idx="0"/>
    <cs:fillRef idx="0">
      <cs:styleClr val="auto"/>
    </cs:fillRef>
    <cs:effectRef idx="0"/>
    <cs:fontRef idx="minor">
      <a:schemeClr xmlns:a="http://schemas.openxmlformats.org/drawingml/2006/main" val="dk1"/>
    </cs:fontRef>
    <cs:spPr>
      <a:solidFill xmlns:a="http://schemas.openxmlformats.org/drawingml/2006/main">
        <a:schemeClr val="phClr"/>
      </a:solidFill>
      <a:effectLst xmlns:a="http://schemas.openxmlformats.org/drawingml/2006/main">
        <a:outerShdw blurRad="254000" sx="102000" sy="102000" algn="ctr" rotWithShape="0">
          <a:prstClr val="black">
            <a:alpha val="20000"/>
          </a:prstClr>
        </a:outerShdw>
      </a:effectLst>
    </cs:spPr>
  </cs:dataPoint3D>
  <cs:dataPointLine>
    <cs:lnRef idx="0">
      <cs:styleClr val="auto"/>
    </cs:lnRef>
    <cs:fillRef idx="0"/>
    <cs:effectRef idx="0"/>
    <cs:fontRef idx="minor">
      <a:schemeClr xmlns:a="http://schemas.openxmlformats.org/drawingml/2006/main" val="dk1"/>
    </cs:fontRef>
    <cs:spPr>
      <a:ln xmlns:a="http://schemas.openxmlformats.org/drawingml/2006/main" w="31750" cap="rnd">
        <a:solidFill>
          <a:schemeClr val="phClr">
            <a:alpha val="85000"/>
          </a:schemeClr>
        </a:solidFill>
        <a:round/>
      </a:ln>
    </cs:spPr>
  </cs:dataPointLine>
  <cs:dataPointMarker>
    <cs:lnRef idx="0"/>
    <cs:fillRef idx="0">
      <cs:styleClr val="auto"/>
    </cs:fillRef>
    <cs:effectRef idx="0"/>
    <cs:fontRef idx="minor">
      <a:schemeClr xmlns:a="http://schemas.openxmlformats.org/drawingml/2006/main" val="dk1"/>
    </cs:fontRef>
    <cs:spPr>
      <a:solidFill xmlns:a="http://schemas.openxmlformats.org/drawingml/2006/main">
        <a:schemeClr val="phClr">
          <a:alpha val="85000"/>
        </a:schemeClr>
      </a:solidFill>
    </cs:spPr>
  </cs:dataPointMarker>
  <cs:dataPointMarkerLayout symbol="circle" size="6"/>
  <cs:dataPointWireframe>
    <cs:lnRef idx="0">
      <cs:styleClr val="auto"/>
    </cs:lnRef>
    <cs:fillRef idx="0"/>
    <cs:effectRef idx="0"/>
    <cs:fontRef idx="minor">
      <a:schemeClr xmlns:a="http://schemas.openxmlformats.org/drawingml/2006/main" val="dk1"/>
    </cs:fontRef>
    <cs:spPr>
      <a:ln xmlns:a="http://schemas.openxmlformats.org/drawingml/2006/main" w="9525" cap="rnd">
        <a:solidFill>
          <a:schemeClr val="phClr"/>
        </a:solidFill>
        <a:round/>
      </a:ln>
    </cs:spPr>
  </cs:dataPointWireframe>
  <cs:dataTable>
    <cs:lnRef idx="0"/>
    <cs:fillRef idx="0"/>
    <cs:effectRef idx="0"/>
    <cs:fontRef idx="minor">
      <a:schemeClr xmlns:a="http://schemas.openxmlformats.org/drawingml/2006/main" val="dk1">
        <a:lumMod val="75000"/>
        <a:lumOff val="25000"/>
      </a:schemeClr>
    </cs:fontRef>
    <cs:spPr>
      <a:ln xmlns:a="http://schemas.openxmlformats.org/drawingml/2006/main" w="9525">
        <a:solidFill>
          <a:schemeClr val="dk1">
            <a:lumMod val="35000"/>
            <a:lumOff val="65000"/>
          </a:schemeClr>
        </a:solidFill>
      </a:ln>
    </cs:spPr>
    <cs:defRPr sz="900" kern="1200"/>
  </cs:dataTable>
  <cs:downBar>
    <cs:lnRef idx="0"/>
    <cs:fillRef idx="0"/>
    <cs:effectRef idx="0"/>
    <cs:fontRef idx="minor">
      <a:schemeClr xmlns:a="http://schemas.openxmlformats.org/drawingml/2006/main" val="dk1"/>
    </cs:fontRef>
    <cs:spPr>
      <a:solidFill xmlns:a="http://schemas.openxmlformats.org/drawingml/2006/main">
        <a:schemeClr val="dk1">
          <a:lumMod val="50000"/>
          <a:lumOff val="50000"/>
        </a:schemeClr>
      </a:solidFill>
      <a:ln xmlns:a="http://schemas.openxmlformats.org/drawingml/2006/main" w="9525">
        <a:solidFill>
          <a:schemeClr val="dk1">
            <a:lumMod val="65000"/>
            <a:lumOff val="35000"/>
          </a:schemeClr>
        </a:solidFill>
      </a:ln>
    </cs:spPr>
  </cs:downBar>
  <cs:dropLine>
    <cs:lnRef idx="0"/>
    <cs:fillRef idx="0"/>
    <cs:effectRef idx="0"/>
    <cs:fontRef idx="minor">
      <a:schemeClr xmlns:a="http://schemas.openxmlformats.org/drawingml/2006/main" val="dk1"/>
    </cs:fontRef>
    <cs:spPr>
      <a:ln xmlns:a="http://schemas.openxmlformats.org/drawingml/2006/main" w="9525">
        <a:solidFill>
          <a:schemeClr val="dk1">
            <a:lumMod val="35000"/>
            <a:lumOff val="65000"/>
          </a:schemeClr>
        </a:solidFill>
        <a:prstDash val="dash"/>
      </a:ln>
    </cs:spPr>
  </cs:dropLine>
  <cs:errorBar>
    <cs:lnRef idx="0"/>
    <cs:fillRef idx="0"/>
    <cs:effectRef idx="0"/>
    <cs:fontRef idx="minor">
      <a:schemeClr xmlns:a="http://schemas.openxmlformats.org/drawingml/2006/main" val="dk1"/>
    </cs:fontRef>
    <cs:spPr>
      <a:ln xmlns:a="http://schemas.openxmlformats.org/drawingml/2006/main" w="9525">
        <a:solidFill>
          <a:schemeClr val="dk1">
            <a:lumMod val="65000"/>
            <a:lumOff val="35000"/>
          </a:schemeClr>
        </a:solidFill>
        <a:round/>
      </a:ln>
    </cs:spPr>
  </cs:errorBar>
  <cs:floor>
    <cs:lnRef idx="0"/>
    <cs:fillRef idx="0"/>
    <cs:effectRef idx="0"/>
    <cs:fontRef idx="minor">
      <a:schemeClr xmlns:a="http://schemas.openxmlformats.org/drawingml/2006/main" val="dk1"/>
    </cs:fontRef>
  </cs:floor>
  <cs:gridlineMajor>
    <cs:lnRef idx="0"/>
    <cs:fillRef idx="0"/>
    <cs:effectRef idx="0"/>
    <cs:fontRef idx="minor">
      <a:schemeClr xmlns:a="http://schemas.openxmlformats.org/drawingml/2006/main" val="dk1"/>
    </cs:fontRef>
    <cs:spPr>
      <a:ln xmlns:a="http://schemas.openxmlformats.org/drawingml/2006/mai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xmlns:a="http://schemas.openxmlformats.org/drawingml/2006/main" val="dk1"/>
    </cs:fontRef>
    <cs:spPr>
      <a:ln xmlns:a="http://schemas.openxmlformats.org/drawingml/2006/mai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xmlns:a="http://schemas.openxmlformats.org/drawingml/2006/main" val="dk1"/>
    </cs:fontRef>
    <cs:spPr>
      <a:ln xmlns:a="http://schemas.openxmlformats.org/drawingml/2006/main" w="9525">
        <a:solidFill>
          <a:schemeClr val="dk1">
            <a:lumMod val="35000"/>
            <a:lumOff val="65000"/>
          </a:schemeClr>
        </a:solidFill>
        <a:prstDash val="dash"/>
      </a:ln>
    </cs:spPr>
  </cs:hiLoLine>
  <cs:leaderLine>
    <cs:lnRef idx="0"/>
    <cs:fillRef idx="0"/>
    <cs:effectRef idx="0"/>
    <cs:fontRef idx="minor">
      <a:schemeClr xmlns:a="http://schemas.openxmlformats.org/drawingml/2006/main" val="dk1"/>
    </cs:fontRef>
    <cs:spPr>
      <a:ln xmlns:a="http://schemas.openxmlformats.org/drawingml/2006/main" w="9525">
        <a:solidFill>
          <a:schemeClr val="dk1">
            <a:lumMod val="50000"/>
            <a:lumOff val="50000"/>
          </a:schemeClr>
        </a:solidFill>
      </a:ln>
    </cs:spPr>
  </cs:leaderLine>
  <cs:legend>
    <cs:lnRef idx="0"/>
    <cs:fillRef idx="0"/>
    <cs:effectRef idx="0"/>
    <cs:fontRef idx="minor">
      <a:schemeClr xmlns:a="http://schemas.openxmlformats.org/drawingml/2006/main" val="dk1">
        <a:lumMod val="75000"/>
        <a:lumOff val="25000"/>
      </a:schemeClr>
    </cs:fontRef>
    <cs:spPr>
      <a:solidFill xmlns:a="http://schemas.openxmlformats.org/drawingml/2006/main">
        <a:schemeClr val="lt1">
          <a:lumMod val="95000"/>
          <a:alpha val="39000"/>
        </a:schemeClr>
      </a:solidFill>
    </cs:spPr>
    <cs:defRPr sz="900" kern="1200"/>
  </cs:legend>
  <cs:plotArea>
    <cs:lnRef idx="0"/>
    <cs:fillRef idx="0"/>
    <cs:effectRef idx="0"/>
    <cs:fontRef idx="minor">
      <a:schemeClr xmlns:a="http://schemas.openxmlformats.org/drawingml/2006/main" val="dk1"/>
    </cs:fontRef>
  </cs:plotArea>
  <cs:plotArea3D>
    <cs:lnRef idx="0"/>
    <cs:fillRef idx="0"/>
    <cs:effectRef idx="0"/>
    <cs:fontRef idx="minor">
      <a:schemeClr xmlns:a="http://schemas.openxmlformats.org/drawingml/2006/main" val="dk1"/>
    </cs:fontRef>
  </cs:plotArea3D>
  <cs:seriesAxis>
    <cs:lnRef idx="0"/>
    <cs:fillRef idx="0"/>
    <cs:effectRef idx="0"/>
    <cs:fontRef idx="minor">
      <a:schemeClr xmlns:a="http://schemas.openxmlformats.org/drawingml/2006/main" val="dk1">
        <a:lumMod val="75000"/>
        <a:lumOff val="25000"/>
      </a:schemeClr>
    </cs:fontRef>
    <cs:spPr>
      <a:ln xmlns:a="http://schemas.openxmlformats.org/drawingml/2006/main" w="31750" cap="flat" cmpd="sng" algn="ctr">
        <a:solidFill>
          <a:schemeClr val="dk1">
            <a:lumMod val="75000"/>
            <a:lumOff val="25000"/>
          </a:schemeClr>
        </a:solidFill>
        <a:round/>
      </a:ln>
    </cs:spPr>
    <cs:defRPr sz="900" kern="1200"/>
  </cs:seriesAxis>
  <cs:seriesLine>
    <cs:lnRef idx="0"/>
    <cs:fillRef idx="0"/>
    <cs:effectRef idx="0"/>
    <cs:fontRef idx="minor">
      <a:schemeClr xmlns:a="http://schemas.openxmlformats.org/drawingml/2006/main" val="dk1"/>
    </cs:fontRef>
    <cs:spPr>
      <a:ln xmlns:a="http://schemas.openxmlformats.org/drawingml/2006/main" w="9525">
        <a:solidFill>
          <a:schemeClr val="dk1">
            <a:lumMod val="50000"/>
            <a:lumOff val="50000"/>
          </a:schemeClr>
        </a:solidFill>
        <a:round/>
      </a:ln>
    </cs:spPr>
  </cs:seriesLine>
  <cs:title>
    <cs:lnRef idx="0"/>
    <cs:fillRef idx="0"/>
    <cs:effectRef idx="0"/>
    <cs:fontRef idx="minor">
      <a:schemeClr xmlns:a="http://schemas.openxmlformats.org/drawingml/2006/main" val="dk1">
        <a:lumMod val="75000"/>
        <a:lumOff val="25000"/>
      </a:schemeClr>
    </cs:fontRef>
    <cs:defRPr sz="1800" b="1" kern="1200" baseline="0"/>
  </cs:title>
  <cs:trendline>
    <cs:lnRef idx="0">
      <cs:styleClr val="auto"/>
    </cs:lnRef>
    <cs:fillRef idx="0"/>
    <cs:effectRef idx="0"/>
    <cs:fontRef idx="minor">
      <a:schemeClr xmlns:a="http://schemas.openxmlformats.org/drawingml/2006/main" val="dk1"/>
    </cs:fontRef>
    <cs:spPr>
      <a:ln xmlns:a="http://schemas.openxmlformats.org/drawingml/2006/main" w="19050" cap="rnd">
        <a:solidFill>
          <a:schemeClr val="phClr"/>
        </a:solidFill>
      </a:ln>
    </cs:spPr>
  </cs:trendline>
  <cs:trendlineLabel>
    <cs:lnRef idx="0"/>
    <cs:fillRef idx="0"/>
    <cs:effectRef idx="0"/>
    <cs:fontRef idx="minor">
      <a:schemeClr xmlns:a="http://schemas.openxmlformats.org/drawingml/2006/main" val="dk1">
        <a:lumMod val="75000"/>
        <a:lumOff val="25000"/>
      </a:schemeClr>
    </cs:fontRef>
    <cs:defRPr sz="900" kern="1200"/>
  </cs:trendlineLabel>
  <cs:upBar>
    <cs:lnRef idx="0"/>
    <cs:fillRef idx="0"/>
    <cs:effectRef idx="0"/>
    <cs:fontRef idx="minor">
      <a:schemeClr xmlns:a="http://schemas.openxmlformats.org/drawingml/2006/main" val="dk1"/>
    </cs:fontRef>
    <cs:spPr>
      <a:solidFill xmlns:a="http://schemas.openxmlformats.org/drawingml/2006/main">
        <a:schemeClr val="lt1"/>
      </a:solidFill>
      <a:ln xmlns:a="http://schemas.openxmlformats.org/drawingml/2006/main" w="9525">
        <a:solidFill>
          <a:schemeClr val="dk1">
            <a:lumMod val="65000"/>
            <a:lumOff val="35000"/>
          </a:schemeClr>
        </a:solidFill>
      </a:ln>
    </cs:spPr>
  </cs:upBar>
  <cs:valueAxis>
    <cs:lnRef idx="0"/>
    <cs:fillRef idx="0"/>
    <cs:effectRef idx="0"/>
    <cs:fontRef idx="minor">
      <a:schemeClr xmlns:a="http://schemas.openxmlformats.org/drawingml/2006/main" val="dk1">
        <a:lumMod val="75000"/>
        <a:lumOff val="25000"/>
      </a:schemeClr>
    </cs:fontRef>
    <cs:spPr>
      <a:ln xmlns:a="http://schemas.openxmlformats.org/drawingml/2006/main">
        <a:noFill/>
      </a:ln>
    </cs:spPr>
    <cs:defRPr sz="900" kern="1200"/>
  </cs:valueAxis>
  <cs:wall>
    <cs:lnRef idx="0"/>
    <cs:fillRef idx="0"/>
    <cs:effectRef idx="0"/>
    <cs:fontRef idx="minor">
      <a:schemeClr xmlns:a="http://schemas.openxmlformats.org/drawingml/2006/main"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3.xml><?xml version="1.0" encoding="utf-8"?>
<b:Sources xmlns:b="http://schemas.openxmlformats.org/officeDocument/2006/bibliography" SelectedStyle="\APA.XSL" StyleName="APA"/>
</file>

<file path=customXml/itemProps3.xml><?xml version="1.0" encoding="utf-8"?>
<ds:datastoreItem xmlns:ds="http://schemas.openxmlformats.org/officeDocument/2006/customXml" ds:itemID="{7FDD215D-5FEC-4007-89D3-AFD4E75D044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TotalTime>
  <Pages>152</Pages>
  <Words>171487</Words>
  <Characters>97748</Characters>
  <Application>Microsoft Office Word</Application>
  <DocSecurity>0</DocSecurity>
  <Lines>814</Lines>
  <Paragraphs>537</Paragraphs>
  <ScaleCrop>false</ScaleCrop>
  <HeadingPairs>
    <vt:vector xmlns:vt="http://schemas.openxmlformats.org/officeDocument/2006/docPropsVTypes" size="6" baseType="variant">
      <vt:variant>
        <vt:lpstr>Pavadinimas</vt:lpstr>
      </vt:variant>
      <vt:variant>
        <vt:i4>1</vt:i4>
      </vt:variant>
      <vt:variant>
        <vt:lpstr>Title</vt:lpstr>
      </vt:variant>
      <vt:variant>
        <vt:i4>1</vt:i4>
      </vt:variant>
      <vt:variant>
        <vt:lpstr>Headings</vt:lpstr>
      </vt:variant>
      <vt:variant>
        <vt:i4>7</vt:i4>
      </vt:variant>
    </vt:vector>
  </HeadingPairs>
  <TitlesOfParts>
    <vt:vector xmlns:vt="http://schemas.openxmlformats.org/officeDocument/2006/docPropsVTypes" size="9" baseType="lpstr">
      <vt:lpstr>PATVIRTINTA</vt:lpstr>
      <vt:lpstr>PATVIRTINTA</vt:lpstr>
      <vt:lpstr>kauno miesto integruota teritorijos vystymo programa</vt:lpstr>
      <vt:lpstr>    I skyrius</vt:lpstr>
      <vt:lpstr>    Bendrosios nuostatos</vt:lpstr>
      <vt:lpstr>    II skyrius</vt:lpstr>
      <vt:lpstr>    Kauno itv programos įgyvendinimo teritorijOS situacijos analizė</vt:lpstr>
      <vt:lpstr>III skyrius</vt:lpstr>
      <vt:lpstr>    Baigiamosios nuostatos</vt:lpstr>
    </vt:vector>
  </TitlesOfParts>
  <Company/>
  <LinksUpToDate>false</LinksUpToDate>
  <CharactersWithSpaces>268698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2016-09-12T11:24:00Z</dcterms:created>
  <dc:creator>Darius Urbonas</dc:creator>
  <lastModifiedBy>GRUNDAITĖ Aistė</lastModifiedBy>
  <lastPrinted>2015-11-23T09:12:00Z</lastPrinted>
  <dcterms:modified xsi:type="dcterms:W3CDTF">2016-09-12T11:40:00Z</dcterms:modified>
  <revision>8</revision>
  <dc:title>PATVIRTINTA</dc:title>
</coreProperties>
</file>