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2014-07-25, i. k. 2014-10520</w:t>
      </w:r>
    </w:p>
    <w:p>
      <w:pPr>
        <w:jc w:val="both"/>
        <w:rPr>
          <w:rFonts w:ascii="Times New Roman" w:hAnsi="Times New Roman"/>
          <w:sz w:val="20"/>
        </w:rPr>
      </w:pPr>
    </w:p>
    <w:p>
      <w:pPr>
        <w:rPr>
          <w:sz w:val="10"/>
          <w:szCs w:val="10"/>
        </w:rPr>
      </w:pPr>
      <w:r>
        <w:t xml:space="preserve"> </w:t>
      </w:r>
    </w:p>
    <w:p>
      <w:pPr>
        <w:suppressAutoHyphens/>
        <w:jc w:val="center"/>
        <w:rPr>
          <w:b/>
          <w:bCs/>
          <w:szCs w:val="24"/>
          <w:lang w:eastAsia="lt-LT"/>
        </w:rPr>
      </w:pPr>
      <w:r>
        <w:rPr>
          <w:b/>
          <w:bCs/>
          <w:szCs w:val="24"/>
          <w:lang w:eastAsia="lt-LT"/>
        </w:rPr>
        <w:drawing>
          <wp:inline distT="0" distB="0" distL="0" distR="0">
            <wp:extent cx="524510" cy="62166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621665"/>
                    </a:xfrm>
                    <a:prstGeom prst="rect">
                      <a:avLst/>
                    </a:prstGeom>
                    <a:noFill/>
                  </pic:spPr>
                </pic:pic>
              </a:graphicData>
            </a:graphic>
          </wp:inline>
        </w:drawing>
      </w:r>
    </w:p>
    <w:p>
      <w:pPr>
        <w:suppressAutoHyphens/>
        <w:jc w:val="center"/>
        <w:rPr>
          <w:b/>
          <w:bCs/>
          <w:szCs w:val="24"/>
          <w:lang w:eastAsia="lt-LT"/>
        </w:rPr>
      </w:pPr>
      <w:r>
        <w:rPr>
          <w:b/>
          <w:bCs/>
          <w:szCs w:val="24"/>
          <w:lang w:eastAsia="lt-LT"/>
        </w:rPr>
        <w:t>LIETUVOS RESPUBLIKOS APLINKOS MINISTRAS</w:t>
      </w:r>
    </w:p>
    <w:p>
      <w:pPr>
        <w:rPr>
          <w:szCs w:val="24"/>
        </w:rPr>
      </w:pPr>
    </w:p>
    <w:p>
      <w:pPr>
        <w:suppressAutoHyphens/>
        <w:jc w:val="center"/>
        <w:rPr>
          <w:b/>
          <w:bCs/>
          <w:szCs w:val="24"/>
          <w:lang w:eastAsia="lt-LT"/>
        </w:rPr>
      </w:pPr>
      <w:r>
        <w:rPr>
          <w:b/>
          <w:bCs/>
          <w:szCs w:val="24"/>
          <w:lang w:eastAsia="lt-LT"/>
        </w:rPr>
        <w:t>ĮSAKYMAS</w:t>
      </w:r>
    </w:p>
    <w:p>
      <w:pPr>
        <w:suppressAutoHyphens/>
        <w:jc w:val="center"/>
        <w:rPr>
          <w:b/>
          <w:caps/>
          <w:lang w:eastAsia="lt-LT"/>
        </w:rPr>
      </w:pPr>
      <w:r>
        <w:rPr>
          <w:b/>
          <w:szCs w:val="24"/>
          <w:lang w:eastAsia="lt-LT"/>
        </w:rPr>
        <w:t xml:space="preserve">DĖL </w:t>
      </w:r>
      <w:r>
        <w:rPr>
          <w:b/>
          <w:caps/>
          <w:szCs w:val="24"/>
          <w:lang w:eastAsia="lt-LT"/>
        </w:rPr>
        <w:t>BUtų ir kitų patalpų savininkų bendrijų valdymo organų, jungtinės veiklos sutartimi įgaliotų asmenų ir savivaldybės vykdomosios</w:t>
      </w:r>
      <w:r>
        <w:rPr>
          <w:b/>
          <w:caps/>
          <w:lang w:eastAsia="lt-LT"/>
        </w:rPr>
        <w:t xml:space="preserve"> institucijos paskirtų bendrojo naudojimo objektų administratorių veiklos, susijusios su įstatymų ir kitų teisės aktų jiems priskirtų funkcijų vykdymu, priežiūros ir kontrolės pavyzdinIŲ taisyklIŲ PATVIRTINIMO</w:t>
      </w:r>
    </w:p>
    <w:p>
      <w:pPr>
        <w:suppressAutoHyphens/>
        <w:jc w:val="center"/>
        <w:rPr>
          <w:b/>
          <w:caps/>
          <w:lang w:eastAsia="lt-LT"/>
        </w:rPr>
      </w:pPr>
    </w:p>
    <w:p>
      <w:pPr>
        <w:suppressAutoHyphens/>
        <w:jc w:val="center"/>
        <w:rPr>
          <w:lang w:eastAsia="lt-LT"/>
        </w:rPr>
      </w:pPr>
      <w:r>
        <w:rPr>
          <w:lang w:eastAsia="lt-LT"/>
        </w:rPr>
        <w:t>2014 m. liepos 24 d. Nr. D1-612</w:t>
      </w:r>
    </w:p>
    <w:p>
      <w:pPr>
        <w:suppressAutoHyphens/>
        <w:jc w:val="center"/>
        <w:rPr>
          <w:lang w:eastAsia="lt-LT"/>
        </w:rPr>
      </w:pPr>
      <w:r>
        <w:rPr>
          <w:lang w:eastAsia="lt-LT"/>
        </w:rPr>
        <w:t>Vilnius</w:t>
      </w:r>
    </w:p>
    <w:p>
      <w:pPr>
        <w:suppressAutoHyphens/>
        <w:jc w:val="center"/>
        <w:rPr>
          <w:lang w:eastAsia="lt-LT"/>
        </w:rPr>
      </w:pPr>
    </w:p>
    <w:p>
      <w:pPr>
        <w:suppressAutoHyphens/>
        <w:jc w:val="center"/>
        <w:rPr>
          <w:lang w:eastAsia="lt-LT"/>
        </w:rPr>
      </w:pPr>
    </w:p>
    <w:p>
      <w:pPr>
        <w:suppressAutoHyphens/>
        <w:ind w:firstLine="567"/>
        <w:jc w:val="both"/>
        <w:rPr>
          <w:lang w:eastAsia="lt-LT"/>
        </w:rPr>
      </w:pPr>
      <w:r>
        <w:rPr>
          <w:lang w:eastAsia="lt-LT"/>
        </w:rPr>
        <w:t>Vadovaudamasis Lietuvos Respublikos Vyriausybės 2014 m. birželio 25 d. nutarimu Nr. 605 „Dėl įgaliojimų suteikimo įgyvendinant Lietuvos Respublikos vietos savivaldos įstatymo 6 straipsnio 42 punktą“,</w:t>
      </w:r>
    </w:p>
    <w:p>
      <w:pPr>
        <w:suppressAutoHyphens/>
        <w:ind w:firstLine="568"/>
        <w:jc w:val="both"/>
        <w:rPr>
          <w:lang w:eastAsia="lt-LT"/>
        </w:rPr>
      </w:pPr>
      <w:r>
        <w:rPr>
          <w:lang w:eastAsia="lt-LT"/>
        </w:rPr>
        <w:t>1</w:t>
      </w:r>
      <w:r>
        <w:rPr>
          <w:lang w:eastAsia="lt-LT"/>
        </w:rPr>
        <w:t xml:space="preserve">. T v i r t i n u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pavyzdines taisykles (pridedama).</w:t>
      </w:r>
    </w:p>
    <w:p>
      <w:pPr>
        <w:suppressAutoHyphens/>
        <w:ind w:firstLine="639"/>
        <w:jc w:val="both"/>
        <w:rPr>
          <w:lang w:eastAsia="lt-LT"/>
        </w:rPr>
      </w:pPr>
      <w:r>
        <w:rPr>
          <w:lang w:eastAsia="lt-LT"/>
        </w:rPr>
        <w:t>2</w:t>
      </w:r>
      <w:r>
        <w:rPr>
          <w:lang w:eastAsia="lt-LT"/>
        </w:rPr>
        <w:t xml:space="preserve">.  R e k o m e n d u o j u  savivaldybių taryboms iki 2014 m. spalio 1 d. patvirtinti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pagal šio įsakymo 1 punktu patvirtintas pavyzdines taisykles.</w:t>
      </w:r>
    </w:p>
    <w:p>
      <w:pPr>
        <w:suppressAutoHyphens/>
      </w:pPr>
    </w:p>
    <w:p>
      <w:pPr>
        <w:suppressAutoHyphens/>
      </w:pPr>
    </w:p>
    <w:p>
      <w:pPr>
        <w:suppressAutoHyphens/>
      </w:pPr>
    </w:p>
    <w:p>
      <w:pPr>
        <w:suppressAutoHyphens/>
        <w:rPr>
          <w:lang w:eastAsia="lt-LT"/>
        </w:rPr>
      </w:pPr>
      <w:r>
        <w:rPr>
          <w:lang w:eastAsia="lt-LT"/>
        </w:rPr>
        <w:t>Aplinkos ministras</w:t>
        <w:tab/>
        <w:tab/>
        <w:tab/>
        <w:tab/>
        <w:tab/>
        <w:tab/>
        <w:tab/>
        <w:tab/>
        <w:t>Kęstutis Trečiokas</w:t>
      </w:r>
    </w:p>
    <w:p>
      <w:pPr>
        <w:suppressAutoHyphens/>
        <w:ind w:left="5103"/>
      </w:pPr>
      <w:r>
        <w:br w:type="page"/>
      </w:r>
    </w:p>
    <w:p>
      <w:pPr>
        <w:suppressAutoHyphens/>
        <w:ind w:left="5103"/>
        <w:rPr>
          <w:lang w:eastAsia="lt-LT"/>
        </w:rPr>
      </w:pPr>
      <w:r>
        <w:rPr>
          <w:lang w:eastAsia="lt-LT"/>
        </w:rPr>
        <w:t>PATVIRTINTA</w:t>
      </w:r>
    </w:p>
    <w:p>
      <w:pPr>
        <w:suppressAutoHyphens/>
        <w:ind w:left="5103"/>
        <w:rPr>
          <w:lang w:eastAsia="lt-LT"/>
        </w:rPr>
      </w:pPr>
      <w:r>
        <w:rPr>
          <w:lang w:eastAsia="lt-LT"/>
        </w:rPr>
        <w:t xml:space="preserve">Lietuvos Respublikos aplinkos ministro </w:t>
      </w:r>
    </w:p>
    <w:p>
      <w:pPr>
        <w:suppressAutoHyphens/>
        <w:ind w:left="5103"/>
        <w:rPr>
          <w:lang w:eastAsia="lt-LT"/>
        </w:rPr>
      </w:pPr>
      <w:r>
        <w:rPr>
          <w:lang w:eastAsia="lt-LT"/>
        </w:rPr>
        <w:t xml:space="preserve">2014 m. liepos 24 d. įsakymu Nr. D1-612 </w:t>
      </w:r>
    </w:p>
    <w:p/>
    <w:p>
      <w:pPr>
        <w:suppressAutoHyphens/>
        <w:rPr>
          <w:lang w:eastAsia="lt-LT"/>
        </w:rPr>
      </w:pPr>
    </w:p>
    <w:p>
      <w:pPr>
        <w:suppressAutoHyphens/>
        <w:jc w:val="center"/>
        <w:rPr>
          <w:b/>
          <w:caps/>
          <w:lang w:eastAsia="lt-LT"/>
        </w:rPr>
      </w:pPr>
      <w:r>
        <w:rPr>
          <w:b/>
          <w:caps/>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pavyzdinės taisyklės</w:t>
      </w:r>
    </w:p>
    <w:p>
      <w:pPr>
        <w:suppressAutoHyphens/>
        <w:jc w:val="center"/>
        <w:rPr>
          <w:b/>
          <w:lang w:eastAsia="lt-LT"/>
        </w:rPr>
      </w:pPr>
    </w:p>
    <w:p>
      <w:pPr>
        <w:suppressAutoHyphens/>
        <w:jc w:val="center"/>
        <w:rPr>
          <w:b/>
          <w:lang w:eastAsia="lt-LT"/>
        </w:rPr>
      </w:pPr>
    </w:p>
    <w:p>
      <w:pPr>
        <w:suppressAutoHyphens/>
        <w:jc w:val="center"/>
        <w:rPr>
          <w:b/>
          <w:lang w:eastAsia="lt-LT"/>
        </w:rPr>
      </w:pPr>
      <w:r>
        <w:rPr>
          <w:b/>
          <w:lang w:eastAsia="lt-LT"/>
        </w:rPr>
        <w:t>I</w:t>
      </w:r>
      <w:r>
        <w:rPr>
          <w:b/>
          <w:lang w:eastAsia="lt-LT"/>
        </w:rPr>
        <w:t xml:space="preserve">. </w:t>
      </w:r>
      <w:r>
        <w:rPr>
          <w:b/>
          <w:lang w:eastAsia="lt-LT"/>
        </w:rPr>
        <w:t>BENDROSIOS NUOSTATOS</w:t>
      </w:r>
    </w:p>
    <w:p>
      <w:pPr>
        <w:suppressAutoHyphens/>
        <w:rPr>
          <w:b/>
          <w:lang w:eastAsia="lt-LT"/>
        </w:rPr>
      </w:pPr>
    </w:p>
    <w:p>
      <w:pPr>
        <w:tabs>
          <w:tab w:val="left" w:pos="540"/>
        </w:tabs>
        <w:suppressAutoHyphens/>
        <w:ind w:firstLine="540"/>
        <w:jc w:val="both"/>
        <w:rPr>
          <w:lang w:eastAsia="lt-LT"/>
        </w:rPr>
      </w:pPr>
      <w:r>
        <w:rPr>
          <w:lang w:eastAsia="lt-LT"/>
        </w:rPr>
        <w:t>1</w:t>
      </w:r>
      <w:r>
        <w:rPr>
          <w:lang w:eastAsia="lt-LT"/>
        </w:rPr>
        <w:t>.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pavyzdinės taisyklės (toliau – pavyzdinės 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pPr>
        <w:tabs>
          <w:tab w:val="left" w:pos="540"/>
        </w:tabs>
        <w:suppressAutoHyphens/>
        <w:ind w:firstLine="540"/>
        <w:jc w:val="both"/>
        <w:rPr>
          <w:lang w:eastAsia="lt-LT"/>
        </w:rPr>
      </w:pPr>
      <w:r>
        <w:rPr>
          <w:lang w:eastAsia="lt-LT"/>
        </w:rPr>
        <w:t>2</w:t>
      </w:r>
      <w:r>
        <w:rPr>
          <w:lang w:eastAsia="lt-LT"/>
        </w:rPr>
        <w:t>. Pavyzdinėse taisyklėse vartojamos sąvokos suprantamos, kaip jos apibrėžtos Civiliniame kodekse, Lietuvos Respublikos daugiabučių gyvenamųjų namų ir kitos paskirties pastatų savininkų bendrijų įstatyme (toliau - Bendrijų įstatymas), Lietuvos Respublikos statybos įstatyme (toliau – Statybos įstatymas).</w:t>
      </w:r>
    </w:p>
    <w:p>
      <w:pPr>
        <w:tabs>
          <w:tab w:val="left" w:pos="540"/>
        </w:tabs>
        <w:suppressAutoHyphens/>
        <w:jc w:val="both"/>
        <w:rPr>
          <w:lang w:eastAsia="lt-LT"/>
        </w:rPr>
      </w:pPr>
    </w:p>
    <w:p>
      <w:pPr>
        <w:tabs>
          <w:tab w:val="left" w:pos="540"/>
        </w:tabs>
        <w:suppressAutoHyphens/>
        <w:jc w:val="center"/>
        <w:rPr>
          <w:b/>
          <w:lang w:eastAsia="lt-LT"/>
        </w:rPr>
      </w:pPr>
      <w:r>
        <w:rPr>
          <w:b/>
          <w:lang w:eastAsia="lt-LT"/>
        </w:rPr>
        <w:t>II</w:t>
      </w:r>
      <w:r>
        <w:rPr>
          <w:b/>
          <w:lang w:eastAsia="lt-LT"/>
        </w:rPr>
        <w:t xml:space="preserve">. </w:t>
      </w:r>
      <w:r>
        <w:rPr>
          <w:b/>
          <w:lang w:eastAsia="lt-LT"/>
        </w:rPr>
        <w:t>PRIEŽIŪROS IR KONTROLĖS ORGANIZAVIMAS IR VYKDYMAS</w:t>
      </w:r>
    </w:p>
    <w:p>
      <w:pPr>
        <w:tabs>
          <w:tab w:val="left" w:pos="540"/>
        </w:tabs>
        <w:suppressAutoHyphens/>
        <w:rPr>
          <w:b/>
          <w:lang w:eastAsia="lt-LT"/>
        </w:rPr>
      </w:pPr>
    </w:p>
    <w:p>
      <w:pPr>
        <w:suppressAutoHyphens/>
        <w:ind w:firstLine="567"/>
        <w:jc w:val="both"/>
        <w:rPr>
          <w:lang w:eastAsia="lt-LT"/>
        </w:rPr>
      </w:pPr>
      <w:r>
        <w:rPr>
          <w:lang w:eastAsia="lt-LT"/>
        </w:rPr>
        <w:t>3</w:t>
      </w:r>
      <w:r>
        <w:rPr>
          <w:lang w:eastAsia="lt-LT"/>
        </w:rPr>
        <w:t>. Priežiūros ir kontrolės vykdytoju savivaldybės administracijos direktoriaus sprendimu paskiriamas savivaldybės padalinys ar padalinio darbuotojas (darbuotojai) (atsižvelgiama į savivaldybėje veikiančių valdytojų ir jų valdomų daugiabučių namų skaičių) (toliau – priežiūros ir kontrolės vykdytojas).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tabs>
          <w:tab w:val="left" w:pos="540"/>
        </w:tabs>
        <w:suppressAutoHyphens/>
        <w:ind w:firstLine="540"/>
        <w:jc w:val="both"/>
        <w:rPr>
          <w:lang w:eastAsia="lt-LT"/>
        </w:rPr>
      </w:pPr>
      <w:r>
        <w:rPr>
          <w:lang w:eastAsia="lt-LT"/>
        </w:rPr>
        <w:t>4</w:t>
      </w:r>
      <w:r>
        <w:rPr>
          <w:lang w:eastAsia="lt-LT"/>
        </w:rPr>
        <w:t xml:space="preserve">. Priežiūros ir kontrolės vykdytojas sudaro valdytojų sąrašą. Informacija apie valdytojus gaunama iš Juridinių asmenų registro ir Nekilnojamojo turto registro. Šis sąrašas atnaujinamas pasikeitus duomenims. </w:t>
      </w:r>
    </w:p>
    <w:p>
      <w:pPr>
        <w:suppressAutoHyphens/>
        <w:ind w:firstLine="567"/>
        <w:jc w:val="both"/>
        <w:rPr>
          <w:szCs w:val="24"/>
          <w:lang w:eastAsia="lt-LT"/>
        </w:rPr>
      </w:pPr>
      <w:r>
        <w:rPr>
          <w:szCs w:val="24"/>
          <w:lang w:eastAsia="lt-LT"/>
        </w:rPr>
        <w:t>5</w:t>
      </w:r>
      <w:r>
        <w:rPr>
          <w:szCs w:val="24"/>
          <w:lang w:eastAsia="lt-LT"/>
        </w:rPr>
        <w:t xml:space="preserve">. Priežiūros ir kontrolės vykdytojas organizuoja ir vykdo valdytojų veiklos priežiūrą ir kontrolę, kurios turinį sudaro: </w:t>
      </w:r>
    </w:p>
    <w:p>
      <w:pPr>
        <w:suppressAutoHyphens/>
        <w:ind w:firstLine="567"/>
        <w:jc w:val="both"/>
        <w:rPr>
          <w:szCs w:val="24"/>
          <w:lang w:eastAsia="lt-LT"/>
        </w:rPr>
      </w:pPr>
      <w:r>
        <w:rPr>
          <w:szCs w:val="24"/>
          <w:lang w:eastAsia="lt-LT"/>
        </w:rPr>
        <w:t>5.1</w:t>
      </w:r>
      <w:r>
        <w:rPr>
          <w:szCs w:val="24"/>
          <w:lang w:eastAsia="lt-LT"/>
        </w:rPr>
        <w:t xml:space="preserve">. </w:t>
      </w:r>
      <w:r>
        <w:rPr>
          <w:lang w:eastAsia="lt-LT"/>
        </w:rPr>
        <w:t>kompleksinis planinis valdytojų veiklos patikrinimas pagal priežiūros ir kontrolės vykdytojo sudarytą grafiką ir planuojamų tikrinti valdytojų sąrašą (pagal savivaldybės administracijos direktoriaus nustatytus tikrinamų valdytojų sąrašo sudarymo kriterijus, patikrinimų tvarką ir trukmę);</w:t>
      </w:r>
    </w:p>
    <w:p>
      <w:pPr>
        <w:suppressAutoHyphens/>
        <w:ind w:firstLine="567"/>
        <w:jc w:val="both"/>
        <w:rPr>
          <w:lang w:eastAsia="lt-LT"/>
        </w:rPr>
      </w:pPr>
      <w:r>
        <w:rPr>
          <w:szCs w:val="24"/>
          <w:lang w:eastAsia="lt-LT"/>
        </w:rPr>
        <w:t>5.2</w:t>
      </w:r>
      <w:r>
        <w:rPr>
          <w:szCs w:val="24"/>
          <w:lang w:eastAsia="lt-LT"/>
        </w:rPr>
        <w:t xml:space="preserve">. </w:t>
      </w:r>
      <w:r>
        <w:rPr>
          <w:lang w:eastAsia="lt-LT"/>
        </w:rPr>
        <w:t>neplanuotas valdytojų veiklos patikrinimas pagal patalpų savininkų skundų ir pranešimų turinį, priežiūros ir kontrolės vykdytojo ar savivaldybės administracijos direktoriaus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tabs>
          <w:tab w:val="left" w:pos="540"/>
        </w:tabs>
        <w:suppressAutoHyphens/>
        <w:ind w:firstLine="540"/>
        <w:jc w:val="both"/>
        <w:rPr>
          <w:lang w:eastAsia="lt-LT"/>
        </w:rPr>
      </w:pPr>
      <w:r>
        <w:rPr>
          <w:lang w:eastAsia="lt-LT"/>
        </w:rPr>
        <w:t>6</w:t>
      </w:r>
      <w:r>
        <w:rPr>
          <w:lang w:eastAsia="lt-LT"/>
        </w:rPr>
        <w:t>. Vykdant kompleksinį patikrinimą, tikrinama:</w:t>
      </w:r>
    </w:p>
    <w:p>
      <w:pPr>
        <w:suppressAutoHyphens/>
        <w:ind w:firstLine="567"/>
        <w:jc w:val="both"/>
        <w:rPr>
          <w:lang w:eastAsia="lt-LT"/>
        </w:rPr>
      </w:pPr>
      <w:r>
        <w:rPr>
          <w:szCs w:val="24"/>
          <w:lang w:eastAsia="lt-LT"/>
        </w:rPr>
        <w:t>6.1</w:t>
      </w:r>
      <w:r>
        <w:rPr>
          <w:szCs w:val="24"/>
          <w:lang w:eastAsia="lt-LT"/>
        </w:rPr>
        <w:t xml:space="preserve">. </w:t>
      </w:r>
      <w:r>
        <w:rPr>
          <w:lang w:eastAsia="lt-LT"/>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tabs>
          <w:tab w:val="left" w:pos="540"/>
        </w:tabs>
        <w:suppressAutoHyphens/>
        <w:ind w:firstLine="540"/>
        <w:jc w:val="both"/>
        <w:rPr>
          <w:lang w:eastAsia="lt-LT"/>
        </w:rPr>
      </w:pPr>
      <w:r>
        <w:rPr>
          <w:lang w:eastAsia="lt-LT"/>
        </w:rPr>
        <w:t>6.2</w:t>
      </w:r>
      <w:r>
        <w:rPr>
          <w:lang w:eastAsia="lt-LT"/>
        </w:rPr>
        <w:t>. patalpų savininkų, bendrijos narių apskaitos tvarkymas – ar yra patalpų savininkų, bendrijos narių sąrašai; jų atitiktis nustatytiems reikalavimams;</w:t>
      </w:r>
    </w:p>
    <w:p>
      <w:pPr>
        <w:tabs>
          <w:tab w:val="left" w:pos="540"/>
        </w:tabs>
        <w:suppressAutoHyphens/>
        <w:ind w:firstLine="540"/>
        <w:jc w:val="both"/>
        <w:rPr>
          <w:lang w:eastAsia="lt-LT"/>
        </w:rPr>
      </w:pPr>
      <w:r>
        <w:rPr>
          <w:lang w:eastAsia="lt-LT"/>
        </w:rPr>
        <w:t>6.3</w:t>
      </w:r>
      <w:r>
        <w:rPr>
          <w:lang w:eastAsia="lt-LT"/>
        </w:rPr>
        <w:t>. daugiabučio namo bendrojo naudojimo objektų aprašo (toliau – aprašas) sudarymas ir tvarkymas, jo atitiktis teisės aktų reikalavimams – ar aprašas sudarytas, ar jo forma, turinys atitinka teisės aktų reikalavimus;</w:t>
      </w:r>
    </w:p>
    <w:p>
      <w:pPr>
        <w:tabs>
          <w:tab w:val="left" w:pos="540"/>
        </w:tabs>
        <w:suppressAutoHyphens/>
        <w:ind w:firstLine="540"/>
        <w:jc w:val="both"/>
        <w:rPr>
          <w:lang w:eastAsia="lt-LT"/>
        </w:rPr>
      </w:pPr>
      <w:r>
        <w:rPr>
          <w:lang w:eastAsia="lt-LT"/>
        </w:rPr>
        <w:t>6.4</w:t>
      </w:r>
      <w:r>
        <w:rPr>
          <w:lang w:eastAsia="lt-LT"/>
        </w:rPr>
        <w:t>.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pPr>
        <w:suppressAutoHyphens/>
        <w:ind w:firstLine="567"/>
        <w:jc w:val="both"/>
      </w:pPr>
      <w:r>
        <w:rPr>
          <w:szCs w:val="24"/>
          <w:lang w:eastAsia="lt-LT"/>
        </w:rPr>
        <w:t>6.5</w:t>
      </w:r>
      <w:r>
        <w:rPr>
          <w:szCs w:val="24"/>
          <w:lang w:eastAsia="lt-LT"/>
        </w:rPr>
        <w:t>. namo bendrojo naudojimo objektų priežiūros paslaugų ir atnaujinimo darbų pirkimų organizavimas – ar pirkimai organizuojami ir vykdomi teisės aktų nustatyta tvarka;</w:t>
      </w:r>
      <w:r>
        <w:rPr>
          <w:strike/>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tabs>
          <w:tab w:val="left" w:pos="540"/>
        </w:tabs>
        <w:suppressAutoHyphens/>
        <w:ind w:firstLine="540"/>
        <w:jc w:val="both"/>
        <w:rPr>
          <w:lang w:eastAsia="lt-LT"/>
        </w:rPr>
      </w:pPr>
      <w:r>
        <w:rPr>
          <w:lang w:eastAsia="lt-LT"/>
        </w:rPr>
        <w:t>6.6</w:t>
      </w:r>
      <w:r>
        <w:rPr>
          <w:lang w:eastAsia="lt-LT"/>
        </w:rPr>
        <w:t>.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 pateikimo patalpų savininkams;</w:t>
      </w:r>
    </w:p>
    <w:p>
      <w:pPr>
        <w:tabs>
          <w:tab w:val="left" w:pos="540"/>
        </w:tabs>
        <w:suppressAutoHyphens/>
        <w:ind w:firstLine="540"/>
        <w:jc w:val="both"/>
        <w:rPr>
          <w:lang w:eastAsia="lt-LT"/>
        </w:rPr>
      </w:pPr>
      <w:r>
        <w:rPr>
          <w:lang w:eastAsia="lt-LT"/>
        </w:rPr>
        <w:t>6.7</w:t>
      </w:r>
      <w:r>
        <w:rPr>
          <w:lang w:eastAsia="lt-LT"/>
        </w:rPr>
        <w:t>. 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pPr>
        <w:tabs>
          <w:tab w:val="left" w:pos="540"/>
        </w:tabs>
        <w:suppressAutoHyphens/>
        <w:ind w:firstLine="540"/>
        <w:jc w:val="both"/>
        <w:rPr>
          <w:lang w:eastAsia="lt-LT"/>
        </w:rPr>
      </w:pPr>
      <w:r>
        <w:rPr>
          <w:lang w:eastAsia="lt-LT"/>
        </w:rPr>
        <w:t>6.8</w:t>
      </w:r>
      <w:r>
        <w:rPr>
          <w:lang w:eastAsia="lt-LT"/>
        </w:rPr>
        <w:t>. patalpų savininkų susirinkimų ir balsavimo raštu organizavimas – ar šaukiami teisės aktų nustatytais atvejais ar patalpų savininkų prašymu patalpų savininkų susirinkimai ar organizuojamas balsavimas raštu, ar susirinkimai šaukiami tam tinkamose patalpose, ar yra skundų dėl patalpų savininkų sprendimų priėmimo organizavimo;</w:t>
      </w:r>
    </w:p>
    <w:p>
      <w:pPr>
        <w:suppressAutoHyphens/>
        <w:ind w:firstLine="567"/>
        <w:jc w:val="both"/>
        <w:rPr>
          <w:lang w:eastAsia="lt-LT"/>
        </w:rPr>
      </w:pPr>
      <w:r>
        <w:rPr>
          <w:szCs w:val="24"/>
          <w:lang w:eastAsia="lt-LT"/>
        </w:rPr>
        <w:t>6.9</w:t>
      </w:r>
      <w:r>
        <w:rPr>
          <w:szCs w:val="24"/>
          <w:lang w:eastAsia="lt-LT"/>
        </w:rPr>
        <w:t xml:space="preserve">. 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 pateikiami kiti nustatyti duomenys apie valdytoją.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suppressAutoHyphens/>
        <w:ind w:firstLine="567"/>
        <w:jc w:val="both"/>
        <w:rPr>
          <w:lang w:eastAsia="lt-LT"/>
        </w:rPr>
      </w:pPr>
      <w:r>
        <w:rPr>
          <w:szCs w:val="24"/>
          <w:lang w:eastAsia="lt-LT"/>
        </w:rPr>
        <w:t>7</w:t>
      </w:r>
      <w:r>
        <w:rPr>
          <w:szCs w:val="24"/>
          <w:lang w:eastAsia="lt-LT"/>
        </w:rPr>
        <w:t>. Atlikus pavyzdinių taisyklių 5.1 ar 5.2 papunkčiuose nurodytus patikrinimus, vadovaujantis pavyzdinių taisyklių priede pateikta Daugiabučio namo bendrojo naudojimo objektų valdytojo veiklos patikrinimo akto pavyzdine forma, surašomas valdytojo veiklos patikrinimo aktas (toliau – aktas). Jei reikia, jame nurodomi reikalavimai ir terminas, ne trumpesnis kaip 10 darbo dienų, trūkumams pašalinti. Aktas surašomas 2 egzemplioriais. Vienas pateikiamas valdytojui, antras saugomas priežiūros ir kontrolės vykdytojo teisės aktų nustatyta tvarka. Jeigu patikrinimas atliktas pagal pareiškėjo skundą, akto kopija pateikiama pareiškėjui.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suppressAutoHyphens/>
        <w:ind w:firstLine="567"/>
        <w:jc w:val="both"/>
        <w:rPr>
          <w:lang w:eastAsia="lt-LT"/>
        </w:rPr>
      </w:pPr>
      <w:r>
        <w:rPr>
          <w:lang w:eastAsia="lt-LT"/>
        </w:rPr>
        <w:t>8</w:t>
      </w:r>
      <w:r>
        <w:rPr>
          <w:lang w:eastAsia="lt-LT"/>
        </w:rPr>
        <w:t xml:space="preserve">. Priežiūros ir kontrolės vykdytojas turi teisę Administracinių nusižengimų kodekso nustatytais atvejais ir tvarka pradėti  administracinio nusižengimo teiseną.</w:t>
      </w:r>
      <w:r>
        <w:rPr>
          <w:b/>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b8ec109b2d11e49232ac16c751ea7e">
        <w:r w:rsidRPr="00532B9F">
          <w:rPr>
            <w:rFonts w:ascii="Times New Roman" w:eastAsia="MS Mincho" w:hAnsi="Times New Roman"/>
            <w:sz w:val="20"/>
            <w:i/>
            <w:iCs/>
            <w:color w:val="0000FF" w:themeColor="hyperlink"/>
            <w:u w:val="single"/>
          </w:rPr>
          <w:t>D1-23</w:t>
        </w:r>
      </w:fldSimple>
      <w:r>
        <w:rPr>
          <w:rFonts w:ascii="Times New Roman" w:eastAsia="MS Mincho" w:hAnsi="Times New Roman"/>
          <w:sz w:val="20"/>
          <w:i/>
          <w:iCs/>
        </w:rPr>
        <w:t>,
2015-01-13,
paskelbta TAR 2015-01-13, i. k. 2015-00583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suppressAutoHyphens/>
        <w:ind w:firstLine="567"/>
        <w:jc w:val="both"/>
        <w:rPr>
          <w:b/>
          <w:lang w:eastAsia="lt-LT"/>
        </w:rPr>
      </w:pPr>
      <w:r>
        <w:rPr>
          <w:lang w:eastAsia="lt-LT"/>
        </w:rPr>
        <w:t>9</w:t>
      </w:r>
      <w:r>
        <w:rPr>
          <w:lang w:eastAsia="lt-LT"/>
        </w:rPr>
        <w:t>. Jei valdytojas, vykdydamas savo funkcijas, padaro mažareikšmį teisės aktų reikalavimų pažeidimą, kurį (pvz. valdytojo veiksmai netiksliai užpildant jo veiklos dokumentus) įmanoma ištaisyti nedelsiant priežiūros ir kontrolės vykdytojo akivaizdoje, priežiūros ir kontrolės vykdytojas duoda jam žodinę pastabą ištaisyti nustatytus trūkumus. Jeigu nustatyto pažeidimo (pareigų vykdymas su trūkumais, kurie sukėlė/sukels butų ir kitų patalpų savininkams žalą, kuri ypač maža ir nematerialinio pobūdžio) pašalinti priežiūros ir kontrolės vykdytojo akivaizdoje nedelsiant neįmanoma, priežiūros ir kontrolės vykdytojas nurodo terminą, ne trumpesnį, nei 5 darbo dienos nustatytiems pažeidimams pašalinti (su galimybe valdytojo motyvuotu prašymu šį terminą kartą pratęsti). Visais atvejais šio pažeidimo faktas ir duota žodinė pastaba ar rašytinis nurodymas pažymimi akte. Jei valdytojas per nurodytą terminą neištaiso padaryto mažareikšmio pažeidimo, priežiūros ir kontrolės vykdytojas atlieka veiksmus, nurodytus pavyzdinių taisyklių 8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tabs>
          <w:tab w:val="left" w:pos="540"/>
        </w:tabs>
        <w:suppressAutoHyphens/>
        <w:jc w:val="center"/>
        <w:rPr>
          <w:b/>
          <w:lang w:eastAsia="lt-LT"/>
        </w:rPr>
      </w:pPr>
      <w:r>
        <w:rPr>
          <w:b/>
          <w:lang w:eastAsia="lt-LT"/>
        </w:rPr>
        <w:t>III</w:t>
      </w:r>
      <w:r>
        <w:rPr>
          <w:b/>
          <w:lang w:eastAsia="lt-LT"/>
        </w:rPr>
        <w:t xml:space="preserve">. </w:t>
      </w:r>
      <w:r>
        <w:rPr>
          <w:b/>
          <w:lang w:eastAsia="lt-LT"/>
        </w:rPr>
        <w:t>PRIEŽIŪROS IR KONTROLĖS APSKAITA IR ATSKAITOMYBĖ</w:t>
      </w:r>
    </w:p>
    <w:p>
      <w:pPr>
        <w:tabs>
          <w:tab w:val="left" w:pos="540"/>
        </w:tabs>
        <w:suppressAutoHyphens/>
        <w:jc w:val="center"/>
        <w:rPr>
          <w:b/>
          <w:lang w:eastAsia="lt-LT"/>
        </w:rPr>
      </w:pPr>
    </w:p>
    <w:p>
      <w:pPr>
        <w:tabs>
          <w:tab w:val="left" w:pos="540"/>
        </w:tabs>
        <w:suppressAutoHyphens/>
        <w:ind w:firstLine="540"/>
        <w:jc w:val="both"/>
        <w:rPr>
          <w:b/>
          <w:lang w:eastAsia="lt-LT"/>
        </w:rPr>
      </w:pPr>
      <w:r>
        <w:rPr>
          <w:lang w:eastAsia="lt-LT"/>
        </w:rPr>
        <w:t>10</w:t>
      </w:r>
      <w:r>
        <w:rPr>
          <w:lang w:eastAsia="lt-LT"/>
        </w:rPr>
        <w:t xml:space="preserve">. Priežiūros ir kontrolės vykdytojai registruoja aktus ir kartu su pridėtais dokumentais (pranešimai apie reikalavimų įvykdymą) saugo tam skirtuose segtuvuose ar kompiuterinėje laikmenoje. </w:t>
      </w:r>
    </w:p>
    <w:p>
      <w:pPr>
        <w:tabs>
          <w:tab w:val="left" w:pos="540"/>
        </w:tabs>
        <w:suppressAutoHyphens/>
        <w:ind w:firstLine="540"/>
        <w:jc w:val="both"/>
      </w:pPr>
      <w:r>
        <w:rPr>
          <w:lang w:eastAsia="lt-LT"/>
        </w:rPr>
        <w:t>11</w:t>
      </w:r>
      <w:r>
        <w:rPr>
          <w:lang w:eastAsia="lt-LT"/>
        </w:rPr>
        <w:t xml:space="preserve">. Pasibaigus kalendoriniams metams, priežiūros ir kontrolės vykdytojas per 15 darbo dienų nuo metų pabaigos parengia ir teikia savivaldybės administracijos direktoriui metinę veiklos ataskaitą. </w:t>
      </w:r>
      <w:r>
        <w:rPr>
          <w:b/>
          <w:sz w:val="20"/>
          <w:lang w:eastAsia="lt-LT"/>
        </w:rPr>
        <w:t xml:space="preserve"> </w:t>
      </w:r>
    </w:p>
    <w:p>
      <w:pPr>
        <w:suppressAutoHyphens/>
        <w:ind w:firstLine="567"/>
        <w:jc w:val="both"/>
        <w:rPr>
          <w:b/>
          <w:sz w:val="20"/>
          <w:lang w:eastAsia="lt-LT"/>
        </w:rPr>
      </w:pPr>
      <w:r>
        <w:rPr>
          <w:lang w:eastAsia="lt-LT"/>
        </w:rPr>
        <w:t>12</w:t>
      </w:r>
      <w:r>
        <w:rPr>
          <w:lang w:eastAsia="lt-LT"/>
        </w:rPr>
        <w:t xml:space="preserve">. Rekomenduojama savivaldybės administracijai pasibaigus kalendoriniams metams per 3 mėnesius teikti Aplinkos ministerijai informaciją apie valdytojų veiklos pažeidimus ir problemas, kylančias įgyvendinant valdytojų veiklą, priežiūrą ir kontrolę reglamentuojančius teisės aktus.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rPr>
          <w:b/>
          <w:sz w:val="20"/>
          <w:lang w:eastAsia="lt-LT"/>
        </w:rPr>
      </w:pPr>
      <w:r>
        <w:rPr>
          <w:b/>
          <w:sz w:val="20"/>
          <w:lang w:eastAsia="lt-LT"/>
        </w:rPr>
        <w:br w:type="page"/>
      </w:r>
    </w:p>
    <w:p>
      <w:pPr>
        <w:suppressAutoHyphens/>
        <w:jc w:val="center"/>
        <w:rPr>
          <w:b/>
          <w:sz w:val="20"/>
          <w:lang w:eastAsia="lt-LT"/>
        </w:rPr>
      </w:pPr>
    </w:p>
    <w:p>
      <w:pPr>
        <w:ind w:firstLine="4536"/>
        <w:jc w:val="both"/>
        <w:rPr>
          <w:sz w:val="20"/>
        </w:rPr>
      </w:pPr>
      <w:r>
        <w:rPr>
          <w:sz w:val="20"/>
        </w:rPr>
        <w:t xml:space="preserve">Butų ir kitų patalpų savininkų bendrijų valdymo organų, </w:t>
      </w:r>
    </w:p>
    <w:p>
      <w:pPr>
        <w:ind w:firstLine="4536"/>
        <w:jc w:val="both"/>
        <w:rPr>
          <w:sz w:val="20"/>
        </w:rPr>
      </w:pPr>
      <w:r>
        <w:rPr>
          <w:sz w:val="20"/>
        </w:rPr>
        <w:t xml:space="preserve">jungtinės veiklos sutartimi įgaliotų asmenų ir savivaldybės </w:t>
      </w:r>
    </w:p>
    <w:p>
      <w:pPr>
        <w:ind w:firstLine="4536"/>
        <w:jc w:val="both"/>
        <w:rPr>
          <w:sz w:val="20"/>
        </w:rPr>
      </w:pPr>
      <w:r>
        <w:rPr>
          <w:sz w:val="20"/>
        </w:rPr>
        <w:t xml:space="preserve">vykdomosios institucijos paskirtų bendrojo naudojimo </w:t>
      </w:r>
    </w:p>
    <w:p>
      <w:pPr>
        <w:ind w:firstLine="4536"/>
        <w:jc w:val="both"/>
        <w:rPr>
          <w:sz w:val="20"/>
        </w:rPr>
      </w:pPr>
      <w:r>
        <w:rPr>
          <w:sz w:val="20"/>
        </w:rPr>
        <w:t xml:space="preserve">objektų administratorių veiklos, susijusios su įstatymų ir kitų </w:t>
      </w:r>
    </w:p>
    <w:p>
      <w:pPr>
        <w:ind w:firstLine="4536"/>
        <w:jc w:val="both"/>
        <w:rPr>
          <w:sz w:val="20"/>
        </w:rPr>
      </w:pPr>
      <w:r>
        <w:rPr>
          <w:sz w:val="20"/>
        </w:rPr>
        <w:t>teisės aktų jiems priskirtų funkcijų vykdymu, priežiūros ir</w:t>
      </w:r>
    </w:p>
    <w:p>
      <w:pPr>
        <w:ind w:firstLine="4536"/>
        <w:jc w:val="both"/>
        <w:rPr>
          <w:sz w:val="20"/>
        </w:rPr>
      </w:pPr>
      <w:r>
        <w:rPr>
          <w:sz w:val="20"/>
        </w:rPr>
        <w:t xml:space="preserve">kontrolės pavyzdinių taisyklių </w:t>
      </w:r>
    </w:p>
    <w:p>
      <w:pPr>
        <w:ind w:firstLine="4536"/>
        <w:jc w:val="both"/>
        <w:rPr>
          <w:sz w:val="20"/>
        </w:rPr>
      </w:pPr>
      <w:r>
        <w:rPr>
          <w:sz w:val="20"/>
        </w:rPr>
        <w:t>priedas</w:t>
      </w:r>
    </w:p>
    <w:p>
      <w:pPr>
        <w:tabs>
          <w:tab w:val="left" w:pos="4845"/>
        </w:tabs>
        <w:ind w:firstLine="4536"/>
        <w:rPr>
          <w:sz w:val="20"/>
        </w:rPr>
      </w:pPr>
    </w:p>
    <w:p>
      <w:pPr>
        <w:jc w:val="right"/>
      </w:pPr>
    </w:p>
    <w:p>
      <w:pPr>
        <w:jc w:val="center"/>
        <w:rPr>
          <w:szCs w:val="24"/>
        </w:rPr>
      </w:pPr>
      <w:r>
        <w:rPr>
          <w:szCs w:val="24"/>
        </w:rPr>
        <w:t>____________________________________________________________________</w:t>
      </w:r>
    </w:p>
    <w:p>
      <w:pPr>
        <w:jc w:val="center"/>
      </w:pPr>
      <w:r>
        <w:t>(viešojo administravimo subjekto pavadinimas)</w:t>
      </w:r>
    </w:p>
    <w:p>
      <w:pPr>
        <w:jc w:val="center"/>
      </w:pPr>
    </w:p>
    <w:p>
      <w:pPr>
        <w:jc w:val="center"/>
      </w:pPr>
    </w:p>
    <w:p>
      <w:pPr>
        <w:jc w:val="center"/>
      </w:pPr>
    </w:p>
    <w:p>
      <w:pPr>
        <w:jc w:val="center"/>
        <w:rPr>
          <w:b/>
        </w:rPr>
      </w:pPr>
      <w:r>
        <w:rPr>
          <w:b/>
        </w:rPr>
        <w:t>Daugiabučio namo bendrojo naudojimo objektų valdytojo veiklos patikrinimo</w:t>
      </w:r>
    </w:p>
    <w:p>
      <w:pPr>
        <w:jc w:val="center"/>
        <w:rPr>
          <w:b/>
        </w:rPr>
      </w:pPr>
    </w:p>
    <w:p>
      <w:pPr>
        <w:jc w:val="center"/>
        <w:rPr>
          <w:b/>
        </w:rPr>
      </w:pPr>
      <w:r>
        <w:rPr>
          <w:b/>
        </w:rPr>
        <w:t xml:space="preserve">A K T A S   Nr._________</w:t>
      </w:r>
    </w:p>
    <w:p>
      <w:pPr>
        <w:jc w:val="center"/>
      </w:pPr>
      <w:r>
        <w:t>20__m. ____________________d.</w:t>
      </w:r>
    </w:p>
    <w:p>
      <w:pPr>
        <w:jc w:val="center"/>
      </w:pPr>
      <w:r>
        <w:t>Vieta</w:t>
      </w:r>
    </w:p>
    <w:p>
      <w:pPr>
        <w:jc w:val="center"/>
      </w:pPr>
    </w:p>
    <w:p>
      <w:pPr>
        <w:jc w:val="center"/>
      </w:pPr>
    </w:p>
    <w:p>
      <w:pPr>
        <w:tabs>
          <w:tab w:val="left" w:pos="720"/>
        </w:tabs>
        <w:ind w:firstLine="567"/>
        <w:jc w:val="both"/>
      </w:pPr>
      <w:r>
        <w:t xml:space="preserve">Aš, daugiabučių namų bendrojo naudojimo objektų valdytojų veiklos priežiūros ir kontrolės </w:t>
      </w:r>
    </w:p>
    <w:p>
      <w:pPr>
        <w:tabs>
          <w:tab w:val="left" w:pos="720"/>
        </w:tabs>
        <w:jc w:val="both"/>
      </w:pPr>
      <w:r>
        <w:t>vykdytojas______________________________________________________________________</w:t>
      </w:r>
    </w:p>
    <w:p>
      <w:pPr>
        <w:tabs>
          <w:tab w:val="left" w:pos="720"/>
        </w:tabs>
        <w:jc w:val="both"/>
        <w:rPr>
          <w:sz w:val="22"/>
          <w:szCs w:val="22"/>
        </w:rPr>
      </w:pPr>
      <w:r>
        <w:rPr>
          <w:sz w:val="22"/>
          <w:szCs w:val="22"/>
        </w:rPr>
        <w:t xml:space="preserve">                                      (pareigos, vardas, pavardė)</w:t>
      </w:r>
    </w:p>
    <w:p>
      <w:pPr>
        <w:tabs>
          <w:tab w:val="left" w:pos="720"/>
        </w:tabs>
        <w:jc w:val="both"/>
        <w:rPr>
          <w:szCs w:val="24"/>
        </w:rPr>
      </w:pPr>
    </w:p>
    <w:p>
      <w:pPr>
        <w:tabs>
          <w:tab w:val="left" w:pos="720"/>
        </w:tabs>
        <w:jc w:val="both"/>
      </w:pPr>
      <w:r>
        <w:t>patikrinau ______________________________________________________________________</w:t>
      </w:r>
    </w:p>
    <w:p>
      <w:pPr>
        <w:tabs>
          <w:tab w:val="left" w:pos="720"/>
        </w:tabs>
        <w:jc w:val="both"/>
        <w:rPr>
          <w:sz w:val="22"/>
          <w:szCs w:val="22"/>
        </w:rPr>
      </w:pPr>
      <w:r>
        <w:rPr>
          <w:sz w:val="22"/>
          <w:szCs w:val="22"/>
        </w:rPr>
        <w:t xml:space="preserve">                        (bendrojo naudojimo objektų valdytojo pavadinimas, buveinės adresas)</w:t>
      </w:r>
    </w:p>
    <w:p>
      <w:pPr>
        <w:tabs>
          <w:tab w:val="left" w:pos="720"/>
        </w:tabs>
        <w:jc w:val="both"/>
        <w:rPr>
          <w:szCs w:val="24"/>
        </w:rPr>
      </w:pPr>
    </w:p>
    <w:p>
      <w:pPr>
        <w:tabs>
          <w:tab w:val="left" w:pos="720"/>
        </w:tabs>
        <w:jc w:val="both"/>
      </w:pPr>
      <w:r>
        <w:t>dalyvaujant _____________________________________________________________________</w:t>
      </w:r>
    </w:p>
    <w:p>
      <w:pPr>
        <w:tabs>
          <w:tab w:val="left" w:pos="720"/>
        </w:tabs>
        <w:jc w:val="both"/>
        <w:rPr>
          <w:sz w:val="22"/>
          <w:szCs w:val="22"/>
        </w:rPr>
      </w:pPr>
      <w:r>
        <w:rPr>
          <w:sz w:val="22"/>
          <w:szCs w:val="22"/>
        </w:rPr>
        <w:t xml:space="preserve">                       (bendrojo naudojimo objektų valdytojo atstovo pareigos, vardas, pavardė, tel., el. p. adresas)</w:t>
      </w:r>
    </w:p>
    <w:p>
      <w:pPr>
        <w:tabs>
          <w:tab w:val="left" w:pos="720"/>
        </w:tabs>
        <w:jc w:val="both"/>
        <w:rPr>
          <w:sz w:val="22"/>
          <w:szCs w:val="22"/>
        </w:rPr>
      </w:pPr>
    </w:p>
    <w:p>
      <w:pPr>
        <w:tabs>
          <w:tab w:val="left" w:pos="720"/>
        </w:tabs>
        <w:jc w:val="both"/>
        <w:rPr>
          <w:szCs w:val="24"/>
        </w:rPr>
      </w:pPr>
      <w:r>
        <w:t xml:space="preserve">veiklą, susijusią su įstatymų ir kitų teisės aktų jam priskirtų funkcijų vykdymu, ir  n u s t a č i a u:</w:t>
      </w:r>
    </w:p>
    <w:p>
      <w:pPr>
        <w:tabs>
          <w:tab w:val="left" w:pos="720"/>
        </w:tabs>
        <w:jc w:val="both"/>
        <w:rPr>
          <w:b/>
          <w:sz w:val="22"/>
          <w:szCs w:val="22"/>
        </w:rPr>
      </w:pPr>
    </w:p>
    <w:p>
      <w:pPr>
        <w:tabs>
          <w:tab w:val="left" w:pos="720"/>
        </w:tabs>
        <w:ind w:firstLine="709"/>
        <w:jc w:val="both"/>
        <w:rPr>
          <w:sz w:val="22"/>
          <w:szCs w:val="22"/>
        </w:rPr>
      </w:pPr>
      <w:r>
        <w:rPr>
          <w:b/>
        </w:rPr>
        <w:t>1. Bendrojo naudojimo objektų valdytojas atsakingas už_________________________</w:t>
      </w:r>
      <w:r>
        <w:rPr>
          <w:sz w:val="22"/>
          <w:szCs w:val="22"/>
        </w:rPr>
        <w:t xml:space="preserve"> </w:t>
      </w:r>
    </w:p>
    <w:p>
      <w:pPr>
        <w:tabs>
          <w:tab w:val="left" w:pos="720"/>
        </w:tabs>
        <w:jc w:val="both"/>
        <w:rPr>
          <w:sz w:val="22"/>
          <w:szCs w:val="22"/>
        </w:rPr>
      </w:pPr>
      <w:r>
        <w:rPr>
          <w:sz w:val="22"/>
          <w:szCs w:val="22"/>
        </w:rPr>
        <w:t>__________________________________________________________________________________</w:t>
      </w:r>
    </w:p>
    <w:p>
      <w:pPr>
        <w:tabs>
          <w:tab w:val="left" w:pos="720"/>
        </w:tabs>
        <w:jc w:val="both"/>
        <w:rPr>
          <w:i/>
          <w:sz w:val="22"/>
          <w:szCs w:val="22"/>
        </w:rPr>
      </w:pPr>
      <w:r>
        <w:rPr>
          <w:sz w:val="22"/>
          <w:szCs w:val="22"/>
        </w:rPr>
        <w:t xml:space="preserve">                      (</w:t>
      </w:r>
      <w:r>
        <w:rPr>
          <w:i/>
          <w:sz w:val="22"/>
          <w:szCs w:val="22"/>
        </w:rPr>
        <w:t xml:space="preserve">nurodoma, kokio namo, jo adresas ar kiek namų, jų dislokacijos vieta bendras namo(- ų)  </w:t>
      </w:r>
    </w:p>
    <w:p>
      <w:pPr>
        <w:tabs>
          <w:tab w:val="left" w:pos="720"/>
        </w:tabs>
        <w:jc w:val="both"/>
        <w:rPr>
          <w:b/>
          <w:sz w:val="22"/>
          <w:szCs w:val="22"/>
        </w:rPr>
      </w:pPr>
      <w:r>
        <w:rPr>
          <w:sz w:val="22"/>
          <w:szCs w:val="22"/>
        </w:rPr>
        <w:t>________________________________________________________________________</w:t>
      </w:r>
      <w:r>
        <w:rPr>
          <w:b/>
          <w:sz w:val="22"/>
          <w:szCs w:val="22"/>
        </w:rPr>
        <w:t>administravimą</w:t>
      </w:r>
    </w:p>
    <w:p>
      <w:pPr>
        <w:tabs>
          <w:tab w:val="left" w:pos="720"/>
        </w:tabs>
        <w:jc w:val="both"/>
        <w:rPr>
          <w:sz w:val="22"/>
          <w:szCs w:val="22"/>
        </w:rPr>
      </w:pPr>
      <w:r>
        <w:rPr>
          <w:sz w:val="22"/>
          <w:szCs w:val="22"/>
        </w:rPr>
        <w:t>_________________________</w:t>
      </w:r>
      <w:r>
        <w:rPr>
          <w:i/>
          <w:sz w:val="22"/>
          <w:szCs w:val="22"/>
        </w:rPr>
        <w:t xml:space="preserve"> plotas, butų ir kitų patalpų skaičius</w:t>
      </w:r>
      <w:r>
        <w:rPr>
          <w:sz w:val="22"/>
          <w:szCs w:val="22"/>
        </w:rPr>
        <w:t>)</w:t>
      </w:r>
    </w:p>
    <w:p>
      <w:pPr>
        <w:tabs>
          <w:tab w:val="left" w:pos="720"/>
        </w:tabs>
        <w:jc w:val="both"/>
        <w:rPr>
          <w:sz w:val="22"/>
          <w:szCs w:val="22"/>
        </w:rPr>
      </w:pPr>
    </w:p>
    <w:p>
      <w:pPr>
        <w:tabs>
          <w:tab w:val="left" w:pos="720"/>
        </w:tabs>
        <w:ind w:firstLine="720"/>
        <w:jc w:val="both"/>
        <w:rPr>
          <w:b/>
          <w:szCs w:val="24"/>
        </w:rPr>
      </w:pPr>
      <w:r>
        <w:rPr>
          <w:b/>
        </w:rPr>
        <w:t>2. Bendrojo naudojimo objektų valdytojas pateikė šią informaciją ir dokumentus:</w:t>
      </w:r>
    </w:p>
    <w:p>
      <w:pPr>
        <w:tabs>
          <w:tab w:val="left" w:pos="720"/>
        </w:tabs>
        <w:ind w:firstLine="720"/>
        <w:jc w:val="both"/>
        <w:rPr>
          <w:i/>
        </w:rPr>
      </w:pPr>
      <w:r>
        <w:rPr>
          <w:b/>
        </w:rPr>
        <w:t xml:space="preserve">             </w:t>
      </w:r>
      <w:r>
        <w:t>(</w:t>
      </w:r>
      <w:r>
        <w:rPr>
          <w:i/>
        </w:rPr>
        <w:t xml:space="preserve">nurodoma dokumento reg. data, Nr., lapų, bylų, dokumentų skaičius ir kita; jei </w:t>
      </w:r>
    </w:p>
    <w:p>
      <w:pPr>
        <w:tabs>
          <w:tab w:val="left" w:pos="720"/>
        </w:tabs>
        <w:ind w:firstLine="720"/>
        <w:jc w:val="both"/>
        <w:rPr>
          <w:i/>
        </w:rPr>
      </w:pPr>
      <w:r>
        <w:rPr>
          <w:i/>
        </w:rPr>
        <w:t>valdytojas administruoja keliolika ar daugiau namų, informacija apie jo veiklą pasirenkama atrankos būdu)</w:t>
      </w:r>
    </w:p>
    <w:p>
      <w:pPr>
        <w:tabs>
          <w:tab w:val="left" w:pos="720"/>
        </w:tabs>
        <w:ind w:firstLine="720"/>
        <w:jc w:val="both"/>
      </w:pPr>
    </w:p>
    <w:p>
      <w:pPr>
        <w:tabs>
          <w:tab w:val="left" w:pos="720"/>
        </w:tabs>
        <w:ind w:firstLine="720"/>
        <w:jc w:val="both"/>
      </w:pPr>
      <w:r>
        <w:t xml:space="preserve">2.1. valdytojo paskyrimo ar išrinkimo dokumentą (paskyrimo aktas, protokolas) </w:t>
      </w:r>
    </w:p>
    <w:p>
      <w:pPr>
        <w:tabs>
          <w:tab w:val="left" w:pos="720"/>
        </w:tabs>
        <w:jc w:val="both"/>
      </w:pPr>
      <w:r>
        <w:t>_______________________________________________________________________________</w:t>
      </w:r>
    </w:p>
    <w:p>
      <w:pPr>
        <w:tabs>
          <w:tab w:val="left" w:pos="720"/>
        </w:tabs>
        <w:ind w:firstLine="720"/>
        <w:jc w:val="both"/>
      </w:pPr>
      <w:r>
        <w:t>2.2. butų ir kitų patalpų savininkų, bendrijos narių sąrašą (-us)_______________________</w:t>
      </w:r>
    </w:p>
    <w:p>
      <w:pPr>
        <w:tabs>
          <w:tab w:val="left" w:pos="720"/>
        </w:tabs>
        <w:ind w:firstLine="720"/>
        <w:jc w:val="both"/>
      </w:pPr>
      <w:r>
        <w:t>2.3.bendrojo naudojimo objektų aprašą (us)______________________________________</w:t>
      </w:r>
    </w:p>
    <w:p>
      <w:pPr>
        <w:tabs>
          <w:tab w:val="left" w:pos="720"/>
        </w:tabs>
        <w:ind w:firstLine="720"/>
        <w:jc w:val="both"/>
      </w:pPr>
      <w:r>
        <w:t>2.4. metinį namo (-ų) priežiūros ūkinį-finansinį planą (planus)_______________________</w:t>
      </w:r>
    </w:p>
    <w:p>
      <w:pPr>
        <w:tabs>
          <w:tab w:val="left" w:pos="720"/>
        </w:tabs>
        <w:ind w:firstLine="720"/>
        <w:jc w:val="both"/>
      </w:pPr>
      <w:r>
        <w:t>2.5. ilgalaikį namo (-ų) atnaujinimo planą (-us)___________________________________</w:t>
      </w:r>
    </w:p>
    <w:p>
      <w:pPr>
        <w:tabs>
          <w:tab w:val="left" w:pos="720"/>
        </w:tabs>
        <w:ind w:firstLine="720"/>
        <w:jc w:val="both"/>
      </w:pPr>
      <w:r>
        <w:t>2.6. kaupiamųjų lėšų namui atnaujinti sąskaitos (-ų) sutartį (-is)______________________</w:t>
      </w:r>
    </w:p>
    <w:p>
      <w:pPr>
        <w:tabs>
          <w:tab w:val="left" w:pos="720"/>
        </w:tabs>
        <w:ind w:firstLine="720"/>
        <w:jc w:val="both"/>
      </w:pPr>
      <w:r>
        <w:t>2.7. informaciją (išrašą) apie sukauptų lėšų naudojimą einamaisiais metais_____________</w:t>
      </w:r>
    </w:p>
    <w:p>
      <w:pPr>
        <w:tabs>
          <w:tab w:val="left" w:pos="720"/>
        </w:tabs>
        <w:ind w:firstLine="720"/>
        <w:jc w:val="both"/>
      </w:pPr>
      <w:r>
        <w:t xml:space="preserve">2.8. </w:t>
      </w:r>
      <w:r>
        <w:rPr>
          <w:lang w:eastAsia="lt-LT"/>
        </w:rPr>
        <w:t>paslaugų ir rangos darbų pirkimo dokumentus</w:t>
      </w:r>
      <w:r>
        <w:t>________________________________</w:t>
      </w:r>
    </w:p>
    <w:p>
      <w:pPr>
        <w:tabs>
          <w:tab w:val="left" w:pos="720"/>
        </w:tabs>
        <w:ind w:firstLine="720"/>
        <w:jc w:val="both"/>
      </w:pPr>
      <w:r>
        <w:t>2.9. informaciją ar dokumentus apie einamaisiais metais vykdytus pirkimus____________</w:t>
      </w:r>
    </w:p>
    <w:p>
      <w:pPr>
        <w:tabs>
          <w:tab w:val="left" w:pos="720"/>
        </w:tabs>
        <w:ind w:firstLine="720"/>
        <w:jc w:val="both"/>
      </w:pPr>
      <w:r>
        <w:t>2.10. informaciją apie interneto svetainę, skelbimų lentas, taikomas informacijos pateikimo butų ir kitų patalpų savininkams priemones____________________________________________</w:t>
      </w:r>
    </w:p>
    <w:p>
      <w:pPr>
        <w:tabs>
          <w:tab w:val="left" w:pos="720"/>
        </w:tabs>
        <w:ind w:firstLine="720"/>
        <w:jc w:val="both"/>
      </w:pPr>
      <w:r>
        <w:t xml:space="preserve">2.11. duomenis apie butų ir kitų patalpų savininkų pretenzijas dėl informacijos </w:t>
      </w:r>
    </w:p>
    <w:p>
      <w:pPr>
        <w:tabs>
          <w:tab w:val="left" w:pos="720"/>
        </w:tabs>
        <w:jc w:val="both"/>
      </w:pPr>
      <w:r>
        <w:t>teikimo_________________________________________________________________________</w:t>
      </w:r>
    </w:p>
    <w:p>
      <w:pPr>
        <w:tabs>
          <w:tab w:val="left" w:pos="720"/>
        </w:tabs>
        <w:ind w:firstLine="720"/>
        <w:jc w:val="both"/>
      </w:pPr>
      <w:r>
        <w:t xml:space="preserve">2.12. metinę veiklos ataskaitą, jos pateikimo butų ir kitų patalpų savininkams </w:t>
      </w:r>
    </w:p>
    <w:p>
      <w:pPr>
        <w:tabs>
          <w:tab w:val="left" w:pos="720"/>
        </w:tabs>
        <w:jc w:val="both"/>
      </w:pPr>
      <w:r>
        <w:t>duomenis_______________________________________________________________________</w:t>
      </w:r>
    </w:p>
    <w:p>
      <w:pPr>
        <w:tabs>
          <w:tab w:val="left" w:pos="720"/>
        </w:tabs>
        <w:ind w:firstLine="720"/>
        <w:jc w:val="both"/>
      </w:pPr>
      <w:r>
        <w:t xml:space="preserve">2.13. informaciją apie einamaisiais metais šauktus butų ir kitų patalpų savininkų, bendrijos </w:t>
      </w:r>
    </w:p>
    <w:p>
      <w:pPr>
        <w:tabs>
          <w:tab w:val="left" w:pos="720"/>
        </w:tabs>
        <w:jc w:val="both"/>
      </w:pPr>
      <w:r>
        <w:t>narių susirinkimus ar balsavimą raštu_________________________________________________</w:t>
      </w:r>
    </w:p>
    <w:p>
      <w:pPr>
        <w:tabs>
          <w:tab w:val="left" w:pos="720"/>
        </w:tabs>
        <w:ind w:firstLine="720"/>
        <w:jc w:val="both"/>
        <w:rPr>
          <w:i/>
        </w:rPr>
      </w:pPr>
      <w:r>
        <w:t>2.14. ir kitus (</w:t>
      </w:r>
      <w:r>
        <w:rPr>
          <w:i/>
        </w:rPr>
        <w:t>nurodyti, kokius)________________________________________________</w:t>
      </w:r>
    </w:p>
    <w:p>
      <w:pPr>
        <w:tabs>
          <w:tab w:val="left" w:pos="720"/>
        </w:tabs>
        <w:ind w:firstLine="720"/>
        <w:jc w:val="both"/>
      </w:pPr>
      <w:r>
        <w:rPr>
          <w:b/>
        </w:rPr>
        <w:t>3.</w:t>
      </w:r>
      <w:r>
        <w:t xml:space="preserve"> </w:t>
      </w:r>
      <w:r>
        <w:rPr>
          <w:b/>
        </w:rPr>
        <w:t>Bendrojo naudojimo objektų valdytojo veiklos aprašymas ir įvertinimas</w:t>
      </w:r>
      <w:r>
        <w:t xml:space="preserve"> (</w:t>
      </w:r>
      <w:r>
        <w:rPr>
          <w:i/>
        </w:rPr>
        <w:t>pagal šio akto 2 punkte pateiktą informaciją aprašoma, kaip vykdomos valdytojui pavestos funkcijos</w:t>
      </w:r>
      <w:r>
        <w:t xml:space="preserve">, </w:t>
      </w:r>
      <w:r>
        <w:rPr>
          <w:i/>
        </w:rPr>
        <w:t>kokie esminiai trūkumai</w:t>
      </w:r>
      <w:r>
        <w:t>).</w:t>
      </w:r>
    </w:p>
    <w:p>
      <w:pPr>
        <w:tabs>
          <w:tab w:val="left" w:pos="720"/>
        </w:tabs>
        <w:ind w:firstLine="720"/>
        <w:jc w:val="both"/>
      </w:pPr>
      <w:r>
        <w:rPr>
          <w:b/>
        </w:rPr>
        <w:t xml:space="preserve">4. Reikalavimai trūkumams pašalinti </w:t>
      </w:r>
      <w:r>
        <w:rPr>
          <w:b/>
          <w:i/>
        </w:rPr>
        <w:t>(</w:t>
      </w:r>
      <w:r>
        <w:rPr>
          <w:i/>
        </w:rPr>
        <w:t>nurodomi reikalavimai ir jų įvykdymo terminai</w:t>
      </w:r>
      <w:r>
        <w:t>).</w:t>
      </w:r>
    </w:p>
    <w:p>
      <w:pPr>
        <w:tabs>
          <w:tab w:val="left" w:pos="720"/>
        </w:tabs>
        <w:jc w:val="both"/>
      </w:pPr>
    </w:p>
    <w:p>
      <w:pPr>
        <w:tabs>
          <w:tab w:val="left" w:pos="720"/>
        </w:tabs>
        <w:jc w:val="both"/>
      </w:pPr>
    </w:p>
    <w:p>
      <w:pPr>
        <w:tabs>
          <w:tab w:val="left" w:pos="720"/>
        </w:tabs>
        <w:jc w:val="both"/>
      </w:pPr>
    </w:p>
    <w:p>
      <w:pPr>
        <w:tabs>
          <w:tab w:val="left" w:pos="720"/>
        </w:tabs>
        <w:jc w:val="both"/>
      </w:pPr>
    </w:p>
    <w:p>
      <w:pPr>
        <w:tabs>
          <w:tab w:val="left" w:pos="720"/>
        </w:tabs>
        <w:jc w:val="both"/>
      </w:pPr>
    </w:p>
    <w:p>
      <w:pPr>
        <w:tabs>
          <w:tab w:val="left" w:pos="720"/>
        </w:tabs>
        <w:jc w:val="both"/>
      </w:pPr>
      <w:r>
        <w:t>Priežiūros ir kontrolės vykdytojas _____________________________________________</w:t>
      </w:r>
    </w:p>
    <w:p>
      <w:pPr>
        <w:tabs>
          <w:tab w:val="left" w:pos="720"/>
        </w:tabs>
        <w:jc w:val="both"/>
        <w:rPr>
          <w:sz w:val="22"/>
          <w:szCs w:val="22"/>
        </w:rPr>
      </w:pPr>
      <w:r>
        <w:t xml:space="preserve">                                                                                 </w:t>
      </w:r>
      <w:r>
        <w:rPr>
          <w:sz w:val="22"/>
          <w:szCs w:val="22"/>
        </w:rPr>
        <w:t>(parašas, data)</w:t>
      </w:r>
    </w:p>
    <w:p>
      <w:pPr>
        <w:tabs>
          <w:tab w:val="left" w:pos="720"/>
        </w:tabs>
        <w:jc w:val="both"/>
        <w:rPr>
          <w:szCs w:val="24"/>
        </w:rPr>
      </w:pPr>
    </w:p>
    <w:p>
      <w:pPr>
        <w:tabs>
          <w:tab w:val="left" w:pos="720"/>
        </w:tabs>
        <w:jc w:val="both"/>
      </w:pPr>
    </w:p>
    <w:p>
      <w:pPr>
        <w:tabs>
          <w:tab w:val="left" w:pos="720"/>
        </w:tabs>
        <w:jc w:val="both"/>
      </w:pPr>
      <w:r>
        <w:t>Bendrojo naudojimo objektų valdytojo atstovas___________________________________</w:t>
      </w:r>
    </w:p>
    <w:p>
      <w:pPr>
        <w:tabs>
          <w:tab w:val="left" w:pos="720"/>
        </w:tabs>
        <w:jc w:val="both"/>
      </w:pPr>
      <w:r>
        <w:t xml:space="preserve">                                                                                       </w:t>
      </w:r>
      <w:r>
        <w:rPr>
          <w:sz w:val="22"/>
          <w:szCs w:val="22"/>
        </w:rPr>
        <w:t>(parašas, data)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163160a80111e69ad4c8713b612d0f">
        <w:r w:rsidRPr="00532B9F">
          <w:rPr>
            <w:rFonts w:ascii="Times New Roman" w:eastAsia="MS Mincho" w:hAnsi="Times New Roman"/>
            <w:sz w:val="20"/>
            <w:i/>
            <w:iCs/>
            <w:color w:val="0000FF" w:themeColor="hyperlink"/>
            <w:u w:val="single"/>
          </w:rPr>
          <w:t>D1-745</w:t>
        </w:r>
      </w:fldSimple>
      <w:r>
        <w:rPr>
          <w:rFonts w:ascii="Times New Roman" w:eastAsia="MS Mincho" w:hAnsi="Times New Roman"/>
          <w:sz w:val="20"/>
          <w:i/>
          <w:iCs/>
        </w:rPr>
        <w:t>,
2016-11-11,
paskelbta TAR 2016-11-11, i. k. 2016-26717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b8ec109b2d11e49232ac16c751ea7e">
        <w:r w:rsidRPr="00532B9F">
          <w:rPr>
            <w:rFonts w:ascii="Times New Roman" w:eastAsia="MS Mincho" w:hAnsi="Times New Roman"/>
            <w:sz w:val="20"/>
            <w:iCs/>
            <w:color w:val="0000FF" w:themeColor="hyperlink"/>
            <w:u w:val="single"/>
          </w:rPr>
          <w:t>D1-23</w:t>
        </w:r>
      </w:fldSimple>
      <w:r>
        <w:rPr>
          <w:rFonts w:ascii="Times New Roman" w:eastAsia="MS Mincho" w:hAnsi="Times New Roman"/>
          <w:sz w:val="20"/>
          <w:iCs/>
        </w:rPr>
        <w:t>,
2015-01-13,
paskelbta TAR 2015-01-13, i. k. 2015-00583                </w:t>
      </w:r>
    </w:p>
    <w:p>
      <w:pPr>
        <w:jc w:val="both"/>
        <w:rPr>
          <w:rFonts w:ascii="Times New Roman" w:hAnsi="Times New Roman"/>
        </w:rPr>
      </w:pPr>
      <w:r>
        <w:rPr>
          <w:rFonts w:ascii="Times New Roman" w:hAnsi="Times New Roman"/>
          <w:sz w:val="20"/>
        </w:rPr>
        <w:t>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163160a80111e69ad4c8713b612d0f">
        <w:r w:rsidRPr="00532B9F">
          <w:rPr>
            <w:rFonts w:ascii="Times New Roman" w:eastAsia="MS Mincho" w:hAnsi="Times New Roman"/>
            <w:sz w:val="20"/>
            <w:iCs/>
            <w:color w:val="0000FF" w:themeColor="hyperlink"/>
            <w:u w:val="single"/>
          </w:rPr>
          <w:t>D1-745</w:t>
        </w:r>
      </w:fldSimple>
      <w:r>
        <w:rPr>
          <w:rFonts w:ascii="Times New Roman" w:eastAsia="MS Mincho" w:hAnsi="Times New Roman"/>
          <w:sz w:val="20"/>
          <w:iCs/>
        </w:rPr>
        <w:t>,
2016-11-11,
paskelbta TAR 2016-11-11, i. k. 2016-26717                </w:t>
      </w:r>
    </w:p>
    <w:p>
      <w:pPr>
        <w:jc w:val="both"/>
        <w:rPr>
          <w:rFonts w:ascii="Times New Roman" w:hAnsi="Times New Roman"/>
        </w:rPr>
      </w:pPr>
      <w:r>
        <w:rPr>
          <w:rFonts w:ascii="Times New Roman" w:hAnsi="Times New Roman"/>
          <w:sz w:val="20"/>
        </w:rPr>
        <w:t>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w:t>
      </w:r>
    </w:p>
    <w:p>
      <w:pPr>
        <w:jc w:val="both"/>
        <w:rPr>
          <w:rFonts w:ascii="Times New Roman" w:hAnsi="Times New Roman"/>
          <w:sz w:val="20"/>
        </w:rPr>
      </w:pPr>
    </w:p>
    <w:p>
      <w:pPr>
        <w:widowControl w:val="0"/>
        <w:rPr>
          <w:rFonts w:ascii="Times New Roman" w:hAnsi="Times New Roman"/>
          <w:snapToGrid w:val="0"/>
        </w:rPr>
      </w:pPr>
    </w:p>
    <w:sectPr>
      <w:footnotePr>
        <w:pos w:val="beneathText"/>
      </w:footnotePr>
      <w:type w:val="continuous"/>
      <w:pgSz w:w="11905" w:h="16837"/>
      <w:pgMar w:top="1134" w:right="709" w:bottom="1134" w:left="1701" w:header="1142" w:footer="919" w:gutter="0"/>
      <w:cols w:space="1296"/>
      <w:formProt w:val="0"/>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Pr>
        <w:szCs w:val="24"/>
        <w:lang w:val="en-US"/>
      </w:rPr>
      <w:t>2</w:t>
    </w:r>
    <w:r>
      <w:rPr>
        <w:szCs w:val="24"/>
        <w:lang w:val="en-US"/>
      </w:rPr>
      <w:fldChar w:fldCharType="end"/>
    </w:r>
  </w:p>
  <w:p>
    <w:pPr>
      <w:tabs>
        <w:tab w:val="center" w:pos="4986"/>
        <w:tab w:val="right" w:pos="9972"/>
      </w:tabs>
      <w:rPr>
        <w:sz w:val="22"/>
        <w:szCs w:val="22"/>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2</w:t>
    </w:r>
    <w:r>
      <w:rPr>
        <w:sz w:val="22"/>
        <w:szCs w:val="22"/>
        <w:lang w:val="en-US"/>
      </w:rPr>
      <w:fldChar w:fldCharType="end"/>
    </w:r>
  </w:p>
  <w:p>
    <w:pPr>
      <w:tabs>
        <w:tab w:val="center" w:pos="4986"/>
        <w:tab w:val="right" w:pos="9972"/>
      </w:tabs>
      <w:rPr>
        <w:sz w:val="22"/>
        <w:szCs w:val="22"/>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6A2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table" w:styleId="Lentelstinklelis">
    <w:name w:val="Table Grid"/>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table" w:styleId="Lentelstinklelis">
    <w:name w:val="Table Grid"/>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49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9</Pages>
  <Words>14341</Words>
  <Characters>8175</Characters>
  <Application>Microsoft Office Word</Application>
  <DocSecurity>0</DocSecurity>
  <Lines>68</Lines>
  <Paragraphs>44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&lt;Adresatas&gt;</vt:lpstr>
      <vt:lpstr>&lt;Adresatas&gt;</vt:lpstr>
    </vt:vector>
  </TitlesOfParts>
  <Company>Aplinkos ministerija, Informacijos valdymo skyrius</Company>
  <LinksUpToDate>false</LinksUpToDate>
  <CharactersWithSpaces>22472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2014-07-25T11:01:00Z</dcterms:created>
  <dc:creator>j.kaklauskiene</dc:creator>
  <lastModifiedBy>TAMALIŪNIENĖ Vilija</lastModifiedBy>
  <lastPrinted>2014-06-02T15:18:00Z</lastPrinted>
  <dcterms:modified xsi:type="dcterms:W3CDTF">2016-11-14T12:56:00Z</dcterms:modified>
  <revision>7</revision>
  <dc:title>&lt;Adresatas&gt;</dc:title>
</coreProperties>
</file>