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2018-09-25, i. k. 2018-15010</w:t>
      </w:r>
    </w:p>
    <w:p>
      <w:pPr>
        <w:jc w:val="both"/>
        <w:rPr>
          <w:rFonts w:ascii="Times New Roman" w:hAnsi="Times New Roman"/>
          <w:sz w:val="20"/>
        </w:rPr>
      </w:pPr>
    </w:p>
    <w:p>
      <w:pPr>
        <w:tabs>
          <w:tab w:val="center" w:pos="4819"/>
          <w:tab w:val="right" w:pos="9638"/>
        </w:tabs>
        <w:rPr>
          <w:sz w:val="20"/>
          <w:lang w:eastAsia="lt-LT"/>
        </w:rPr>
      </w:pPr>
    </w:p>
    <w:p>
      <w:pPr>
        <w:tabs>
          <w:tab w:val="center" w:pos="4819"/>
          <w:tab w:val="right" w:pos="9638"/>
        </w:tabs>
        <w:rPr>
          <w:sz w:val="20"/>
          <w:lang w:eastAsia="lt-LT"/>
        </w:rPr>
      </w:pPr>
    </w:p>
    <w:p>
      <w:pPr>
        <w:tabs>
          <w:tab w:val="left" w:pos="3284"/>
          <w:tab w:val="left" w:pos="6203"/>
        </w:tabs>
        <w:jc w:val="center"/>
        <w:rPr>
          <w:sz w:val="20"/>
          <w:lang w:eastAsia="lt-LT"/>
        </w:rPr>
      </w:pPr>
      <w:r>
        <w:rPr>
          <w:sz w:val="20"/>
          <w:lang w:eastAsia="lt-LT"/>
        </w:rPr>
        <w:object w:dxaOrig="75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39.35pt" o:ole="" fillcolor="window">
            <v:imagedata r:id="rId15" o:title=""/>
          </v:shape>
          <o:OLEObject Type="Embed" ProgID="Word.Picture.8" ShapeID="_x0000_i1025" DrawAspect="Content" ObjectID="_0000000001" r:id="rId16"/>
        </w:object>
      </w:r>
    </w:p>
    <w:p>
      <w:pPr>
        <w:jc w:val="center"/>
        <w:rPr>
          <w:b/>
          <w:sz w:val="26"/>
          <w:lang w:eastAsia="lt-LT"/>
        </w:rPr>
      </w:pPr>
    </w:p>
    <w:p>
      <w:pPr>
        <w:jc w:val="center"/>
        <w:rPr>
          <w:b/>
          <w:sz w:val="28"/>
          <w:lang w:eastAsia="lt-LT"/>
        </w:rPr>
      </w:pPr>
      <w:r>
        <w:rPr>
          <w:b/>
          <w:sz w:val="28"/>
          <w:lang w:eastAsia="lt-LT"/>
        </w:rPr>
        <w:t>LIETUVOS RESPUBLIKOS SUSISIEKIMO MINISTRAS</w:t>
      </w:r>
    </w:p>
    <w:p>
      <w:pPr>
        <w:jc w:val="center"/>
        <w:rPr>
          <w:b/>
          <w:sz w:val="26"/>
          <w:lang w:eastAsia="lt-LT"/>
        </w:rPr>
      </w:pPr>
    </w:p>
    <w:p>
      <w:pPr>
        <w:jc w:val="center"/>
        <w:rPr>
          <w:b/>
          <w:sz w:val="28"/>
          <w:szCs w:val="28"/>
          <w:lang w:eastAsia="lt-LT"/>
        </w:rPr>
      </w:pPr>
      <w:r>
        <w:rPr>
          <w:b/>
          <w:sz w:val="28"/>
          <w:szCs w:val="28"/>
          <w:lang w:eastAsia="lt-LT"/>
        </w:rPr>
        <w:t>ĮSAKYMAS</w:t>
      </w:r>
    </w:p>
    <w:p>
      <w:pPr>
        <w:jc w:val="center"/>
        <w:rPr>
          <w:b/>
          <w:sz w:val="28"/>
          <w:szCs w:val="28"/>
          <w:lang w:eastAsia="lt-LT"/>
        </w:rPr>
      </w:pPr>
      <w:r>
        <w:rPr>
          <w:b/>
          <w:sz w:val="28"/>
          <w:szCs w:val="28"/>
          <w:lang w:eastAsia="lt-LT"/>
        </w:rPr>
        <w:t>DĖL FINANSAVIMO SKYRIMO PROJEKTAMS NR. 02.3.1-CPVA-V-526-01-0006 „ELEKTRONINĖS PASLAUGOS EAIS „SKAITMENINĖ SKAITYKLA“ SUKŪRIMAS“ IR NR. 02.3.1-CPVA-V-526-01-0007 „INFORMACINĖS SISTEMOS E-KINAS MODERNIZAVIMAS IR PLĖTRA“</w:t>
      </w:r>
    </w:p>
    <w:p>
      <w:pPr>
        <w:jc w:val="center"/>
        <w:rPr>
          <w:b/>
          <w:sz w:val="26"/>
          <w:lang w:eastAsia="lt-LT"/>
        </w:rPr>
      </w:pPr>
    </w:p>
    <w:p>
      <w:pPr>
        <w:jc w:val="center"/>
        <w:rPr>
          <w:lang w:eastAsia="lt-LT"/>
        </w:rPr>
      </w:pPr>
      <w:r>
        <w:rPr>
          <w:lang w:eastAsia="lt-LT"/>
        </w:rPr>
        <w:t>2018 m. rugsėjo 25 d. Nr. 3-479</w:t>
      </w:r>
    </w:p>
    <w:p>
      <w:pPr>
        <w:jc w:val="center"/>
        <w:rPr>
          <w:lang w:eastAsia="lt-LT"/>
        </w:rPr>
      </w:pPr>
      <w:r>
        <w:rPr>
          <w:lang w:eastAsia="lt-LT"/>
        </w:rPr>
        <w:t>Vilnius</w:t>
      </w:r>
    </w:p>
    <w:p>
      <w:pPr>
        <w:rPr>
          <w:lang w:eastAsia="lt-LT"/>
        </w:rPr>
      </w:pPr>
    </w:p>
    <w:p>
      <w:pPr>
        <w:rPr>
          <w:lang w:eastAsia="lt-LT"/>
        </w:rPr>
      </w:pPr>
    </w:p>
    <w:p>
      <w:pPr>
        <w:spacing w:line="276" w:lineRule="auto"/>
        <w:ind w:firstLine="709"/>
        <w:jc w:val="both"/>
        <w:rPr>
          <w:szCs w:val="24"/>
          <w:lang w:eastAsia="lt-LT"/>
        </w:rPr>
      </w:pPr>
      <w:r>
        <w:rPr>
          <w:szCs w:val="24"/>
          <w:lang w:eastAsia="lt-LT"/>
        </w:rPr>
        <w:t xml:space="preserve">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6.2.11 papunkčiu ir Projektų administravimo ir finansavimo taisyklių, patvirtintų Lietuvos Respublikos finansų ministro 2014 m. spalio 8 d. įsakymu Nr. 1K-316 „Dėl Projektų administravimo ir finansavimo taisyklių patvirtinimo“, 153 ir 154 punktais, atsižvelgdamas į 2014–2020 metų Europos Sąjungos fondų investicijų veiksmų programos 2 prioriteto „Informacinės visuomenės skatinimas“ 02.3.1-CPVA-V-526 priemonės „Kultūros turinio skaitmeninimas ir sklaida“ projektų finansavimo sąlygų aprašo, patvirtinto Lietuvos Respublikos susisiekimo ministro 2017 m. birželio 5 d. įsakymu Nr. 3-265 „Dėl 2014–2020 metų Europos Sąjungos fondų investicijų veiksmų programos 2 prioriteto „Informacinės visuomenės skatinimas“ 02.3.1-CPVA-V-526 priemonės „Kultūros turinio skaitmeninimas ir sklaida“ projektų finansavimo sąlygų aprašo patvirtinimo“, 57 punktą, 2014–2020 metų Europos Sąjungos fondų investicijų veiksmų programos įgyvendinimo priemonės 02.3.1-CPVA-V-526 „Kultūros turinio skaitmeninimas ir sklaida“ iš Europos Sąjungos struktūrinių fondų lėšų siūlomų bendrai finansuoti valstybės projektų sąrašą, patvirtintą Lietuvos Respublikos susisiekimo ministro 2017 m. gruodžio 20 d. įsakymu Nr. 3-638 „Dėl 2014–2020 metų Europos Sąjungos fondų investicijų veiksmų programos įgyvendinimo priemonės 02.3.1-CPVA-V-526 „Kultūros turinio skaitmeninimas ir sklaida“ iš Europos Sąjungos struktūrinių fondų lėšų siūlomų bendrai finansuoti valstybės projektų sąrašo patvirtinimo“, VšĮ Centrinės projektų valdymo agentūros 2018 m. rugsėjo 6 d. raštu Nr. 2018/2-5322 „Dėl 2014-2020 m. Europos Sąjungos fondų investicijų veiksmų programos įgyvendinimo 02.3.1-CPVA-V-526 priemonės „Kultūros turinio skaitmeninimas ir sklaida” projektų tinkamumo finansuoti vertinimo ataskaitos“ pateiktą projektų tinkamumo finansuoti vertinimo ataskaitą Nr. 1 ir VšĮ Centrinės projektų valdymo agentūros 2018 m. rugsėjo 12 d. raštu Nr. 2018/2-5398 „Dėl 2014-2020 m. Europos Sąjungos fondų investicijų veiksmų programos įgyvendinimo 02.3.1-CPVA-V-526 priemonės „Kultūros turinio skaitmeninimas ir sklaida” valstybės projektų sąrašo projektų tinkamumo finansuoti vertinimo ataskaitos“ pateiktą projektų tinkamumo finansuoti vertinimo ataskaitą Nr. 1: </w:t>
      </w:r>
    </w:p>
    <w:p>
      <w:pPr>
        <w:tabs>
          <w:tab w:val="left" w:pos="720"/>
        </w:tabs>
        <w:ind w:firstLine="709"/>
        <w:jc w:val="both"/>
        <w:rPr>
          <w:szCs w:val="24"/>
          <w:lang w:eastAsia="lt-LT"/>
        </w:rPr>
      </w:pPr>
      <w:r>
        <w:rPr>
          <w:szCs w:val="24"/>
          <w:lang w:eastAsia="lt-LT"/>
        </w:rPr>
        <w:t>1</w:t>
      </w:r>
      <w:r>
        <w:rPr>
          <w:szCs w:val="24"/>
          <w:lang w:eastAsia="lt-LT"/>
        </w:rPr>
        <w:t xml:space="preserve">. S k i r i u šio įsakymo priede </w:t>
      </w:r>
      <w:r>
        <w:rPr>
          <w:bCs/>
          <w:szCs w:val="24"/>
          <w:lang w:eastAsia="lt-LT"/>
        </w:rPr>
        <w:t xml:space="preserve">nurodytiems projektams </w:t>
      </w:r>
      <w:r>
        <w:rPr>
          <w:szCs w:val="24"/>
          <w:lang w:eastAsia="lt-LT"/>
        </w:rPr>
        <w:t>nustatyto dydžio finansavimą iš Europos Sąjungos fondų investicijų veiksmų programos 2 prioriteto „Informacinės visuomenės skatinimas“ 02.3.1-CPVA-V-526 priemonės „Kultūros turinio skaitmeninimas ir sklaida“ konkrečiam uždaviniui 2.3.1 „Padidinti elektroninių viešųjų ir administracinių paslaugų prieinamumą ir kokybę“ įgyvendinti valstybės biudžete Lietuvos Respublikos susisiekimo ministerijai pagal programos „Transporto ir ryšių politikos įgyvendinimas“ (programos kodas 01.008) priemonę „Sukurti pažangias viešąsias ir administracines elektronines paslaugas“ (programos priemonės kodas 01.008.01.01.07); finansavimo šaltiniai 1.3.2.7.1 („2014−2020 m. ES struktūrinė parama“) ir 1.2.2.7.1 („2014−2020 m. ES struktūrinės paramos bendrojo finansavimo lėšos“); išlaidų klasifikacija pagal valstybės funkcijas 4.6.1.1 („Ryšių valdymas ir kontrolė“); ekonominė klasifikacija 2.9.2.2.1.02 („Pervedamos Europos Sąjungos, kitos tarptautinės finansinės paramos ir bendrojo finansavimo lėšos investicijoms kitiems valdžios sektoriaus subjektams“) numatytų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168e2091ca11e9ae2e9d61b1f977b3">
        <w:r w:rsidRPr="00532B9F">
          <w:rPr>
            <w:rFonts w:ascii="Times New Roman" w:eastAsia="MS Mincho" w:hAnsi="Times New Roman"/>
            <w:sz w:val="20"/>
            <w:i/>
            <w:iCs/>
            <w:color w:val="0000FF" w:themeColor="hyperlink"/>
            <w:u w:val="single"/>
          </w:rPr>
          <w:t>3-292</w:t>
        </w:r>
      </w:fldSimple>
      <w:r>
        <w:rPr>
          <w:rFonts w:ascii="Times New Roman" w:eastAsia="MS Mincho" w:hAnsi="Times New Roman"/>
          <w:sz w:val="20"/>
          <w:i/>
          <w:iCs/>
        </w:rPr>
        <w:t>,
2019-06-18,
paskelbta TAR 2019-06-18, i. k. 2019-09796            </w:t>
      </w:r>
    </w:p>
    <w:p/>
    <w:p>
      <w:pPr>
        <w:tabs>
          <w:tab w:val="left" w:pos="720"/>
        </w:tabs>
        <w:spacing w:line="276" w:lineRule="auto"/>
        <w:ind w:firstLine="709"/>
        <w:jc w:val="both"/>
        <w:rPr>
          <w:sz w:val="20"/>
          <w:lang w:eastAsia="lt-LT"/>
        </w:rPr>
      </w:pPr>
      <w:r>
        <w:rPr>
          <w:szCs w:val="24"/>
          <w:lang w:eastAsia="lt-LT"/>
        </w:rPr>
        <w:t>2</w:t>
      </w:r>
      <w:r>
        <w:rPr>
          <w:szCs w:val="24"/>
          <w:lang w:eastAsia="lt-LT"/>
        </w:rPr>
        <w:t xml:space="preserve">. </w:t>
      </w:r>
      <w:r>
        <w:rPr>
          <w:spacing w:val="100"/>
          <w:szCs w:val="24"/>
          <w:lang w:eastAsia="lt-LT"/>
        </w:rPr>
        <w:t>Informuoj</w:t>
      </w:r>
      <w:r>
        <w:rPr>
          <w:szCs w:val="24"/>
          <w:lang w:eastAsia="lt-LT"/>
        </w:rPr>
        <w:t>u, kad šis sprendimas gali būti apskųstas Lietuvos Respublikos administracinių bylų teisenos įstatymo nustatyta tvarka.</w:t>
      </w:r>
    </w:p>
    <w:p/>
    <w:p/>
    <w:p/>
    <w:p>
      <w:pPr>
        <w:rPr>
          <w:sz w:val="20"/>
          <w:szCs w:val="24"/>
          <w:lang w:eastAsia="lt-LT"/>
        </w:rPr>
      </w:pPr>
      <w:r>
        <w:rPr>
          <w:szCs w:val="24"/>
          <w:lang w:eastAsia="lt-LT"/>
        </w:rPr>
        <w:t xml:space="preserve">Susisiekimo ministras </w:t>
        <w:tab/>
        <w:tab/>
        <w:tab/>
        <w:tab/>
        <w:tab/>
        <w:t xml:space="preserve"> Rokas Masiulis</w:t>
      </w:r>
    </w:p>
    <w:p>
      <w:pPr>
        <w:rPr>
          <w:szCs w:val="24"/>
          <w:lang w:eastAsia="lt-LT"/>
        </w:rPr>
      </w:pPr>
    </w:p>
    <w:p>
      <w:pPr>
        <w:rPr>
          <w:szCs w:val="24"/>
          <w:lang w:eastAsia="lt-LT"/>
        </w:rPr>
        <w:sectPr>
          <w:headerReference w:type="even" r:id="rId17"/>
          <w:headerReference w:type="default" r:id="rId18"/>
          <w:footerReference w:type="even" r:id="rId19"/>
          <w:footerReference w:type="default" r:id="rId20"/>
          <w:headerReference w:type="first" r:id="rId21"/>
          <w:footerReference w:type="first" r:id="rId22"/>
          <w:pgSz w:w="11906" w:h="16838"/>
          <w:pgMar w:top="1135" w:right="567" w:bottom="1134" w:left="1701" w:header="567" w:footer="567" w:gutter="0"/>
          <w:cols w:space="1296"/>
          <w:titlePg/>
          <w:docGrid w:linePitch="360"/>
        </w:sectPr>
      </w:pPr>
    </w:p>
    <w:p>
      <w:pPr>
        <w:ind w:left="9214" w:right="678"/>
        <w:rPr>
          <w:szCs w:val="24"/>
          <w:lang w:eastAsia="lt-LT"/>
        </w:rPr>
      </w:pPr>
      <w:r>
        <w:rPr>
          <w:szCs w:val="24"/>
          <w:lang w:eastAsia="lt-LT"/>
        </w:rPr>
        <w:t>Lietuvos Respublikos susisiekimo ministro</w:t>
      </w:r>
    </w:p>
    <w:p>
      <w:pPr>
        <w:ind w:left="9214" w:right="678"/>
        <w:rPr>
          <w:szCs w:val="24"/>
          <w:lang w:eastAsia="lt-LT"/>
        </w:rPr>
      </w:pPr>
      <w:r>
        <w:rPr>
          <w:szCs w:val="24"/>
          <w:lang w:eastAsia="lt-LT"/>
        </w:rPr>
        <w:t>2018 m. rugsėjo 25 d. įsakymo Nr. 3-479</w:t>
      </w:r>
    </w:p>
    <w:p>
      <w:pPr>
        <w:ind w:left="9214" w:right="678"/>
        <w:rPr>
          <w:szCs w:val="24"/>
          <w:lang w:eastAsia="lt-LT"/>
        </w:rPr>
      </w:pPr>
      <w:r>
        <w:rPr>
          <w:szCs w:val="24"/>
          <w:lang w:eastAsia="lt-LT"/>
        </w:rPr>
        <w:t>(Lietuvos Respublikos susisiekimo ministro</w:t>
      </w:r>
    </w:p>
    <w:p>
      <w:pPr>
        <w:ind w:left="9214" w:right="678"/>
        <w:rPr>
          <w:szCs w:val="24"/>
          <w:lang w:eastAsia="lt-LT"/>
        </w:rPr>
      </w:pPr>
      <w:r>
        <w:rPr>
          <w:szCs w:val="24"/>
          <w:lang w:eastAsia="lt-LT"/>
        </w:rPr>
        <w:t>2020 m. balandžio 28 d. įsakymo Nr. 3-251</w:t>
      </w:r>
    </w:p>
    <w:p>
      <w:pPr>
        <w:ind w:left="9214" w:right="678"/>
        <w:rPr>
          <w:szCs w:val="24"/>
          <w:lang w:eastAsia="lt-LT"/>
        </w:rPr>
      </w:pPr>
      <w:r>
        <w:rPr>
          <w:szCs w:val="24"/>
          <w:lang w:eastAsia="lt-LT"/>
        </w:rPr>
        <w:t>redakcija)</w:t>
      </w:r>
    </w:p>
    <w:p>
      <w:pPr>
        <w:ind w:left="9214" w:right="678"/>
        <w:rPr>
          <w:szCs w:val="24"/>
          <w:lang w:eastAsia="lt-LT"/>
        </w:rPr>
      </w:pPr>
      <w:r>
        <w:rPr>
          <w:szCs w:val="24"/>
          <w:lang w:eastAsia="lt-LT"/>
        </w:rPr>
        <w:t>priedas</w:t>
      </w:r>
    </w:p>
    <w:p>
      <w:pPr>
        <w:ind w:firstLine="851"/>
        <w:jc w:val="both"/>
        <w:rPr>
          <w:szCs w:val="24"/>
          <w:lang w:eastAsia="lt-LT"/>
        </w:rPr>
      </w:pPr>
    </w:p>
    <w:p>
      <w:pPr>
        <w:ind w:firstLine="851"/>
        <w:jc w:val="center"/>
        <w:rPr>
          <w:b/>
          <w:szCs w:val="24"/>
          <w:lang w:eastAsia="lt-LT"/>
        </w:rPr>
      </w:pPr>
    </w:p>
    <w:p>
      <w:pPr>
        <w:ind w:firstLine="851"/>
        <w:jc w:val="center"/>
        <w:rPr>
          <w:b/>
          <w:szCs w:val="24"/>
          <w:lang w:eastAsia="lt-LT"/>
        </w:rPr>
      </w:pPr>
    </w:p>
    <w:p>
      <w:pPr>
        <w:jc w:val="center"/>
        <w:rPr>
          <w:b/>
          <w:szCs w:val="24"/>
          <w:lang w:eastAsia="lt-LT"/>
        </w:rPr>
      </w:pPr>
      <w:r>
        <w:rPr>
          <w:b/>
          <w:szCs w:val="24"/>
          <w:lang w:eastAsia="lt-LT"/>
        </w:rPr>
        <w:t>FINANSUOJAMI PROJEKTAI</w:t>
      </w:r>
    </w:p>
    <w:p>
      <w:pPr>
        <w:ind w:firstLine="851"/>
        <w:jc w:val="both"/>
        <w:rPr>
          <w:szCs w:val="24"/>
          <w:lang w:eastAsia="lt-L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559"/>
        <w:gridCol w:w="1417"/>
        <w:gridCol w:w="1843"/>
        <w:gridCol w:w="1843"/>
        <w:gridCol w:w="1559"/>
        <w:gridCol w:w="1134"/>
        <w:gridCol w:w="992"/>
        <w:gridCol w:w="1560"/>
        <w:gridCol w:w="1559"/>
      </w:tblGrid>
      <w:tr>
        <w:tc>
          <w:tcPr>
            <w:tcW w:w="568" w:type="dxa"/>
            <w:vMerge w:val="restart"/>
            <w:vAlign w:val="center"/>
          </w:tcPr>
          <w:p>
            <w:pPr>
              <w:jc w:val="center"/>
              <w:rPr>
                <w:b/>
                <w:sz w:val="20"/>
                <w:lang w:eastAsia="lt-LT"/>
              </w:rPr>
            </w:pPr>
            <w:r>
              <w:rPr>
                <w:b/>
                <w:sz w:val="20"/>
                <w:lang w:eastAsia="lt-LT"/>
              </w:rPr>
              <w:t>Eil. Nr.</w:t>
            </w:r>
          </w:p>
        </w:tc>
        <w:tc>
          <w:tcPr>
            <w:tcW w:w="1134" w:type="dxa"/>
            <w:vMerge w:val="restart"/>
            <w:vAlign w:val="center"/>
          </w:tcPr>
          <w:p>
            <w:pPr>
              <w:jc w:val="center"/>
              <w:rPr>
                <w:b/>
                <w:sz w:val="20"/>
                <w:lang w:eastAsia="lt-LT"/>
              </w:rPr>
            </w:pPr>
            <w:r>
              <w:rPr>
                <w:b/>
                <w:sz w:val="20"/>
                <w:lang w:eastAsia="lt-LT"/>
              </w:rPr>
              <w:t>Paraiškos kodas</w:t>
            </w:r>
          </w:p>
        </w:tc>
        <w:tc>
          <w:tcPr>
            <w:tcW w:w="1559" w:type="dxa"/>
            <w:vMerge w:val="restart"/>
            <w:vAlign w:val="center"/>
          </w:tcPr>
          <w:p>
            <w:pPr>
              <w:jc w:val="center"/>
              <w:rPr>
                <w:b/>
                <w:sz w:val="20"/>
                <w:lang w:eastAsia="lt-LT"/>
              </w:rPr>
            </w:pPr>
            <w:r>
              <w:rPr>
                <w:b/>
                <w:sz w:val="20"/>
                <w:lang w:eastAsia="lt-LT"/>
              </w:rPr>
              <w:t>Pareiškėjo pavadinimas</w:t>
            </w:r>
          </w:p>
        </w:tc>
        <w:tc>
          <w:tcPr>
            <w:tcW w:w="1417" w:type="dxa"/>
            <w:vMerge w:val="restart"/>
            <w:vAlign w:val="center"/>
          </w:tcPr>
          <w:p>
            <w:pPr>
              <w:jc w:val="center"/>
              <w:rPr>
                <w:b/>
                <w:sz w:val="20"/>
                <w:lang w:eastAsia="lt-LT"/>
              </w:rPr>
            </w:pPr>
            <w:r>
              <w:rPr>
                <w:b/>
                <w:sz w:val="20"/>
                <w:lang w:eastAsia="lt-LT"/>
              </w:rPr>
              <w:t>Pareiškėjo juridinio asmens kodas</w:t>
            </w:r>
          </w:p>
        </w:tc>
        <w:tc>
          <w:tcPr>
            <w:tcW w:w="1843" w:type="dxa"/>
            <w:vMerge w:val="restart"/>
            <w:vAlign w:val="center"/>
          </w:tcPr>
          <w:p>
            <w:pPr>
              <w:jc w:val="center"/>
              <w:rPr>
                <w:b/>
                <w:sz w:val="20"/>
                <w:lang w:eastAsia="lt-LT"/>
              </w:rPr>
            </w:pPr>
            <w:r>
              <w:rPr>
                <w:b/>
                <w:sz w:val="20"/>
                <w:lang w:eastAsia="lt-LT"/>
              </w:rPr>
              <w:t>Projekto pavadinimas</w:t>
            </w:r>
          </w:p>
        </w:tc>
        <w:tc>
          <w:tcPr>
            <w:tcW w:w="1843" w:type="dxa"/>
            <w:vMerge w:val="restart"/>
            <w:vAlign w:val="center"/>
          </w:tcPr>
          <w:p>
            <w:pPr>
              <w:jc w:val="center"/>
              <w:rPr>
                <w:b/>
                <w:sz w:val="20"/>
                <w:lang w:eastAsia="lt-LT"/>
              </w:rPr>
            </w:pPr>
            <w:r>
              <w:rPr>
                <w:b/>
                <w:sz w:val="20"/>
                <w:lang w:eastAsia="lt-LT"/>
              </w:rPr>
              <w:t>Projekto partneriai</w:t>
            </w:r>
          </w:p>
        </w:tc>
        <w:tc>
          <w:tcPr>
            <w:tcW w:w="6804" w:type="dxa"/>
            <w:gridSpan w:val="5"/>
            <w:vAlign w:val="center"/>
          </w:tcPr>
          <w:p>
            <w:pPr>
              <w:jc w:val="center"/>
              <w:rPr>
                <w:b/>
                <w:sz w:val="20"/>
                <w:lang w:eastAsia="lt-LT"/>
              </w:rPr>
            </w:pPr>
            <w:r>
              <w:rPr>
                <w:b/>
                <w:sz w:val="20"/>
                <w:lang w:eastAsia="lt-LT"/>
              </w:rPr>
              <w:t xml:space="preserve">Projektui skiriamos finansavimo lėšos: </w:t>
            </w:r>
          </w:p>
        </w:tc>
      </w:tr>
      <w:tr>
        <w:tc>
          <w:tcPr>
            <w:tcW w:w="568" w:type="dxa"/>
            <w:vMerge/>
            <w:vAlign w:val="center"/>
          </w:tcPr>
          <w:p>
            <w:pPr>
              <w:jc w:val="center"/>
              <w:rPr>
                <w:szCs w:val="24"/>
                <w:lang w:eastAsia="lt-LT"/>
              </w:rPr>
            </w:pPr>
          </w:p>
        </w:tc>
        <w:tc>
          <w:tcPr>
            <w:tcW w:w="1134" w:type="dxa"/>
            <w:vMerge/>
            <w:vAlign w:val="center"/>
          </w:tcPr>
          <w:p>
            <w:pPr>
              <w:jc w:val="center"/>
              <w:rPr>
                <w:szCs w:val="24"/>
                <w:lang w:eastAsia="lt-LT"/>
              </w:rPr>
            </w:pPr>
          </w:p>
        </w:tc>
        <w:tc>
          <w:tcPr>
            <w:tcW w:w="1559" w:type="dxa"/>
            <w:vMerge/>
            <w:vAlign w:val="center"/>
          </w:tcPr>
          <w:p>
            <w:pPr>
              <w:jc w:val="center"/>
              <w:rPr>
                <w:szCs w:val="24"/>
                <w:lang w:eastAsia="lt-LT"/>
              </w:rPr>
            </w:pPr>
          </w:p>
        </w:tc>
        <w:tc>
          <w:tcPr>
            <w:tcW w:w="1417" w:type="dxa"/>
            <w:vMerge/>
            <w:vAlign w:val="center"/>
          </w:tcPr>
          <w:p>
            <w:pPr>
              <w:jc w:val="center"/>
              <w:rPr>
                <w:szCs w:val="24"/>
                <w:lang w:eastAsia="lt-LT"/>
              </w:rPr>
            </w:pPr>
          </w:p>
        </w:tc>
        <w:tc>
          <w:tcPr>
            <w:tcW w:w="1843" w:type="dxa"/>
            <w:vMerge/>
          </w:tcPr>
          <w:p>
            <w:pPr>
              <w:jc w:val="center"/>
              <w:rPr>
                <w:szCs w:val="24"/>
                <w:lang w:eastAsia="lt-LT"/>
              </w:rPr>
            </w:pPr>
          </w:p>
        </w:tc>
        <w:tc>
          <w:tcPr>
            <w:tcW w:w="1843" w:type="dxa"/>
            <w:vMerge/>
            <w:vAlign w:val="center"/>
          </w:tcPr>
          <w:p>
            <w:pPr>
              <w:jc w:val="center"/>
              <w:rPr>
                <w:szCs w:val="24"/>
                <w:lang w:eastAsia="lt-LT"/>
              </w:rPr>
            </w:pPr>
          </w:p>
        </w:tc>
        <w:tc>
          <w:tcPr>
            <w:tcW w:w="1559" w:type="dxa"/>
            <w:vMerge w:val="restart"/>
            <w:vAlign w:val="center"/>
          </w:tcPr>
          <w:p>
            <w:pPr>
              <w:jc w:val="center"/>
              <w:rPr>
                <w:b/>
                <w:sz w:val="20"/>
                <w:lang w:eastAsia="lt-LT"/>
              </w:rPr>
            </w:pPr>
            <w:r>
              <w:rPr>
                <w:b/>
                <w:sz w:val="20"/>
                <w:lang w:eastAsia="lt-LT"/>
              </w:rPr>
              <w:t xml:space="preserve">iš viso </w:t>
            </w:r>
            <w:r>
              <w:rPr>
                <w:rFonts w:ascii="Open Sans" w:hAnsi="Open Sans" w:cs="Helvetica"/>
                <w:sz w:val="20"/>
                <w:lang w:eastAsia="lt-LT"/>
              </w:rPr>
              <w:t>–</w:t>
            </w:r>
            <w:r>
              <w:rPr>
                <w:sz w:val="20"/>
                <w:lang w:eastAsia="lt-LT"/>
              </w:rPr>
              <w:t xml:space="preserve"> </w:t>
            </w:r>
            <w:r>
              <w:rPr>
                <w:b/>
                <w:sz w:val="20"/>
                <w:lang w:eastAsia="lt-LT"/>
              </w:rPr>
              <w:t xml:space="preserve">iki, </w:t>
            </w:r>
          </w:p>
          <w:p>
            <w:pPr>
              <w:jc w:val="center"/>
              <w:rPr>
                <w:b/>
                <w:sz w:val="20"/>
                <w:lang w:eastAsia="lt-LT"/>
              </w:rPr>
            </w:pPr>
            <w:r>
              <w:rPr>
                <w:b/>
                <w:sz w:val="20"/>
                <w:lang w:eastAsia="lt-LT"/>
              </w:rPr>
              <w:t>Eur</w:t>
            </w:r>
          </w:p>
        </w:tc>
        <w:tc>
          <w:tcPr>
            <w:tcW w:w="1134" w:type="dxa"/>
            <w:vMerge w:val="restart"/>
            <w:vAlign w:val="center"/>
          </w:tcPr>
          <w:p>
            <w:pPr>
              <w:jc w:val="center"/>
              <w:rPr>
                <w:b/>
                <w:sz w:val="20"/>
                <w:lang w:eastAsia="lt-LT"/>
              </w:rPr>
            </w:pPr>
            <w:r>
              <w:rPr>
                <w:b/>
                <w:sz w:val="20"/>
                <w:lang w:eastAsia="lt-LT"/>
              </w:rPr>
              <w:t>iš jų valstybės pagalba iki, Eur</w:t>
            </w:r>
          </w:p>
        </w:tc>
        <w:tc>
          <w:tcPr>
            <w:tcW w:w="992" w:type="dxa"/>
            <w:vMerge w:val="restart"/>
            <w:vAlign w:val="center"/>
          </w:tcPr>
          <w:p>
            <w:pPr>
              <w:jc w:val="center"/>
              <w:rPr>
                <w:b/>
                <w:sz w:val="20"/>
                <w:lang w:eastAsia="lt-LT"/>
              </w:rPr>
            </w:pPr>
            <w:r>
              <w:rPr>
                <w:b/>
                <w:sz w:val="20"/>
                <w:lang w:eastAsia="lt-LT"/>
              </w:rPr>
              <w:t xml:space="preserve">iš jų </w:t>
            </w:r>
            <w:r>
              <w:rPr>
                <w:b/>
                <w:i/>
                <w:sz w:val="20"/>
                <w:lang w:eastAsia="lt-LT"/>
              </w:rPr>
              <w:t xml:space="preserve">de minimis  </w:t>
            </w:r>
            <w:r>
              <w:rPr>
                <w:b/>
                <w:sz w:val="20"/>
                <w:lang w:eastAsia="lt-LT"/>
              </w:rPr>
              <w:t>pagalba iki, Eur</w:t>
            </w:r>
          </w:p>
        </w:tc>
        <w:tc>
          <w:tcPr>
            <w:tcW w:w="3119" w:type="dxa"/>
            <w:gridSpan w:val="2"/>
            <w:vAlign w:val="center"/>
          </w:tcPr>
          <w:p>
            <w:pPr>
              <w:jc w:val="center"/>
              <w:rPr>
                <w:b/>
                <w:sz w:val="20"/>
                <w:lang w:eastAsia="lt-LT"/>
              </w:rPr>
            </w:pPr>
            <w:r>
              <w:rPr>
                <w:b/>
                <w:sz w:val="20"/>
                <w:lang w:eastAsia="lt-LT"/>
              </w:rPr>
              <w:t>iš jų:</w:t>
            </w:r>
          </w:p>
        </w:tc>
      </w:tr>
      <w:tr>
        <w:tc>
          <w:tcPr>
            <w:tcW w:w="568" w:type="dxa"/>
            <w:vMerge/>
            <w:vAlign w:val="center"/>
          </w:tcPr>
          <w:p>
            <w:pPr>
              <w:jc w:val="center"/>
              <w:rPr>
                <w:szCs w:val="24"/>
                <w:lang w:eastAsia="lt-LT"/>
              </w:rPr>
            </w:pPr>
          </w:p>
        </w:tc>
        <w:tc>
          <w:tcPr>
            <w:tcW w:w="1134" w:type="dxa"/>
            <w:vMerge/>
            <w:vAlign w:val="center"/>
          </w:tcPr>
          <w:p>
            <w:pPr>
              <w:jc w:val="center"/>
              <w:rPr>
                <w:szCs w:val="24"/>
                <w:lang w:eastAsia="lt-LT"/>
              </w:rPr>
            </w:pPr>
          </w:p>
        </w:tc>
        <w:tc>
          <w:tcPr>
            <w:tcW w:w="1559" w:type="dxa"/>
            <w:vMerge/>
            <w:vAlign w:val="center"/>
          </w:tcPr>
          <w:p>
            <w:pPr>
              <w:jc w:val="center"/>
              <w:rPr>
                <w:szCs w:val="24"/>
                <w:lang w:eastAsia="lt-LT"/>
              </w:rPr>
            </w:pPr>
          </w:p>
        </w:tc>
        <w:tc>
          <w:tcPr>
            <w:tcW w:w="1417" w:type="dxa"/>
            <w:vMerge/>
            <w:vAlign w:val="center"/>
          </w:tcPr>
          <w:p>
            <w:pPr>
              <w:jc w:val="center"/>
              <w:rPr>
                <w:szCs w:val="24"/>
                <w:lang w:eastAsia="lt-LT"/>
              </w:rPr>
            </w:pPr>
          </w:p>
        </w:tc>
        <w:tc>
          <w:tcPr>
            <w:tcW w:w="1843" w:type="dxa"/>
            <w:vMerge/>
            <w:vAlign w:val="center"/>
          </w:tcPr>
          <w:p>
            <w:pPr>
              <w:jc w:val="center"/>
              <w:rPr>
                <w:b/>
                <w:sz w:val="20"/>
                <w:lang w:eastAsia="lt-LT"/>
              </w:rPr>
            </w:pPr>
          </w:p>
        </w:tc>
        <w:tc>
          <w:tcPr>
            <w:tcW w:w="1843" w:type="dxa"/>
            <w:vMerge/>
            <w:vAlign w:val="center"/>
          </w:tcPr>
          <w:p>
            <w:pPr>
              <w:jc w:val="center"/>
              <w:rPr>
                <w:szCs w:val="24"/>
                <w:lang w:eastAsia="lt-LT"/>
              </w:rPr>
            </w:pPr>
          </w:p>
        </w:tc>
        <w:tc>
          <w:tcPr>
            <w:tcW w:w="1559" w:type="dxa"/>
            <w:vMerge/>
            <w:vAlign w:val="center"/>
          </w:tcPr>
          <w:p>
            <w:pPr>
              <w:jc w:val="center"/>
              <w:rPr>
                <w:b/>
                <w:sz w:val="20"/>
                <w:lang w:eastAsia="lt-LT"/>
              </w:rPr>
            </w:pPr>
          </w:p>
        </w:tc>
        <w:tc>
          <w:tcPr>
            <w:tcW w:w="1134" w:type="dxa"/>
            <w:vMerge/>
            <w:vAlign w:val="center"/>
          </w:tcPr>
          <w:p>
            <w:pPr>
              <w:jc w:val="center"/>
              <w:rPr>
                <w:b/>
                <w:sz w:val="20"/>
                <w:lang w:eastAsia="lt-LT"/>
              </w:rPr>
            </w:pPr>
          </w:p>
        </w:tc>
        <w:tc>
          <w:tcPr>
            <w:tcW w:w="992" w:type="dxa"/>
            <w:vMerge/>
            <w:vAlign w:val="center"/>
          </w:tcPr>
          <w:p>
            <w:pPr>
              <w:jc w:val="center"/>
              <w:rPr>
                <w:b/>
                <w:sz w:val="20"/>
                <w:lang w:eastAsia="lt-LT"/>
              </w:rPr>
            </w:pPr>
          </w:p>
        </w:tc>
        <w:tc>
          <w:tcPr>
            <w:tcW w:w="1560" w:type="dxa"/>
            <w:vAlign w:val="center"/>
          </w:tcPr>
          <w:p>
            <w:pPr>
              <w:jc w:val="center"/>
              <w:rPr>
                <w:b/>
                <w:sz w:val="20"/>
                <w:lang w:eastAsia="lt-LT"/>
              </w:rPr>
            </w:pPr>
            <w:r>
              <w:rPr>
                <w:b/>
                <w:sz w:val="20"/>
                <w:lang w:eastAsia="lt-LT"/>
              </w:rPr>
              <w:t>Europos Sąjungos struktūrinių fondų lėšos iki, Eur</w:t>
            </w:r>
          </w:p>
        </w:tc>
        <w:tc>
          <w:tcPr>
            <w:tcW w:w="1559" w:type="dxa"/>
            <w:vAlign w:val="center"/>
          </w:tcPr>
          <w:p>
            <w:pPr>
              <w:jc w:val="center"/>
              <w:rPr>
                <w:b/>
                <w:sz w:val="20"/>
                <w:lang w:eastAsia="lt-LT"/>
              </w:rPr>
            </w:pPr>
            <w:r>
              <w:rPr>
                <w:b/>
                <w:sz w:val="20"/>
                <w:lang w:eastAsia="lt-LT"/>
              </w:rPr>
              <w:t>Lietuvos Respublikos valstybės biudžeto lėšos iki, Eur</w:t>
            </w:r>
          </w:p>
        </w:tc>
      </w:tr>
      <w:tr>
        <w:tc>
          <w:tcPr>
            <w:tcW w:w="568" w:type="dxa"/>
          </w:tcPr>
          <w:p>
            <w:pPr>
              <w:jc w:val="center"/>
              <w:rPr>
                <w:szCs w:val="24"/>
                <w:lang w:eastAsia="lt-LT"/>
              </w:rPr>
            </w:pPr>
            <w:r>
              <w:rPr>
                <w:szCs w:val="24"/>
                <w:lang w:eastAsia="lt-LT"/>
              </w:rPr>
              <w:t>1</w:t>
            </w:r>
          </w:p>
        </w:tc>
        <w:tc>
          <w:tcPr>
            <w:tcW w:w="1134" w:type="dxa"/>
          </w:tcPr>
          <w:p>
            <w:pPr>
              <w:jc w:val="center"/>
              <w:rPr>
                <w:szCs w:val="24"/>
                <w:lang w:eastAsia="lt-LT"/>
              </w:rPr>
            </w:pPr>
            <w:r>
              <w:rPr>
                <w:szCs w:val="24"/>
                <w:lang w:eastAsia="lt-LT"/>
              </w:rPr>
              <w:t>2</w:t>
            </w:r>
          </w:p>
        </w:tc>
        <w:tc>
          <w:tcPr>
            <w:tcW w:w="1559" w:type="dxa"/>
          </w:tcPr>
          <w:p>
            <w:pPr>
              <w:jc w:val="center"/>
              <w:rPr>
                <w:szCs w:val="24"/>
                <w:lang w:eastAsia="lt-LT"/>
              </w:rPr>
            </w:pPr>
            <w:r>
              <w:rPr>
                <w:szCs w:val="24"/>
                <w:lang w:eastAsia="lt-LT"/>
              </w:rPr>
              <w:t>3</w:t>
            </w:r>
          </w:p>
        </w:tc>
        <w:tc>
          <w:tcPr>
            <w:tcW w:w="1417" w:type="dxa"/>
          </w:tcPr>
          <w:p>
            <w:pPr>
              <w:jc w:val="center"/>
              <w:rPr>
                <w:szCs w:val="24"/>
                <w:lang w:eastAsia="lt-LT"/>
              </w:rPr>
            </w:pPr>
            <w:r>
              <w:rPr>
                <w:szCs w:val="24"/>
                <w:lang w:eastAsia="lt-LT"/>
              </w:rPr>
              <w:t>4</w:t>
            </w:r>
          </w:p>
        </w:tc>
        <w:tc>
          <w:tcPr>
            <w:tcW w:w="1843" w:type="dxa"/>
          </w:tcPr>
          <w:p>
            <w:pPr>
              <w:jc w:val="center"/>
              <w:rPr>
                <w:szCs w:val="24"/>
                <w:lang w:eastAsia="lt-LT"/>
              </w:rPr>
            </w:pPr>
            <w:r>
              <w:rPr>
                <w:szCs w:val="24"/>
                <w:lang w:eastAsia="lt-LT"/>
              </w:rPr>
              <w:t>5</w:t>
            </w:r>
          </w:p>
        </w:tc>
        <w:tc>
          <w:tcPr>
            <w:tcW w:w="1843" w:type="dxa"/>
          </w:tcPr>
          <w:p>
            <w:pPr>
              <w:jc w:val="center"/>
              <w:rPr>
                <w:szCs w:val="24"/>
                <w:lang w:eastAsia="lt-LT"/>
              </w:rPr>
            </w:pPr>
            <w:r>
              <w:rPr>
                <w:szCs w:val="24"/>
                <w:lang w:eastAsia="lt-LT"/>
              </w:rPr>
              <w:t>6</w:t>
            </w:r>
          </w:p>
        </w:tc>
        <w:tc>
          <w:tcPr>
            <w:tcW w:w="1559" w:type="dxa"/>
          </w:tcPr>
          <w:p>
            <w:pPr>
              <w:jc w:val="center"/>
              <w:rPr>
                <w:szCs w:val="24"/>
                <w:lang w:eastAsia="lt-LT"/>
              </w:rPr>
            </w:pPr>
            <w:r>
              <w:rPr>
                <w:szCs w:val="24"/>
                <w:lang w:eastAsia="lt-LT"/>
              </w:rPr>
              <w:t>7</w:t>
            </w:r>
          </w:p>
        </w:tc>
        <w:tc>
          <w:tcPr>
            <w:tcW w:w="1134" w:type="dxa"/>
          </w:tcPr>
          <w:p>
            <w:pPr>
              <w:jc w:val="center"/>
              <w:rPr>
                <w:szCs w:val="24"/>
                <w:lang w:eastAsia="lt-LT"/>
              </w:rPr>
            </w:pPr>
            <w:r>
              <w:rPr>
                <w:szCs w:val="24"/>
                <w:lang w:eastAsia="lt-LT"/>
              </w:rPr>
              <w:t>8</w:t>
            </w:r>
          </w:p>
        </w:tc>
        <w:tc>
          <w:tcPr>
            <w:tcW w:w="992" w:type="dxa"/>
          </w:tcPr>
          <w:p>
            <w:pPr>
              <w:jc w:val="center"/>
              <w:rPr>
                <w:szCs w:val="24"/>
                <w:lang w:eastAsia="lt-LT"/>
              </w:rPr>
            </w:pPr>
            <w:r>
              <w:rPr>
                <w:szCs w:val="24"/>
                <w:lang w:eastAsia="lt-LT"/>
              </w:rPr>
              <w:t>9</w:t>
            </w:r>
          </w:p>
        </w:tc>
        <w:tc>
          <w:tcPr>
            <w:tcW w:w="1560" w:type="dxa"/>
          </w:tcPr>
          <w:p>
            <w:pPr>
              <w:jc w:val="center"/>
              <w:rPr>
                <w:szCs w:val="24"/>
                <w:lang w:eastAsia="lt-LT"/>
              </w:rPr>
            </w:pPr>
            <w:r>
              <w:rPr>
                <w:szCs w:val="24"/>
                <w:lang w:eastAsia="lt-LT"/>
              </w:rPr>
              <w:t>10</w:t>
            </w:r>
          </w:p>
        </w:tc>
        <w:tc>
          <w:tcPr>
            <w:tcW w:w="1559" w:type="dxa"/>
          </w:tcPr>
          <w:p>
            <w:pPr>
              <w:jc w:val="center"/>
              <w:rPr>
                <w:szCs w:val="24"/>
                <w:lang w:eastAsia="lt-LT"/>
              </w:rPr>
            </w:pPr>
            <w:r>
              <w:rPr>
                <w:szCs w:val="24"/>
                <w:lang w:eastAsia="lt-LT"/>
              </w:rPr>
              <w:t>11</w:t>
            </w:r>
          </w:p>
        </w:tc>
      </w:tr>
      <w:tr>
        <w:tc>
          <w:tcPr>
            <w:tcW w:w="568" w:type="dxa"/>
          </w:tcPr>
          <w:p>
            <w:pPr>
              <w:jc w:val="both"/>
              <w:rPr>
                <w:szCs w:val="24"/>
                <w:lang w:eastAsia="lt-LT"/>
              </w:rPr>
            </w:pPr>
            <w:r>
              <w:rPr>
                <w:szCs w:val="24"/>
                <w:lang w:eastAsia="lt-LT"/>
              </w:rPr>
              <w:t>1.</w:t>
            </w:r>
          </w:p>
        </w:tc>
        <w:tc>
          <w:tcPr>
            <w:tcW w:w="1134" w:type="dxa"/>
          </w:tcPr>
          <w:p>
            <w:pPr>
              <w:jc w:val="both"/>
              <w:rPr>
                <w:szCs w:val="24"/>
                <w:lang w:eastAsia="lt-LT"/>
              </w:rPr>
            </w:pPr>
            <w:r>
              <w:rPr>
                <w:szCs w:val="24"/>
                <w:lang w:eastAsia="lt-LT"/>
              </w:rPr>
              <w:t>02.3.1-CPVA-V-526-01-0006</w:t>
            </w:r>
          </w:p>
        </w:tc>
        <w:tc>
          <w:tcPr>
            <w:tcW w:w="1559" w:type="dxa"/>
          </w:tcPr>
          <w:p>
            <w:pPr>
              <w:jc w:val="both"/>
              <w:rPr>
                <w:szCs w:val="24"/>
                <w:lang w:eastAsia="lt-LT"/>
              </w:rPr>
            </w:pPr>
            <w:r>
              <w:rPr>
                <w:szCs w:val="24"/>
                <w:lang w:eastAsia="lt-LT"/>
              </w:rPr>
              <w:t>Lietuvos vyriausiojo archyvaro tarnyba</w:t>
            </w:r>
          </w:p>
        </w:tc>
        <w:tc>
          <w:tcPr>
            <w:tcW w:w="1417" w:type="dxa"/>
          </w:tcPr>
          <w:p>
            <w:pPr>
              <w:jc w:val="both"/>
              <w:rPr>
                <w:szCs w:val="24"/>
                <w:lang w:eastAsia="lt-LT"/>
              </w:rPr>
            </w:pPr>
            <w:r>
              <w:rPr>
                <w:szCs w:val="24"/>
                <w:lang w:eastAsia="lt-LT"/>
              </w:rPr>
              <w:t>188697087</w:t>
            </w:r>
          </w:p>
        </w:tc>
        <w:tc>
          <w:tcPr>
            <w:tcW w:w="1843" w:type="dxa"/>
          </w:tcPr>
          <w:p>
            <w:pPr>
              <w:jc w:val="both"/>
              <w:rPr>
                <w:szCs w:val="24"/>
                <w:lang w:eastAsia="lt-LT"/>
              </w:rPr>
            </w:pPr>
            <w:r>
              <w:rPr>
                <w:szCs w:val="24"/>
                <w:lang w:eastAsia="lt-LT"/>
              </w:rPr>
              <w:t>Elektroninės paslaugos EAIS „Skaitmeninė skaitykla“ sukūrimas</w:t>
            </w:r>
          </w:p>
        </w:tc>
        <w:tc>
          <w:tcPr>
            <w:tcW w:w="1843" w:type="dxa"/>
          </w:tcPr>
          <w:p>
            <w:pPr>
              <w:jc w:val="both"/>
              <w:rPr>
                <w:szCs w:val="24"/>
                <w:lang w:eastAsia="lt-LT"/>
              </w:rPr>
            </w:pPr>
            <w:r>
              <w:rPr>
                <w:szCs w:val="24"/>
                <w:lang w:eastAsia="lt-LT"/>
              </w:rPr>
              <w:t>-</w:t>
            </w:r>
          </w:p>
        </w:tc>
        <w:tc>
          <w:tcPr>
            <w:tcW w:w="1559" w:type="dxa"/>
          </w:tcPr>
          <w:p>
            <w:pPr>
              <w:jc w:val="both"/>
              <w:rPr>
                <w:szCs w:val="24"/>
                <w:lang w:eastAsia="lt-LT"/>
              </w:rPr>
            </w:pPr>
            <w:r>
              <w:rPr>
                <w:szCs w:val="24"/>
                <w:lang w:eastAsia="lt-LT"/>
              </w:rPr>
              <w:t>2 916 307,99</w:t>
            </w:r>
          </w:p>
        </w:tc>
        <w:tc>
          <w:tcPr>
            <w:tcW w:w="1134" w:type="dxa"/>
          </w:tcPr>
          <w:p>
            <w:pPr>
              <w:jc w:val="both"/>
              <w:rPr>
                <w:szCs w:val="24"/>
                <w:lang w:eastAsia="lt-LT"/>
              </w:rPr>
            </w:pPr>
            <w:r>
              <w:rPr>
                <w:szCs w:val="24"/>
                <w:lang w:eastAsia="lt-LT"/>
              </w:rPr>
              <w:t>-</w:t>
            </w:r>
          </w:p>
        </w:tc>
        <w:tc>
          <w:tcPr>
            <w:tcW w:w="992" w:type="dxa"/>
          </w:tcPr>
          <w:p>
            <w:pPr>
              <w:jc w:val="both"/>
              <w:rPr>
                <w:szCs w:val="24"/>
                <w:lang w:eastAsia="lt-LT"/>
              </w:rPr>
            </w:pPr>
            <w:r>
              <w:rPr>
                <w:szCs w:val="24"/>
                <w:lang w:eastAsia="lt-LT"/>
              </w:rPr>
              <w:t>-</w:t>
            </w:r>
          </w:p>
        </w:tc>
        <w:tc>
          <w:tcPr>
            <w:tcW w:w="1560" w:type="dxa"/>
          </w:tcPr>
          <w:p>
            <w:pPr>
              <w:jc w:val="both"/>
              <w:rPr>
                <w:szCs w:val="24"/>
                <w:lang w:eastAsia="lt-LT"/>
              </w:rPr>
            </w:pPr>
            <w:r>
              <w:rPr>
                <w:szCs w:val="24"/>
                <w:lang w:eastAsia="lt-LT"/>
              </w:rPr>
              <w:t>2 478 861,79</w:t>
            </w:r>
          </w:p>
          <w:p>
            <w:pPr>
              <w:jc w:val="both"/>
              <w:rPr>
                <w:szCs w:val="24"/>
                <w:lang w:eastAsia="lt-LT"/>
              </w:rPr>
            </w:pPr>
          </w:p>
        </w:tc>
        <w:tc>
          <w:tcPr>
            <w:tcW w:w="1559" w:type="dxa"/>
          </w:tcPr>
          <w:p>
            <w:pPr>
              <w:jc w:val="both"/>
              <w:rPr>
                <w:szCs w:val="24"/>
                <w:lang w:eastAsia="lt-LT"/>
              </w:rPr>
            </w:pPr>
            <w:r>
              <w:rPr>
                <w:szCs w:val="24"/>
                <w:lang w:eastAsia="lt-LT"/>
              </w:rPr>
              <w:t>437 446,20</w:t>
            </w:r>
          </w:p>
          <w:p>
            <w:pPr>
              <w:jc w:val="both"/>
              <w:rPr>
                <w:szCs w:val="24"/>
                <w:lang w:eastAsia="lt-LT"/>
              </w:rPr>
            </w:pPr>
          </w:p>
        </w:tc>
      </w:tr>
      <w:tr>
        <w:trPr>
          <w:trHeight w:val="852"/>
        </w:trPr>
        <w:tc>
          <w:tcPr>
            <w:tcW w:w="568" w:type="dxa"/>
          </w:tcPr>
          <w:p>
            <w:pPr>
              <w:jc w:val="both"/>
              <w:rPr>
                <w:szCs w:val="24"/>
                <w:lang w:eastAsia="lt-LT"/>
              </w:rPr>
            </w:pPr>
            <w:r>
              <w:rPr>
                <w:szCs w:val="24"/>
                <w:lang w:eastAsia="lt-LT"/>
              </w:rPr>
              <w:t>2.</w:t>
            </w:r>
          </w:p>
        </w:tc>
        <w:tc>
          <w:tcPr>
            <w:tcW w:w="1134" w:type="dxa"/>
          </w:tcPr>
          <w:p>
            <w:pPr>
              <w:jc w:val="both"/>
              <w:rPr>
                <w:szCs w:val="24"/>
                <w:lang w:eastAsia="lt-LT"/>
              </w:rPr>
            </w:pPr>
            <w:r>
              <w:rPr>
                <w:szCs w:val="24"/>
                <w:lang w:eastAsia="lt-LT"/>
              </w:rPr>
              <w:t>02.3.1-CPVA-V-526-01-0007</w:t>
            </w:r>
          </w:p>
        </w:tc>
        <w:tc>
          <w:tcPr>
            <w:tcW w:w="1559" w:type="dxa"/>
          </w:tcPr>
          <w:p>
            <w:pPr>
              <w:jc w:val="both"/>
              <w:rPr>
                <w:szCs w:val="24"/>
                <w:lang w:eastAsia="lt-LT"/>
              </w:rPr>
            </w:pPr>
            <w:r>
              <w:rPr>
                <w:szCs w:val="24"/>
                <w:lang w:eastAsia="lt-LT"/>
              </w:rPr>
              <w:t xml:space="preserve">Lietuvos centrinis valstybės archyvas </w:t>
            </w:r>
          </w:p>
        </w:tc>
        <w:tc>
          <w:tcPr>
            <w:tcW w:w="1417" w:type="dxa"/>
          </w:tcPr>
          <w:p>
            <w:pPr>
              <w:jc w:val="both"/>
              <w:rPr>
                <w:szCs w:val="24"/>
                <w:lang w:eastAsia="lt-LT"/>
              </w:rPr>
            </w:pPr>
            <w:r>
              <w:rPr>
                <w:szCs w:val="24"/>
                <w:lang w:eastAsia="lt-LT"/>
              </w:rPr>
              <w:t>190764187</w:t>
            </w:r>
          </w:p>
        </w:tc>
        <w:tc>
          <w:tcPr>
            <w:tcW w:w="1843" w:type="dxa"/>
          </w:tcPr>
          <w:p>
            <w:pPr>
              <w:jc w:val="both"/>
              <w:rPr>
                <w:szCs w:val="24"/>
                <w:lang w:eastAsia="lt-LT"/>
              </w:rPr>
            </w:pPr>
            <w:r>
              <w:rPr>
                <w:szCs w:val="24"/>
                <w:lang w:eastAsia="lt-LT"/>
              </w:rPr>
              <w:t xml:space="preserve">Informacinės sistemos </w:t>
              <w:br/>
              <w:t>E-KINAS modernizavimas ir plėtra</w:t>
            </w:r>
          </w:p>
        </w:tc>
        <w:tc>
          <w:tcPr>
            <w:tcW w:w="1843" w:type="dxa"/>
          </w:tcPr>
          <w:p>
            <w:pPr>
              <w:jc w:val="both"/>
              <w:rPr>
                <w:szCs w:val="24"/>
                <w:lang w:eastAsia="lt-LT"/>
              </w:rPr>
            </w:pPr>
            <w:r>
              <w:rPr>
                <w:szCs w:val="24"/>
                <w:lang w:eastAsia="lt-LT"/>
              </w:rPr>
              <w:t>-</w:t>
            </w:r>
          </w:p>
        </w:tc>
        <w:tc>
          <w:tcPr>
            <w:tcW w:w="1559" w:type="dxa"/>
          </w:tcPr>
          <w:p>
            <w:pPr>
              <w:jc w:val="both"/>
              <w:rPr>
                <w:szCs w:val="24"/>
                <w:highlight w:val="yellow"/>
                <w:lang w:eastAsia="lt-LT"/>
              </w:rPr>
            </w:pPr>
            <w:r>
              <w:rPr>
                <w:szCs w:val="24"/>
                <w:lang w:eastAsia="lt-LT"/>
              </w:rPr>
              <w:t>3 411 322,57</w:t>
            </w:r>
          </w:p>
        </w:tc>
        <w:tc>
          <w:tcPr>
            <w:tcW w:w="1134" w:type="dxa"/>
          </w:tcPr>
          <w:p>
            <w:pPr>
              <w:jc w:val="both"/>
              <w:rPr>
                <w:szCs w:val="24"/>
                <w:lang w:eastAsia="lt-LT"/>
              </w:rPr>
            </w:pPr>
            <w:r>
              <w:rPr>
                <w:szCs w:val="24"/>
                <w:lang w:eastAsia="lt-LT"/>
              </w:rPr>
              <w:t>-</w:t>
            </w:r>
          </w:p>
        </w:tc>
        <w:tc>
          <w:tcPr>
            <w:tcW w:w="992" w:type="dxa"/>
          </w:tcPr>
          <w:p>
            <w:pPr>
              <w:jc w:val="both"/>
              <w:rPr>
                <w:szCs w:val="24"/>
                <w:lang w:eastAsia="lt-LT"/>
              </w:rPr>
            </w:pPr>
            <w:r>
              <w:rPr>
                <w:szCs w:val="24"/>
                <w:lang w:eastAsia="lt-LT"/>
              </w:rPr>
              <w:t>-</w:t>
            </w:r>
          </w:p>
        </w:tc>
        <w:tc>
          <w:tcPr>
            <w:tcW w:w="1560" w:type="dxa"/>
          </w:tcPr>
          <w:p>
            <w:pPr>
              <w:jc w:val="both"/>
              <w:rPr>
                <w:szCs w:val="24"/>
                <w:highlight w:val="yellow"/>
                <w:lang w:eastAsia="lt-LT"/>
              </w:rPr>
            </w:pPr>
            <w:r>
              <w:rPr>
                <w:szCs w:val="24"/>
                <w:lang w:eastAsia="lt-LT"/>
              </w:rPr>
              <w:t>2 899 624,18</w:t>
            </w:r>
          </w:p>
        </w:tc>
        <w:tc>
          <w:tcPr>
            <w:tcW w:w="1559" w:type="dxa"/>
          </w:tcPr>
          <w:p>
            <w:pPr>
              <w:jc w:val="both"/>
              <w:rPr>
                <w:szCs w:val="24"/>
                <w:lang w:eastAsia="lt-LT"/>
              </w:rPr>
            </w:pPr>
            <w:r>
              <w:rPr>
                <w:szCs w:val="24"/>
                <w:lang w:eastAsia="lt-LT"/>
              </w:rPr>
              <w:t>511 698,39</w:t>
            </w:r>
          </w:p>
          <w:p>
            <w:pPr>
              <w:jc w:val="both"/>
              <w:rPr>
                <w:szCs w:val="24"/>
                <w:lang w:eastAsia="lt-LT"/>
              </w:rPr>
            </w:pPr>
          </w:p>
        </w:tc>
      </w:tr>
      <w:tr>
        <w:trPr>
          <w:trHeight w:val="481"/>
        </w:trPr>
        <w:tc>
          <w:tcPr>
            <w:tcW w:w="8364" w:type="dxa"/>
            <w:gridSpan w:val="6"/>
          </w:tcPr>
          <w:p>
            <w:pPr>
              <w:jc w:val="right"/>
              <w:rPr>
                <w:b/>
                <w:szCs w:val="24"/>
                <w:lang w:eastAsia="lt-LT"/>
              </w:rPr>
            </w:pPr>
            <w:r>
              <w:rPr>
                <w:b/>
                <w:szCs w:val="24"/>
                <w:lang w:eastAsia="lt-LT"/>
              </w:rPr>
              <w:t>Iš viso:</w:t>
            </w:r>
          </w:p>
        </w:tc>
        <w:tc>
          <w:tcPr>
            <w:tcW w:w="1559" w:type="dxa"/>
          </w:tcPr>
          <w:p>
            <w:pPr>
              <w:jc w:val="both"/>
              <w:rPr>
                <w:b/>
                <w:szCs w:val="24"/>
                <w:lang w:eastAsia="lt-LT"/>
              </w:rPr>
            </w:pPr>
            <w:r>
              <w:rPr>
                <w:b/>
                <w:szCs w:val="24"/>
                <w:lang w:eastAsia="lt-LT"/>
              </w:rPr>
              <w:t>6 327 630,56</w:t>
            </w:r>
          </w:p>
        </w:tc>
        <w:tc>
          <w:tcPr>
            <w:tcW w:w="1134" w:type="dxa"/>
          </w:tcPr>
          <w:p>
            <w:pPr>
              <w:jc w:val="both"/>
              <w:rPr>
                <w:b/>
                <w:szCs w:val="24"/>
                <w:lang w:eastAsia="lt-LT"/>
              </w:rPr>
            </w:pPr>
            <w:r>
              <w:rPr>
                <w:b/>
                <w:szCs w:val="24"/>
                <w:lang w:eastAsia="lt-LT"/>
              </w:rPr>
              <w:t>-</w:t>
            </w:r>
          </w:p>
        </w:tc>
        <w:tc>
          <w:tcPr>
            <w:tcW w:w="992" w:type="dxa"/>
          </w:tcPr>
          <w:p>
            <w:pPr>
              <w:jc w:val="both"/>
              <w:rPr>
                <w:b/>
                <w:szCs w:val="24"/>
                <w:lang w:eastAsia="lt-LT"/>
              </w:rPr>
            </w:pPr>
            <w:r>
              <w:rPr>
                <w:b/>
                <w:szCs w:val="24"/>
                <w:lang w:eastAsia="lt-LT"/>
              </w:rPr>
              <w:t>-</w:t>
            </w:r>
          </w:p>
        </w:tc>
        <w:tc>
          <w:tcPr>
            <w:tcW w:w="1560" w:type="dxa"/>
          </w:tcPr>
          <w:p>
            <w:pPr>
              <w:jc w:val="both"/>
              <w:rPr>
                <w:b/>
                <w:szCs w:val="24"/>
                <w:lang w:eastAsia="lt-LT"/>
              </w:rPr>
            </w:pPr>
            <w:r>
              <w:rPr>
                <w:b/>
                <w:szCs w:val="24"/>
                <w:lang w:eastAsia="lt-LT"/>
              </w:rPr>
              <w:t>5 378 485,97</w:t>
            </w:r>
          </w:p>
        </w:tc>
        <w:tc>
          <w:tcPr>
            <w:tcW w:w="1559" w:type="dxa"/>
          </w:tcPr>
          <w:p>
            <w:pPr>
              <w:jc w:val="both"/>
              <w:rPr>
                <w:b/>
                <w:szCs w:val="24"/>
                <w:lang w:eastAsia="lt-LT"/>
              </w:rPr>
            </w:pPr>
            <w:r>
              <w:rPr>
                <w:b/>
                <w:szCs w:val="24"/>
                <w:lang w:eastAsia="lt-LT"/>
              </w:rPr>
              <w:t>949 144,59</w:t>
            </w:r>
          </w:p>
        </w:tc>
      </w:tr>
    </w:tbl>
    <w:p>
      <w:pPr>
        <w:rPr>
          <w:color w:val="000000"/>
          <w:szCs w:val="24"/>
          <w:lang w:eastAsia="zh-TW"/>
        </w:rPr>
      </w:pPr>
    </w:p>
    <w:p>
      <w:pPr>
        <w:jc w:val="center"/>
        <w:rPr>
          <w:sz w:val="20"/>
          <w:lang w:eastAsia="lt-LT"/>
        </w:rPr>
      </w:pPr>
      <w:r>
        <w:rPr>
          <w:color w:val="000000"/>
          <w:szCs w:val="24"/>
          <w:lang w:eastAsia="zh-TW"/>
        </w:rPr>
        <w:t>____________________________________________________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168e2091ca11e9ae2e9d61b1f977b3">
        <w:r w:rsidRPr="00532B9F">
          <w:rPr>
            <w:rFonts w:ascii="Times New Roman" w:eastAsia="MS Mincho" w:hAnsi="Times New Roman"/>
            <w:sz w:val="20"/>
            <w:i/>
            <w:iCs/>
            <w:color w:val="0000FF" w:themeColor="hyperlink"/>
            <w:u w:val="single"/>
          </w:rPr>
          <w:t>3-292</w:t>
        </w:r>
      </w:fldSimple>
      <w:r>
        <w:rPr>
          <w:rFonts w:ascii="Times New Roman" w:eastAsia="MS Mincho" w:hAnsi="Times New Roman"/>
          <w:sz w:val="20"/>
          <w:i/>
          <w:iCs/>
        </w:rPr>
        <w:t>,
2019-06-18,
paskelbta TAR 2019-06-18, i. k. 2019-09796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40aa50895011eab005936df725feed">
        <w:r w:rsidRPr="00532B9F">
          <w:rPr>
            <w:rFonts w:ascii="Times New Roman" w:eastAsia="MS Mincho" w:hAnsi="Times New Roman"/>
            <w:sz w:val="20"/>
            <w:i/>
            <w:iCs/>
            <w:color w:val="0000FF" w:themeColor="hyperlink"/>
            <w:u w:val="single"/>
          </w:rPr>
          <w:t>3-251</w:t>
        </w:r>
      </w:fldSimple>
      <w:r>
        <w:rPr>
          <w:rFonts w:ascii="Times New Roman" w:eastAsia="MS Mincho" w:hAnsi="Times New Roman"/>
          <w:sz w:val="20"/>
          <w:i/>
          <w:iCs/>
        </w:rPr>
        <w:t>,
2020-04-28,
paskelbta TAR 2020-04-28, i. k. 2020-08904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168e2091ca11e9ae2e9d61b1f977b3">
        <w:r w:rsidRPr="00532B9F">
          <w:rPr>
            <w:rFonts w:ascii="Times New Roman" w:eastAsia="MS Mincho" w:hAnsi="Times New Roman"/>
            <w:sz w:val="20"/>
            <w:iCs/>
            <w:color w:val="0000FF" w:themeColor="hyperlink"/>
            <w:u w:val="single"/>
          </w:rPr>
          <w:t>3-292</w:t>
        </w:r>
      </w:fldSimple>
      <w:r>
        <w:rPr>
          <w:rFonts w:ascii="Times New Roman" w:eastAsia="MS Mincho" w:hAnsi="Times New Roman"/>
          <w:sz w:val="20"/>
          <w:iCs/>
        </w:rPr>
        <w:t>,
2019-06-18,
paskelbta TAR 2019-06-18, i. k. 2019-09796                </w:t>
      </w:r>
    </w:p>
    <w:p>
      <w:pPr>
        <w:jc w:val="both"/>
        <w:rPr>
          <w:rFonts w:ascii="Times New Roman" w:hAnsi="Times New Roman"/>
        </w:rPr>
      </w:pPr>
      <w:r>
        <w:rPr>
          <w:rFonts w:ascii="Times New Roman" w:hAnsi="Times New Roman"/>
          <w:sz w:val="20"/>
        </w:rPr>
        <w:t>Dėl Lietuvos Respublikos susisiekimo ministro 2018 m. rugsėjo 25 d. įsakymo Nr. 3-479 „Dėl finansavimo skyrimo projektams Nr. 02.3.1-CPVA-V-526-01-0006 „Elektroninės paslaugos EAIS „Skaitmeninė skaitykla“ sukūrimas“ ir Nr. 02.3.1-CPVA-V-526-01-0007 „Informacinės sistemos E-kinas modernizavimas ir plėtra“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340aa50895011eab005936df725feed">
        <w:r w:rsidRPr="00532B9F">
          <w:rPr>
            <w:rFonts w:ascii="Times New Roman" w:eastAsia="MS Mincho" w:hAnsi="Times New Roman"/>
            <w:sz w:val="20"/>
            <w:iCs/>
            <w:color w:val="0000FF" w:themeColor="hyperlink"/>
            <w:u w:val="single"/>
          </w:rPr>
          <w:t>3-251</w:t>
        </w:r>
      </w:fldSimple>
      <w:r>
        <w:rPr>
          <w:rFonts w:ascii="Times New Roman" w:eastAsia="MS Mincho" w:hAnsi="Times New Roman"/>
          <w:sz w:val="20"/>
          <w:iCs/>
        </w:rPr>
        <w:t>,
2020-04-28,
paskelbta TAR 2020-04-28, i. k. 2020-08904                </w:t>
      </w:r>
    </w:p>
    <w:p>
      <w:pPr>
        <w:jc w:val="both"/>
        <w:rPr>
          <w:rFonts w:ascii="Times New Roman" w:hAnsi="Times New Roman"/>
        </w:rPr>
      </w:pPr>
      <w:r>
        <w:rPr>
          <w:rFonts w:ascii="Times New Roman" w:hAnsi="Times New Roman"/>
          <w:sz w:val="20"/>
        </w:rPr>
        <w:t>Dėl Lietuvos Respublikos susisiekimo ministro 2018 m. rugsėjo 25 d. įsakymo Nr. 3-479 „Dėl finansavimo skyrimo projektams Nr. 02.3.1-CPVA-V-526-01-0006 „Elektroninės paslaugos EAIS „Skaitmeninė skaitykla“ sukūrimas“ ir Nr. 02.3.1-CPVA-V-526-01-0007 „Informacinės sistemos E-KINAS modernizavimas ir plėtra“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536" w:bottom="567" w:left="1134"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DejaVu Sans Condensed"/>
    <w:charset w:val="BA"/>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6</w:t>
    </w:r>
    <w:r>
      <w:rPr>
        <w:sz w:val="20"/>
        <w:lang w:eastAsia="lt-LT"/>
      </w:rPr>
      <w:fldChar w:fldCharType="end"/>
    </w:r>
  </w:p>
  <w:p>
    <w:pPr>
      <w:tabs>
        <w:tab w:val="center" w:pos="4819"/>
        <w:tab w:val="right" w:pos="9638"/>
      </w:tabs>
      <w:rPr>
        <w:sz w:val="20"/>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2</w:t>
    </w:r>
    <w:r>
      <w:rPr>
        <w:sz w:val="20"/>
        <w:lang w:eastAsia="lt-LT"/>
      </w:rPr>
      <w:fldChar w:fldCharType="end"/>
    </w:r>
  </w:p>
  <w:p>
    <w:pPr>
      <w:tabs>
        <w:tab w:val="center" w:pos="4819"/>
        <w:tab w:val="right" w:pos="9638"/>
      </w:tabs>
      <w:rPr>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2</w:t>
    </w:r>
    <w:r>
      <w:rPr>
        <w:sz w:val="20"/>
        <w:lang w:eastAsia="lt-LT"/>
      </w:rPr>
      <w:fldChar w:fldCharType="end"/>
    </w:r>
  </w:p>
  <w:p>
    <w:pPr>
      <w:tabs>
        <w:tab w:val="center" w:pos="4819"/>
        <w:tab w:val="right" w:pos="9638"/>
      </w:tabs>
      <w:rPr>
        <w:sz w:val="20"/>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5</w:t>
    </w:r>
    <w:r>
      <w:rPr>
        <w:sz w:val="20"/>
        <w:lang w:eastAsia="lt-LT"/>
      </w:rPr>
      <w:fldChar w:fldCharType="end"/>
    </w:r>
  </w:p>
  <w:p>
    <w:pPr>
      <w:tabs>
        <w:tab w:val="center" w:pos="4819"/>
        <w:tab w:val="right" w:pos="9638"/>
      </w:tabs>
      <w:rPr>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0"/>
  <w:defaultTabStop w:val="1296"/>
  <w:hyphenationZone w:val="396"/>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D7"/>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4B24F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3965175">
      <w:bodyDiv w:val="1"/>
      <w:marLeft w:val="0"/>
      <w:marRight w:val="0"/>
      <w:marTop w:val="0"/>
      <w:marBottom w:val="0"/>
      <w:divBdr>
        <w:top w:val="none" w:sz="0" w:space="0" w:color="auto"/>
        <w:left w:val="none" w:sz="0" w:space="0" w:color="auto"/>
        <w:bottom w:val="none" w:sz="0" w:space="0" w:color="auto"/>
        <w:right w:val="none" w:sz="0" w:space="0" w:color="auto"/>
      </w:divBdr>
    </w:div>
    <w:div w:id="5946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oleObject" Target="embeddings/oleObject3.bin"/>
  <Relationship Id="rId17" Type="http://schemas.openxmlformats.org/officeDocument/2006/relationships/header" Target="header10.xml"/>
  <Relationship Id="rId18" Type="http://schemas.openxmlformats.org/officeDocument/2006/relationships/header" Target="header11.xml"/>
  <Relationship Id="rId19" Type="http://schemas.openxmlformats.org/officeDocument/2006/relationships/footer" Target="footer10.xml"/>
  <Relationship Id="rId2" Type="http://schemas.openxmlformats.org/officeDocument/2006/relationships/fontTable" Target="fontTable.xml"/>
  <Relationship Id="rId20" Type="http://schemas.openxmlformats.org/officeDocument/2006/relationships/footer" Target="footer11.xml"/>
  <Relationship Id="rId21" Type="http://schemas.openxmlformats.org/officeDocument/2006/relationships/header" Target="header12.xml"/>
  <Relationship Id="rId22" Type="http://schemas.openxmlformats.org/officeDocument/2006/relationships/footer" Target="footer1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0D6D8A44-EEB2-4A0B-8A43-472D85C45839}"/>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27"/>
    <w:rsid w:val="00646427"/>
    <w:rsid w:val="00744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8D37678"/>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6427"/>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6427"/>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TotalTime>
  <Pages>7</Pages>
  <Words>4112</Words>
  <Characters>2344</Characters>
  <Application>Microsoft Office Word</Application>
  <DocSecurity>0</DocSecurity>
  <Lines>19</Lines>
  <Paragraphs>12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6444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2018-09-25T12:10:00Z</dcterms:created>
  <dc:creator>Tomas Valančius</dc:creator>
  <lastModifiedBy>TAMALIŪNIENĖ Vilija</lastModifiedBy>
  <lastPrinted>2017-09-12T11:37:00Z</lastPrinted>
  <dcterms:modified xsi:type="dcterms:W3CDTF">2020-04-29T08:51:00Z</dcterms:modified>
  <revision>9</revision>
</coreProperties>
</file>