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2018-06-29 iki 2018-08-17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2017-12-01, i. k. 2017-19306</w:t>
      </w:r>
    </w:p>
    <w:p>
      <w:pPr>
        <w:jc w:val="both"/>
        <w:rPr>
          <w:rFonts w:ascii="Times New Roman" w:hAnsi="Times New Roman"/>
          <w:sz w:val="20"/>
        </w:rPr>
      </w:pPr>
    </w:p>
    <w:p>
      <w:pPr>
        <w:tabs>
          <w:tab w:val="center" w:pos="4819"/>
          <w:tab w:val="right" w:pos="9638"/>
        </w:tabs>
        <w:jc w:val="center"/>
        <w:rPr>
          <w:b/>
          <w:sz w:val="28"/>
          <w:szCs w:val="22"/>
        </w:rPr>
      </w:pPr>
      <w:r>
        <w:rPr>
          <w:b/>
          <w:sz w:val="28"/>
          <w:szCs w:val="22"/>
          <w:lang w:eastAsia="lt-LT"/>
        </w:rPr>
        <w:drawing>
          <wp:inline distT="0" distB="0" distL="0" distR="0">
            <wp:extent cx="1054735" cy="72517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pPr>
        <w:spacing w:line="276" w:lineRule="auto"/>
        <w:jc w:val="center"/>
        <w:rPr>
          <w:b/>
          <w:sz w:val="28"/>
          <w:szCs w:val="22"/>
        </w:rPr>
      </w:pPr>
      <w:r>
        <w:rPr>
          <w:b/>
          <w:sz w:val="28"/>
          <w:szCs w:val="22"/>
        </w:rPr>
        <w:t>LIETUVOS RESPUBLIKOS ŽEMĖS ŪKIO MINISTRAS</w:t>
      </w:r>
    </w:p>
    <w:p>
      <w:pPr>
        <w:overflowPunct w:val="0"/>
        <w:jc w:val="center"/>
        <w:textAlignment w:val="baseline"/>
        <w:rPr>
          <w:b/>
        </w:rPr>
      </w:pPr>
    </w:p>
    <w:p>
      <w:pPr>
        <w:overflowPunct w:val="0"/>
        <w:jc w:val="center"/>
        <w:textAlignment w:val="baseline"/>
        <w:rPr>
          <w:b/>
          <w:szCs w:val="24"/>
        </w:rPr>
      </w:pPr>
      <w:r>
        <w:rPr>
          <w:b/>
          <w:szCs w:val="24"/>
        </w:rPr>
        <w:t>ĮSAKYMAS</w:t>
      </w:r>
    </w:p>
    <w:p>
      <w:pPr>
        <w:tabs>
          <w:tab w:val="left" w:pos="4335"/>
        </w:tabs>
        <w:spacing w:line="276" w:lineRule="auto"/>
        <w:jc w:val="center"/>
        <w:rPr>
          <w:b/>
          <w:szCs w:val="24"/>
        </w:rPr>
      </w:pPr>
      <w:r>
        <w:rPr>
          <w:b/>
          <w:szCs w:val="24"/>
        </w:rPr>
        <w:t>DĖL PARAMOS PARAIŠKŲ PAGAL LIETUVOS KAIMO PLĖTROS 2014–2020 METŲ PROGRAMOS PRIEMONES PRIĖMIMO 2018 METAIS GRAFIKO PATVIRTINIMO</w:t>
      </w:r>
    </w:p>
    <w:p>
      <w:pPr>
        <w:tabs>
          <w:tab w:val="left" w:pos="4335"/>
        </w:tabs>
        <w:spacing w:line="276" w:lineRule="auto"/>
        <w:jc w:val="center"/>
        <w:rPr>
          <w:sz w:val="18"/>
          <w:szCs w:val="18"/>
        </w:rPr>
      </w:pPr>
    </w:p>
    <w:p>
      <w:pPr>
        <w:tabs>
          <w:tab w:val="left" w:pos="4335"/>
        </w:tabs>
        <w:spacing w:line="276" w:lineRule="auto"/>
        <w:jc w:val="center"/>
        <w:rPr>
          <w:sz w:val="22"/>
          <w:szCs w:val="24"/>
        </w:rPr>
      </w:pPr>
      <w:r>
        <w:rPr>
          <w:sz w:val="22"/>
          <w:szCs w:val="24"/>
        </w:rPr>
        <w:t>2017 m. gruodžio 1 d. Nr. 3D-770</w:t>
      </w:r>
    </w:p>
    <w:p>
      <w:pPr>
        <w:overflowPunct w:val="0"/>
        <w:spacing w:line="360" w:lineRule="auto"/>
        <w:jc w:val="center"/>
        <w:textAlignment w:val="baseline"/>
      </w:pPr>
      <w:r>
        <w:t>Vilnius</w:t>
      </w:r>
    </w:p>
    <w:p>
      <w:pPr>
        <w:overflowPunct w:val="0"/>
        <w:spacing w:line="360" w:lineRule="auto"/>
        <w:jc w:val="center"/>
        <w:textAlignment w:val="baseline"/>
      </w:pPr>
    </w:p>
    <w:p>
      <w:pPr>
        <w:overflowPunct w:val="0"/>
        <w:spacing w:line="360" w:lineRule="auto"/>
        <w:jc w:val="center"/>
        <w:textAlignment w:val="baseline"/>
        <w:rPr>
          <w:sz w:val="18"/>
          <w:szCs w:val="18"/>
        </w:rPr>
      </w:pPr>
    </w:p>
    <w:p>
      <w:pPr>
        <w:spacing w:line="360" w:lineRule="auto"/>
        <w:ind w:firstLine="720"/>
        <w:jc w:val="both"/>
        <w:rPr>
          <w:sz w:val="22"/>
          <w:szCs w:val="24"/>
          <w:lang w:eastAsia="lt-LT"/>
        </w:rPr>
      </w:pPr>
      <w:r>
        <w:rPr>
          <w:sz w:val="22"/>
          <w:szCs w:val="24"/>
          <w:lang w:eastAsia="lt-LT"/>
        </w:rPr>
        <w:t xml:space="preserve">Vadovaudamasis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2017 m. gegužės 17 d. Europos Parlamento ir Tarybos reglamentu (ES) 2017/825 (OL 2017 L 129, p. 1),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2017 m. liepos 4 d. Europos Parlamento ir Tarybos reglamentu (ES) 2017/1199 (OL 2017 L 176, p. 1),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2017 m. kovo 13 d. Komisijos deleguotoju reglamentu (ES) Nr. 2017/891 (OL 2017 L 138, p. 4),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Komisijos įgyvendinimo reglamentu (ES) 2016/1997 (OL 2016 L 308, p.5), ir atsižvelgdamas į Lietuvos kaimo plėtros 2014–2020 metų programos administravimo taisyklių, patvirtintų Lietuvos Respublikos žemės ūkio ministro 2014 m. rugpjūčio 26 d. įsakymu Nr. 3D-507 „Dėl Lietuvos kaimo plėtros 2014–2020 metų programos administravimo taisyklių patvirtinimo“, 7.1.6 papunktį, </w:t>
      </w:r>
    </w:p>
    <w:p>
      <w:pPr>
        <w:rPr>
          <w:sz w:val="18"/>
          <w:szCs w:val="18"/>
        </w:rPr>
      </w:pPr>
    </w:p>
    <w:p>
      <w:pPr>
        <w:tabs>
          <w:tab w:val="left" w:pos="993"/>
        </w:tabs>
        <w:spacing w:line="360" w:lineRule="auto"/>
        <w:ind w:firstLine="993"/>
        <w:jc w:val="both"/>
        <w:rPr>
          <w:sz w:val="22"/>
          <w:szCs w:val="24"/>
        </w:rPr>
      </w:pPr>
      <w:r>
        <w:rPr>
          <w:spacing w:val="60"/>
          <w:sz w:val="22"/>
          <w:szCs w:val="24"/>
          <w:lang w:eastAsia="lt-LT"/>
        </w:rPr>
        <w:t>tvirtinu</w:t>
      </w:r>
      <w:r>
        <w:rPr>
          <w:sz w:val="22"/>
          <w:szCs w:val="24"/>
          <w:lang w:eastAsia="lt-LT"/>
        </w:rPr>
        <w:t xml:space="preserve"> Paramos paraiškų pagal Lietuvos kaimo plėtros 2014–2020 metų programos priemones priėmimo 2018 metais grafiką (pridedama).</w:t>
      </w:r>
    </w:p>
    <w:p>
      <w:pPr>
        <w:tabs>
          <w:tab w:val="left" w:pos="0"/>
          <w:tab w:val="left" w:pos="360"/>
        </w:tabs>
        <w:spacing w:line="360" w:lineRule="auto"/>
        <w:ind w:right="-1055"/>
        <w:jc w:val="both"/>
      </w:pPr>
    </w:p>
    <w:p>
      <w:pPr>
        <w:tabs>
          <w:tab w:val="left" w:pos="0"/>
          <w:tab w:val="left" w:pos="360"/>
        </w:tabs>
        <w:spacing w:line="360" w:lineRule="auto"/>
        <w:ind w:right="-1055"/>
        <w:jc w:val="both"/>
      </w:pPr>
    </w:p>
    <w:p>
      <w:pPr>
        <w:tabs>
          <w:tab w:val="left" w:pos="0"/>
          <w:tab w:val="left" w:pos="360"/>
        </w:tabs>
        <w:spacing w:line="360" w:lineRule="auto"/>
        <w:ind w:right="-1055"/>
        <w:jc w:val="both"/>
      </w:pPr>
    </w:p>
    <w:p>
      <w:pPr>
        <w:tabs>
          <w:tab w:val="left" w:pos="0"/>
          <w:tab w:val="left" w:pos="360"/>
        </w:tabs>
        <w:spacing w:line="360" w:lineRule="auto"/>
        <w:ind w:right="-1055"/>
        <w:jc w:val="both"/>
        <w:rPr>
          <w:rFonts w:ascii="Calibri" w:eastAsia="Calibri" w:hAnsi="Calibri"/>
          <w:sz w:val="22"/>
          <w:szCs w:val="22"/>
        </w:rPr>
      </w:pPr>
      <w:r>
        <w:rPr>
          <w:sz w:val="22"/>
          <w:szCs w:val="24"/>
        </w:rPr>
        <w:t>Žemės ūkio ministras</w:t>
        <w:tab/>
        <w:tab/>
        <w:tab/>
        <w:tab/>
        <w:t>Bronius Markauskas</w:t>
      </w:r>
    </w:p>
    <w:p>
      <w:pPr>
        <w:keepLines/>
        <w:tabs>
          <w:tab w:val="left" w:pos="1304"/>
          <w:tab w:val="left" w:pos="1457"/>
          <w:tab w:val="left" w:pos="1604"/>
          <w:tab w:val="left" w:pos="1757"/>
        </w:tabs>
        <w:suppressAutoHyphens/>
        <w:spacing w:line="288" w:lineRule="auto"/>
        <w:ind w:left="5529"/>
        <w:textAlignment w:val="center"/>
        <w:sectPr>
          <w:headerReference w:type="even" r:id="rId16"/>
          <w:headerReference w:type="default" r:id="rId17"/>
          <w:footerReference w:type="even" r:id="rId18"/>
          <w:footerReference w:type="default" r:id="rId19"/>
          <w:headerReference w:type="first" r:id="rId20"/>
          <w:footerReference w:type="first" r:id="rId21"/>
          <w:pgSz w:w="11906" w:h="16838"/>
          <w:pgMar w:top="1276" w:right="1274" w:bottom="568" w:left="1701" w:header="567" w:footer="567" w:gutter="0"/>
          <w:cols w:space="1296"/>
          <w:titlePg/>
          <w:docGrid w:linePitch="360"/>
        </w:sectPr>
      </w:pPr>
    </w:p>
    <w:p>
      <w:pPr>
        <w:keepLines/>
        <w:tabs>
          <w:tab w:val="left" w:pos="1304"/>
          <w:tab w:val="left" w:pos="1457"/>
          <w:tab w:val="left" w:pos="1604"/>
          <w:tab w:val="left" w:pos="1757"/>
        </w:tabs>
        <w:suppressAutoHyphens/>
        <w:spacing w:line="288" w:lineRule="auto"/>
        <w:ind w:left="5529"/>
        <w:textAlignment w:val="center"/>
        <w:rPr>
          <w:color w:val="000000"/>
          <w:sz w:val="22"/>
          <w:szCs w:val="22"/>
        </w:rPr>
      </w:pPr>
      <w:r>
        <w:rPr>
          <w:color w:val="000000"/>
          <w:sz w:val="22"/>
          <w:szCs w:val="22"/>
        </w:rPr>
        <w:t>PATVIRTINTA</w:t>
      </w:r>
    </w:p>
    <w:p>
      <w:pPr>
        <w:keepLines/>
        <w:tabs>
          <w:tab w:val="left" w:pos="1304"/>
          <w:tab w:val="left" w:pos="1457"/>
          <w:tab w:val="left" w:pos="1604"/>
          <w:tab w:val="left" w:pos="1757"/>
        </w:tabs>
        <w:suppressAutoHyphens/>
        <w:spacing w:line="288" w:lineRule="auto"/>
        <w:ind w:left="5529"/>
        <w:textAlignment w:val="center"/>
        <w:rPr>
          <w:color w:val="000000"/>
          <w:sz w:val="22"/>
          <w:szCs w:val="22"/>
        </w:rPr>
      </w:pPr>
      <w:r>
        <w:rPr>
          <w:color w:val="000000"/>
          <w:sz w:val="22"/>
          <w:szCs w:val="22"/>
        </w:rPr>
        <w:t xml:space="preserve">Lietuvos Respublikos žemės ūkio ministro 2017 m.  gruodžio 1 d. įsakymu Nr. 3D-770</w:t>
      </w:r>
    </w:p>
    <w:p>
      <w:pPr>
        <w:keepLines/>
        <w:suppressAutoHyphens/>
        <w:spacing w:line="288" w:lineRule="auto"/>
        <w:textAlignment w:val="center"/>
        <w:rPr>
          <w:b/>
          <w:bCs/>
          <w:caps/>
          <w:color w:val="000000"/>
          <w:sz w:val="22"/>
          <w:szCs w:val="22"/>
        </w:rPr>
      </w:pPr>
    </w:p>
    <w:p>
      <w:pPr>
        <w:keepLines/>
        <w:suppressAutoHyphens/>
        <w:spacing w:line="288" w:lineRule="auto"/>
        <w:jc w:val="center"/>
        <w:textAlignment w:val="center"/>
        <w:rPr>
          <w:b/>
          <w:bCs/>
          <w:caps/>
          <w:color w:val="000000"/>
          <w:sz w:val="22"/>
          <w:szCs w:val="22"/>
        </w:rPr>
      </w:pPr>
      <w:r>
        <w:rPr>
          <w:b/>
          <w:bCs/>
          <w:caps/>
          <w:color w:val="000000"/>
          <w:sz w:val="22"/>
          <w:szCs w:val="22"/>
        </w:rPr>
        <w:t>ParaMOS PARAIŠkų pagal LIETUVOS Kaimo plėtros 2014–2020 metų PROGRAMOS priemones PRIĖMIMO 2018 metais GRAFIKAS</w:t>
      </w:r>
    </w:p>
    <w:p>
      <w:pPr>
        <w:keepLines/>
        <w:suppressAutoHyphens/>
        <w:spacing w:line="288" w:lineRule="auto"/>
        <w:textAlignment w:val="center"/>
        <w:rPr>
          <w:b/>
          <w:bCs/>
          <w:caps/>
          <w:color w:val="000000"/>
          <w:sz w:val="22"/>
          <w:szCs w:val="22"/>
        </w:rPr>
      </w:pPr>
    </w:p>
    <w:p>
      <w:pPr>
        <w:keepLines/>
        <w:suppressAutoHyphens/>
        <w:spacing w:line="288" w:lineRule="auto"/>
        <w:jc w:val="center"/>
        <w:textAlignment w:val="center"/>
        <w:rPr>
          <w:b/>
          <w:bCs/>
          <w:caps/>
          <w:color w:val="000000"/>
          <w:sz w:val="22"/>
          <w:szCs w:val="22"/>
        </w:rPr>
      </w:pPr>
    </w:p>
    <w:tbl>
      <w:tblPr>
        <w:tblW w:w="9574" w:type="dxa"/>
        <w:tblInd w:w="-114" w:type="dxa"/>
        <w:tblLayout w:type="fixed"/>
        <w:tblCellMar>
          <w:left w:w="0" w:type="dxa"/>
          <w:right w:w="0" w:type="dxa"/>
        </w:tblCellMar>
        <w:tblLook w:val="0000" w:firstRow="0" w:lastRow="0" w:firstColumn="0" w:lastColumn="0" w:noHBand="0" w:noVBand="0"/>
      </w:tblPr>
      <w:tblGrid>
        <w:gridCol w:w="960"/>
        <w:gridCol w:w="5986"/>
        <w:gridCol w:w="1314"/>
        <w:gridCol w:w="71"/>
        <w:gridCol w:w="1243"/>
      </w:tblGrid>
      <w:tr>
        <w:trPr>
          <w:trHeight w:val="1225"/>
        </w:trPr>
        <w:tc>
          <w:tcPr>
            <w:tcW w:w="960" w:type="dxa"/>
            <w:tcBorders>
              <w:top w:val="single" w:sz="4" w:space="0" w:color="000000"/>
              <w:left w:val="single" w:sz="4" w:space="0" w:color="000000"/>
              <w:bottom w:val="single" w:sz="4" w:space="0" w:color="000000"/>
              <w:right w:val="single" w:sz="4" w:space="0" w:color="auto"/>
            </w:tcBorders>
            <w:shd w:val="clear" w:color="auto" w:fill="auto"/>
            <w:tcMar>
              <w:top w:w="28" w:type="dxa"/>
              <w:left w:w="28" w:type="dxa"/>
              <w:bottom w:w="28" w:type="dxa"/>
              <w:right w:w="28" w:type="dxa"/>
            </w:tcMar>
            <w:vAlign w:val="center"/>
          </w:tcPr>
          <w:p>
            <w:pPr>
              <w:suppressAutoHyphens/>
              <w:jc w:val="center"/>
              <w:textAlignment w:val="center"/>
              <w:rPr>
                <w:color w:val="000000"/>
                <w:sz w:val="22"/>
                <w:szCs w:val="22"/>
              </w:rPr>
            </w:pPr>
            <w:r>
              <w:rPr>
                <w:color w:val="000000"/>
                <w:sz w:val="22"/>
                <w:szCs w:val="22"/>
              </w:rPr>
              <w:t>Priemo</w:t>
            </w:r>
          </w:p>
          <w:p>
            <w:pPr>
              <w:suppressAutoHyphens/>
              <w:jc w:val="center"/>
              <w:textAlignment w:val="center"/>
              <w:rPr>
                <w:color w:val="000000"/>
                <w:sz w:val="22"/>
                <w:szCs w:val="22"/>
              </w:rPr>
            </w:pPr>
            <w:r>
              <w:rPr>
                <w:color w:val="000000"/>
                <w:sz w:val="22"/>
                <w:szCs w:val="22"/>
              </w:rPr>
              <w:t xml:space="preserve">nės kodas arba  veiklos srities numeris pagal Programą</w:t>
            </w:r>
          </w:p>
        </w:tc>
        <w:tc>
          <w:tcPr>
            <w:tcW w:w="5986" w:type="dxa"/>
            <w:tcBorders>
              <w:top w:val="single" w:sz="4" w:space="0" w:color="000000"/>
              <w:left w:val="single" w:sz="4" w:space="0" w:color="auto"/>
              <w:bottom w:val="single" w:sz="4" w:space="0" w:color="000000"/>
              <w:right w:val="single" w:sz="4" w:space="0" w:color="000000"/>
            </w:tcBorders>
            <w:shd w:val="clear" w:color="auto" w:fill="auto"/>
            <w:tcMar>
              <w:top w:w="28" w:type="dxa"/>
              <w:left w:w="28" w:type="dxa"/>
              <w:bottom w:w="28" w:type="dxa"/>
              <w:right w:w="28" w:type="dxa"/>
            </w:tcMar>
            <w:vAlign w:val="center"/>
          </w:tcPr>
          <w:p>
            <w:pPr>
              <w:jc w:val="center"/>
              <w:rPr>
                <w:rFonts w:eastAsia="Calibri"/>
                <w:sz w:val="22"/>
                <w:szCs w:val="22"/>
              </w:rPr>
            </w:pPr>
            <w:r>
              <w:rPr>
                <w:rFonts w:eastAsia="Calibri"/>
                <w:sz w:val="22"/>
                <w:szCs w:val="22"/>
              </w:rPr>
              <w:t>Priemonė</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pPr>
              <w:suppressAutoHyphens/>
              <w:jc w:val="center"/>
              <w:textAlignment w:val="center"/>
              <w:rPr>
                <w:color w:val="000000"/>
                <w:sz w:val="22"/>
                <w:szCs w:val="22"/>
              </w:rPr>
            </w:pPr>
            <w:r>
              <w:rPr>
                <w:color w:val="000000"/>
                <w:sz w:val="22"/>
                <w:szCs w:val="22"/>
              </w:rPr>
              <w:t>Paramos paraiškų priėmimo pradžia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pPr>
              <w:suppressAutoHyphens/>
              <w:jc w:val="center"/>
              <w:textAlignment w:val="center"/>
              <w:rPr>
                <w:color w:val="000000"/>
                <w:sz w:val="22"/>
                <w:szCs w:val="22"/>
              </w:rPr>
            </w:pPr>
            <w:r>
              <w:rPr>
                <w:color w:val="000000"/>
                <w:sz w:val="22"/>
                <w:szCs w:val="22"/>
              </w:rPr>
              <w:t>Paramos paraiškų priėmimo pabaiga</w:t>
            </w:r>
          </w:p>
        </w:tc>
      </w:tr>
      <w:tr>
        <w:tblPrEx>
          <w:tblCellMar>
            <w:left w:w="108" w:type="dxa"/>
            <w:right w:w="108" w:type="dxa"/>
          </w:tblCellMar>
          <w:tblLook w:val="04A0" w:firstRow="1" w:lastRow="0" w:firstColumn="1" w:lastColumn="0" w:noHBand="0" w:noVBand="1"/>
        </w:tblPrEx>
        <w:trPr>
          <w:trHeight w:val="43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ŽINIŲ PERDAVIMAS IR INFORMAVIMO VEIKLA</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ind w:right="3011"/>
              <w:rPr>
                <w:bCs/>
                <w:color w:val="000000"/>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3011"/>
              <w:jc w:val="center"/>
              <w:rPr>
                <w:b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profesiniam mokymui ir įgūdžiams įgyti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2018-04-30</w:t>
            </w:r>
          </w:p>
        </w:tc>
      </w:tr>
      <w:tr>
        <w:tblPrEx>
          <w:tblCellMar>
            <w:left w:w="108" w:type="dxa"/>
            <w:right w:w="108" w:type="dxa"/>
          </w:tblCellMar>
          <w:tblLook w:val="04A0" w:firstRow="1" w:lastRow="0" w:firstColumn="1" w:lastColumn="0" w:noHBand="0" w:noVBand="1"/>
        </w:tblPrEx>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 xml:space="preserve">Parama parodomiesiems  projektams ir informavimo veiklai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2018-04-30</w:t>
            </w:r>
          </w:p>
        </w:tc>
      </w:tr>
      <w:tr>
        <w:tblPrEx>
          <w:tblCellMar>
            <w:left w:w="108" w:type="dxa"/>
            <w:right w:w="108" w:type="dxa"/>
          </w:tblCellMar>
          <w:tblLook w:val="04A0" w:firstRow="1" w:lastRow="0" w:firstColumn="1" w:lastColumn="0" w:noHBand="0" w:noVBand="1"/>
        </w:tblPrEx>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KONSULTAVIMO PASLAUGOS, ŪKIO VALDYMO IR ŪKININKŲ PAVADAVIMO PASLAUGOS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2.1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pasinaudoti konsultavimo paslaugomis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2.1.1</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Parama miško valdytojams pasinaudoti konsultavimo paslaugomis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2.1.2</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Parama kaimo vietovėje veikiančioms labai mažoms, mažoms ir vidutinėms įmonėms pasinaudoti konsultavimo paslaugomis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ŽEMĖS ŪKIO IR MAISTO PRODUKTŲ KOKYBĖS SISTEMOS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vMerge w:val="restart"/>
            <w:tcBorders>
              <w:top w:val="nil"/>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3.1</w:t>
            </w:r>
          </w:p>
        </w:tc>
        <w:tc>
          <w:tcPr>
            <w:tcW w:w="5986" w:type="dxa"/>
            <w:vMerge w:val="restart"/>
            <w:tcBorders>
              <w:top w:val="nil"/>
              <w:left w:val="nil"/>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 xml:space="preserve">Parama pirmą kartą dalyvaujantiems kokybės sistemose </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2018-06-29</w:t>
            </w:r>
          </w:p>
        </w:tc>
      </w:tr>
      <w:tr>
        <w:tblPrEx>
          <w:tblCellMar>
            <w:left w:w="108" w:type="dxa"/>
            <w:right w:w="108" w:type="dxa"/>
          </w:tblCellMar>
          <w:tblLook w:val="04A0" w:firstRow="1" w:lastRow="0" w:firstColumn="1" w:lastColumn="0" w:noHBand="0" w:noVBand="1"/>
        </w:tblPrEx>
        <w:trPr>
          <w:trHeight w:val="255"/>
        </w:trPr>
        <w:tc>
          <w:tcPr>
            <w:tcW w:w="960" w:type="dxa"/>
            <w:vMerge/>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 w:val="22"/>
                <w:szCs w:val="22"/>
                <w:lang w:eastAsia="lt-LT"/>
              </w:rPr>
            </w:pP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2018-08-01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2018-10-31</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INVESTICIJOS Į MATERIALŲJĮ TURTĄ</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vMerge w:val="restart"/>
            <w:tcBorders>
              <w:top w:val="nil"/>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4.1</w:t>
            </w:r>
          </w:p>
        </w:tc>
        <w:tc>
          <w:tcPr>
            <w:tcW w:w="5986" w:type="dxa"/>
            <w:vMerge w:val="restart"/>
            <w:tcBorders>
              <w:top w:val="nil"/>
              <w:left w:val="nil"/>
              <w:right w:val="single" w:sz="4" w:space="0" w:color="auto"/>
            </w:tcBorders>
            <w:shd w:val="clear" w:color="auto" w:fill="auto"/>
            <w:vAlign w:val="center"/>
          </w:tcPr>
          <w:p>
            <w:pPr>
              <w:overflowPunct w:val="0"/>
              <w:ind w:left="-78" w:right="-135" w:firstLine="62"/>
              <w:textAlignment w:val="baseline"/>
              <w:rPr>
                <w:bCs/>
                <w:iCs/>
                <w:sz w:val="22"/>
                <w:szCs w:val="22"/>
                <w:lang w:eastAsia="lt-LT"/>
              </w:rPr>
            </w:pPr>
            <w:r>
              <w:rPr>
                <w:bCs/>
                <w:iCs/>
                <w:sz w:val="22"/>
                <w:szCs w:val="22"/>
              </w:rPr>
              <w:t>Parama investicijoms į žemės ūkio valdas</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ind w:left="-108" w:right="-108" w:firstLine="108"/>
              <w:textAlignment w:val="baseline"/>
              <w:rPr>
                <w:bCs/>
                <w:iCs/>
                <w:sz w:val="22"/>
                <w:szCs w:val="22"/>
                <w:lang w:val="en-GB"/>
              </w:rPr>
            </w:pPr>
            <w:r>
              <w:rPr>
                <w:bCs/>
                <w:iCs/>
                <w:sz w:val="22"/>
                <w:szCs w:val="22"/>
                <w:lang w:val="en-GB"/>
              </w:rPr>
              <w:t>2018-03-01</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2018-04-13</w:t>
            </w:r>
          </w:p>
        </w:tc>
      </w:tr>
      <w:tr>
        <w:tblPrEx>
          <w:tblCellMar>
            <w:left w:w="108" w:type="dxa"/>
            <w:right w:w="108" w:type="dxa"/>
          </w:tblCellMar>
          <w:tblLook w:val="04A0" w:firstRow="1" w:lastRow="0" w:firstColumn="1" w:lastColumn="0" w:noHBand="0" w:noVBand="1"/>
        </w:tblPrEx>
        <w:trPr>
          <w:trHeight w:val="270"/>
        </w:trPr>
        <w:tc>
          <w:tcPr>
            <w:tcW w:w="960" w:type="dxa"/>
            <w:vMerge/>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 w:val="22"/>
                <w:szCs w:val="22"/>
                <w:lang w:eastAsia="lt-LT"/>
              </w:rPr>
            </w:pP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b/>
                <w:strike/>
                <w:sz w:val="22"/>
                <w:szCs w:val="22"/>
                <w:lang w:eastAsia="lt-LT"/>
              </w:rPr>
            </w:pPr>
            <w:r>
              <w:rPr>
                <w:bCs/>
                <w:iCs/>
                <w:sz w:val="22"/>
                <w:szCs w:val="22"/>
                <w:lang w:val="en-GB"/>
              </w:rPr>
              <w:t>2018-12-03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
                <w:bCs/>
                <w:iCs/>
                <w:strike/>
                <w:color w:val="000000"/>
                <w:sz w:val="22"/>
                <w:szCs w:val="22"/>
                <w:lang w:eastAsia="lt-LT"/>
              </w:rPr>
            </w:pPr>
            <w:r>
              <w:rPr>
                <w:bCs/>
                <w:iCs/>
                <w:sz w:val="22"/>
                <w:szCs w:val="22"/>
                <w:lang w:val="en-GB"/>
              </w:rPr>
              <w:t>2018-12-31</w:t>
            </w:r>
          </w:p>
        </w:tc>
      </w:tr>
      <w:tr>
        <w:tblPrEx>
          <w:tblCellMar>
            <w:left w:w="108" w:type="dxa"/>
            <w:right w:w="108" w:type="dxa"/>
          </w:tblCellMar>
          <w:tblLook w:val="04A0" w:firstRow="1" w:lastRow="0" w:firstColumn="1" w:lastColumn="0" w:noHBand="0" w:noVBand="1"/>
        </w:tblPrEx>
        <w:trPr>
          <w:trHeight w:val="270"/>
        </w:trPr>
        <w:tc>
          <w:tcPr>
            <w:tcW w:w="960" w:type="dxa"/>
            <w:tcBorders>
              <w:left w:val="single" w:sz="4" w:space="0" w:color="auto"/>
              <w:bottom w:val="single" w:sz="4" w:space="0" w:color="auto"/>
              <w:right w:val="single" w:sz="4" w:space="0" w:color="auto"/>
            </w:tcBorders>
            <w:shd w:val="clear" w:color="auto" w:fill="auto"/>
            <w:noWrap/>
          </w:tcPr>
          <w:p>
            <w:pPr>
              <w:overflowPunct w:val="0"/>
              <w:jc w:val="both"/>
              <w:textAlignment w:val="baseline"/>
              <w:rPr>
                <w:bCs/>
                <w:iCs/>
                <w:color w:val="FF0000"/>
                <w:sz w:val="22"/>
                <w:szCs w:val="22"/>
                <w:lang w:eastAsia="lt-LT"/>
              </w:rPr>
            </w:pPr>
            <w:r>
              <w:rPr>
                <w:bCs/>
                <w:iCs/>
                <w:sz w:val="22"/>
                <w:szCs w:val="22"/>
                <w:lang w:eastAsia="lt-LT"/>
              </w:rPr>
              <w:t>4.2</w:t>
            </w:r>
          </w:p>
        </w:tc>
        <w:tc>
          <w:tcPr>
            <w:tcW w:w="5986" w:type="dxa"/>
            <w:tcBorders>
              <w:top w:val="nil"/>
              <w:left w:val="nil"/>
              <w:bottom w:val="single" w:sz="4" w:space="0" w:color="auto"/>
              <w:right w:val="single" w:sz="4" w:space="0" w:color="auto"/>
            </w:tcBorders>
            <w:shd w:val="clear" w:color="auto" w:fill="auto"/>
            <w:vAlign w:val="center"/>
          </w:tcPr>
          <w:p>
            <w:pPr>
              <w:overflowPunct w:val="0"/>
              <w:ind w:left="-78" w:right="-135"/>
              <w:jc w:val="both"/>
              <w:textAlignment w:val="baseline"/>
              <w:rPr>
                <w:bCs/>
                <w:iCs/>
                <w:sz w:val="22"/>
                <w:szCs w:val="22"/>
                <w:lang w:eastAsia="lt-LT"/>
              </w:rPr>
            </w:pPr>
            <w:r>
              <w:rPr>
                <w:bCs/>
                <w:iCs/>
                <w:sz w:val="22"/>
                <w:szCs w:val="22"/>
              </w:rPr>
              <w:t>Parama investicijoms į žemės ūkio produktų perdirbimą, rinkodarą ir (arba) plėtrą</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2018-06-01</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2018-07-31</w:t>
            </w:r>
          </w:p>
        </w:tc>
      </w:tr>
      <w:tr>
        <w:tblPrEx>
          <w:tblCellMar>
            <w:left w:w="108" w:type="dxa"/>
            <w:right w:w="108" w:type="dxa"/>
          </w:tblCellMar>
          <w:tblLook w:val="04A0" w:firstRow="1" w:lastRow="0" w:firstColumn="1" w:lastColumn="0" w:noHBand="0" w:noVBand="1"/>
        </w:tblPrEx>
        <w:trPr>
          <w:trHeight w:val="270"/>
        </w:trPr>
        <w:tc>
          <w:tcPr>
            <w:tcW w:w="960" w:type="dxa"/>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4.3</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 xml:space="preserve">Parama investicijoms į  žemės ūkio ir miškininkystės infrastruktūros plėtrą ir pritaikymą:</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4.3.1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Parama žemės konsolidacijai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4.3.2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Parama žemės ūkio vandentvarkai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4.3.3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Parama miškų infrastruktūrai gerinti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2018-10-31</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4.4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pelno nesiekiančioms investicijoms: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4.4.1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Meldinių nendrinukių buveinių išsaugojimas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2018-01-02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2018-02-28</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ŪKIO IR VERSLO PLĖTRA</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6.1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jaunųjų ūkininkų įsikūrimui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6.2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sz w:val="22"/>
                <w:szCs w:val="22"/>
                <w:lang w:eastAsia="lt-LT"/>
              </w:rPr>
            </w:pPr>
            <w:r>
              <w:rPr>
                <w:rFonts w:eastAsia="Calibri"/>
                <w:sz w:val="22"/>
                <w:szCs w:val="22"/>
                <w:lang w:eastAsia="lt-LT"/>
              </w:rPr>
              <w:t>Parama ekonominės veiklos pradžiai kaimo vietovėse</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rFonts w:eastAsia="Calibri"/>
                <w:bCs/>
                <w:sz w:val="22"/>
                <w:szCs w:val="22"/>
                <w:lang w:eastAsia="lt-LT"/>
              </w:rPr>
            </w:pPr>
            <w:r>
              <w:rPr>
                <w:rFonts w:eastAsia="Calibri"/>
                <w:bCs/>
                <w:sz w:val="22"/>
                <w:szCs w:val="22"/>
                <w:lang w:eastAsia="lt-LT"/>
              </w:rPr>
              <w:t>2018-10-01</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rFonts w:eastAsia="Calibri"/>
                <w:bCs/>
                <w:sz w:val="22"/>
                <w:szCs w:val="22"/>
                <w:lang w:eastAsia="lt-LT"/>
              </w:rPr>
            </w:pPr>
            <w:r>
              <w:rPr>
                <w:rFonts w:eastAsia="Calibri"/>
                <w:bCs/>
                <w:sz w:val="22"/>
                <w:szCs w:val="22"/>
                <w:lang w:eastAsia="lt-LT"/>
              </w:rPr>
              <w:t>2018-12-31</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6.3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smulkiesiems ūkiams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2018-05-02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2018-06-29</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sz w:val="22"/>
                <w:szCs w:val="22"/>
              </w:rPr>
              <w:t>6.4</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sz w:val="22"/>
                <w:szCs w:val="22"/>
              </w:rPr>
              <w:t>Parama investicijoms, skirtoms ne žemės ūkio veiklai kurti ir plėtoti: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sz w:val="22"/>
                <w:szCs w:val="22"/>
                <w:lang w:eastAsia="lt-LT"/>
              </w:rPr>
            </w:pPr>
            <w:r>
              <w:rPr>
                <w:bCs/>
                <w:sz w:val="22"/>
                <w:szCs w:val="22"/>
                <w:lang w:eastAsia="lt-LT"/>
              </w:rPr>
              <w:t>6.4.1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investicijoms, skirtoms ekonominės veiklos kūrimui ir plėtrai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2018-08-01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2018-09-28</w:t>
            </w:r>
          </w:p>
        </w:tc>
      </w:tr>
      <w:tr>
        <w:tblPrEx>
          <w:tblCellMar>
            <w:left w:w="108" w:type="dxa"/>
            <w:right w:w="108" w:type="dxa"/>
          </w:tblCellMar>
          <w:tblLook w:val="04A0" w:firstRow="1" w:lastRow="0" w:firstColumn="1" w:lastColumn="0" w:noHBand="0" w:noVBand="1"/>
        </w:tblPrEx>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bCs/>
                <w:sz w:val="22"/>
                <w:szCs w:val="22"/>
                <w:lang w:eastAsia="lt-LT"/>
              </w:rPr>
            </w:pPr>
            <w:r>
              <w:rPr>
                <w:bCs/>
                <w:sz w:val="22"/>
                <w:szCs w:val="22"/>
                <w:lang w:eastAsia="lt-LT"/>
              </w:rPr>
              <w:t>6.4.2</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bCs/>
                <w:sz w:val="22"/>
                <w:szCs w:val="22"/>
                <w:lang w:eastAsia="lt-LT"/>
              </w:rPr>
            </w:pPr>
            <w:r>
              <w:rPr>
                <w:rFonts w:eastAsia="Calibri"/>
                <w:bCs/>
                <w:sz w:val="22"/>
                <w:szCs w:val="22"/>
                <w:lang w:eastAsia="lt-LT"/>
              </w:rPr>
              <w:t>Parama biodujų gamybai iš žemės ūkio ir kitų atliekų</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7</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PAGRINDINĖS PASLAUGOS IR KAIMŲ ATNAUJINIMAS KAIMO VIETOVĖSE</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7.2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investicijoms į visų rūšių mažos apimties infrastruktūrą:</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76" w:lineRule="auto"/>
              <w:rPr>
                <w:bCs/>
                <w:color w:val="000000"/>
                <w:sz w:val="22"/>
                <w:szCs w:val="22"/>
                <w:lang w:eastAsia="lt-LT"/>
              </w:rPr>
            </w:pPr>
            <w:r>
              <w:rPr>
                <w:bCs/>
                <w:color w:val="000000"/>
                <w:sz w:val="22"/>
                <w:szCs w:val="22"/>
                <w:lang w:eastAsia="lt-LT"/>
              </w:rPr>
              <w:t>7.2.1</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rPr>
            </w:pPr>
            <w:r>
              <w:rPr>
                <w:rFonts w:eastAsia="Calibri"/>
                <w:sz w:val="22"/>
                <w:szCs w:val="22"/>
              </w:rPr>
              <w:t>Parama investicijoms į visų rūšių mažos apimties infrastruktūrą</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pPr>
              <w:overflowPunct w:val="0"/>
              <w:jc w:val="both"/>
              <w:textAlignment w:val="baseline"/>
              <w:rPr>
                <w:bCs/>
                <w:iCs/>
                <w:color w:val="FF0000"/>
                <w:sz w:val="22"/>
                <w:szCs w:val="22"/>
                <w:lang w:eastAsia="lt-LT"/>
              </w:rPr>
            </w:pPr>
            <w:r>
              <w:rPr>
                <w:bCs/>
                <w:iCs/>
                <w:sz w:val="22"/>
                <w:szCs w:val="22"/>
                <w:lang w:eastAsia="lt-LT"/>
              </w:rPr>
              <w:t>7.2.2</w:t>
            </w:r>
          </w:p>
        </w:tc>
        <w:tc>
          <w:tcPr>
            <w:tcW w:w="5986" w:type="dxa"/>
            <w:tcBorders>
              <w:top w:val="single" w:sz="4" w:space="0" w:color="auto"/>
              <w:left w:val="nil"/>
              <w:bottom w:val="single" w:sz="4" w:space="0" w:color="auto"/>
              <w:right w:val="single" w:sz="4" w:space="0" w:color="auto"/>
            </w:tcBorders>
            <w:shd w:val="clear" w:color="auto" w:fill="auto"/>
            <w:vAlign w:val="center"/>
          </w:tcPr>
          <w:p>
            <w:pPr>
              <w:ind w:right="-135"/>
              <w:rPr>
                <w:rFonts w:eastAsia="Calibri"/>
                <w:sz w:val="22"/>
                <w:szCs w:val="22"/>
                <w:lang w:eastAsia="lt-LT"/>
              </w:rPr>
            </w:pPr>
            <w:r>
              <w:rPr>
                <w:rFonts w:eastAsia="Calibri"/>
                <w:bCs/>
                <w:iCs/>
                <w:sz w:val="22"/>
                <w:szCs w:val="22"/>
              </w:rPr>
              <w:t>Parama asbestinių stogų dangos keitimui</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ind w:left="-122" w:right="-97"/>
              <w:jc w:val="center"/>
              <w:rPr>
                <w:rFonts w:eastAsia="Calibri"/>
                <w:bCs/>
                <w:iCs/>
                <w:sz w:val="22"/>
                <w:szCs w:val="22"/>
              </w:rPr>
            </w:pPr>
            <w:r>
              <w:rPr>
                <w:rFonts w:eastAsia="Calibri"/>
                <w:bCs/>
                <w:iCs/>
                <w:sz w:val="22"/>
                <w:szCs w:val="22"/>
              </w:rPr>
              <w:t>2018-02-01</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rFonts w:eastAsia="Calibri"/>
                <w:bCs/>
                <w:iCs/>
                <w:sz w:val="22"/>
                <w:szCs w:val="22"/>
              </w:rPr>
            </w:pPr>
            <w:r>
              <w:rPr>
                <w:rFonts w:eastAsia="Calibri"/>
                <w:bCs/>
                <w:iCs/>
                <w:sz w:val="22"/>
                <w:szCs w:val="22"/>
              </w:rPr>
              <w:t>2018-03-12</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7.6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investicijoms į kaimo kultūros ir gamtos paveldą, kraštovaizdį:</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5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76" w:lineRule="auto"/>
              <w:rPr>
                <w:bCs/>
                <w:color w:val="000000"/>
                <w:sz w:val="22"/>
                <w:szCs w:val="22"/>
                <w:lang w:eastAsia="lt-LT"/>
              </w:rPr>
            </w:pPr>
            <w:r>
              <w:rPr>
                <w:bCs/>
                <w:color w:val="000000"/>
                <w:sz w:val="22"/>
                <w:szCs w:val="22"/>
                <w:lang w:eastAsia="lt-LT"/>
              </w:rPr>
              <w:t>7.6.1</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Parama investicijoms į kaimo kultūros ir gamtos paveldą, kraštovaizdį</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right="-97"/>
              <w:rPr>
                <w:bCs/>
                <w:iCs/>
                <w:strike/>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7.6.2</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Tradicinių amatų centrų plėtra</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2018-04-03</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2018-04-30</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8</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INVESTICIJOS Į MIŠKO PLOTŲ PLĖTRĄ IR MIŠKŲ GYVYBINGUMO GERINIMĄ</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nil"/>
              <w:left w:val="single" w:sz="4" w:space="0" w:color="auto"/>
              <w:right w:val="single" w:sz="4" w:space="0" w:color="auto"/>
            </w:tcBorders>
            <w:shd w:val="clear" w:color="auto" w:fill="auto"/>
            <w:vAlign w:val="center"/>
            <w:hideMark/>
          </w:tcPr>
          <w:p>
            <w:pPr>
              <w:rPr>
                <w:bCs/>
                <w:color w:val="000000"/>
                <w:sz w:val="22"/>
                <w:szCs w:val="22"/>
                <w:lang w:eastAsia="lt-LT"/>
              </w:rPr>
            </w:pPr>
            <w:r>
              <w:rPr>
                <w:bCs/>
                <w:color w:val="000000"/>
                <w:sz w:val="22"/>
                <w:szCs w:val="22"/>
                <w:lang w:eastAsia="lt-LT"/>
              </w:rPr>
              <w:t>8.1</w:t>
            </w:r>
          </w:p>
        </w:tc>
        <w:tc>
          <w:tcPr>
            <w:tcW w:w="5986" w:type="dxa"/>
            <w:vMerge w:val="restart"/>
            <w:tcBorders>
              <w:top w:val="nil"/>
              <w:left w:val="nil"/>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 xml:space="preserve">Miško veisimas </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2018-04-30</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bottom w:val="single" w:sz="4" w:space="0" w:color="auto"/>
              <w:right w:val="single" w:sz="4" w:space="0" w:color="auto"/>
            </w:tcBorders>
            <w:shd w:val="clear" w:color="auto" w:fill="auto"/>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 w:val="22"/>
                <w:szCs w:val="22"/>
                <w:lang w:eastAsia="lt-LT"/>
              </w:rPr>
            </w:pP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2018-10-31</w:t>
            </w:r>
          </w:p>
        </w:tc>
      </w:tr>
      <w:tr>
        <w:tblPrEx>
          <w:tblCellMar>
            <w:left w:w="108" w:type="dxa"/>
            <w:right w:w="108" w:type="dxa"/>
          </w:tblCellMar>
          <w:tblLook w:val="04A0" w:firstRow="1" w:lastRow="0" w:firstColumn="1" w:lastColumn="0" w:noHBand="0" w:noVBand="1"/>
        </w:tblPrEx>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8.3–4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Cs w:val="24"/>
                <w:lang w:eastAsia="lt-LT"/>
              </w:rPr>
            </w:pPr>
            <w:r>
              <w:rPr>
                <w:rFonts w:eastAsia="Calibri"/>
                <w:bCs/>
                <w:szCs w:val="24"/>
              </w:rPr>
              <w:t>Miškams padarytos žalos prevencija ir atlyginimas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2018-10-31</w:t>
            </w:r>
          </w:p>
        </w:tc>
      </w:tr>
      <w:tr>
        <w:tblPrEx>
          <w:tblCellMar>
            <w:left w:w="108" w:type="dxa"/>
            <w:right w:w="108" w:type="dxa"/>
          </w:tblCellMar>
          <w:tblLook w:val="04A0" w:firstRow="1" w:lastRow="0" w:firstColumn="1" w:lastColumn="0" w:noHBand="0" w:noVBand="1"/>
        </w:tblPrEx>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8.5</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Investicijos, kuriomis didinamas miškų ekosistemų atsparumas ir aplinkosauginė vertė</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jc w:val="center"/>
              <w:textAlignment w:val="baseline"/>
              <w:rPr>
                <w:szCs w:val="24"/>
                <w:lang w:eastAsia="lt-LT"/>
              </w:rPr>
            </w:pPr>
            <w:r>
              <w:rPr>
                <w:sz w:val="22"/>
                <w:szCs w:val="22"/>
                <w:lang w:val="en-GB" w:eastAsia="lt-LT"/>
              </w:rPr>
              <w:t>2018-07-02</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szCs w:val="24"/>
                <w:lang w:eastAsia="lt-LT"/>
              </w:rPr>
            </w:pPr>
            <w:r>
              <w:rPr>
                <w:sz w:val="22"/>
                <w:szCs w:val="22"/>
                <w:lang w:val="en-GB" w:eastAsia="lt-LT"/>
              </w:rPr>
              <w:t>2018-08-31</w:t>
            </w:r>
          </w:p>
        </w:tc>
      </w:tr>
      <w:tr>
        <w:tblPrEx>
          <w:tblCellMar>
            <w:left w:w="108" w:type="dxa"/>
            <w:right w:w="108" w:type="dxa"/>
          </w:tblCellMar>
          <w:tblLook w:val="04A0" w:firstRow="1" w:lastRow="0" w:firstColumn="1" w:lastColumn="0" w:noHBand="0" w:noVBand="1"/>
        </w:tblPrEx>
        <w:trPr>
          <w:trHeight w:val="39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8.6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 xml:space="preserve">Investicijos į miškininkystės technologijas </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2018-05-31</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9</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GAMINTOJŲ GRUPIŲ IR ORGANIZACIJŲ ĮSISTEIGIMAS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9.1</w:t>
            </w:r>
          </w:p>
        </w:tc>
        <w:tc>
          <w:tcPr>
            <w:tcW w:w="5986" w:type="dxa"/>
            <w:tcBorders>
              <w:top w:val="nil"/>
              <w:left w:val="nil"/>
              <w:bottom w:val="single" w:sz="4" w:space="0" w:color="auto"/>
              <w:right w:val="single" w:sz="4" w:space="0" w:color="auto"/>
            </w:tcBorders>
            <w:shd w:val="clear" w:color="auto" w:fill="auto"/>
            <w:vAlign w:val="center"/>
          </w:tcPr>
          <w:p>
            <w:pPr>
              <w:overflowPunct w:val="0"/>
              <w:ind w:left="-78" w:right="-135"/>
              <w:jc w:val="both"/>
              <w:textAlignment w:val="baseline"/>
              <w:rPr>
                <w:bCs/>
                <w:iCs/>
                <w:sz w:val="22"/>
                <w:szCs w:val="22"/>
              </w:rPr>
            </w:pPr>
            <w:r>
              <w:rPr>
                <w:bCs/>
                <w:iCs/>
                <w:sz w:val="22"/>
                <w:szCs w:val="22"/>
              </w:rPr>
              <w:t xml:space="preserve">Gamintojų grupių ir organizacijų įsisteigimas žemės </w:t>
            </w:r>
          </w:p>
          <w:p>
            <w:pPr>
              <w:overflowPunct w:val="0"/>
              <w:ind w:left="-78" w:right="-135"/>
              <w:jc w:val="both"/>
              <w:textAlignment w:val="baseline"/>
              <w:rPr>
                <w:bCs/>
                <w:iCs/>
                <w:sz w:val="22"/>
                <w:szCs w:val="22"/>
                <w:lang w:eastAsia="lt-LT"/>
              </w:rPr>
            </w:pPr>
            <w:r>
              <w:rPr>
                <w:bCs/>
                <w:iCs/>
                <w:sz w:val="22"/>
                <w:szCs w:val="22"/>
              </w:rPr>
              <w:t>ūkio sektoriuje</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2018-05-01</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2018-06-29</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10</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AGRARINĖ APLINKOSAUGA IR KLIMATAS*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Ekstensyvus pievų tvarkymas ganant gyvulius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Specifinių pievų tvarkymas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Ekstensyvus šlapynių tvarkymas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Nykstančios meldinių nendrinukių populiacijos buveinių saugojimas natūraliose ir pusiau natūraliose pievose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10.5</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Nykstančios meldinių nendrinukių populiacijos buveinių saugojimas šlapynėse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Medingųjų augalų juostos ar laukai ariamojoje žemėje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10.7</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Vandens telkinių apsauga nuo taršos ir dirvos erozijos ariamojoje žemėje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10.8</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Melioracijos griovių šlaitų priežiūra</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10.9</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„Rizikos“ vandens telkinių būklės gerinimas“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10.10</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„Tausojanti aplinką vaisių ir daržovių auginimo sistema“</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6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iCs/>
                <w:color w:val="000000"/>
                <w:sz w:val="22"/>
                <w:szCs w:val="22"/>
                <w:lang w:eastAsia="lt-LT"/>
              </w:rPr>
            </w:pPr>
            <w:r>
              <w:rPr>
                <w:iCs/>
                <w:color w:val="000000"/>
                <w:sz w:val="22"/>
                <w:szCs w:val="22"/>
                <w:lang w:eastAsia="lt-LT"/>
              </w:rPr>
              <w:t>10.11</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iCs/>
                <w:sz w:val="22"/>
                <w:szCs w:val="22"/>
                <w:lang w:eastAsia="lt-LT"/>
              </w:rPr>
            </w:pPr>
            <w:r>
              <w:rPr>
                <w:rFonts w:eastAsia="Calibri"/>
                <w:iCs/>
                <w:sz w:val="22"/>
                <w:szCs w:val="22"/>
                <w:lang w:eastAsia="lt-LT"/>
              </w:rPr>
              <w:t>„Dirvožemio apsauga“</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iCs/>
                <w:color w:val="000000"/>
                <w:sz w:val="22"/>
                <w:szCs w:val="22"/>
                <w:lang w:eastAsia="lt-LT"/>
              </w:rPr>
            </w:pPr>
            <w:r>
              <w:rPr>
                <w:iCs/>
                <w:color w:val="000000"/>
                <w:sz w:val="22"/>
                <w:szCs w:val="22"/>
                <w:lang w:eastAsia="lt-LT"/>
              </w:rPr>
              <w:t>10.12</w:t>
            </w:r>
          </w:p>
        </w:tc>
        <w:tc>
          <w:tcPr>
            <w:tcW w:w="5986" w:type="dxa"/>
            <w:tcBorders>
              <w:top w:val="nil"/>
              <w:left w:val="nil"/>
              <w:bottom w:val="single" w:sz="4" w:space="0" w:color="auto"/>
              <w:right w:val="single" w:sz="4" w:space="0" w:color="auto"/>
            </w:tcBorders>
            <w:shd w:val="clear" w:color="auto" w:fill="auto"/>
            <w:vAlign w:val="center"/>
          </w:tcPr>
          <w:p>
            <w:pPr>
              <w:rPr>
                <w:rFonts w:eastAsia="Calibri"/>
                <w:iCs/>
                <w:sz w:val="22"/>
                <w:szCs w:val="22"/>
                <w:lang w:eastAsia="lt-LT"/>
              </w:rPr>
            </w:pPr>
            <w:r>
              <w:rPr>
                <w:rFonts w:eastAsia="Calibri"/>
                <w:iCs/>
                <w:sz w:val="22"/>
                <w:szCs w:val="22"/>
                <w:lang w:eastAsia="lt-LT"/>
              </w:rPr>
              <w:t>„Nykstančių Lietuvos senųjų veislių gyvulių ir naminių paukščių išsaugojimas“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11</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sz w:val="22"/>
                <w:szCs w:val="22"/>
                <w:lang w:eastAsia="lt-LT"/>
              </w:rPr>
            </w:pPr>
            <w:r>
              <w:rPr>
                <w:rFonts w:eastAsia="Calibri"/>
                <w:bCs/>
                <w:sz w:val="22"/>
                <w:szCs w:val="22"/>
                <w:lang w:eastAsia="lt-LT"/>
              </w:rPr>
              <w:t>EKOLOGINIS ŪKININKAVIMAS*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SU „NATURA 2000“ IR VANDENS PAGRINDŲ DIREKTYVA SUSIJUSIOS IŠMOKOS*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12.1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„Natura 2000“ žemės ūkio paskirties žemėje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12.2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„Natura 2000“ miškuose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IŠMOKOS UŽ VIETOVES, KURIOSE ESAMA GAMTINIŲ AR KITŲ SPECIFINIŲ KLIŪČIŲ*</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13.2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Išmoka ūkininkaujantiesiems vietovėse, kuriose esama didelių gamtinių kliūčių</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13.3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 xml:space="preserve">Išmoka ūkininkaujantiesiems vietovėse, kuriose esama specifinių kliūčių </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BENDRADARBIAVIMAS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167"/>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16.1</w:t>
            </w:r>
          </w:p>
        </w:tc>
        <w:tc>
          <w:tcPr>
            <w:tcW w:w="5986" w:type="dxa"/>
            <w:tcBorders>
              <w:top w:val="nil"/>
              <w:left w:val="nil"/>
              <w:bottom w:val="single" w:sz="4" w:space="0" w:color="auto"/>
              <w:right w:val="single" w:sz="4" w:space="0" w:color="auto"/>
            </w:tcBorders>
            <w:shd w:val="clear" w:color="auto" w:fill="auto"/>
            <w:vAlign w:val="center"/>
          </w:tcPr>
          <w:p>
            <w:pPr>
              <w:rPr>
                <w:rFonts w:eastAsia="Calibri"/>
                <w:sz w:val="22"/>
                <w:szCs w:val="22"/>
              </w:rPr>
            </w:pPr>
            <w:r>
              <w:rPr>
                <w:rFonts w:eastAsia="Calibri"/>
                <w:sz w:val="22"/>
                <w:szCs w:val="22"/>
              </w:rPr>
              <w:t xml:space="preserve">Parama EIP veiklos grupėms kurti ir jų veiklai vystyti </w:t>
            </w:r>
          </w:p>
          <w:p>
            <w:pPr>
              <w:rPr>
                <w:rFonts w:eastAsia="Calibri"/>
                <w:sz w:val="22"/>
                <w:szCs w:val="22"/>
              </w:rPr>
            </w:pPr>
            <w:r>
              <w:rPr>
                <w:rFonts w:eastAsia="Calibri"/>
                <w:sz w:val="22"/>
                <w:szCs w:val="22"/>
              </w:rPr>
              <w:t>(EIP veiklos grupių projektų galimybių studijų pateikimas)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2018-05-02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2018-06-15</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16.1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EIP veiklos grupėms kurti ir jų veiklai vystyti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2018-10-01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r>
              <w:rPr>
                <w:bCs/>
                <w:iCs/>
                <w:sz w:val="22"/>
                <w:szCs w:val="22"/>
                <w:lang w:eastAsia="lt-LT"/>
              </w:rPr>
              <w:t>2018-11-30</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16.3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smulkiųjų ūkio subjektų bendradarbiavimui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2018-06-01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r>
              <w:rPr>
                <w:bCs/>
                <w:iCs/>
                <w:sz w:val="22"/>
                <w:szCs w:val="22"/>
                <w:lang w:eastAsia="lt-LT"/>
              </w:rPr>
              <w:t>2018-08-31</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16.4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trumpoms tiekimo grandinėms ir vietos rinkoms skatinti vietos lygmeniu</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2018-02-01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r>
              <w:rPr>
                <w:bCs/>
                <w:iCs/>
                <w:sz w:val="22"/>
                <w:szCs w:val="22"/>
                <w:lang w:eastAsia="lt-LT"/>
              </w:rPr>
              <w:t>2018-03-30</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17</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RIZIKOS VALDYMAS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nil"/>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17.1.1</w:t>
            </w:r>
          </w:p>
        </w:tc>
        <w:tc>
          <w:tcPr>
            <w:tcW w:w="5986" w:type="dxa"/>
            <w:vMerge w:val="restart"/>
            <w:tcBorders>
              <w:top w:val="nil"/>
              <w:left w:val="nil"/>
              <w:right w:val="single" w:sz="4" w:space="0" w:color="auto"/>
            </w:tcBorders>
            <w:shd w:val="clear" w:color="auto" w:fill="auto"/>
            <w:vAlign w:val="center"/>
          </w:tcPr>
          <w:p>
            <w:pPr>
              <w:rPr>
                <w:rFonts w:eastAsia="Calibri"/>
                <w:bCs/>
                <w:sz w:val="22"/>
                <w:szCs w:val="22"/>
                <w:lang w:eastAsia="lt-LT"/>
              </w:rPr>
            </w:pPr>
            <w:r>
              <w:rPr>
                <w:rFonts w:eastAsia="Calibri"/>
                <w:bCs/>
                <w:iCs/>
                <w:sz w:val="22"/>
                <w:szCs w:val="22"/>
                <w:lang w:eastAsia="lt-LT"/>
              </w:rPr>
              <w:t>Pasėlių ir augalų draudimo įmokų kompensavimas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2018-03-12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2018-06-29</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 w:val="22"/>
                <w:szCs w:val="22"/>
                <w:lang w:eastAsia="lt-LT"/>
              </w:rPr>
            </w:pP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2018-12-31</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sz w:val="22"/>
                <w:szCs w:val="22"/>
                <w:lang w:eastAsia="lt-LT"/>
              </w:rPr>
            </w:pPr>
            <w:r>
              <w:rPr>
                <w:bCs/>
                <w:sz w:val="22"/>
                <w:szCs w:val="22"/>
                <w:lang w:eastAsia="lt-LT"/>
              </w:rPr>
              <w:t>17.1.2</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Gyvūnų draudimo įmokų kompensavimas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2018-01-02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r>
              <w:rPr>
                <w:bCs/>
                <w:iCs/>
                <w:sz w:val="22"/>
                <w:szCs w:val="22"/>
                <w:lang w:eastAsia="lt-LT"/>
              </w:rPr>
              <w:t>2018-12-31</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19</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LEADER PROGRAMA</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19.2</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sz w:val="22"/>
                <w:szCs w:val="22"/>
                <w:lang w:eastAsia="lt-LT"/>
              </w:rPr>
            </w:pPr>
            <w:r>
              <w:rPr>
                <w:rFonts w:eastAsia="Calibri"/>
                <w:bCs/>
                <w:sz w:val="22"/>
                <w:szCs w:val="22"/>
                <w:lang w:eastAsia="lt-LT"/>
              </w:rPr>
              <w:t>Parama vietos projektams įgyvendinti pagal VPS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1210"/>
        </w:trPr>
        <w:tc>
          <w:tcPr>
            <w:tcW w:w="960" w:type="dxa"/>
            <w:tcBorders>
              <w:top w:val="nil"/>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19.3</w:t>
            </w:r>
          </w:p>
        </w:tc>
        <w:tc>
          <w:tcPr>
            <w:tcW w:w="5986" w:type="dxa"/>
            <w:tcBorders>
              <w:top w:val="nil"/>
              <w:left w:val="nil"/>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Vietos veiklos grupių bendradarbiavimo projektų rengimas ir įgyvendinimas</w:t>
            </w:r>
          </w:p>
        </w:tc>
        <w:tc>
          <w:tcPr>
            <w:tcW w:w="1314"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c>
          <w:tcPr>
            <w:tcW w:w="1314" w:type="dxa"/>
            <w:gridSpan w:val="2"/>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iCs/>
                <w:sz w:val="22"/>
                <w:szCs w:val="22"/>
                <w:lang w:eastAsia="lt-LT"/>
              </w:rPr>
              <w:t>19.3.1</w:t>
            </w:r>
          </w:p>
        </w:tc>
        <w:tc>
          <w:tcPr>
            <w:tcW w:w="5986" w:type="dxa"/>
            <w:vMerge w:val="restart"/>
            <w:tcBorders>
              <w:top w:val="single" w:sz="4" w:space="0" w:color="auto"/>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szCs w:val="24"/>
                <w:lang w:eastAsia="lt-LT"/>
              </w:rPr>
              <w:t>Parengiamoji parama (tarptautinių projektų inicijavimas)</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2018-02-19</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2018-03-19</w:t>
            </w:r>
          </w:p>
        </w:tc>
      </w:tr>
      <w:tr>
        <w:tblPrEx>
          <w:tblCellMar>
            <w:left w:w="108" w:type="dxa"/>
            <w:right w:w="108" w:type="dxa"/>
          </w:tblCellMar>
          <w:tblLook w:val="04A0" w:firstRow="1" w:lastRow="0" w:firstColumn="1" w:lastColumn="0" w:noHBand="0" w:noVBand="1"/>
        </w:tblPrEx>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rPr>
                <w:bCs/>
                <w:iCs/>
                <w:sz w:val="22"/>
                <w:szCs w:val="22"/>
                <w:lang w:eastAsia="lt-LT"/>
              </w:rPr>
            </w:pPr>
          </w:p>
        </w:tc>
        <w:tc>
          <w:tcPr>
            <w:tcW w:w="5986" w:type="dxa"/>
            <w:vMerge/>
            <w:tcBorders>
              <w:top w:val="single" w:sz="4" w:space="0" w:color="auto"/>
              <w:left w:val="nil"/>
              <w:bottom w:val="single" w:sz="4" w:space="0" w:color="auto"/>
              <w:right w:val="single" w:sz="4" w:space="0" w:color="auto"/>
            </w:tcBorders>
            <w:shd w:val="clear" w:color="auto" w:fill="auto"/>
            <w:vAlign w:val="center"/>
          </w:tcPr>
          <w:p>
            <w:pPr>
              <w:rPr>
                <w:rFonts w:eastAsia="Calibri"/>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2018-04-16</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2018-05-16</w:t>
            </w:r>
          </w:p>
        </w:tc>
      </w:tr>
      <w:tr>
        <w:tblPrEx>
          <w:tblCellMar>
            <w:left w:w="108" w:type="dxa"/>
            <w:right w:w="108" w:type="dxa"/>
          </w:tblCellMar>
          <w:tblLook w:val="04A0" w:firstRow="1" w:lastRow="0" w:firstColumn="1" w:lastColumn="0" w:noHBand="0" w:noVBand="1"/>
        </w:tblPrEx>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rPr>
                <w:bCs/>
                <w:iCs/>
                <w:sz w:val="22"/>
                <w:szCs w:val="22"/>
                <w:lang w:eastAsia="lt-LT"/>
              </w:rPr>
            </w:pPr>
          </w:p>
        </w:tc>
        <w:tc>
          <w:tcPr>
            <w:tcW w:w="5986" w:type="dxa"/>
            <w:vMerge/>
            <w:tcBorders>
              <w:top w:val="single" w:sz="4" w:space="0" w:color="auto"/>
              <w:left w:val="nil"/>
              <w:bottom w:val="single" w:sz="4" w:space="0" w:color="auto"/>
              <w:right w:val="single" w:sz="4" w:space="0" w:color="auto"/>
            </w:tcBorders>
            <w:shd w:val="clear" w:color="auto" w:fill="auto"/>
            <w:vAlign w:val="center"/>
          </w:tcPr>
          <w:p>
            <w:pPr>
              <w:rPr>
                <w:rFonts w:eastAsia="Calibri"/>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2018-06-04</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2018-07-02</w:t>
            </w:r>
          </w:p>
        </w:tc>
      </w:tr>
      <w:tr>
        <w:tblPrEx>
          <w:tblCellMar>
            <w:left w:w="108" w:type="dxa"/>
            <w:right w:w="108" w:type="dxa"/>
          </w:tblCellMar>
          <w:tblLook w:val="04A0" w:firstRow="1" w:lastRow="0" w:firstColumn="1" w:lastColumn="0" w:noHBand="0" w:noVBand="1"/>
        </w:tblPrEx>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rPr>
                <w:bCs/>
                <w:iCs/>
                <w:sz w:val="22"/>
                <w:szCs w:val="22"/>
                <w:lang w:eastAsia="lt-LT"/>
              </w:rPr>
            </w:pPr>
          </w:p>
        </w:tc>
        <w:tc>
          <w:tcPr>
            <w:tcW w:w="5986" w:type="dxa"/>
            <w:vMerge/>
            <w:tcBorders>
              <w:top w:val="single" w:sz="4" w:space="0" w:color="auto"/>
              <w:left w:val="nil"/>
              <w:bottom w:val="single" w:sz="4" w:space="0" w:color="auto"/>
              <w:right w:val="single" w:sz="4" w:space="0" w:color="auto"/>
            </w:tcBorders>
            <w:shd w:val="clear" w:color="auto" w:fill="auto"/>
            <w:vAlign w:val="center"/>
          </w:tcPr>
          <w:p>
            <w:pPr>
              <w:rPr>
                <w:rFonts w:eastAsia="Calibri"/>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2018-09-17</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2018-10-15</w:t>
            </w: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19.3.2</w:t>
            </w:r>
          </w:p>
        </w:tc>
        <w:tc>
          <w:tcPr>
            <w:tcW w:w="5986" w:type="dxa"/>
            <w:vMerge w:val="restart"/>
            <w:tcBorders>
              <w:top w:val="single" w:sz="4" w:space="0" w:color="auto"/>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Cs w:val="24"/>
                <w:lang w:eastAsia="lt-LT"/>
              </w:rPr>
              <w:t>Teritorinio bendradarbiavimo projektai</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2018-04-16</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2018-05-16</w:t>
            </w:r>
          </w:p>
        </w:tc>
      </w:tr>
      <w:tr>
        <w:tblPrEx>
          <w:tblCellMar>
            <w:left w:w="108" w:type="dxa"/>
            <w:right w:w="108" w:type="dxa"/>
          </w:tblCellMar>
          <w:tblLook w:val="04A0" w:firstRow="1" w:lastRow="0" w:firstColumn="1" w:lastColumn="0" w:noHBand="0" w:noVBand="1"/>
        </w:tblPrEx>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top w:val="single" w:sz="4" w:space="0" w:color="auto"/>
              <w:left w:val="nil"/>
              <w:bottom w:val="single" w:sz="4" w:space="0" w:color="auto"/>
              <w:right w:val="single" w:sz="4" w:space="0" w:color="auto"/>
            </w:tcBorders>
            <w:shd w:val="clear" w:color="auto" w:fill="auto"/>
            <w:vAlign w:val="center"/>
          </w:tcPr>
          <w:p>
            <w:pPr>
              <w:rPr>
                <w:rFonts w:eastAsia="Calibri"/>
                <w:bCs/>
                <w:iCs/>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2018-09-17</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2018-10-15</w:t>
            </w: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single" w:sz="4" w:space="0" w:color="auto"/>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19.3.3</w:t>
            </w:r>
          </w:p>
        </w:tc>
        <w:tc>
          <w:tcPr>
            <w:tcW w:w="5986" w:type="dxa"/>
            <w:vMerge w:val="restart"/>
            <w:tcBorders>
              <w:top w:val="single" w:sz="4" w:space="0" w:color="auto"/>
              <w:left w:val="nil"/>
              <w:right w:val="single" w:sz="4" w:space="0" w:color="auto"/>
            </w:tcBorders>
            <w:shd w:val="clear" w:color="auto" w:fill="auto"/>
            <w:vAlign w:val="center"/>
          </w:tcPr>
          <w:p>
            <w:pPr>
              <w:rPr>
                <w:rFonts w:eastAsia="Calibri"/>
                <w:bCs/>
                <w:iCs/>
                <w:sz w:val="22"/>
                <w:szCs w:val="22"/>
                <w:lang w:eastAsia="lt-LT"/>
              </w:rPr>
            </w:pPr>
            <w:r>
              <w:rPr>
                <w:rFonts w:eastAsia="Calibri"/>
                <w:bCs/>
                <w:iCs/>
                <w:szCs w:val="24"/>
                <w:lang w:eastAsia="lt-LT"/>
              </w:rPr>
              <w:t>Tarptautinio bendradarbiavimo projektai</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2018-02-19</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2018-03-19</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right w:val="single" w:sz="4" w:space="0" w:color="auto"/>
            </w:tcBorders>
            <w:shd w:val="clear" w:color="auto" w:fill="auto"/>
            <w:vAlign w:val="center"/>
          </w:tcPr>
          <w:p>
            <w:pPr>
              <w:rPr>
                <w:rFonts w:eastAsia="Calibri"/>
                <w:bCs/>
                <w:iCs/>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2018-04-16</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2018-05-16</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right w:val="single" w:sz="4" w:space="0" w:color="auto"/>
            </w:tcBorders>
            <w:shd w:val="clear" w:color="auto" w:fill="auto"/>
            <w:vAlign w:val="center"/>
          </w:tcPr>
          <w:p>
            <w:pPr>
              <w:rPr>
                <w:rFonts w:eastAsia="Calibri"/>
                <w:bCs/>
                <w:iCs/>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2018-06-04</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2018-07-02</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2018-09-17</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2018-10-15</w:t>
            </w:r>
          </w:p>
        </w:tc>
      </w:tr>
    </w:tbl>
    <w:p>
      <w:pPr>
        <w:keepLines/>
        <w:suppressAutoHyphens/>
        <w:spacing w:line="288" w:lineRule="auto"/>
        <w:textAlignment w:val="center"/>
        <w:rPr>
          <w:b/>
          <w:bCs/>
          <w:caps/>
          <w:color w:val="000000"/>
          <w:sz w:val="22"/>
          <w:szCs w:val="22"/>
        </w:rPr>
      </w:pPr>
    </w:p>
    <w:p>
      <w:pPr>
        <w:rPr>
          <w:rFonts w:eastAsia="Calibri"/>
          <w:sz w:val="22"/>
          <w:szCs w:val="22"/>
        </w:rPr>
      </w:pPr>
      <w:r>
        <w:rPr>
          <w:rFonts w:eastAsia="Calibri"/>
          <w:sz w:val="22"/>
          <w:szCs w:val="22"/>
        </w:rPr>
        <w:t>*Paraiškos priimamos kartu su tiesioginių išmokų paraiškomis</w:t>
      </w:r>
    </w:p>
    <w:p>
      <w:pPr>
        <w:ind w:firstLine="57"/>
        <w:rPr>
          <w:rFonts w:eastAsia="Calibri"/>
          <w:sz w:val="22"/>
          <w:szCs w:val="22"/>
        </w:rPr>
      </w:pPr>
    </w:p>
    <w:p>
      <w:pPr>
        <w:spacing w:line="276" w:lineRule="auto"/>
        <w:jc w:val="center"/>
        <w:rPr>
          <w:szCs w:val="24"/>
        </w:rPr>
      </w:pPr>
    </w:p>
    <w:p>
      <w:pPr>
        <w:rPr>
          <w:sz w:val="18"/>
          <w:szCs w:val="18"/>
        </w:rPr>
      </w:pPr>
    </w:p>
    <w:p>
      <w:pPr>
        <w:jc w:val="center"/>
      </w:pPr>
      <w:r>
        <w:rPr>
          <w:szCs w:val="24"/>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6c6650fb5311e78bcec397524184ce">
        <w:r w:rsidRPr="00532B9F">
          <w:rPr>
            <w:rFonts w:ascii="Times New Roman" w:eastAsia="MS Mincho" w:hAnsi="Times New Roman"/>
            <w:sz w:val="20"/>
            <w:i/>
            <w:iCs/>
            <w:color w:val="0000FF" w:themeColor="hyperlink"/>
            <w:u w:val="single"/>
          </w:rPr>
          <w:t>3D-24</w:t>
        </w:r>
      </w:fldSimple>
      <w:r>
        <w:rPr>
          <w:rFonts w:ascii="Times New Roman" w:eastAsia="MS Mincho" w:hAnsi="Times New Roman"/>
          <w:sz w:val="20"/>
          <w:i/>
          <w:iCs/>
        </w:rPr>
        <w:t>,
2018-01-17,
paskelbta TAR 2018-01-17, i. k. 2018-00715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f4ccf00d7111e8a5fc9d9b3a58917b">
        <w:r w:rsidRPr="00532B9F">
          <w:rPr>
            <w:rFonts w:ascii="Times New Roman" w:eastAsia="MS Mincho" w:hAnsi="Times New Roman"/>
            <w:sz w:val="20"/>
            <w:i/>
            <w:iCs/>
            <w:color w:val="0000FF" w:themeColor="hyperlink"/>
            <w:u w:val="single"/>
          </w:rPr>
          <w:t>3D-88</w:t>
        </w:r>
      </w:fldSimple>
      <w:r>
        <w:rPr>
          <w:rFonts w:ascii="Times New Roman" w:eastAsia="MS Mincho" w:hAnsi="Times New Roman"/>
          <w:sz w:val="20"/>
          <w:i/>
          <w:iCs/>
        </w:rPr>
        <w:t>,
2018-02-09,
paskelbta TAR 2018-02-09, i. k. 2018-02109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026c3017ac11e88456d055fb6f6244">
        <w:r w:rsidRPr="00532B9F">
          <w:rPr>
            <w:rFonts w:ascii="Times New Roman" w:eastAsia="MS Mincho" w:hAnsi="Times New Roman"/>
            <w:sz w:val="20"/>
            <w:i/>
            <w:iCs/>
            <w:color w:val="0000FF" w:themeColor="hyperlink"/>
            <w:u w:val="single"/>
          </w:rPr>
          <w:t>3D-111</w:t>
        </w:r>
      </w:fldSimple>
      <w:r>
        <w:rPr>
          <w:rFonts w:ascii="Times New Roman" w:eastAsia="MS Mincho" w:hAnsi="Times New Roman"/>
          <w:sz w:val="20"/>
          <w:i/>
          <w:iCs/>
        </w:rPr>
        <w:t>,
2018-02-22,
paskelbta TAR 2018-02-22, i. k. 2018-02807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10e62031b611e8bbc3f206caa14d00">
        <w:r w:rsidRPr="00532B9F">
          <w:rPr>
            <w:rFonts w:ascii="Times New Roman" w:eastAsia="MS Mincho" w:hAnsi="Times New Roman"/>
            <w:sz w:val="20"/>
            <w:i/>
            <w:iCs/>
            <w:color w:val="0000FF" w:themeColor="hyperlink"/>
            <w:u w:val="single"/>
          </w:rPr>
          <w:t>3D-188</w:t>
        </w:r>
      </w:fldSimple>
      <w:r>
        <w:rPr>
          <w:rFonts w:ascii="Times New Roman" w:eastAsia="MS Mincho" w:hAnsi="Times New Roman"/>
          <w:sz w:val="20"/>
          <w:i/>
          <w:iCs/>
        </w:rPr>
        <w:t>,
2018-03-27,
paskelbta TAR 2018-03-28, i. k. 2018-04697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1a0c907aa111e8ae2bfd1913d66d57">
        <w:r w:rsidRPr="00532B9F">
          <w:rPr>
            <w:rFonts w:ascii="Times New Roman" w:eastAsia="MS Mincho" w:hAnsi="Times New Roman"/>
            <w:sz w:val="20"/>
            <w:i/>
            <w:iCs/>
            <w:color w:val="0000FF" w:themeColor="hyperlink"/>
            <w:u w:val="single"/>
          </w:rPr>
          <w:t>3D-431</w:t>
        </w:r>
      </w:fldSimple>
      <w:r>
        <w:rPr>
          <w:rFonts w:ascii="Times New Roman" w:eastAsia="MS Mincho" w:hAnsi="Times New Roman"/>
          <w:sz w:val="20"/>
          <w:i/>
          <w:iCs/>
        </w:rPr>
        <w:t>,
2018-06-28,
paskelbta TAR 2018-06-28, i. k. 2018-10718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06c6650fb5311e78bcec397524184ce">
        <w:r w:rsidRPr="00532B9F">
          <w:rPr>
            <w:rFonts w:ascii="Times New Roman" w:eastAsia="MS Mincho" w:hAnsi="Times New Roman"/>
            <w:sz w:val="20"/>
            <w:iCs/>
            <w:color w:val="0000FF" w:themeColor="hyperlink"/>
            <w:u w:val="single"/>
          </w:rPr>
          <w:t>3D-24</w:t>
        </w:r>
      </w:fldSimple>
      <w:r>
        <w:rPr>
          <w:rFonts w:ascii="Times New Roman" w:eastAsia="MS Mincho" w:hAnsi="Times New Roman"/>
          <w:sz w:val="20"/>
          <w:iCs/>
        </w:rPr>
        <w:t>,
2018-01-17,
paskelbta TAR 2018-01-17, i. k. 2018-00715                </w:t>
      </w:r>
    </w:p>
    <w:p>
      <w:pPr>
        <w:jc w:val="both"/>
        <w:rPr>
          <w:rFonts w:ascii="Times New Roman" w:hAnsi="Times New Roman"/>
        </w:rPr>
      </w:pPr>
      <w:r>
        <w:rPr>
          <w:rFonts w:ascii="Times New Roman" w:hAnsi="Times New Roman"/>
          <w:sz w:val="20"/>
        </w:rPr>
        <w:t>Dėl žemės ūkio ministro 2017 m. gruodžio 1 d. įsakymo Nr. 3D-770 „Dėl Paramos paraiškų pagal Lietuvos kaimo plėtros 2014–2020 metų programos priemones priėmimo 2018 metais grafiko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f4ccf00d7111e8a5fc9d9b3a58917b">
        <w:r w:rsidRPr="00532B9F">
          <w:rPr>
            <w:rFonts w:ascii="Times New Roman" w:eastAsia="MS Mincho" w:hAnsi="Times New Roman"/>
            <w:sz w:val="20"/>
            <w:iCs/>
            <w:color w:val="0000FF" w:themeColor="hyperlink"/>
            <w:u w:val="single"/>
          </w:rPr>
          <w:t>3D-88</w:t>
        </w:r>
      </w:fldSimple>
      <w:r>
        <w:rPr>
          <w:rFonts w:ascii="Times New Roman" w:eastAsia="MS Mincho" w:hAnsi="Times New Roman"/>
          <w:sz w:val="20"/>
          <w:iCs/>
        </w:rPr>
        <w:t>,
2018-02-09,
paskelbta TAR 2018-02-09, i. k. 2018-02109                </w:t>
      </w:r>
    </w:p>
    <w:p>
      <w:pPr>
        <w:jc w:val="both"/>
        <w:rPr>
          <w:rFonts w:ascii="Times New Roman" w:hAnsi="Times New Roman"/>
        </w:rPr>
      </w:pPr>
      <w:r>
        <w:rPr>
          <w:rFonts w:ascii="Times New Roman" w:hAnsi="Times New Roman"/>
          <w:sz w:val="20"/>
        </w:rPr>
        <w:t>Dėl žemės ūkio ministro 2017 m. gruodžio 1 d. įsakymo Nr. 3D-770 „Dėl Paramos paraiškų pagal Lietuvos kaimo plėtros 2014–2020 metų programos priemones priėmimo 2018 metais grafiko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f026c3017ac11e88456d055fb6f6244">
        <w:r w:rsidRPr="00532B9F">
          <w:rPr>
            <w:rFonts w:ascii="Times New Roman" w:eastAsia="MS Mincho" w:hAnsi="Times New Roman"/>
            <w:sz w:val="20"/>
            <w:iCs/>
            <w:color w:val="0000FF" w:themeColor="hyperlink"/>
            <w:u w:val="single"/>
          </w:rPr>
          <w:t>3D-111</w:t>
        </w:r>
      </w:fldSimple>
      <w:r>
        <w:rPr>
          <w:rFonts w:ascii="Times New Roman" w:eastAsia="MS Mincho" w:hAnsi="Times New Roman"/>
          <w:sz w:val="20"/>
          <w:iCs/>
        </w:rPr>
        <w:t>,
2018-02-22,
paskelbta TAR 2018-02-22, i. k. 2018-02807                </w:t>
      </w:r>
    </w:p>
    <w:p>
      <w:pPr>
        <w:jc w:val="both"/>
        <w:rPr>
          <w:rFonts w:ascii="Times New Roman" w:hAnsi="Times New Roman"/>
        </w:rPr>
      </w:pPr>
      <w:r>
        <w:rPr>
          <w:rFonts w:ascii="Times New Roman" w:hAnsi="Times New Roman"/>
          <w:sz w:val="20"/>
        </w:rPr>
        <w:t>Dėl žemės ūkio ministro 2017 m. gruodžio 1 d. įsakymo Nr. 3D-770 „Dėl Paramos paraiškų pagal Lietuvos kaimo plėtros 2014–2020 metų programos priemones priėmimo 2018 metais grafiko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10e62031b611e8bbc3f206caa14d00">
        <w:r w:rsidRPr="00532B9F">
          <w:rPr>
            <w:rFonts w:ascii="Times New Roman" w:eastAsia="MS Mincho" w:hAnsi="Times New Roman"/>
            <w:sz w:val="20"/>
            <w:iCs/>
            <w:color w:val="0000FF" w:themeColor="hyperlink"/>
            <w:u w:val="single"/>
          </w:rPr>
          <w:t>3D-188</w:t>
        </w:r>
      </w:fldSimple>
      <w:r>
        <w:rPr>
          <w:rFonts w:ascii="Times New Roman" w:eastAsia="MS Mincho" w:hAnsi="Times New Roman"/>
          <w:sz w:val="20"/>
          <w:iCs/>
        </w:rPr>
        <w:t>,
2018-03-27,
paskelbta TAR 2018-03-28, i. k. 2018-04697                </w:t>
      </w:r>
    </w:p>
    <w:p>
      <w:pPr>
        <w:jc w:val="both"/>
        <w:rPr>
          <w:rFonts w:ascii="Times New Roman" w:hAnsi="Times New Roman"/>
        </w:rPr>
      </w:pPr>
      <w:r>
        <w:rPr>
          <w:rFonts w:ascii="Times New Roman" w:hAnsi="Times New Roman"/>
          <w:sz w:val="20"/>
        </w:rPr>
        <w:t>Dėl žemės ūkio ministro 2017 m. gruodžio 1 d. įsakymo Nr. 3D-770 „Dėl Paramos paraiškų pagal Lietuvos kaimo plėtros 2014–2020 metų programos priemones priėmimo 2018 metais grafiko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b1a0c907aa111e8ae2bfd1913d66d57">
        <w:r w:rsidRPr="00532B9F">
          <w:rPr>
            <w:rFonts w:ascii="Times New Roman" w:eastAsia="MS Mincho" w:hAnsi="Times New Roman"/>
            <w:sz w:val="20"/>
            <w:iCs/>
            <w:color w:val="0000FF" w:themeColor="hyperlink"/>
            <w:u w:val="single"/>
          </w:rPr>
          <w:t>3D-431</w:t>
        </w:r>
      </w:fldSimple>
      <w:r>
        <w:rPr>
          <w:rFonts w:ascii="Times New Roman" w:eastAsia="MS Mincho" w:hAnsi="Times New Roman"/>
          <w:sz w:val="20"/>
          <w:iCs/>
        </w:rPr>
        <w:t>,
2018-06-28,
paskelbta TAR 2018-06-28, i. k. 2018-10718                </w:t>
      </w:r>
    </w:p>
    <w:p>
      <w:pPr>
        <w:jc w:val="both"/>
        <w:rPr>
          <w:rFonts w:ascii="Times New Roman" w:hAnsi="Times New Roman"/>
        </w:rPr>
      </w:pPr>
      <w:r>
        <w:rPr>
          <w:rFonts w:ascii="Times New Roman" w:hAnsi="Times New Roman"/>
          <w:sz w:val="20"/>
        </w:rPr>
        <w:t>Dėl žemės ūkio ministro 2017 m. gruodžio 1 d. įsakymo Nr. 3D-770 „Dėl Paramos paraiškų pagal Lietuvos kaimo plėtros 2014–2020 metų programos priemones priėmimo 2018 metais grafiko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276" w:right="1274" w:bottom="568"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5</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4</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5</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2</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3</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3</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2</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3</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166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9.xml"/>
  <Relationship Id="rId17" Type="http://schemas.openxmlformats.org/officeDocument/2006/relationships/header" Target="header20.xml"/>
  <Relationship Id="rId18" Type="http://schemas.openxmlformats.org/officeDocument/2006/relationships/footer" Target="footer19.xml"/>
  <Relationship Id="rId19" Type="http://schemas.openxmlformats.org/officeDocument/2006/relationships/footer" Target="footer20.xml"/>
  <Relationship Id="rId2" Type="http://schemas.openxmlformats.org/officeDocument/2006/relationships/fontTable" Target="fontTable.xml"/>
  <Relationship Id="rId20" Type="http://schemas.openxmlformats.org/officeDocument/2006/relationships/header" Target="header21.xml"/>
  <Relationship Id="rId21" Type="http://schemas.openxmlformats.org/officeDocument/2006/relationships/footer" Target="footer21.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8</Pages>
  <Words>8871</Words>
  <Characters>5057</Characters>
  <Application>Microsoft Office Word</Application>
  <DocSecurity>0</DocSecurity>
  <Lines>42</Lines>
  <Paragraphs>27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13901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2018-01-18T09:42:00Z</dcterms:created>
  <dc:creator>PETRAUSKAITĖ Girmantė</dc:creator>
  <lastModifiedBy>KUČIAUSKIENĖ Simona</lastModifiedBy>
  <dcterms:modified xsi:type="dcterms:W3CDTF">2018-07-09T04:56:00Z</dcterms:modified>
  <revision>22</revision>
</coreProperties>
</file>