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2014-04-15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2004, Nr. </w:t>
      </w:r>
      <w:fldSimple w:instr="HYPERLINK https://www.e-tar.lt/portal/legalAct.html?documentId=TAR.01A820F11F11">
        <w:r w:rsidRPr="00532B9F">
          <w:rPr>
            <w:rFonts w:ascii="Times New Roman" w:eastAsia="MS Mincho" w:hAnsi="Times New Roman"/>
            <w:sz w:val="20"/>
            <w:i/>
            <w:iCs/>
            <w:color w:val="0000FF" w:themeColor="hyperlink"/>
            <w:u w:val="single"/>
          </w:rPr>
          <w:t>88-3244</w:t>
        </w:r>
      </w:fldSimple>
      <w:r>
        <w:rPr>
          <w:rFonts w:ascii="Times New Roman" w:eastAsia="MS Mincho" w:hAnsi="Times New Roman"/>
          <w:sz w:val="20"/>
          <w:i/>
          <w:iCs/>
        </w:rPr>
        <w:t>, i. k. 1042330ISAK003D-324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2012-04-06:</w:t>
      </w:r>
    </w:p>
    <w:p>
      <w:pPr>
        <w:rPr>
          <w:rFonts w:ascii="Times New Roman" w:hAnsi="Times New Roman"/>
          <w:sz w:val="20"/>
          <w:i/>
        </w:rPr>
      </w:pPr>
      <w:r>
        <w:rPr>
          <w:rFonts w:ascii="Times New Roman" w:hAnsi="Times New Roman"/>
          <w:sz w:val="20"/>
          <w:i/>
        </w:rPr>
        <w:t xml:space="preserve">Nr. </w:t>
      </w:r>
      <w:fldSimple w:instr="HYPERLINK https://www.e-tar.lt/portal/legalAct.html?documentId=TAR.A0A9B76F469B">
        <w:r w:rsidRPr="00532B9F">
          <w:rPr>
            <w:rFonts w:ascii="Times New Roman" w:eastAsia="MS Mincho" w:hAnsi="Times New Roman"/>
            <w:sz w:val="20"/>
            <w:i/>
            <w:iCs/>
            <w:color w:val="0000FF" w:themeColor="hyperlink"/>
            <w:u w:val="single"/>
          </w:rPr>
          <w:t>3D-240</w:t>
        </w:r>
      </w:fldSimple>
      <w:r>
        <w:rPr>
          <w:rFonts w:ascii="Times New Roman" w:eastAsia="MS Mincho" w:hAnsi="Times New Roman"/>
          <w:sz w:val="20"/>
          <w:i/>
          <w:iCs/>
        </w:rPr>
        <w:t>,
2012-04-03,
Žin. 2012,
Nr.
41-2016 (2012-04-05), i. k. 1122330ISAK003D-240                </w:t>
      </w:r>
    </w:p>
    <w:p>
      <w:pPr>
        <w:rPr>
          <w:rFonts w:ascii="Times New Roman" w:hAnsi="Times New Roman"/>
          <w:sz w:val="22"/>
        </w:rPr>
      </w:pPr>
    </w:p>
    <w:p>
      <w:pPr>
        <w:widowControl w:val="0"/>
        <w:jc w:val="center"/>
        <w:rPr>
          <w:b/>
          <w:bCs/>
          <w:caps/>
          <w:color w:val="000000"/>
        </w:rPr>
      </w:pPr>
      <w:r>
        <w:rPr>
          <w:b/>
          <w:bCs/>
          <w:caps/>
          <w:color w:val="000000"/>
        </w:rPr>
        <w:t>LIETUVOS RESPUBLIKOS ŽEMĖS ŪKIO MINISTRAS</w:t>
      </w:r>
    </w:p>
    <w:p>
      <w:pPr>
        <w:widowControl w:val="0"/>
        <w:ind w:firstLine="567"/>
        <w:jc w:val="both"/>
        <w:rPr>
          <w:color w:val="000000"/>
        </w:rPr>
      </w:pPr>
    </w:p>
    <w:p>
      <w:pPr>
        <w:widowControl w:val="0"/>
        <w:jc w:val="center"/>
        <w:rPr>
          <w:rFonts w:ascii="Times New Roman Bold" w:hAnsi="Times New Roman Bold"/>
          <w:b/>
          <w:bCs/>
          <w:caps/>
          <w:color w:val="000000"/>
          <w:spacing w:val="60"/>
        </w:rPr>
      </w:pPr>
      <w:r>
        <w:rPr>
          <w:rFonts w:ascii="Times New Roman Bold" w:hAnsi="Times New Roman Bold"/>
          <w:b/>
          <w:bCs/>
          <w:caps/>
          <w:color w:val="000000"/>
          <w:spacing w:val="60"/>
        </w:rPr>
        <w:t>ĮSAKYMAS</w:t>
      </w:r>
    </w:p>
    <w:p>
      <w:pPr>
        <w:widowControl w:val="0"/>
        <w:jc w:val="center"/>
        <w:rPr>
          <w:b/>
          <w:bCs/>
          <w:caps/>
          <w:color w:val="000000"/>
        </w:rPr>
      </w:pPr>
      <w:r>
        <w:rPr>
          <w:b/>
          <w:bCs/>
          <w:caps/>
          <w:color w:val="000000"/>
        </w:rPr>
        <w:t>DĖL GYVULIŲ SKAIČIAUS PRILYGINIMO VIENAM SUTARTINIAM GYVULIUI BEI AUGALŲ PRISKYRIMO AUGALŲ GRUPĖMS EKOLOGINĖS GAMYBOS ŪKIUOSE</w:t>
      </w:r>
    </w:p>
    <w:p>
      <w:pPr>
        <w:widowControl w:val="0"/>
        <w:jc w:val="center"/>
        <w:rPr>
          <w:color w:val="000000"/>
        </w:rPr>
      </w:pPr>
    </w:p>
    <w:p>
      <w:pPr>
        <w:widowControl w:val="0"/>
        <w:jc w:val="center"/>
        <w:rPr>
          <w:color w:val="000000"/>
        </w:rPr>
      </w:pPr>
      <w:r>
        <w:rPr>
          <w:color w:val="000000"/>
        </w:rPr>
        <w:t>2004 m. gegužės 28 d. Nr. 3D-324</w:t>
      </w:r>
    </w:p>
    <w:p>
      <w:pPr>
        <w:widowControl w:val="0"/>
        <w:jc w:val="center"/>
        <w:rPr>
          <w:color w:val="000000"/>
        </w:rPr>
      </w:pPr>
      <w:r>
        <w:rPr>
          <w:color w:val="000000"/>
        </w:rPr>
        <w:t>Vilnius</w:t>
      </w:r>
    </w:p>
    <w:p>
      <w:pPr>
        <w:widowControl w:val="0"/>
        <w:jc w:val="center"/>
        <w:rPr>
          <w:color w:val="000000"/>
        </w:rPr>
      </w:pPr>
    </w:p>
    <w:p>
      <w:pPr>
        <w:widowControl w:val="0"/>
        <w:jc w:val="center"/>
        <w:rPr>
          <w:color w:val="000000"/>
        </w:rPr>
      </w:pPr>
    </w:p>
    <w:p>
      <w:pPr>
        <w:suppressAutoHyphens/>
        <w:spacing w:line="360" w:lineRule="auto"/>
        <w:ind w:firstLine="567"/>
        <w:jc w:val="both"/>
        <w:textAlignment w:val="center"/>
        <w:rPr>
          <w:color w:val="000000"/>
        </w:rPr>
      </w:pPr>
      <w:r>
        <w:rPr>
          <w:color w:val="000000"/>
          <w:szCs w:val="24"/>
        </w:rPr>
        <w:t>Vadovaudamasis Lietuvos Respublikos žemės ūkio, maisto ūkio ir kaimo plėtros įstatymo 13 straipsnio 2 dalimi, Lietuvos kaimo plėtros 2007–2013 metų programos priemonės „Agrarinės aplinkosaugos išmokos“ programų „Kraštovaizdžio tvarkymas“, „Ekologinis ūkininkavimas“ ir „Rizikos“ vandens telkinių būklės gerinimas“ įgyvendinimo taisyklėmis, patvirtintomis Lietuvos Respublikos žemės ūkio ministro 2007 m. balandžio 6 d. įsakymu Nr. 3D-152 „Dėl Lietuvos kaimo plėtros 2007–2013 metų programos priemonės „Agrarinės aplinkosaugos išmokos“ programų „Kraštovaizdžio tvarkymas“, „Ekologinis ūkininkavimas“ ir „Rizikos“ vandens telkinių būklės gerinimas“ įgyvendinimo taisyklių patvirtinimo</w:t>
      </w:r>
      <w:r>
        <w:t>.</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bc00c3b211e38c43fee5c144a67d">
        <w:r w:rsidRPr="00532B9F">
          <w:rPr>
            <w:rFonts w:ascii="Times New Roman" w:eastAsia="MS Mincho" w:hAnsi="Times New Roman"/>
            <w:sz w:val="20"/>
            <w:i/>
            <w:iCs/>
            <w:color w:val="0000FF" w:themeColor="hyperlink"/>
            <w:u w:val="single"/>
          </w:rPr>
          <w:t>3D-213</w:t>
        </w:r>
      </w:fldSimple>
      <w:r>
        <w:rPr>
          <w:rFonts w:ascii="Times New Roman" w:eastAsia="MS Mincho" w:hAnsi="Times New Roman"/>
          <w:sz w:val="20"/>
          <w:i/>
          <w:iCs/>
        </w:rPr>
        <w:t>,
2014-04-11,
paskelbta TAR 2014-04-14, i. k. 2014-04425            </w:t>
      </w:r>
    </w:p>
    <w:p/>
    <w:p>
      <w:pPr>
        <w:widowControl w:val="0"/>
        <w:spacing w:line="360" w:lineRule="auto"/>
        <w:ind w:firstLine="567"/>
        <w:jc w:val="both"/>
        <w:rPr>
          <w:color w:val="000000"/>
        </w:rPr>
      </w:pPr>
      <w:r>
        <w:rPr>
          <w:color w:val="000000"/>
        </w:rPr>
        <w:t>n u s t a t a u, kad:</w:t>
      </w:r>
    </w:p>
    <w:p>
      <w:pPr>
        <w:widowControl w:val="0"/>
        <w:spacing w:line="360" w:lineRule="auto"/>
        <w:ind w:firstLine="567"/>
        <w:jc w:val="both"/>
        <w:rPr>
          <w:color w:val="000000"/>
          <w:spacing w:val="-2"/>
        </w:rPr>
      </w:pPr>
      <w:r>
        <w:rPr>
          <w:color w:val="000000"/>
          <w:spacing w:val="-2"/>
        </w:rPr>
        <w:t>1</w:t>
      </w:r>
      <w:r>
        <w:rPr>
          <w:color w:val="000000"/>
          <w:spacing w:val="-2"/>
        </w:rPr>
        <w:t>. Apskaičiuojant paramos dydį, gyvūnai perskaičiuojami į sutartinius gyvulius taip:</w:t>
      </w:r>
    </w:p>
    <w:p>
      <w:pPr>
        <w:widowControl w:val="0"/>
        <w:spacing w:line="360" w:lineRule="auto"/>
        <w:ind w:firstLine="567"/>
        <w:jc w:val="both"/>
        <w:rPr>
          <w:color w:val="000000"/>
          <w:spacing w:val="-2"/>
        </w:rPr>
      </w:pPr>
      <w:r>
        <w:rPr>
          <w:color w:val="000000"/>
          <w:spacing w:val="-2"/>
        </w:rPr>
        <w:t>pagal Lietuvos kaimo plėtros 2007–2013 metų programos priemonės „Agrarinės aplinkosaugos išmokos“ Ekologinio ūkininkavimo programą: buliai, karvės ir kiti galvijai, vyresni nei 2 metų, arkliai, vyresni nei 6 mėnesių – 1 sutartinis gyvulys; galvijai nuo 6 mėnesių iki 2 metų – 0,6 sutartinio gyvulio; galvijai ir arkliai, jaunesni nei 6 mėnesių – 0,4 sutartinio gyvulio; kiaulės paršavedės, kuiliai – 0,5 sutartinio gyvulio; kitos kiaulės nuo 3 iki 8 mėn., kiaulės daugiau kaip 8 mėn. – 0,3 sutartinio gyvulio; avys, ožkos – 0,15 sutartinio gyvulio; triušiai (patinai ir patelės su prieaugliu iki atjunkymo) – 0,025 sutartinio gyvulio; vištos dedeklės – 0,014 sutartinio gyvulio; kiti naminiai paukščiai (broileriai, antys, kalakutai, žąsys) – 0,03 sutartinio gyvulio; elniniai gyvūnai – danieliai, dėmėtieji elniai – 0,11 sutartinio gyvulio; taurieji elniai, Dovydo elniai – 0,2 sutartinio gyvulio.</w:t>
      </w:r>
    </w:p>
    <w:p>
      <w:pPr>
        <w:widowControl w:val="0"/>
        <w:spacing w:line="360" w:lineRule="auto"/>
        <w:ind w:firstLine="567"/>
        <w:jc w:val="both"/>
        <w:rPr>
          <w:color w:val="000000"/>
        </w:rPr>
      </w:pPr>
      <w:r>
        <w:rPr>
          <w:color w:val="000000"/>
        </w:rPr>
        <w:t>2</w:t>
      </w:r>
      <w:r>
        <w:rPr>
          <w:color w:val="000000"/>
        </w:rPr>
        <w:t>. Prie Lietuvos kaimo plėtros 2007–2013 metų programos priemonės „Agrarinės aplinkosaugos išmokos“ Ekologinio ūkininkavimo programoje išvardytų augalų grupių priskiriami šie ekologinės gamybos ūkiuose auginami augalai:</w:t>
      </w:r>
    </w:p>
    <w:p>
      <w:pPr>
        <w:widowControl w:val="0"/>
        <w:spacing w:line="360" w:lineRule="auto"/>
        <w:ind w:firstLine="567"/>
        <w:jc w:val="both"/>
        <w:rPr>
          <w:color w:val="000000"/>
        </w:rPr>
      </w:pPr>
      <w:r>
        <w:rPr>
          <w:color w:val="000000"/>
        </w:rPr>
        <w:t>2.1</w:t>
      </w:r>
      <w:r>
        <w:rPr>
          <w:color w:val="000000"/>
        </w:rPr>
        <w:t>. prie daugiamečių žolių – aliejiniai ridikai, baltieji dobilai, baltosios smilgos, beginklės dirsuolės, esparcetai, facelijos, geltonžiedžiai barkūnai, kultūrinės ganyklos, kultūrinės pievos, liucernos, natūralios ganyklos, natūralios pievos, nendriniai dryžučiai, nendriniai eraičinai, paprastieji gargždeniai, paprastosios miglės, paprastosios šunažolės, pašariniai motiejukai, pelkinės miglės, pievinės miglės, pieviniai pašiaušėliai, raudonieji dobilai, raudonieji eraičinai, rausvieji dobilai, rytiniai ožiarūčiai, seradėlės, smulkieji motiejukai, svidrės, tikrieji eraičinai, žolių mišiniai;</w:t>
      </w:r>
    </w:p>
    <w:p>
      <w:pPr>
        <w:widowControl w:val="0"/>
        <w:spacing w:line="360" w:lineRule="auto"/>
        <w:ind w:firstLine="567"/>
        <w:jc w:val="both"/>
        <w:rPr>
          <w:color w:val="000000"/>
        </w:rPr>
      </w:pPr>
      <w:r>
        <w:rPr>
          <w:color w:val="000000"/>
        </w:rPr>
        <w:t>2.2</w:t>
      </w:r>
      <w:r>
        <w:rPr>
          <w:color w:val="000000"/>
        </w:rPr>
        <w:t xml:space="preserve">. prie varpinių ir ankštinių javų, išskyrus biodegalams gaminti auginamus javus, pasėlių (priskiriami tik pieninės-vaškinės brandos pasėliai) – avižos, baltosios garstyčios, burnočiai, grikiai, javų mišiniai, kukurūzai, kviečiai, kvietrugiai, lęšiai, linai, lubinai, miežiai, pašarinės pupos, pupelės, rapsai, rugiai, soros, vikiai, žirniai; </w:t>
      </w:r>
    </w:p>
    <w:p>
      <w:pPr>
        <w:widowControl w:val="0"/>
        <w:spacing w:line="360" w:lineRule="auto"/>
        <w:ind w:firstLine="567"/>
        <w:jc w:val="both"/>
        <w:rPr>
          <w:color w:val="000000"/>
        </w:rPr>
      </w:pPr>
      <w:r>
        <w:rPr>
          <w:color w:val="000000"/>
        </w:rPr>
        <w:t>2.3</w:t>
      </w:r>
      <w:r>
        <w:rPr>
          <w:color w:val="000000"/>
        </w:rPr>
        <w:t xml:space="preserve">. prie daržovių ir bulvių pasėlių – bulvės, cukriniai runkeliai, daržovės (išskyrus bulvinę saulėgrąžą, kuri pasodinta ir sertifikuota nuo 2012 m.), pašariniai runkeliai; </w:t>
      </w:r>
    </w:p>
    <w:p>
      <w:pPr>
        <w:suppressAutoHyphens/>
        <w:spacing w:line="360" w:lineRule="auto"/>
        <w:ind w:firstLine="567"/>
        <w:jc w:val="both"/>
        <w:textAlignment w:val="center"/>
        <w:rPr>
          <w:color w:val="000000"/>
          <w:spacing w:val="-6"/>
        </w:rPr>
      </w:pPr>
      <w:r>
        <w:rPr>
          <w:color w:val="000000"/>
          <w:szCs w:val="24"/>
        </w:rPr>
        <w:t>2.4</w:t>
      </w:r>
      <w:r>
        <w:rPr>
          <w:color w:val="000000"/>
          <w:szCs w:val="24"/>
        </w:rPr>
        <w:t>. prie vaistažolių, aromatinių ir prieskoninių augalų – apskritagalviai bandreniai, bazilikai, blakinės kalendros, citrininiai čiobreliai, daržiniai dašiai, dėmėtosios rūgtys, didieji debesylai, didžiosios dilgėlės, didžiosios nasturtės, didžiosios varnalėšos, dygliuotosios kardažolės, garbanotosios mėtos, gelsvės, geltonosios žiognagės, kartieji kiečiai, kartieji šventadagiai, krapai, krienai, kvapiosios aniužės, kvapiosios stumbražolės, mairūnai, menturinės dedešvos, mėlynieji palemonai, mėlynažiedės ožragės, miškinės mėtos, miškinės sidabražolės, paprastieji dagišiai, paprastosios katžolės, paprastieji kmynai, paprastieji raudonėliai, paprastosios jonažolės, paprastosios sukatžolės, paprastieji rapontikai, paprastosios trūkažolės, petražolės, plačialapiai begaliai, pipirmėtės, raudonosios žiognagės, rausvažiedės ežiuolės, rugiagėlės, rūgtys takažolės, sėjamosios juodgrūdės, siauralapiai gysločiai, smėlyniniai šlamučiai, šaltmėtės, šlaitiniai dirveniai, tikrieji margainiai, tikrosios levandos, triskiaučiai lakišiai, trispalvės našlaitės, vaistinės agurklės, vaistiniai isopai, vaistinės melisos, vaistinės paprastosios gyvatžolės, vaistinės medetkos, vaistinės ožragės, vaistinės ramunės, vaistinės svilarožės, vaistinės šventagaršvės, vaistinės taukės, vaistiniai čiobreliai, vaistiniai šalavijai, vaistinės verbenos, vaistiniai valerijonai, žaliosios rūtos, ženšeniai;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51abc00c3b211e38c43fee5c144a67d">
        <w:r w:rsidRPr="00532B9F">
          <w:rPr>
            <w:rFonts w:ascii="Times New Roman" w:eastAsia="MS Mincho" w:hAnsi="Times New Roman"/>
            <w:sz w:val="20"/>
            <w:i/>
            <w:iCs/>
            <w:color w:val="0000FF" w:themeColor="hyperlink"/>
            <w:u w:val="single"/>
          </w:rPr>
          <w:t>3D-213</w:t>
        </w:r>
      </w:fldSimple>
      <w:r>
        <w:rPr>
          <w:rFonts w:ascii="Times New Roman" w:eastAsia="MS Mincho" w:hAnsi="Times New Roman"/>
          <w:sz w:val="20"/>
          <w:i/>
          <w:iCs/>
        </w:rPr>
        <w:t>,
2014-04-11,
paskelbta TAR 2014-04-14, i. k. 2014-04425            </w:t>
      </w:r>
    </w:p>
    <w:p/>
    <w:p>
      <w:pPr>
        <w:widowControl w:val="0"/>
        <w:spacing w:line="360" w:lineRule="auto"/>
        <w:ind w:firstLine="567"/>
        <w:jc w:val="both"/>
        <w:rPr>
          <w:color w:val="000000"/>
        </w:rPr>
      </w:pPr>
      <w:r>
        <w:rPr>
          <w:color w:val="000000"/>
        </w:rPr>
        <w:t>2.5</w:t>
      </w:r>
      <w:r>
        <w:rPr>
          <w:color w:val="000000"/>
        </w:rPr>
        <w:t>. prie uogynų – agrastai, aktinidijos, aronijos, avietės, braškės, bruknės, erškėtrožės, gervuogės, gudobelės, kultūriniai šermukšniai, mėlynės, serbentai, spanguolės, svarainiai, šaltalankiai, šilauogės, valgomieji sausmedžiai, žemuogės;</w:t>
      </w:r>
    </w:p>
    <w:p>
      <w:pPr>
        <w:widowControl w:val="0"/>
        <w:spacing w:line="360" w:lineRule="auto"/>
        <w:ind w:firstLine="567"/>
        <w:jc w:val="both"/>
        <w:rPr>
          <w:color w:val="000000"/>
        </w:rPr>
      </w:pPr>
      <w:r>
        <w:rPr>
          <w:color w:val="000000"/>
        </w:rPr>
        <w:t>2.6</w:t>
      </w:r>
      <w:r>
        <w:rPr>
          <w:color w:val="000000"/>
        </w:rPr>
        <w:t>. prie sodų – kriaušės, lazdynai, obelys, slyvos, trešnės, vyšnios.</w:t>
      </w:r>
    </w:p>
    <w:p>
      <w:pPr>
        <w:widowControl w:val="0"/>
        <w:spacing w:line="360" w:lineRule="auto"/>
        <w:ind w:firstLine="567"/>
        <w:jc w:val="both"/>
        <w:rPr>
          <w:color w:val="000000"/>
        </w:rPr>
      </w:pPr>
      <w:r>
        <w:rPr>
          <w:color w:val="000000"/>
        </w:rPr>
        <w:t>3</w:t>
      </w:r>
      <w:r>
        <w:rPr>
          <w:color w:val="000000"/>
        </w:rPr>
        <w:t>. Pareiškėjams ir (arba) paramos gavėjams, dalyvaujantiems Lietuvos kaimo plėtros 2007–2013 metų programos priemonės „Agrarinės aplinkosaugos išmokos“ Ekologinio ūkininkavimo programoje:</w:t>
      </w:r>
    </w:p>
    <w:p>
      <w:pPr>
        <w:widowControl w:val="0"/>
        <w:spacing w:line="360" w:lineRule="auto"/>
        <w:ind w:firstLine="567"/>
        <w:jc w:val="both"/>
        <w:rPr>
          <w:color w:val="000000"/>
        </w:rPr>
      </w:pPr>
      <w:r>
        <w:rPr>
          <w:color w:val="000000"/>
        </w:rPr>
        <w:t>3.1</w:t>
      </w:r>
      <w:r>
        <w:rPr>
          <w:color w:val="000000"/>
        </w:rPr>
        <w:t>. už ekologiškai auginamas sojas mokama tokio pat dydžio išmoka, kaip ir auginamiems augalams, priskirtiems prie bulvių ir daržovių pasėlių grupės;</w:t>
      </w:r>
    </w:p>
    <w:p>
      <w:pPr>
        <w:widowControl w:val="0"/>
        <w:spacing w:line="360" w:lineRule="auto"/>
        <w:ind w:firstLine="567"/>
        <w:jc w:val="both"/>
      </w:pPr>
      <w:r>
        <w:rPr>
          <w:color w:val="000000"/>
          <w:spacing w:val="-6"/>
        </w:rPr>
        <w:t>3.2</w:t>
      </w:r>
      <w:r>
        <w:rPr>
          <w:color w:val="000000"/>
          <w:spacing w:val="-6"/>
        </w:rPr>
        <w:t>. už ekologiškai auginamus juoduosius bastučius (juodosios garstyčios), sareptinius bastučius (rudosios garstyčios) ir saulėgrąžas mokama tokio pat dydžio išmoka, kaip ir auginamiems augalams, priskirtiems prie varpinių ir ankštinių javų grupės.</w:t>
      </w:r>
    </w:p>
    <w:p>
      <w:pPr>
        <w:tabs>
          <w:tab w:val="right" w:pos="9639"/>
        </w:tabs>
      </w:pPr>
    </w:p>
    <w:p>
      <w:pPr>
        <w:tabs>
          <w:tab w:val="right" w:pos="9639"/>
        </w:tabs>
      </w:pPr>
    </w:p>
    <w:p>
      <w:pPr>
        <w:tabs>
          <w:tab w:val="right" w:pos="9639"/>
        </w:tabs>
      </w:pPr>
    </w:p>
    <w:p>
      <w:pPr>
        <w:tabs>
          <w:tab w:val="right" w:pos="9639"/>
        </w:tabs>
        <w:rPr>
          <w:color w:val="000000"/>
        </w:rPr>
      </w:pPr>
      <w:r>
        <w:rPr>
          <w:caps/>
        </w:rPr>
        <w:t>ŽEMĖS ŪKIO MINISTRAS</w:t>
        <w:tab/>
        <w:t>JERONIMAS KRAUJELIS</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17BC8696075">
        <w:r w:rsidRPr="00532B9F">
          <w:rPr>
            <w:rFonts w:ascii="Times New Roman" w:eastAsia="MS Mincho" w:hAnsi="Times New Roman"/>
            <w:sz w:val="20"/>
            <w:iCs/>
            <w:color w:val="0000FF" w:themeColor="hyperlink"/>
            <w:u w:val="single"/>
          </w:rPr>
          <w:t>3D-508</w:t>
        </w:r>
      </w:fldSimple>
      <w:r>
        <w:rPr>
          <w:rFonts w:ascii="Times New Roman" w:eastAsia="MS Mincho" w:hAnsi="Times New Roman"/>
          <w:sz w:val="20"/>
          <w:iCs/>
        </w:rPr>
        <w:t>,
2004-09-10,
Žin., 2004, Nr.
145-5283 (2004-09-30), i. k. 1042330ISAK003D-508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sąlyginiam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9433999B5C8">
        <w:r w:rsidRPr="00532B9F">
          <w:rPr>
            <w:rFonts w:ascii="Times New Roman" w:eastAsia="MS Mincho" w:hAnsi="Times New Roman"/>
            <w:sz w:val="20"/>
            <w:iCs/>
            <w:color w:val="0000FF" w:themeColor="hyperlink"/>
            <w:u w:val="single"/>
          </w:rPr>
          <w:t>3D-304</w:t>
        </w:r>
      </w:fldSimple>
      <w:r>
        <w:rPr>
          <w:rFonts w:ascii="Times New Roman" w:eastAsia="MS Mincho" w:hAnsi="Times New Roman"/>
          <w:sz w:val="20"/>
          <w:iCs/>
        </w:rPr>
        <w:t>,
2005-06-08,
Žin., 2005, Nr.
73-2659 (2005-06-11), i. k. 1052330ISAK003D-304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sąlyginiam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17E4395725">
        <w:r w:rsidRPr="00532B9F">
          <w:rPr>
            <w:rFonts w:ascii="Times New Roman" w:eastAsia="MS Mincho" w:hAnsi="Times New Roman"/>
            <w:sz w:val="20"/>
            <w:iCs/>
            <w:color w:val="0000FF" w:themeColor="hyperlink"/>
            <w:u w:val="single"/>
          </w:rPr>
          <w:t>3D-342</w:t>
        </w:r>
      </w:fldSimple>
      <w:r>
        <w:rPr>
          <w:rFonts w:ascii="Times New Roman" w:eastAsia="MS Mincho" w:hAnsi="Times New Roman"/>
          <w:sz w:val="20"/>
          <w:iCs/>
        </w:rPr>
        <w:t>,
2007-07-13,
Žin., 2007, Nr.
81-3343 (2007-07-21), i. k. 1072330ISAK003D-342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sąlyginiam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44BFF0ADD5">
        <w:r w:rsidRPr="00532B9F">
          <w:rPr>
            <w:rFonts w:ascii="Times New Roman" w:eastAsia="MS Mincho" w:hAnsi="Times New Roman"/>
            <w:sz w:val="20"/>
            <w:iCs/>
            <w:color w:val="0000FF" w:themeColor="hyperlink"/>
            <w:u w:val="single"/>
          </w:rPr>
          <w:t>3D-513</w:t>
        </w:r>
      </w:fldSimple>
      <w:r>
        <w:rPr>
          <w:rFonts w:ascii="Times New Roman" w:eastAsia="MS Mincho" w:hAnsi="Times New Roman"/>
          <w:sz w:val="20"/>
          <w:iCs/>
        </w:rPr>
        <w:t>,
2007-11-22,
Žin., 2007, Nr.
122-5016 (2007-11-27), i. k. 1072330ISAK003D-513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sąlyginiam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67E6241FEF">
        <w:r w:rsidRPr="00532B9F">
          <w:rPr>
            <w:rFonts w:ascii="Times New Roman" w:eastAsia="MS Mincho" w:hAnsi="Times New Roman"/>
            <w:sz w:val="20"/>
            <w:iCs/>
            <w:color w:val="0000FF" w:themeColor="hyperlink"/>
            <w:u w:val="single"/>
          </w:rPr>
          <w:t>3D-379</w:t>
        </w:r>
      </w:fldSimple>
      <w:r>
        <w:rPr>
          <w:rFonts w:ascii="Times New Roman" w:eastAsia="MS Mincho" w:hAnsi="Times New Roman"/>
          <w:sz w:val="20"/>
          <w:iCs/>
        </w:rPr>
        <w:t>,
2009-05-28,
Žin., 2009, Nr.
66-2647 (2009-06-04), i. k. 1092330ISAK003D-379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sutartiniam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D19E6B0848C">
        <w:r w:rsidRPr="00532B9F">
          <w:rPr>
            <w:rFonts w:ascii="Times New Roman" w:eastAsia="MS Mincho" w:hAnsi="Times New Roman"/>
            <w:sz w:val="20"/>
            <w:iCs/>
            <w:color w:val="0000FF" w:themeColor="hyperlink"/>
            <w:u w:val="single"/>
          </w:rPr>
          <w:t>3D-30</w:t>
        </w:r>
      </w:fldSimple>
      <w:r>
        <w:rPr>
          <w:rFonts w:ascii="Times New Roman" w:eastAsia="MS Mincho" w:hAnsi="Times New Roman"/>
          <w:sz w:val="20"/>
          <w:iCs/>
        </w:rPr>
        <w:t>,
2011-01-19,
Žin., 2011, Nr.
9-417 (2011-01-22), i. k. 1112330ISAK0003D-30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sutartiniam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1A6FE3FAD5">
        <w:r w:rsidRPr="00532B9F">
          <w:rPr>
            <w:rFonts w:ascii="Times New Roman" w:eastAsia="MS Mincho" w:hAnsi="Times New Roman"/>
            <w:sz w:val="20"/>
            <w:iCs/>
            <w:color w:val="0000FF" w:themeColor="hyperlink"/>
            <w:u w:val="single"/>
          </w:rPr>
          <w:t>3D-226</w:t>
        </w:r>
      </w:fldSimple>
      <w:r>
        <w:rPr>
          <w:rFonts w:ascii="Times New Roman" w:eastAsia="MS Mincho" w:hAnsi="Times New Roman"/>
          <w:sz w:val="20"/>
          <w:iCs/>
        </w:rPr>
        <w:t>,
2011-03-22,
Žin., 2011, Nr.
36-1740 (2011-03-26), i. k. 1112330ISAK003D-226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sutartiniam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0A9B76F469B">
        <w:r w:rsidRPr="00532B9F">
          <w:rPr>
            <w:rFonts w:ascii="Times New Roman" w:eastAsia="MS Mincho" w:hAnsi="Times New Roman"/>
            <w:sz w:val="20"/>
            <w:iCs/>
            <w:color w:val="0000FF" w:themeColor="hyperlink"/>
            <w:u w:val="single"/>
          </w:rPr>
          <w:t>3D-240</w:t>
        </w:r>
      </w:fldSimple>
      <w:r>
        <w:rPr>
          <w:rFonts w:ascii="Times New Roman" w:eastAsia="MS Mincho" w:hAnsi="Times New Roman"/>
          <w:sz w:val="20"/>
          <w:iCs/>
        </w:rPr>
        <w:t>,
2012-04-03,
Žin., 2012, Nr.
41-2016 (2012-04-05), i. k. 1122330ISAK003D-240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sutartiniam gyvuliui bei augalų priskyrimo augalų grupėms ekologinės gamybos ūkiuose"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51abc00c3b211e38c43fee5c144a67d">
        <w:r w:rsidRPr="00532B9F">
          <w:rPr>
            <w:rFonts w:ascii="Times New Roman" w:eastAsia="MS Mincho" w:hAnsi="Times New Roman"/>
            <w:sz w:val="20"/>
            <w:iCs/>
            <w:color w:val="0000FF" w:themeColor="hyperlink"/>
            <w:u w:val="single"/>
          </w:rPr>
          <w:t>3D-213</w:t>
        </w:r>
      </w:fldSimple>
      <w:r>
        <w:rPr>
          <w:rFonts w:ascii="Times New Roman" w:eastAsia="MS Mincho" w:hAnsi="Times New Roman"/>
          <w:sz w:val="20"/>
          <w:iCs/>
        </w:rPr>
        <w:t>,
2014-04-11,
paskelbta TAR 2014-04-14, i. k. 2014-04425                </w:t>
      </w:r>
    </w:p>
    <w:p>
      <w:pPr>
        <w:jc w:val="both"/>
        <w:rPr>
          <w:rFonts w:ascii="Times New Roman" w:hAnsi="Times New Roman"/>
        </w:rPr>
      </w:pPr>
      <w:r>
        <w:rPr>
          <w:rFonts w:ascii="Times New Roman" w:hAnsi="Times New Roman"/>
          <w:sz w:val="20"/>
        </w:rPr>
        <w:t>Dėl žemės ūkio ministro 2004 m. gegužės 28 d. įsakymo Nr. 3D-324 „Dėl gyvulių skaičiaus prilyginimo vienam sutartiniam gyvuliui bei augalų priskyrimo augalų grupėms ekologinės gamybos ūkiuose“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7D6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5.xml"/>
  <Relationship Id="rId10" Type="http://schemas.openxmlformats.org/officeDocument/2006/relationships/hyperlink" TargetMode="External" Target="https://www.e-tar.lt/portal/lt/legalAct/TAR.779905E2DA75"/>
  <Relationship Id="rId11" Type="http://schemas.openxmlformats.org/officeDocument/2006/relationships/hyperlink" TargetMode="External" Target="https://www.e-tar.lt/portal/lt/legalAct/TAR.80CA64E588A1"/>
  <Relationship Id="rId12" Type="http://schemas.openxmlformats.org/officeDocument/2006/relationships/hyperlink" TargetMode="External" Target="https://www.e-tar.lt/portal/lt/legalAct/TAR.8B8ACD8B99A1"/>
  <Relationship Id="rId13" Type="http://schemas.openxmlformats.org/officeDocument/2006/relationships/hyperlink" TargetMode="External" Target="https://www.e-tar.lt/portal/lt/legalAct/TAR.B3C329AC2620"/>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2" Type="http://schemas.openxmlformats.org/officeDocument/2006/relationships/header" Target="header26.xml"/>
  <Relationship Id="rId3" Type="http://schemas.openxmlformats.org/officeDocument/2006/relationships/footer" Target="footer25.xml"/>
  <Relationship Id="rId4" Type="http://schemas.openxmlformats.org/officeDocument/2006/relationships/footer" Target="footer26.xml"/>
  <Relationship Id="rId5" Type="http://schemas.openxmlformats.org/officeDocument/2006/relationships/header" Target="header27.xml"/>
  <Relationship Id="rId6" Type="http://schemas.openxmlformats.org/officeDocument/2006/relationships/footer" Target="footer27.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3</Pages>
  <Words>4667</Words>
  <Characters>2661</Characters>
  <Application>Microsoft Office Word</Application>
  <DocSecurity>0</DocSecurity>
  <Lines>22</Lines>
  <Paragraphs>14</Paragraphs>
  <ScaleCrop>false</ScaleCrop>
  <Company/>
  <LinksUpToDate>false</LinksUpToDate>
  <CharactersWithSpaces>7314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2015-09-28T21:04:00Z</dcterms:created>
  <dc:creator>User</dc:creator>
  <lastModifiedBy>KUČIAUSKIENĖ Simona</lastModifiedBy>
  <dcterms:modified xsi:type="dcterms:W3CDTF">2019-03-12T08:54:00Z</dcterms:modified>
  <revision>21</revision>
</coreProperties>
</file>