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8D" w:rsidRDefault="00BD2A8D" w:rsidP="00BD2A8D">
      <w:pPr>
        <w:pStyle w:val="PlainText"/>
        <w:rPr>
          <w:rFonts w:ascii="Times New Roman" w:hAnsi="Times New Roman"/>
        </w:rPr>
      </w:pPr>
      <w:bookmarkStart w:id="0" w:name="_GoBack"/>
      <w:bookmarkEnd w:id="0"/>
      <w:r>
        <w:rPr>
          <w:rFonts w:ascii="Times New Roman" w:hAnsi="Times New Roman"/>
        </w:rPr>
        <w:t>Nutarimas skelbtas: Žin., 2006, Nr. 41-1468</w:t>
      </w:r>
    </w:p>
    <w:p w:rsidR="00BD2A8D" w:rsidRPr="00BF5422" w:rsidRDefault="00BD2A8D" w:rsidP="00BD2A8D">
      <w:pPr>
        <w:pStyle w:val="PlainText"/>
        <w:rPr>
          <w:rFonts w:ascii="Times New Roman" w:hAnsi="Times New Roman"/>
        </w:rPr>
      </w:pPr>
      <w:r>
        <w:rPr>
          <w:rFonts w:ascii="Times New Roman" w:hAnsi="Times New Roman"/>
        </w:rPr>
        <w:t>Neoficialus nutarimo tekstas</w:t>
      </w:r>
    </w:p>
    <w:p w:rsidR="00BD2A8D" w:rsidRPr="00BD2A8D" w:rsidRDefault="00BD2A8D" w:rsidP="00BD2A8D">
      <w:pPr>
        <w:pStyle w:val="Heading1"/>
        <w:spacing w:before="120"/>
        <w:rPr>
          <w:rFonts w:ascii="Times New Roman" w:hAnsi="Times New Roman"/>
          <w:b/>
          <w:sz w:val="22"/>
          <w:szCs w:val="22"/>
        </w:rPr>
      </w:pPr>
      <w:r w:rsidRPr="00BD2A8D">
        <w:rPr>
          <w:rFonts w:ascii="Times New Roman" w:hAnsi="Times New Roman"/>
          <w:b/>
          <w:sz w:val="22"/>
          <w:szCs w:val="22"/>
        </w:rPr>
        <w:t>Lietuvos Respublikos Vyriausybė</w:t>
      </w:r>
    </w:p>
    <w:p w:rsidR="00BD2A8D" w:rsidRPr="00BD2A8D" w:rsidRDefault="00BD2A8D" w:rsidP="00BD2A8D">
      <w:pPr>
        <w:jc w:val="center"/>
        <w:rPr>
          <w:b/>
          <w:caps/>
          <w:sz w:val="22"/>
          <w:szCs w:val="22"/>
        </w:rPr>
      </w:pPr>
      <w:r w:rsidRPr="00BD2A8D">
        <w:rPr>
          <w:b/>
          <w:caps/>
          <w:sz w:val="22"/>
          <w:szCs w:val="22"/>
        </w:rPr>
        <w:t>nutarimas</w:t>
      </w:r>
    </w:p>
    <w:p w:rsidR="00BD2A8D" w:rsidRDefault="00BD2A8D" w:rsidP="00BD2A8D">
      <w:pPr>
        <w:pStyle w:val="BodyText2"/>
        <w:rPr>
          <w:caps/>
          <w:sz w:val="22"/>
          <w:szCs w:val="22"/>
        </w:rPr>
      </w:pPr>
    </w:p>
    <w:p w:rsidR="006C0056" w:rsidRPr="00BD2A8D" w:rsidRDefault="006C0056" w:rsidP="00BD2A8D">
      <w:pPr>
        <w:pStyle w:val="BodyText2"/>
        <w:rPr>
          <w:caps/>
          <w:sz w:val="22"/>
          <w:szCs w:val="22"/>
        </w:rPr>
      </w:pPr>
      <w:r w:rsidRPr="00BD2A8D">
        <w:rPr>
          <w:caps/>
          <w:sz w:val="22"/>
          <w:szCs w:val="22"/>
        </w:rPr>
        <w:t xml:space="preserve">DĖL atsakingų INSTITUCIJŲ ilgalaikiAMs valstybės raidos prioritetAMs ĮGYVENDINTI paskyrimo </w:t>
      </w:r>
    </w:p>
    <w:p w:rsidR="006C0056" w:rsidRPr="00BD2A8D" w:rsidRDefault="006C0056" w:rsidP="00BD2A8D">
      <w:pPr>
        <w:pStyle w:val="Header"/>
        <w:rPr>
          <w:sz w:val="22"/>
          <w:szCs w:val="22"/>
        </w:rPr>
      </w:pPr>
    </w:p>
    <w:p w:rsidR="006C0056" w:rsidRPr="00BD2A8D" w:rsidRDefault="006C0056" w:rsidP="00BD2A8D">
      <w:pPr>
        <w:jc w:val="center"/>
        <w:rPr>
          <w:sz w:val="22"/>
          <w:szCs w:val="22"/>
        </w:rPr>
      </w:pPr>
      <w:r w:rsidRPr="00BD2A8D">
        <w:rPr>
          <w:sz w:val="22"/>
          <w:szCs w:val="22"/>
        </w:rPr>
        <w:t>2006 m. balandžio 10 d. Nr. 341</w:t>
      </w:r>
    </w:p>
    <w:p w:rsidR="006C0056" w:rsidRPr="00BD2A8D" w:rsidRDefault="006C0056" w:rsidP="00BD2A8D">
      <w:pPr>
        <w:jc w:val="center"/>
        <w:rPr>
          <w:sz w:val="22"/>
          <w:szCs w:val="22"/>
        </w:rPr>
      </w:pPr>
      <w:r w:rsidRPr="00BD2A8D">
        <w:rPr>
          <w:sz w:val="22"/>
          <w:szCs w:val="22"/>
        </w:rPr>
        <w:t>Vilnius</w:t>
      </w:r>
    </w:p>
    <w:p w:rsidR="006C0056" w:rsidRPr="00BD2A8D" w:rsidRDefault="006C0056" w:rsidP="00BD2A8D">
      <w:pPr>
        <w:jc w:val="center"/>
        <w:rPr>
          <w:sz w:val="22"/>
          <w:szCs w:val="22"/>
        </w:rPr>
      </w:pPr>
    </w:p>
    <w:p w:rsidR="006C0056" w:rsidRPr="00BD2A8D" w:rsidRDefault="006C0056" w:rsidP="00BD2A8D">
      <w:pPr>
        <w:jc w:val="center"/>
        <w:rPr>
          <w:sz w:val="22"/>
          <w:szCs w:val="22"/>
        </w:rPr>
      </w:pPr>
    </w:p>
    <w:p w:rsidR="006C0056" w:rsidRPr="00BD2A8D" w:rsidRDefault="006C0056" w:rsidP="00BD2A8D">
      <w:pPr>
        <w:ind w:firstLine="709"/>
        <w:jc w:val="both"/>
        <w:rPr>
          <w:sz w:val="22"/>
          <w:szCs w:val="22"/>
        </w:rPr>
      </w:pPr>
      <w:r w:rsidRPr="00BD2A8D">
        <w:rPr>
          <w:sz w:val="22"/>
          <w:szCs w:val="22"/>
        </w:rPr>
        <w:t>Įgyvendindama Lietuvos Respublikos Seimo 2002 m. lapkričio 12 d. nutarimo Nr. IX-1187 „Dėl Valstybės ilgalaikės raidos strategijos“ (Žin., 2002, Nr. </w:t>
      </w:r>
      <w:hyperlink r:id="rId8" w:history="1">
        <w:r w:rsidRPr="00BD2A8D">
          <w:rPr>
            <w:rStyle w:val="Hyperlink"/>
            <w:sz w:val="22"/>
            <w:szCs w:val="22"/>
          </w:rPr>
          <w:t>113-5029</w:t>
        </w:r>
      </w:hyperlink>
      <w:r w:rsidRPr="00BD2A8D">
        <w:rPr>
          <w:sz w:val="22"/>
          <w:szCs w:val="22"/>
        </w:rPr>
        <w:t>) 2 straipsnį ir siekdama užtikrinti sėkmingą Valstybės ilgalaikės raidos strategijos įgyvendinimo analizės ir stebėsenos (monitoringo) sistemos sukūrimą, Lietuvos Respublikos Vyriausybė</w:t>
      </w:r>
      <w:r w:rsidRPr="00BD2A8D">
        <w:rPr>
          <w:spacing w:val="80"/>
          <w:sz w:val="22"/>
          <w:szCs w:val="22"/>
        </w:rPr>
        <w:t xml:space="preserve"> nutaria</w:t>
      </w:r>
      <w:r w:rsidRPr="00BD2A8D">
        <w:rPr>
          <w:sz w:val="22"/>
          <w:szCs w:val="22"/>
        </w:rPr>
        <w:t>:</w:t>
      </w:r>
    </w:p>
    <w:p w:rsidR="00BD2A8D" w:rsidRDefault="00BD2A8D" w:rsidP="00BD2A8D">
      <w:pPr>
        <w:ind w:firstLine="709"/>
        <w:jc w:val="both"/>
        <w:rPr>
          <w:sz w:val="22"/>
          <w:szCs w:val="22"/>
        </w:rPr>
      </w:pPr>
    </w:p>
    <w:p w:rsidR="006C0056" w:rsidRPr="00BD2A8D" w:rsidRDefault="006C0056" w:rsidP="00BD2A8D">
      <w:pPr>
        <w:ind w:firstLine="709"/>
        <w:jc w:val="both"/>
        <w:rPr>
          <w:sz w:val="22"/>
          <w:szCs w:val="22"/>
        </w:rPr>
      </w:pPr>
      <w:r w:rsidRPr="00BD2A8D">
        <w:rPr>
          <w:sz w:val="22"/>
          <w:szCs w:val="22"/>
        </w:rPr>
        <w:t>1.</w:t>
      </w:r>
      <w:bookmarkStart w:id="1" w:name="1z"/>
      <w:r w:rsidRPr="00BD2A8D">
        <w:rPr>
          <w:sz w:val="22"/>
          <w:szCs w:val="22"/>
        </w:rPr>
        <w:t xml:space="preserve"> </w:t>
      </w:r>
      <w:bookmarkEnd w:id="1"/>
      <w:r w:rsidRPr="00BD2A8D">
        <w:rPr>
          <w:sz w:val="22"/>
          <w:szCs w:val="22"/>
        </w:rPr>
        <w:t>Paskirti ministerijas ir kitas valstybės institucijas, atsakingas už ilgalaikių valstybės raidos prioritetų įgyvendinimo krypčių koordinavimą ir jų administravimą Valstybės ilgalaikės raidos strategijos įgyvendinimo stebėsenos (monitoringo) kompiuterizuotoje sistemoje:</w:t>
      </w:r>
    </w:p>
    <w:p w:rsidR="006C0056" w:rsidRPr="00BD2A8D" w:rsidRDefault="006C0056" w:rsidP="00BD2A8D">
      <w:pPr>
        <w:ind w:firstLine="709"/>
        <w:jc w:val="both"/>
        <w:rPr>
          <w:sz w:val="22"/>
          <w:szCs w:val="22"/>
        </w:rPr>
      </w:pPr>
      <w:r w:rsidRPr="00BD2A8D">
        <w:rPr>
          <w:sz w:val="22"/>
          <w:szCs w:val="22"/>
        </w:rPr>
        <w:t>1.1. mokslo ir švietimo – Švietimo ir mokslo ministeriją;</w:t>
      </w:r>
    </w:p>
    <w:p w:rsidR="006C0056" w:rsidRPr="00BD2A8D" w:rsidRDefault="00BD2A8D" w:rsidP="00BD2A8D">
      <w:pPr>
        <w:ind w:firstLine="709"/>
        <w:jc w:val="both"/>
        <w:rPr>
          <w:sz w:val="22"/>
          <w:szCs w:val="22"/>
        </w:rPr>
      </w:pPr>
      <w:r w:rsidRPr="00EB5CA7">
        <w:rPr>
          <w:sz w:val="22"/>
          <w:szCs w:val="22"/>
        </w:rPr>
        <w:t>1.2. gyventojų kompetencijos – Susisiekimo ministeriją;</w:t>
      </w:r>
    </w:p>
    <w:p w:rsidR="006C0056" w:rsidRPr="00BD2A8D" w:rsidRDefault="006C0056" w:rsidP="00BD2A8D">
      <w:pPr>
        <w:ind w:firstLine="709"/>
        <w:jc w:val="both"/>
        <w:rPr>
          <w:sz w:val="22"/>
          <w:szCs w:val="22"/>
        </w:rPr>
      </w:pPr>
      <w:r w:rsidRPr="00BD2A8D">
        <w:rPr>
          <w:sz w:val="22"/>
          <w:szCs w:val="22"/>
        </w:rPr>
        <w:t>1.3. valstybės valdymo ir savivaldos – Vidaus reikalų ministeriją;</w:t>
      </w:r>
    </w:p>
    <w:p w:rsidR="006C0056" w:rsidRPr="00BD2A8D" w:rsidRDefault="006C0056" w:rsidP="00BD2A8D">
      <w:pPr>
        <w:ind w:firstLine="709"/>
        <w:jc w:val="both"/>
        <w:rPr>
          <w:sz w:val="22"/>
          <w:szCs w:val="22"/>
        </w:rPr>
      </w:pPr>
      <w:r w:rsidRPr="00BD2A8D">
        <w:rPr>
          <w:sz w:val="22"/>
          <w:szCs w:val="22"/>
        </w:rPr>
        <w:t>1.4. kultūros – Kultūros ministeriją;</w:t>
      </w:r>
    </w:p>
    <w:p w:rsidR="006C0056" w:rsidRPr="00BD2A8D" w:rsidRDefault="006C0056" w:rsidP="00C01A56">
      <w:pPr>
        <w:pStyle w:val="BodyTextIndent3"/>
        <w:spacing w:line="240" w:lineRule="auto"/>
      </w:pPr>
      <w:r w:rsidRPr="00BD2A8D">
        <w:t>1.5. aplinkos apsaugos – Aplinkos ministeriją;</w:t>
      </w:r>
    </w:p>
    <w:p w:rsidR="006C0056" w:rsidRPr="00BD2A8D" w:rsidRDefault="006C0056" w:rsidP="00C01A56">
      <w:pPr>
        <w:pStyle w:val="BodyTextIndent3"/>
        <w:spacing w:line="240" w:lineRule="auto"/>
        <w:rPr>
          <w:sz w:val="22"/>
          <w:szCs w:val="22"/>
        </w:rPr>
      </w:pPr>
      <w:r w:rsidRPr="00BD2A8D">
        <w:rPr>
          <w:sz w:val="22"/>
          <w:szCs w:val="22"/>
        </w:rPr>
        <w:t>1.6. krašto apsaugos – Krašto apsaugos ministeriją;</w:t>
      </w:r>
    </w:p>
    <w:p w:rsidR="006C0056" w:rsidRPr="00C01A56" w:rsidRDefault="006C0056" w:rsidP="00C01A56">
      <w:pPr>
        <w:pStyle w:val="BodyTextIndent3"/>
        <w:spacing w:line="240" w:lineRule="auto"/>
        <w:rPr>
          <w:sz w:val="22"/>
          <w:szCs w:val="22"/>
        </w:rPr>
      </w:pPr>
      <w:r w:rsidRPr="00C01A56">
        <w:rPr>
          <w:sz w:val="22"/>
          <w:szCs w:val="22"/>
        </w:rPr>
        <w:t>1.7. viešojo saugumo – Vidaus reikalų ministeriją;</w:t>
      </w:r>
    </w:p>
    <w:p w:rsidR="006C0056" w:rsidRPr="00C01A56" w:rsidRDefault="006C0056" w:rsidP="00C01A56">
      <w:pPr>
        <w:pStyle w:val="BodyText"/>
        <w:spacing w:after="0"/>
        <w:ind w:firstLine="709"/>
        <w:rPr>
          <w:sz w:val="22"/>
          <w:szCs w:val="22"/>
        </w:rPr>
      </w:pPr>
      <w:r w:rsidRPr="00C01A56">
        <w:rPr>
          <w:sz w:val="22"/>
          <w:szCs w:val="22"/>
        </w:rPr>
        <w:t>1.8. socialinės apsaugos ir darbo – Socialinės apsaugos ir darbo ministeriją;</w:t>
      </w:r>
    </w:p>
    <w:p w:rsidR="006C0056" w:rsidRPr="00C01A56" w:rsidRDefault="006C0056" w:rsidP="00C01A56">
      <w:pPr>
        <w:pStyle w:val="BodyText"/>
        <w:spacing w:after="0"/>
        <w:ind w:firstLine="709"/>
        <w:rPr>
          <w:sz w:val="22"/>
          <w:szCs w:val="22"/>
        </w:rPr>
      </w:pPr>
      <w:r w:rsidRPr="00C01A56">
        <w:rPr>
          <w:sz w:val="22"/>
          <w:szCs w:val="22"/>
        </w:rPr>
        <w:t>1.9. sveikatos apsaugos – Sveikatos apsaugos ministeriją;</w:t>
      </w:r>
    </w:p>
    <w:p w:rsidR="006C0056" w:rsidRPr="00C01A56" w:rsidRDefault="006C0056" w:rsidP="00C01A56">
      <w:pPr>
        <w:pStyle w:val="BodyText"/>
        <w:spacing w:after="0"/>
        <w:ind w:firstLine="709"/>
        <w:rPr>
          <w:sz w:val="22"/>
          <w:szCs w:val="22"/>
        </w:rPr>
      </w:pPr>
      <w:r w:rsidRPr="00C01A56">
        <w:rPr>
          <w:sz w:val="22"/>
          <w:szCs w:val="22"/>
        </w:rPr>
        <w:t>1.10. užsienio politikos – Užsienio reikalų ministeriją;</w:t>
      </w:r>
    </w:p>
    <w:p w:rsidR="006C0056" w:rsidRPr="00C01A56" w:rsidRDefault="006C0056" w:rsidP="00C01A56">
      <w:pPr>
        <w:pStyle w:val="BodyText"/>
        <w:spacing w:after="0"/>
        <w:ind w:firstLine="709"/>
        <w:rPr>
          <w:sz w:val="22"/>
          <w:szCs w:val="22"/>
        </w:rPr>
      </w:pPr>
      <w:r w:rsidRPr="00C01A56">
        <w:rPr>
          <w:sz w:val="22"/>
          <w:szCs w:val="22"/>
        </w:rPr>
        <w:t>1.11. teisėkūros – Teisingumo ministeriją;</w:t>
      </w:r>
    </w:p>
    <w:p w:rsidR="006C0056" w:rsidRPr="00C01A56" w:rsidRDefault="006C0056" w:rsidP="00C01A56">
      <w:pPr>
        <w:pStyle w:val="BodyText"/>
        <w:spacing w:after="0"/>
        <w:ind w:firstLine="709"/>
        <w:rPr>
          <w:sz w:val="22"/>
          <w:szCs w:val="22"/>
        </w:rPr>
      </w:pPr>
      <w:r w:rsidRPr="00C01A56">
        <w:rPr>
          <w:sz w:val="22"/>
          <w:szCs w:val="22"/>
        </w:rPr>
        <w:t>1.12. pramonės ir verslo – Ūkio ministeriją;</w:t>
      </w:r>
    </w:p>
    <w:p w:rsidR="006C0056" w:rsidRPr="00C01A56" w:rsidRDefault="006C0056" w:rsidP="00C01A56">
      <w:pPr>
        <w:pStyle w:val="BodyText"/>
        <w:spacing w:after="0"/>
        <w:ind w:firstLine="709"/>
        <w:rPr>
          <w:sz w:val="22"/>
          <w:szCs w:val="22"/>
        </w:rPr>
      </w:pPr>
      <w:r w:rsidRPr="00C01A56">
        <w:rPr>
          <w:sz w:val="22"/>
          <w:szCs w:val="22"/>
        </w:rPr>
        <w:t>1.13. energetikos – Ūkio ministeriją;</w:t>
      </w:r>
    </w:p>
    <w:p w:rsidR="006C0056" w:rsidRPr="00C01A56" w:rsidRDefault="006C0056" w:rsidP="00C01A56">
      <w:pPr>
        <w:pStyle w:val="BodyText"/>
        <w:spacing w:after="0"/>
        <w:ind w:firstLine="709"/>
        <w:rPr>
          <w:sz w:val="22"/>
          <w:szCs w:val="22"/>
        </w:rPr>
      </w:pPr>
      <w:r w:rsidRPr="00C01A56">
        <w:rPr>
          <w:sz w:val="22"/>
          <w:szCs w:val="22"/>
        </w:rPr>
        <w:t>1.14. transporto ir tranzito – Susisiekimo ministeriją;</w:t>
      </w:r>
    </w:p>
    <w:p w:rsidR="006C0056" w:rsidRPr="00C01A56" w:rsidRDefault="00BD2A8D" w:rsidP="00C01A56">
      <w:pPr>
        <w:pStyle w:val="BodyText"/>
        <w:spacing w:after="0"/>
        <w:ind w:firstLine="709"/>
        <w:rPr>
          <w:sz w:val="22"/>
          <w:szCs w:val="22"/>
        </w:rPr>
      </w:pPr>
      <w:r w:rsidRPr="00C01A56">
        <w:rPr>
          <w:sz w:val="22"/>
          <w:szCs w:val="22"/>
          <w:lang w:bidi="ta-IN"/>
        </w:rPr>
        <w:t>1.15. žinių ekonomikos ir elektroninio verslo – Susisiekimo ministeriją;</w:t>
      </w:r>
    </w:p>
    <w:p w:rsidR="006C0056" w:rsidRPr="00C01A56" w:rsidRDefault="006C0056" w:rsidP="00C01A56">
      <w:pPr>
        <w:pStyle w:val="BodyText"/>
        <w:spacing w:after="0"/>
        <w:ind w:firstLine="709"/>
        <w:rPr>
          <w:sz w:val="22"/>
          <w:szCs w:val="22"/>
        </w:rPr>
      </w:pPr>
      <w:r w:rsidRPr="00C01A56">
        <w:rPr>
          <w:sz w:val="22"/>
          <w:szCs w:val="22"/>
        </w:rPr>
        <w:t>1.16. kaimo, žemės ir maisto ūkio plėtros – Žemės ūkio ministeriją;</w:t>
      </w:r>
    </w:p>
    <w:p w:rsidR="006C0056" w:rsidRPr="00C01A56" w:rsidRDefault="006C0056" w:rsidP="00C01A56">
      <w:pPr>
        <w:pStyle w:val="BodyText"/>
        <w:spacing w:after="0"/>
        <w:ind w:firstLine="709"/>
        <w:rPr>
          <w:sz w:val="22"/>
          <w:szCs w:val="22"/>
        </w:rPr>
      </w:pPr>
      <w:r w:rsidRPr="00C01A56">
        <w:rPr>
          <w:sz w:val="22"/>
          <w:szCs w:val="22"/>
        </w:rPr>
        <w:t>1.17. finansų – Finansų ministeriją;</w:t>
      </w:r>
    </w:p>
    <w:p w:rsidR="006C0056" w:rsidRPr="00C01A56" w:rsidRDefault="006C0056" w:rsidP="00C01A56">
      <w:pPr>
        <w:pStyle w:val="BodyText"/>
        <w:spacing w:after="0"/>
        <w:ind w:firstLine="709"/>
        <w:rPr>
          <w:sz w:val="22"/>
          <w:szCs w:val="22"/>
        </w:rPr>
      </w:pPr>
      <w:r w:rsidRPr="00C01A56">
        <w:rPr>
          <w:sz w:val="22"/>
          <w:szCs w:val="22"/>
        </w:rPr>
        <w:t>1.18. regionų plėtros – Vidaus reikalų ministeriją;</w:t>
      </w:r>
    </w:p>
    <w:p w:rsidR="006C0056" w:rsidRPr="00C01A56" w:rsidRDefault="006C0056" w:rsidP="00C01A56">
      <w:pPr>
        <w:pStyle w:val="BodyText"/>
        <w:spacing w:after="0"/>
        <w:ind w:firstLine="709"/>
        <w:rPr>
          <w:sz w:val="22"/>
          <w:szCs w:val="22"/>
        </w:rPr>
      </w:pPr>
      <w:r w:rsidRPr="00C01A56">
        <w:rPr>
          <w:sz w:val="22"/>
          <w:szCs w:val="22"/>
        </w:rPr>
        <w:t>1.19. turizmo – Ūkio ministeriją.</w:t>
      </w:r>
    </w:p>
    <w:p w:rsidR="00BD2A8D" w:rsidRPr="00BD2A8D" w:rsidRDefault="00BD2A8D" w:rsidP="00BD2A8D">
      <w:pPr>
        <w:pStyle w:val="PlainText"/>
        <w:rPr>
          <w:rFonts w:ascii="Times New Roman" w:hAnsi="Times New Roman"/>
          <w:i/>
        </w:rPr>
      </w:pPr>
      <w:r w:rsidRPr="00BD2A8D">
        <w:rPr>
          <w:rFonts w:ascii="Times New Roman" w:hAnsi="Times New Roman"/>
          <w:i/>
        </w:rPr>
        <w:t>Punkto pakeitimai:</w:t>
      </w:r>
    </w:p>
    <w:p w:rsidR="00BD2A8D" w:rsidRPr="00BD2A8D" w:rsidRDefault="00BD2A8D" w:rsidP="00BD2A8D">
      <w:pPr>
        <w:pStyle w:val="PlainText"/>
        <w:rPr>
          <w:rFonts w:ascii="Times New Roman" w:hAnsi="Times New Roman"/>
          <w:i/>
        </w:rPr>
      </w:pPr>
      <w:r w:rsidRPr="00BD2A8D">
        <w:rPr>
          <w:rFonts w:ascii="Times New Roman" w:hAnsi="Times New Roman"/>
          <w:i/>
        </w:rPr>
        <w:t xml:space="preserve">Nr. </w:t>
      </w:r>
      <w:hyperlink r:id="rId9" w:history="1">
        <w:r w:rsidRPr="00486E81">
          <w:rPr>
            <w:rStyle w:val="Hyperlink"/>
            <w:rFonts w:ascii="Times New Roman" w:hAnsi="Times New Roman"/>
            <w:i/>
          </w:rPr>
          <w:t>1603</w:t>
        </w:r>
      </w:hyperlink>
      <w:r w:rsidRPr="00BD2A8D">
        <w:rPr>
          <w:rFonts w:ascii="Times New Roman" w:hAnsi="Times New Roman"/>
          <w:i/>
        </w:rPr>
        <w:t>, 2010-11-10, Žin., 2010, Nr. 134-6854 (2010-11-16)</w:t>
      </w:r>
    </w:p>
    <w:p w:rsidR="00BD2A8D" w:rsidRPr="00C01A56" w:rsidRDefault="00BD2A8D" w:rsidP="00C01A56">
      <w:pPr>
        <w:pStyle w:val="BodyText"/>
        <w:spacing w:after="0"/>
        <w:ind w:firstLine="709"/>
        <w:jc w:val="both"/>
        <w:rPr>
          <w:sz w:val="22"/>
          <w:szCs w:val="22"/>
        </w:rPr>
      </w:pPr>
    </w:p>
    <w:p w:rsidR="006C0056" w:rsidRPr="00C01A56" w:rsidRDefault="006C0056" w:rsidP="00C01A56">
      <w:pPr>
        <w:pStyle w:val="BodyText"/>
        <w:spacing w:after="0"/>
        <w:ind w:firstLine="709"/>
        <w:jc w:val="both"/>
        <w:rPr>
          <w:sz w:val="22"/>
          <w:szCs w:val="22"/>
        </w:rPr>
      </w:pPr>
      <w:r w:rsidRPr="00C01A56">
        <w:rPr>
          <w:sz w:val="22"/>
          <w:szCs w:val="22"/>
        </w:rPr>
        <w:t>2. Paskirti Ūkio ministeriją pagrindine Valstybės ilgalaikės raidos strategijos įgyvendinimo stebėsenos (monitoringo) kompiuterizuotos sistemos administratore.</w:t>
      </w:r>
    </w:p>
    <w:p w:rsidR="006C0056" w:rsidRPr="00C01A56" w:rsidRDefault="006C0056" w:rsidP="00C01A56">
      <w:pPr>
        <w:pStyle w:val="BodyText"/>
        <w:spacing w:after="0"/>
        <w:ind w:firstLine="709"/>
        <w:jc w:val="both"/>
        <w:rPr>
          <w:sz w:val="22"/>
          <w:szCs w:val="22"/>
        </w:rPr>
      </w:pPr>
      <w:r w:rsidRPr="00C01A56">
        <w:rPr>
          <w:sz w:val="22"/>
          <w:szCs w:val="22"/>
        </w:rPr>
        <w:t>3. Pavesti:</w:t>
      </w:r>
    </w:p>
    <w:p w:rsidR="006C0056" w:rsidRPr="00C01A56" w:rsidRDefault="006C0056" w:rsidP="00C01A56">
      <w:pPr>
        <w:pStyle w:val="BodyText"/>
        <w:spacing w:after="0"/>
        <w:ind w:firstLine="709"/>
        <w:jc w:val="both"/>
        <w:rPr>
          <w:sz w:val="22"/>
          <w:szCs w:val="22"/>
        </w:rPr>
      </w:pPr>
      <w:r w:rsidRPr="00C01A56">
        <w:rPr>
          <w:sz w:val="22"/>
          <w:szCs w:val="22"/>
        </w:rPr>
        <w:t>3.1. Ūkio ministerijai:</w:t>
      </w:r>
    </w:p>
    <w:p w:rsidR="006C0056" w:rsidRPr="00C01A56" w:rsidRDefault="006C0056" w:rsidP="00C01A56">
      <w:pPr>
        <w:pStyle w:val="BodyText"/>
        <w:spacing w:after="0"/>
        <w:ind w:firstLine="709"/>
        <w:jc w:val="both"/>
        <w:rPr>
          <w:sz w:val="22"/>
          <w:szCs w:val="22"/>
        </w:rPr>
      </w:pPr>
      <w:r w:rsidRPr="00C01A56">
        <w:rPr>
          <w:sz w:val="22"/>
          <w:szCs w:val="22"/>
        </w:rPr>
        <w:t>3.1.1. organizuoti Valstybės ilgalaikės raidos strategijos įgyvendinimo koordinavimą;</w:t>
      </w:r>
    </w:p>
    <w:p w:rsidR="006C0056" w:rsidRPr="00C01A56" w:rsidRDefault="006C0056" w:rsidP="00C01A56">
      <w:pPr>
        <w:pStyle w:val="BodyText"/>
        <w:spacing w:after="0"/>
        <w:ind w:firstLine="709"/>
        <w:jc w:val="both"/>
        <w:rPr>
          <w:sz w:val="22"/>
          <w:szCs w:val="22"/>
        </w:rPr>
      </w:pPr>
      <w:r w:rsidRPr="00C01A56">
        <w:rPr>
          <w:sz w:val="22"/>
          <w:szCs w:val="22"/>
        </w:rPr>
        <w:t>3.1.2. kasmet iki kovo 15 d. atnaujinti Valstybės ilgalaikės raidos strategijos įgyvendinimo ataskaitos rengimo gaires ir pateikti jas šio nutarimo 1 punktu paskirtoms ministerijoms ir kitoms valstybės institucijoms, atsakingoms už ilgalaikių valstybės raidos prioritetų įgyvendinimo krypčių koordinavimą ir jų administravimą Valstybės ilgalaikės raidos strategijos įgyvendinimo stebėsenos (monitoringo) kompiuterizuotoje sistemoje;</w:t>
      </w:r>
    </w:p>
    <w:p w:rsidR="006C0056" w:rsidRPr="00C01A56" w:rsidRDefault="006C0056" w:rsidP="00C01A56">
      <w:pPr>
        <w:pStyle w:val="BodyText"/>
        <w:spacing w:after="0"/>
        <w:ind w:firstLine="709"/>
        <w:jc w:val="both"/>
        <w:rPr>
          <w:sz w:val="22"/>
          <w:szCs w:val="22"/>
        </w:rPr>
      </w:pPr>
      <w:r w:rsidRPr="00C01A56">
        <w:rPr>
          <w:sz w:val="22"/>
          <w:szCs w:val="22"/>
        </w:rPr>
        <w:t>3.1.3. kasmet iki birželio 15 d. pateikti Valstybės ilgalaikės raidos strategijos įgyvendinimo analizės ir stebėsenos (monitoringo) priežiūros komisijai Valstybės ilgalaikės raidos strategijos įgyvendinimo ataskaitos, išvadų ir pasiūlymų dėl Valstybės ilgalaikės raidos strategijos įgyvendinimo projektą;</w:t>
      </w:r>
    </w:p>
    <w:p w:rsidR="006C0056" w:rsidRPr="00C01A56" w:rsidRDefault="006C0056" w:rsidP="00C01A56">
      <w:pPr>
        <w:pStyle w:val="BodyText"/>
        <w:spacing w:after="0"/>
        <w:ind w:firstLine="709"/>
        <w:jc w:val="both"/>
        <w:rPr>
          <w:sz w:val="22"/>
          <w:szCs w:val="22"/>
        </w:rPr>
      </w:pPr>
      <w:r w:rsidRPr="00C01A56">
        <w:rPr>
          <w:sz w:val="22"/>
          <w:szCs w:val="22"/>
        </w:rPr>
        <w:lastRenderedPageBreak/>
        <w:t>3.2. šio nutarimo 1 punktu paskirtoms ministerijoms ir kitoms valstybės institucijoms, atsakingoms už ilgalaikių valstybės raidos prioritetų įgyvendinimo krypčių koordinavimą ir jų administravimą Valstybės ilgalaikės raidos strategijos įgyvendinimo stebėsenos (monitoringo) kompiuterizuotoje sistemoje:</w:t>
      </w:r>
    </w:p>
    <w:p w:rsidR="006C0056" w:rsidRPr="00C01A56" w:rsidRDefault="006C0056" w:rsidP="00C01A56">
      <w:pPr>
        <w:pStyle w:val="BodyText"/>
        <w:spacing w:after="0"/>
        <w:ind w:firstLine="709"/>
        <w:jc w:val="both"/>
        <w:rPr>
          <w:sz w:val="22"/>
          <w:szCs w:val="22"/>
        </w:rPr>
      </w:pPr>
      <w:r w:rsidRPr="00C01A56">
        <w:rPr>
          <w:sz w:val="22"/>
          <w:szCs w:val="22"/>
        </w:rPr>
        <w:t>3.2.1. kasmet iki gegužės 1 d. pateikti Ūkio ministerijai reikiamą informaciją ir atliktų darbų ataskaitas, rengiant Valstybės ilgalaikės raidos strategijos įgyvendinimo ataskaitos projektą, pagal 3.1.2 punkte nurodytas gaires;</w:t>
      </w:r>
    </w:p>
    <w:p w:rsidR="006C0056" w:rsidRPr="00C01A56" w:rsidRDefault="006C0056" w:rsidP="00C01A56">
      <w:pPr>
        <w:pStyle w:val="BodyText"/>
        <w:spacing w:after="0"/>
        <w:ind w:firstLine="709"/>
        <w:jc w:val="both"/>
        <w:rPr>
          <w:sz w:val="22"/>
          <w:szCs w:val="22"/>
        </w:rPr>
      </w:pPr>
      <w:r w:rsidRPr="00C01A56">
        <w:rPr>
          <w:sz w:val="22"/>
          <w:szCs w:val="22"/>
        </w:rPr>
        <w:t>3.2.2. tikslinti patvirtintų nacionalinių strategijų ir programų, susijusių su Valstybės ilgalaikės raidos strategijos įgyvendinimu, sąrašą – papildyti jį naujomis ataskaitiniais metais patvirtintomis strategijomis ar programomis ir išbraukti neaktualias strategijas ar programas;</w:t>
      </w:r>
    </w:p>
    <w:p w:rsidR="006C0056" w:rsidRPr="00C01A56" w:rsidRDefault="006C0056" w:rsidP="00C01A56">
      <w:pPr>
        <w:pStyle w:val="BodyText"/>
        <w:spacing w:after="0"/>
        <w:ind w:firstLine="709"/>
        <w:jc w:val="both"/>
        <w:rPr>
          <w:sz w:val="22"/>
          <w:szCs w:val="22"/>
        </w:rPr>
      </w:pPr>
      <w:r w:rsidRPr="00C01A56">
        <w:rPr>
          <w:sz w:val="22"/>
          <w:szCs w:val="22"/>
        </w:rPr>
        <w:t xml:space="preserve">3.2.3. tikslinti Valstybės ilgalaikės raidos strategijos įgyvendinimo rodiklių sąrašą ir, administruojant atitinkamas Valstybės ilgalaikės raidos strategijos įgyvendinimo stebėsenos (monitoringo) kompiuterizuotos sistemos kryptis, kasmet atnaujinti jų reikšmes. </w:t>
      </w:r>
    </w:p>
    <w:p w:rsidR="006C0056" w:rsidRPr="00C01A56" w:rsidRDefault="006C0056" w:rsidP="00C01A56">
      <w:pPr>
        <w:pStyle w:val="BodyText"/>
        <w:spacing w:after="0"/>
        <w:ind w:firstLine="709"/>
        <w:jc w:val="both"/>
        <w:rPr>
          <w:sz w:val="22"/>
          <w:szCs w:val="22"/>
        </w:rPr>
      </w:pPr>
    </w:p>
    <w:p w:rsidR="006C0056" w:rsidRPr="00C01A56" w:rsidRDefault="006C0056" w:rsidP="00C01A56">
      <w:pPr>
        <w:pStyle w:val="BodyText"/>
        <w:spacing w:after="0"/>
        <w:ind w:firstLine="709"/>
        <w:jc w:val="both"/>
        <w:rPr>
          <w:sz w:val="22"/>
          <w:szCs w:val="22"/>
        </w:rPr>
      </w:pPr>
    </w:p>
    <w:p w:rsidR="006C0056" w:rsidRPr="00C01A56" w:rsidRDefault="006C0056" w:rsidP="00C01A56">
      <w:pPr>
        <w:pStyle w:val="BodyText"/>
        <w:spacing w:after="0"/>
        <w:ind w:firstLine="709"/>
        <w:jc w:val="both"/>
        <w:rPr>
          <w:sz w:val="22"/>
          <w:szCs w:val="22"/>
        </w:rPr>
      </w:pPr>
    </w:p>
    <w:p w:rsidR="006C0056" w:rsidRPr="00BD2A8D" w:rsidRDefault="006C0056" w:rsidP="00BD2A8D">
      <w:pPr>
        <w:pStyle w:val="Header"/>
        <w:tabs>
          <w:tab w:val="clear" w:pos="4153"/>
          <w:tab w:val="clear" w:pos="8306"/>
          <w:tab w:val="left" w:pos="6237"/>
        </w:tabs>
        <w:rPr>
          <w:sz w:val="22"/>
          <w:szCs w:val="22"/>
        </w:rPr>
      </w:pPr>
      <w:r w:rsidRPr="00BD2A8D">
        <w:rPr>
          <w:sz w:val="22"/>
          <w:szCs w:val="22"/>
        </w:rPr>
        <w:t>Ministras Pirmininkas</w:t>
      </w:r>
      <w:r w:rsidRPr="00BD2A8D">
        <w:rPr>
          <w:sz w:val="22"/>
          <w:szCs w:val="22"/>
        </w:rPr>
        <w:tab/>
        <w:t>Algirdas Brazauskas</w:t>
      </w:r>
    </w:p>
    <w:p w:rsidR="006C0056" w:rsidRPr="00BD2A8D" w:rsidRDefault="006C0056" w:rsidP="00BD2A8D">
      <w:pPr>
        <w:pStyle w:val="Header"/>
        <w:tabs>
          <w:tab w:val="clear" w:pos="4153"/>
          <w:tab w:val="left" w:pos="6237"/>
        </w:tabs>
        <w:rPr>
          <w:sz w:val="22"/>
          <w:szCs w:val="22"/>
        </w:rPr>
      </w:pPr>
    </w:p>
    <w:p w:rsidR="006C0056" w:rsidRPr="00BD2A8D" w:rsidRDefault="006C0056" w:rsidP="00BD2A8D">
      <w:pPr>
        <w:tabs>
          <w:tab w:val="left" w:pos="6237"/>
          <w:tab w:val="left" w:pos="6521"/>
        </w:tabs>
        <w:rPr>
          <w:sz w:val="22"/>
          <w:szCs w:val="22"/>
        </w:rPr>
      </w:pPr>
    </w:p>
    <w:p w:rsidR="006C0056" w:rsidRPr="00BD2A8D" w:rsidRDefault="006C0056" w:rsidP="00BD2A8D">
      <w:pPr>
        <w:tabs>
          <w:tab w:val="left" w:pos="6237"/>
          <w:tab w:val="left" w:pos="6521"/>
        </w:tabs>
        <w:rPr>
          <w:sz w:val="22"/>
          <w:szCs w:val="22"/>
        </w:rPr>
      </w:pPr>
    </w:p>
    <w:p w:rsidR="006C0056" w:rsidRPr="00BD2A8D" w:rsidRDefault="006C0056" w:rsidP="00BD2A8D">
      <w:pPr>
        <w:pStyle w:val="Header"/>
        <w:tabs>
          <w:tab w:val="clear" w:pos="4153"/>
          <w:tab w:val="clear" w:pos="8306"/>
          <w:tab w:val="left" w:pos="6237"/>
        </w:tabs>
        <w:rPr>
          <w:sz w:val="22"/>
          <w:szCs w:val="22"/>
        </w:rPr>
      </w:pPr>
      <w:r w:rsidRPr="00BD2A8D">
        <w:rPr>
          <w:sz w:val="22"/>
          <w:szCs w:val="22"/>
        </w:rPr>
        <w:t>Ūkio ministras</w:t>
      </w:r>
      <w:r w:rsidRPr="00BD2A8D">
        <w:rPr>
          <w:sz w:val="22"/>
          <w:szCs w:val="22"/>
        </w:rPr>
        <w:tab/>
        <w:t>Kęstutis Daukšys</w:t>
      </w:r>
    </w:p>
    <w:p w:rsidR="006C0056" w:rsidRPr="00BD2A8D" w:rsidRDefault="00BD2A8D" w:rsidP="00BD2A8D">
      <w:pPr>
        <w:pStyle w:val="Header"/>
        <w:tabs>
          <w:tab w:val="clear" w:pos="4153"/>
          <w:tab w:val="clear" w:pos="8306"/>
          <w:tab w:val="left" w:pos="6237"/>
        </w:tabs>
        <w:jc w:val="center"/>
        <w:rPr>
          <w:sz w:val="22"/>
          <w:szCs w:val="22"/>
        </w:rPr>
      </w:pPr>
      <w:r>
        <w:rPr>
          <w:sz w:val="22"/>
          <w:szCs w:val="22"/>
        </w:rPr>
        <w:t>_____________________</w:t>
      </w:r>
    </w:p>
    <w:p w:rsidR="00BD2A8D" w:rsidRPr="00BF5422" w:rsidRDefault="00BD2A8D" w:rsidP="00BD2A8D">
      <w:pPr>
        <w:pStyle w:val="PlainText"/>
        <w:rPr>
          <w:rFonts w:ascii="Times New Roman" w:hAnsi="Times New Roman"/>
        </w:rPr>
      </w:pPr>
    </w:p>
    <w:p w:rsidR="00BD2A8D" w:rsidRPr="00BF5422" w:rsidRDefault="00BD2A8D" w:rsidP="00BD2A8D">
      <w:pPr>
        <w:pStyle w:val="PlainText"/>
        <w:rPr>
          <w:rFonts w:ascii="Times New Roman" w:hAnsi="Times New Roman"/>
        </w:rPr>
      </w:pPr>
      <w:r w:rsidRPr="00BF5422">
        <w:rPr>
          <w:rFonts w:ascii="Times New Roman" w:hAnsi="Times New Roman"/>
        </w:rPr>
        <w:t>Pakeitimai:</w:t>
      </w:r>
    </w:p>
    <w:p w:rsidR="00BD2A8D" w:rsidRPr="00BF5422" w:rsidRDefault="00BD2A8D" w:rsidP="00BD2A8D">
      <w:pPr>
        <w:pStyle w:val="PlainText"/>
        <w:rPr>
          <w:rFonts w:ascii="Times New Roman" w:hAnsi="Times New Roman"/>
        </w:rPr>
      </w:pPr>
    </w:p>
    <w:p w:rsidR="00BD2A8D" w:rsidRPr="00BF5422" w:rsidRDefault="00BD2A8D" w:rsidP="00BD2A8D">
      <w:pPr>
        <w:pStyle w:val="PlainText"/>
        <w:rPr>
          <w:rFonts w:ascii="Times New Roman" w:hAnsi="Times New Roman"/>
        </w:rPr>
      </w:pPr>
      <w:r w:rsidRPr="00BF5422">
        <w:rPr>
          <w:rFonts w:ascii="Times New Roman" w:hAnsi="Times New Roman"/>
        </w:rPr>
        <w:t>1.</w:t>
      </w:r>
    </w:p>
    <w:p w:rsidR="00BD2A8D" w:rsidRPr="00BF5422" w:rsidRDefault="00BD2A8D" w:rsidP="00BD2A8D">
      <w:pPr>
        <w:pStyle w:val="PlainText"/>
        <w:rPr>
          <w:rFonts w:ascii="Times New Roman" w:hAnsi="Times New Roman"/>
        </w:rPr>
      </w:pPr>
      <w:r w:rsidRPr="00BF5422">
        <w:rPr>
          <w:rFonts w:ascii="Times New Roman" w:hAnsi="Times New Roman"/>
        </w:rPr>
        <w:t>Lietuvos Respublikos Vyriausybė, Nutarimas</w:t>
      </w:r>
    </w:p>
    <w:p w:rsidR="00BD2A8D" w:rsidRPr="00BF5422" w:rsidRDefault="00BD2A8D" w:rsidP="00BD2A8D">
      <w:pPr>
        <w:pStyle w:val="PlainText"/>
        <w:rPr>
          <w:rFonts w:ascii="Times New Roman" w:hAnsi="Times New Roman"/>
        </w:rPr>
      </w:pPr>
      <w:r w:rsidRPr="00BF5422">
        <w:rPr>
          <w:rFonts w:ascii="Times New Roman" w:hAnsi="Times New Roman"/>
        </w:rPr>
        <w:t xml:space="preserve">Nr. </w:t>
      </w:r>
      <w:hyperlink r:id="rId10" w:history="1">
        <w:r w:rsidRPr="00486E81">
          <w:rPr>
            <w:rStyle w:val="Hyperlink"/>
            <w:rFonts w:ascii="Times New Roman" w:hAnsi="Times New Roman"/>
          </w:rPr>
          <w:t>1603</w:t>
        </w:r>
      </w:hyperlink>
      <w:r w:rsidRPr="00BF5422">
        <w:rPr>
          <w:rFonts w:ascii="Times New Roman" w:hAnsi="Times New Roman"/>
        </w:rPr>
        <w:t>, 2010-11-10, Žin., 2010, Nr. 134-6854 (2010-11-16)</w:t>
      </w:r>
    </w:p>
    <w:p w:rsidR="00BD2A8D" w:rsidRPr="00BF5422" w:rsidRDefault="00BD2A8D" w:rsidP="00BD2A8D">
      <w:pPr>
        <w:pStyle w:val="PlainText"/>
        <w:jc w:val="both"/>
        <w:rPr>
          <w:rFonts w:ascii="Times New Roman" w:hAnsi="Times New Roman"/>
        </w:rPr>
      </w:pPr>
      <w:r w:rsidRPr="00BF5422">
        <w:rPr>
          <w:rFonts w:ascii="Times New Roman" w:hAnsi="Times New Roman"/>
        </w:rPr>
        <w:t>DĖL LIETUVOS RESPUBLIKOS VYRIAUSYBĖS 2006 M. BALANDŽIO 10 D. NUTARIMO NR. 341 "DĖL ATSAKINGŲ INSTITUCIJŲ ILGALAIKIAMS VALSTYBĖS RAIDOS PRIORITETAMS ĮGYVENDINTI PASKYRIMO" PAKEITIMO</w:t>
      </w:r>
    </w:p>
    <w:p w:rsidR="00BD2A8D" w:rsidRPr="00BF5422" w:rsidRDefault="00BD2A8D" w:rsidP="00BD2A8D">
      <w:pPr>
        <w:pStyle w:val="PlainText"/>
        <w:rPr>
          <w:rFonts w:ascii="Times New Roman" w:hAnsi="Times New Roman"/>
        </w:rPr>
      </w:pPr>
    </w:p>
    <w:p w:rsidR="00BD2A8D" w:rsidRPr="00BF5422" w:rsidRDefault="00BD2A8D" w:rsidP="00BD2A8D">
      <w:pPr>
        <w:pStyle w:val="PlainText"/>
        <w:rPr>
          <w:rFonts w:ascii="Times New Roman" w:hAnsi="Times New Roman"/>
        </w:rPr>
      </w:pPr>
      <w:r w:rsidRPr="00BF5422">
        <w:rPr>
          <w:rFonts w:ascii="Times New Roman" w:hAnsi="Times New Roman"/>
        </w:rPr>
        <w:t>*** Pabaiga ***</w:t>
      </w:r>
    </w:p>
    <w:p w:rsidR="00BD2A8D" w:rsidRPr="00BF5422" w:rsidRDefault="00BD2A8D" w:rsidP="00BD2A8D">
      <w:pPr>
        <w:pStyle w:val="PlainText"/>
        <w:rPr>
          <w:rFonts w:ascii="Times New Roman" w:hAnsi="Times New Roman"/>
        </w:rPr>
      </w:pPr>
    </w:p>
    <w:p w:rsidR="00BD2A8D" w:rsidRPr="00BF5422" w:rsidRDefault="00BD2A8D" w:rsidP="00BD2A8D">
      <w:pPr>
        <w:pStyle w:val="PlainText"/>
        <w:rPr>
          <w:rFonts w:ascii="Times New Roman" w:hAnsi="Times New Roman"/>
        </w:rPr>
      </w:pPr>
    </w:p>
    <w:p w:rsidR="00BD2A8D" w:rsidRPr="00BF5422" w:rsidRDefault="00BD2A8D" w:rsidP="00BD2A8D">
      <w:pPr>
        <w:pStyle w:val="PlainText"/>
        <w:rPr>
          <w:rFonts w:ascii="Times New Roman" w:hAnsi="Times New Roman"/>
        </w:rPr>
      </w:pPr>
      <w:r w:rsidRPr="00BF5422">
        <w:rPr>
          <w:rFonts w:ascii="Times New Roman" w:hAnsi="Times New Roman"/>
        </w:rPr>
        <w:t>Redagavo Aušra Bodin (2010-11-16)</w:t>
      </w:r>
    </w:p>
    <w:p w:rsidR="00BD2A8D" w:rsidRPr="00BF5422" w:rsidRDefault="00BD2A8D" w:rsidP="00BD2A8D">
      <w:pPr>
        <w:pStyle w:val="PlainText"/>
        <w:rPr>
          <w:rFonts w:ascii="Times New Roman" w:hAnsi="Times New Roman"/>
        </w:rPr>
      </w:pPr>
      <w:r w:rsidRPr="00BF5422">
        <w:rPr>
          <w:rFonts w:ascii="Times New Roman" w:hAnsi="Times New Roman"/>
        </w:rPr>
        <w:t xml:space="preserve">                  aubodi@lrs.lt</w:t>
      </w:r>
    </w:p>
    <w:p w:rsidR="006C0056" w:rsidRDefault="006C0056">
      <w:pPr>
        <w:pStyle w:val="Header"/>
        <w:tabs>
          <w:tab w:val="clear" w:pos="4153"/>
          <w:tab w:val="left" w:pos="6237"/>
        </w:tabs>
      </w:pPr>
    </w:p>
    <w:sectPr w:rsidR="006C0056">
      <w:headerReference w:type="even" r:id="rId11"/>
      <w:headerReference w:type="default" r:id="rId12"/>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81" w:rsidRDefault="00486E81">
      <w:r>
        <w:separator/>
      </w:r>
    </w:p>
  </w:endnote>
  <w:endnote w:type="continuationSeparator" w:id="0">
    <w:p w:rsidR="00486E81" w:rsidRDefault="0048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HelveticaLT">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imesLT">
    <w:altName w:val="Courier New"/>
    <w:charset w:val="00"/>
    <w:family w:val="roman"/>
    <w:pitch w:val="variable"/>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81" w:rsidRDefault="00486E81">
      <w:r>
        <w:separator/>
      </w:r>
    </w:p>
  </w:footnote>
  <w:footnote w:type="continuationSeparator" w:id="0">
    <w:p w:rsidR="00486E81" w:rsidRDefault="00486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81" w:rsidRDefault="00486E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6E81" w:rsidRDefault="00486E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81" w:rsidRDefault="00486E81">
    <w:pPr>
      <w:pStyle w:val="Head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5F6004">
      <w:rPr>
        <w:rStyle w:val="PageNumber"/>
        <w:noProof/>
        <w:sz w:val="22"/>
      </w:rPr>
      <w:t>2</w:t>
    </w:r>
    <w:r>
      <w:rPr>
        <w:rStyle w:val="PageNumber"/>
        <w:sz w:val="22"/>
      </w:rPr>
      <w:fldChar w:fldCharType="end"/>
    </w:r>
  </w:p>
  <w:p w:rsidR="00486E81" w:rsidRDefault="00486E8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3B7"/>
    <w:multiLevelType w:val="multilevel"/>
    <w:tmpl w:val="F8A21D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4455C37"/>
    <w:multiLevelType w:val="multilevel"/>
    <w:tmpl w:val="3C1ECF88"/>
    <w:lvl w:ilvl="0">
      <w:start w:val="1"/>
      <w:numFmt w:val="decimal"/>
      <w:lvlText w:val="%1."/>
      <w:lvlJc w:val="left"/>
      <w:pPr>
        <w:tabs>
          <w:tab w:val="num" w:pos="1125"/>
        </w:tabs>
        <w:ind w:left="1125" w:hanging="40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646B162B"/>
    <w:multiLevelType w:val="singleLevel"/>
    <w:tmpl w:val="36A0F33A"/>
    <w:lvl w:ilvl="0">
      <w:start w:val="1"/>
      <w:numFmt w:val="decimal"/>
      <w:lvlText w:val="%1."/>
      <w:lvlJc w:val="left"/>
      <w:pPr>
        <w:tabs>
          <w:tab w:val="num" w:pos="1080"/>
        </w:tabs>
        <w:ind w:left="1080" w:hanging="360"/>
      </w:pPr>
      <w:rPr>
        <w:rFonts w:hint="default"/>
      </w:rPr>
    </w:lvl>
  </w:abstractNum>
  <w:abstractNum w:abstractNumId="3">
    <w:nsid w:val="6A063CCD"/>
    <w:multiLevelType w:val="hybridMultilevel"/>
    <w:tmpl w:val="8572F49C"/>
    <w:lvl w:ilvl="0" w:tplc="E916A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56"/>
    <w:rsid w:val="001722A9"/>
    <w:rsid w:val="00486E81"/>
    <w:rsid w:val="005F6004"/>
    <w:rsid w:val="006C0056"/>
    <w:rsid w:val="00BD2A8D"/>
    <w:rsid w:val="00C01A56"/>
    <w:rsid w:val="00EF0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rPr>
  </w:style>
  <w:style w:type="paragraph" w:styleId="Heading6">
    <w:name w:val="heading 6"/>
    <w:basedOn w:val="Normal"/>
    <w:next w:val="Normal"/>
    <w:qFormat/>
    <w:pPr>
      <w:keepNext/>
      <w:spacing w:line="360" w:lineRule="auto"/>
      <w:jc w:val="both"/>
      <w:outlineLvl w:val="5"/>
    </w:pPr>
  </w:style>
  <w:style w:type="paragraph" w:styleId="Heading7">
    <w:name w:val="heading 7"/>
    <w:basedOn w:val="Normal"/>
    <w:next w:val="Normal"/>
    <w:qFormat/>
    <w:pPr>
      <w:keepNext/>
      <w:spacing w:line="360" w:lineRule="auto"/>
      <w:ind w:firstLine="720"/>
      <w:jc w:val="both"/>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2">
    <w:name w:val="Body Text Indent 2"/>
    <w:basedOn w:val="Normal"/>
    <w:pPr>
      <w:ind w:firstLine="426"/>
      <w:jc w:val="both"/>
    </w:pPr>
  </w:style>
  <w:style w:type="paragraph" w:styleId="BodyText">
    <w:name w:val="Body Text"/>
    <w:basedOn w:val="Normal"/>
    <w:pPr>
      <w:spacing w:after="120"/>
    </w:pPr>
  </w:style>
  <w:style w:type="paragraph" w:styleId="BodyText3">
    <w:name w:val="Body Text 3"/>
    <w:basedOn w:val="Normal"/>
    <w:pPr>
      <w:spacing w:line="240" w:lineRule="atLeast"/>
      <w:jc w:val="both"/>
    </w:pPr>
    <w:rPr>
      <w:rFonts w:ascii="TimesLT" w:hAnsi="TimesLT"/>
      <w:snapToGrid w:val="0"/>
      <w:lang w:val="en-US"/>
    </w:rPr>
  </w:style>
  <w:style w:type="paragraph" w:styleId="Title">
    <w:name w:val="Title"/>
    <w:basedOn w:val="Normal"/>
    <w:qFormat/>
    <w:pPr>
      <w:jc w:val="center"/>
    </w:pPr>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PlainText">
    <w:name w:val="Plain Text"/>
    <w:basedOn w:val="Normal"/>
    <w:rPr>
      <w:rFonts w:ascii="Courier New" w:hAnsi="Courier New"/>
      <w:sz w:val="20"/>
    </w:rPr>
  </w:style>
  <w:style w:type="paragraph" w:styleId="BlockText">
    <w:name w:val="Block Text"/>
    <w:basedOn w:val="Normal"/>
    <w:pPr>
      <w:tabs>
        <w:tab w:val="left" w:pos="-2268"/>
        <w:tab w:val="left" w:pos="7938"/>
      </w:tabs>
      <w:spacing w:before="120"/>
      <w:ind w:left="1701" w:right="1416" w:hanging="981"/>
    </w:pPr>
  </w:style>
  <w:style w:type="paragraph" w:styleId="BodyText2">
    <w:name w:val="Body Text 2"/>
    <w:basedOn w:val="Normal"/>
    <w:pPr>
      <w:jc w:val="center"/>
    </w:pPr>
    <w:rPr>
      <w:b/>
      <w:lang w:eastAsia="ja-JP"/>
    </w:rPr>
  </w:style>
  <w:style w:type="paragraph" w:styleId="BodyTextIndent3">
    <w:name w:val="Body Text Indent 3"/>
    <w:basedOn w:val="Normal"/>
    <w:pPr>
      <w:spacing w:line="360" w:lineRule="atLeast"/>
      <w:ind w:firstLine="709"/>
      <w:jc w:val="both"/>
    </w:p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customStyle="1" w:styleId="Typewriter">
    <w:name w:val="Typewriter"/>
    <w:rPr>
      <w:rFonts w:ascii="Courier New" w:hAnsi="Courier New"/>
      <w:sz w:val="20"/>
    </w:rPr>
  </w:style>
  <w:style w:type="character" w:customStyle="1" w:styleId="Pagrindinistekstas2Diagrama">
    <w:name w:val="Pagrindinis tekstas 2 Diagrama"/>
    <w:basedOn w:val="DefaultParagraphFont"/>
    <w:rPr>
      <w:b/>
      <w:sz w:val="24"/>
      <w:lang w:val="lt-LT" w:eastAsia="ja-JP"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basedOn w:val="DefaultParagraphFont"/>
    <w:rsid w:val="006C0056"/>
    <w:rPr>
      <w:color w:val="0000FF"/>
      <w:u w:val="single"/>
    </w:rPr>
  </w:style>
  <w:style w:type="character" w:styleId="HTMLSample">
    <w:name w:val="HTML Sample"/>
    <w:basedOn w:val="DefaultParagraphFont"/>
    <w:rsid w:val="00C01A5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rPr>
  </w:style>
  <w:style w:type="paragraph" w:styleId="Heading6">
    <w:name w:val="heading 6"/>
    <w:basedOn w:val="Normal"/>
    <w:next w:val="Normal"/>
    <w:qFormat/>
    <w:pPr>
      <w:keepNext/>
      <w:spacing w:line="360" w:lineRule="auto"/>
      <w:jc w:val="both"/>
      <w:outlineLvl w:val="5"/>
    </w:pPr>
  </w:style>
  <w:style w:type="paragraph" w:styleId="Heading7">
    <w:name w:val="heading 7"/>
    <w:basedOn w:val="Normal"/>
    <w:next w:val="Normal"/>
    <w:qFormat/>
    <w:pPr>
      <w:keepNext/>
      <w:spacing w:line="360" w:lineRule="auto"/>
      <w:ind w:firstLine="720"/>
      <w:jc w:val="both"/>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2">
    <w:name w:val="Body Text Indent 2"/>
    <w:basedOn w:val="Normal"/>
    <w:pPr>
      <w:ind w:firstLine="426"/>
      <w:jc w:val="both"/>
    </w:pPr>
  </w:style>
  <w:style w:type="paragraph" w:styleId="BodyText">
    <w:name w:val="Body Text"/>
    <w:basedOn w:val="Normal"/>
    <w:pPr>
      <w:spacing w:after="120"/>
    </w:pPr>
  </w:style>
  <w:style w:type="paragraph" w:styleId="BodyText3">
    <w:name w:val="Body Text 3"/>
    <w:basedOn w:val="Normal"/>
    <w:pPr>
      <w:spacing w:line="240" w:lineRule="atLeast"/>
      <w:jc w:val="both"/>
    </w:pPr>
    <w:rPr>
      <w:rFonts w:ascii="TimesLT" w:hAnsi="TimesLT"/>
      <w:snapToGrid w:val="0"/>
      <w:lang w:val="en-US"/>
    </w:rPr>
  </w:style>
  <w:style w:type="paragraph" w:styleId="Title">
    <w:name w:val="Title"/>
    <w:basedOn w:val="Normal"/>
    <w:qFormat/>
    <w:pPr>
      <w:jc w:val="center"/>
    </w:pPr>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PlainText">
    <w:name w:val="Plain Text"/>
    <w:basedOn w:val="Normal"/>
    <w:rPr>
      <w:rFonts w:ascii="Courier New" w:hAnsi="Courier New"/>
      <w:sz w:val="20"/>
    </w:rPr>
  </w:style>
  <w:style w:type="paragraph" w:styleId="BlockText">
    <w:name w:val="Block Text"/>
    <w:basedOn w:val="Normal"/>
    <w:pPr>
      <w:tabs>
        <w:tab w:val="left" w:pos="-2268"/>
        <w:tab w:val="left" w:pos="7938"/>
      </w:tabs>
      <w:spacing w:before="120"/>
      <w:ind w:left="1701" w:right="1416" w:hanging="981"/>
    </w:pPr>
  </w:style>
  <w:style w:type="paragraph" w:styleId="BodyText2">
    <w:name w:val="Body Text 2"/>
    <w:basedOn w:val="Normal"/>
    <w:pPr>
      <w:jc w:val="center"/>
    </w:pPr>
    <w:rPr>
      <w:b/>
      <w:lang w:eastAsia="ja-JP"/>
    </w:rPr>
  </w:style>
  <w:style w:type="paragraph" w:styleId="BodyTextIndent3">
    <w:name w:val="Body Text Indent 3"/>
    <w:basedOn w:val="Normal"/>
    <w:pPr>
      <w:spacing w:line="360" w:lineRule="atLeast"/>
      <w:ind w:firstLine="709"/>
      <w:jc w:val="both"/>
    </w:p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customStyle="1" w:styleId="Typewriter">
    <w:name w:val="Typewriter"/>
    <w:rPr>
      <w:rFonts w:ascii="Courier New" w:hAnsi="Courier New"/>
      <w:sz w:val="20"/>
    </w:rPr>
  </w:style>
  <w:style w:type="character" w:customStyle="1" w:styleId="Pagrindinistekstas2Diagrama">
    <w:name w:val="Pagrindinis tekstas 2 Diagrama"/>
    <w:basedOn w:val="DefaultParagraphFont"/>
    <w:rPr>
      <w:b/>
      <w:sz w:val="24"/>
      <w:lang w:val="lt-LT" w:eastAsia="ja-JP"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basedOn w:val="DefaultParagraphFont"/>
    <w:rsid w:val="006C0056"/>
    <w:rPr>
      <w:color w:val="0000FF"/>
      <w:u w:val="single"/>
    </w:rPr>
  </w:style>
  <w:style w:type="character" w:styleId="HTMLSample">
    <w:name w:val="HTML Sample"/>
    <w:basedOn w:val="DefaultParagraphFont"/>
    <w:rsid w:val="00C01A5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93888&amp;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lrs.lt/cgi-bin/preps2?a=385903&amp;b=" TargetMode="External"/><Relationship Id="rId4" Type="http://schemas.openxmlformats.org/officeDocument/2006/relationships/settings" Target="settings.xml"/><Relationship Id="rId9" Type="http://schemas.openxmlformats.org/officeDocument/2006/relationships/hyperlink" Target="http://www3.lrs.lt/cgi-bin/preps2?a=385903&amp;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4205</Characters>
  <Application>Microsoft Office Word</Application>
  <DocSecurity>4</DocSecurity>
  <Lines>100</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LRVK</Company>
  <LinksUpToDate>false</LinksUpToDate>
  <CharactersWithSpaces>4680</CharactersWithSpaces>
  <SharedDoc>false</SharedDoc>
  <HLinks>
    <vt:vector size="18" baseType="variant">
      <vt:variant>
        <vt:i4>2031708</vt:i4>
      </vt:variant>
      <vt:variant>
        <vt:i4>6</vt:i4>
      </vt:variant>
      <vt:variant>
        <vt:i4>0</vt:i4>
      </vt:variant>
      <vt:variant>
        <vt:i4>5</vt:i4>
      </vt:variant>
      <vt:variant>
        <vt:lpwstr>http://www3.lrs.lt/cgi-bin/preps2?a=385903&amp;b=</vt:lpwstr>
      </vt:variant>
      <vt:variant>
        <vt:lpwstr/>
      </vt:variant>
      <vt:variant>
        <vt:i4>2031708</vt:i4>
      </vt:variant>
      <vt:variant>
        <vt:i4>3</vt:i4>
      </vt:variant>
      <vt:variant>
        <vt:i4>0</vt:i4>
      </vt:variant>
      <vt:variant>
        <vt:i4>5</vt:i4>
      </vt:variant>
      <vt:variant>
        <vt:lpwstr>http://www3.lrs.lt/cgi-bin/preps2?a=385903&amp;b=</vt:lpwstr>
      </vt:variant>
      <vt:variant>
        <vt:lpwstr/>
      </vt:variant>
      <vt:variant>
        <vt:i4>1310800</vt:i4>
      </vt:variant>
      <vt:variant>
        <vt:i4>0</vt:i4>
      </vt:variant>
      <vt:variant>
        <vt:i4>0</vt:i4>
      </vt:variant>
      <vt:variant>
        <vt:i4>5</vt:i4>
      </vt:variant>
      <vt:variant>
        <vt:lpwstr>http://www3.lrs.lt/cgi-bin/preps2?a=193888&amp;b=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Adlib User</cp:lastModifiedBy>
  <cp:revision>2</cp:revision>
  <cp:lastPrinted>2006-04-10T15:08:00Z</cp:lastPrinted>
  <dcterms:created xsi:type="dcterms:W3CDTF">2015-02-13T12:42:00Z</dcterms:created>
  <dcterms:modified xsi:type="dcterms:W3CDTF">2015-02-13T12:42:00Z</dcterms:modified>
</cp:coreProperties>
</file>