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1F4B">
      <w:pPr>
        <w:jc w:val="both"/>
        <w:rPr>
          <w:snapToGrid w:val="0"/>
          <w:lang w:val="lt-LT" w:eastAsia="en-US"/>
        </w:rPr>
      </w:pPr>
      <w:bookmarkStart w:id="0" w:name="_GoBack"/>
      <w:bookmarkEnd w:id="0"/>
      <w:r>
        <w:rPr>
          <w:snapToGrid w:val="0"/>
          <w:lang w:val="lt-LT" w:eastAsia="en-US"/>
        </w:rPr>
        <w:t>Redagavo: Angonita Rupšytė (2000.02.02)</w:t>
      </w:r>
    </w:p>
    <w:p w:rsidR="00000000" w:rsidRDefault="006E1F4B">
      <w:pPr>
        <w:jc w:val="both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 xml:space="preserve"> </w:t>
      </w:r>
    </w:p>
    <w:p w:rsidR="00000000" w:rsidRDefault="006E1F4B">
      <w:pPr>
        <w:jc w:val="both"/>
        <w:rPr>
          <w:snapToGrid w:val="0"/>
          <w:lang w:val="lt-LT" w:eastAsia="en-US"/>
        </w:rPr>
      </w:pPr>
    </w:p>
    <w:p w:rsidR="00000000" w:rsidRDefault="006E1F4B">
      <w:pPr>
        <w:jc w:val="both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>Nutarimas paskelbtas: Žin., 1992, Nr.7-172</w:t>
      </w:r>
    </w:p>
    <w:p w:rsidR="00000000" w:rsidRDefault="006E1F4B">
      <w:pPr>
        <w:jc w:val="both"/>
        <w:rPr>
          <w:snapToGrid w:val="0"/>
          <w:lang w:val="lt-LT" w:eastAsia="en-US"/>
        </w:rPr>
      </w:pPr>
    </w:p>
    <w:p w:rsidR="00000000" w:rsidRDefault="006E1F4B">
      <w:pPr>
        <w:jc w:val="both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>Neoficialus nutarimo tekstas</w:t>
      </w:r>
    </w:p>
    <w:p w:rsidR="00000000" w:rsidRDefault="006E1F4B">
      <w:pPr>
        <w:jc w:val="both"/>
        <w:rPr>
          <w:snapToGrid w:val="0"/>
          <w:lang w:val="lt-LT" w:eastAsia="en-US"/>
        </w:rPr>
      </w:pPr>
    </w:p>
    <w:p w:rsidR="00000000" w:rsidRDefault="006E1F4B">
      <w:pPr>
        <w:pStyle w:val="BodyText2"/>
      </w:pPr>
      <w:r>
        <w:t>Pakeitimai:</w:t>
      </w:r>
    </w:p>
    <w:p w:rsidR="00000000" w:rsidRDefault="006E1F4B">
      <w:pPr>
        <w:pStyle w:val="BodyText2"/>
      </w:pPr>
    </w:p>
    <w:p w:rsidR="00000000" w:rsidRDefault="006E1F4B">
      <w:pPr>
        <w:pStyle w:val="BodyText2"/>
      </w:pPr>
      <w:r>
        <w:t>1.</w:t>
      </w:r>
    </w:p>
    <w:p w:rsidR="00000000" w:rsidRDefault="006E1F4B">
      <w:pPr>
        <w:pStyle w:val="BodyText2"/>
      </w:pPr>
      <w:r>
        <w:t>Lietuvos Respublikos Vyriausybė, Nutarimas</w:t>
      </w:r>
    </w:p>
    <w:p w:rsidR="00000000" w:rsidRDefault="006E1F4B">
      <w:pPr>
        <w:pStyle w:val="BodyText2"/>
      </w:pPr>
      <w:r>
        <w:t>Nr. 632, 92.08.25, Žin., 1992, Nr.29-864 (92.10.20)</w:t>
      </w:r>
    </w:p>
    <w:p w:rsidR="00000000" w:rsidRDefault="006E1F4B">
      <w:pPr>
        <w:jc w:val="both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>DĖL LIETUVOS RESPUBLIKOS GAR</w:t>
      </w:r>
      <w:r>
        <w:rPr>
          <w:snapToGrid w:val="0"/>
          <w:lang w:val="lt-LT" w:eastAsia="en-US"/>
        </w:rPr>
        <w:t>BĖS KONSULŲ NUOSTATŲ DALINIO PAKEITIMO</w:t>
      </w:r>
    </w:p>
    <w:p w:rsidR="00000000" w:rsidRDefault="006E1F4B">
      <w:pPr>
        <w:jc w:val="both"/>
        <w:rPr>
          <w:snapToGrid w:val="0"/>
          <w:lang w:val="lt-LT" w:eastAsia="en-US"/>
        </w:rPr>
      </w:pPr>
    </w:p>
    <w:p w:rsidR="00000000" w:rsidRDefault="006E1F4B">
      <w:pPr>
        <w:jc w:val="both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>*** Pabaiga ***</w:t>
      </w:r>
    </w:p>
    <w:p w:rsidR="00000000" w:rsidRDefault="006E1F4B">
      <w:pPr>
        <w:jc w:val="both"/>
        <w:rPr>
          <w:snapToGrid w:val="0"/>
          <w:lang w:val="lt-LT" w:eastAsia="en-US"/>
        </w:rPr>
      </w:pP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LIETUVOS RESPUBLIKOS VYRIAUSYBĖ</w:t>
      </w: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N U T A R I M A S</w:t>
      </w:r>
    </w:p>
    <w:p w:rsidR="00000000" w:rsidRDefault="006E1F4B">
      <w:pPr>
        <w:jc w:val="center"/>
        <w:rPr>
          <w:sz w:val="22"/>
          <w:lang w:val="lt-LT"/>
        </w:rPr>
      </w:pP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l99l m. gruodžio 16 d. Nr. 561</w:t>
      </w: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000000" w:rsidRDefault="006E1F4B">
      <w:pPr>
        <w:jc w:val="center"/>
        <w:rPr>
          <w:sz w:val="22"/>
          <w:lang w:val="lt-LT"/>
        </w:rPr>
      </w:pPr>
    </w:p>
    <w:p w:rsidR="00000000" w:rsidRDefault="006E1F4B">
      <w:pPr>
        <w:pStyle w:val="Heading1"/>
      </w:pPr>
      <w:r>
        <w:t>DĖL LIETUVOS RESPUBLIKOS GARBĖS KONSULŲ NUOSTATŲ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Lietuvos Respublikos Vyriausybė n u t a r i a :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Patvirti</w:t>
      </w:r>
      <w:r>
        <w:rPr>
          <w:sz w:val="22"/>
          <w:lang w:val="lt-LT"/>
        </w:rPr>
        <w:t>nti Lietuvos Respublikos garbės konsulų nuostatus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(pridedama). 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>Lietuvos Respublikos Ministras Pirmininkas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G.Vagnorius</w:t>
      </w: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PATVIRTINTA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Lietuvos Respublikos Vyriausybės</w:t>
      </w:r>
    </w:p>
    <w:p w:rsidR="00000000" w:rsidRDefault="006E1F4B">
      <w:pPr>
        <w:ind w:left="3600"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l99l m. gruodžio 16 d. nutarimu Nr.561 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Lietuvos Resp</w:t>
      </w:r>
      <w:r>
        <w:rPr>
          <w:sz w:val="22"/>
          <w:lang w:val="lt-LT"/>
        </w:rPr>
        <w:t>ublikos garbės konsulų nuostatai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1. Lietuvos Respublikos garbės konsulas (toliau vadinama - garbės konsulas) yra Lietuvos Respublikos užsienio reikalų ministro paskirtas (išduodant konsulinį patentą) pareigūnas, turintis eiti konsulo pareigas užsienyje -</w:t>
      </w:r>
      <w:r>
        <w:rPr>
          <w:sz w:val="22"/>
          <w:lang w:val="lt-LT"/>
        </w:rPr>
        <w:t xml:space="preserve"> vykdyti Lietuvos Respublikos konsulines funkcijas, vadovaudamasis l963 metų Vienos konvencija dėl konsulinių santykių, Lietuvos Respublikos konsulinėmis konvencijomis ir kitais susitarimais su buvimo valstybe, taip pat Lietuvos Respublikos įstatymais bei </w:t>
      </w:r>
      <w:r>
        <w:rPr>
          <w:sz w:val="22"/>
          <w:lang w:val="lt-LT"/>
        </w:rPr>
        <w:t>kitais normatyviniais aktais.</w:t>
      </w:r>
    </w:p>
    <w:p w:rsidR="00000000" w:rsidRDefault="006E1F4B">
      <w:pPr>
        <w:ind w:firstLine="720"/>
        <w:rPr>
          <w:sz w:val="22"/>
          <w:lang w:val="lt-LT"/>
        </w:rPr>
      </w:pPr>
      <w:r>
        <w:rPr>
          <w:sz w:val="22"/>
          <w:lang w:val="lt-LT"/>
        </w:rPr>
        <w:t>Yra keturios garbės konsulų - Lietuvos Respublikos konsulinių įstaigų vadovų - klasės:</w:t>
      </w:r>
    </w:p>
    <w:p w:rsidR="00000000" w:rsidRDefault="006E1F4B">
      <w:pPr>
        <w:ind w:firstLine="720"/>
        <w:rPr>
          <w:sz w:val="22"/>
          <w:lang w:val="lt-LT"/>
        </w:rPr>
      </w:pPr>
      <w:r>
        <w:rPr>
          <w:sz w:val="22"/>
          <w:lang w:val="lt-LT"/>
        </w:rPr>
        <w:t>garbės generalinis konsulas;</w:t>
      </w:r>
    </w:p>
    <w:p w:rsidR="00000000" w:rsidRDefault="006E1F4B">
      <w:pPr>
        <w:ind w:firstLine="720"/>
        <w:rPr>
          <w:sz w:val="22"/>
          <w:lang w:val="lt-LT"/>
        </w:rPr>
      </w:pPr>
      <w:r>
        <w:rPr>
          <w:sz w:val="22"/>
          <w:lang w:val="lt-LT"/>
        </w:rPr>
        <w:t>garbės konsulas;</w:t>
      </w:r>
    </w:p>
    <w:p w:rsidR="00000000" w:rsidRDefault="006E1F4B">
      <w:pPr>
        <w:ind w:firstLine="720"/>
        <w:rPr>
          <w:sz w:val="22"/>
          <w:lang w:val="lt-LT"/>
        </w:rPr>
      </w:pPr>
      <w:r>
        <w:rPr>
          <w:sz w:val="22"/>
          <w:lang w:val="lt-LT"/>
        </w:rPr>
        <w:t>garbės vicekonsulas;</w:t>
      </w:r>
    </w:p>
    <w:p w:rsidR="00000000" w:rsidRDefault="006E1F4B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garbės konsulinis agentas.</w:t>
      </w:r>
    </w:p>
    <w:p w:rsidR="00000000" w:rsidRDefault="006E1F4B">
      <w:pPr>
        <w:pStyle w:val="BodyText"/>
      </w:pPr>
      <w:r>
        <w:tab/>
        <w:t xml:space="preserve">Garbės konsulas naudojasi privilegijomis ir </w:t>
      </w:r>
      <w:r>
        <w:t>imunitetais, numatytais l963 metų Vienos konvencijoje dėl konsulinių santykių, Lietuvos Respublikos konsulinėse konvencijose ir kituose susitarimuose su buvimo valstybe.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lang w:val="lt-LT"/>
        </w:rPr>
      </w:pPr>
      <w:r>
        <w:rPr>
          <w:lang w:val="lt-LT"/>
        </w:rPr>
        <w:t>Punkto pakeitimai:</w:t>
      </w:r>
    </w:p>
    <w:p w:rsidR="00000000" w:rsidRDefault="006E1F4B">
      <w:pPr>
        <w:pStyle w:val="BodyText2"/>
      </w:pPr>
      <w:r>
        <w:t>Nr. 632, 92.08.25, Žin., 1992, Nr.29-864 (92.10.20)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pStyle w:val="BodyText"/>
      </w:pPr>
      <w:r>
        <w:tab/>
        <w:t>2. Garbės ko</w:t>
      </w:r>
      <w:r>
        <w:t>nsulas nėra valstybės tarnautojas ir negauna atlyginimo iš Lietuvos valstybės biudžeto.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Garbės konsulo funkcijoms vykdyti gali būti skiriamos lėšos Lietuvos Respublikos Vyriausybės nustatyta tvarka.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3. Garbės konsulu pagal susitarimą su buvimo valstybe g</w:t>
      </w:r>
      <w:r>
        <w:rPr>
          <w:sz w:val="22"/>
          <w:lang w:val="lt-LT"/>
        </w:rPr>
        <w:t>ali būti skiriamas ir ne Lietuvos Respublikos pilietis.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4. Garbės konsulo įstaigos būstinė, klasė ir konsulinė apygarda nustatoma pagal Lietuvos Respublikos susitarimą su buvimo valstybe.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lang w:val="lt-LT"/>
        </w:rPr>
      </w:pPr>
      <w:r>
        <w:rPr>
          <w:lang w:val="lt-LT"/>
        </w:rPr>
        <w:t>Punkto pakeitimai:</w:t>
      </w:r>
    </w:p>
    <w:p w:rsidR="00000000" w:rsidRDefault="006E1F4B">
      <w:pPr>
        <w:pStyle w:val="BodyText2"/>
      </w:pPr>
      <w:r>
        <w:t>Nr. 632, 92.08.25, Žin., 1992, Nr.29-864 (92.1</w:t>
      </w:r>
      <w:r>
        <w:t>0.20)</w:t>
      </w:r>
    </w:p>
    <w:p w:rsidR="00000000" w:rsidRDefault="006E1F4B">
      <w:pPr>
        <w:jc w:val="both"/>
        <w:rPr>
          <w:sz w:val="22"/>
          <w:lang w:val="lt-LT"/>
        </w:rPr>
      </w:pP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5. Garbės konsulas vykdo Lietuvos Respublikos konsulines funkcijas, numatytas Lietuvos Respublikos konsuliniame statute, l963 metų Vienos konvencijoje dėl konsulinių santykių, Lietuvos Respublikos konsulinėse konvencijose ir kituose susitarimuose s</w:t>
      </w:r>
      <w:r>
        <w:rPr>
          <w:sz w:val="22"/>
          <w:lang w:val="lt-LT"/>
        </w:rPr>
        <w:t>u buvimo valstybe.</w:t>
      </w:r>
    </w:p>
    <w:p w:rsidR="00000000" w:rsidRDefault="006E1F4B">
      <w:pPr>
        <w:pStyle w:val="BodyText"/>
      </w:pPr>
      <w:r>
        <w:tab/>
        <w:t>Garbės konsulas gali vykdyti Lietuvos Respublikos konsuliniame statute nenumatytas funkcijas, jeigu tai neprieštarauja Lietuvos Respublikos ir buvimo valstybės įstatymams.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6. Valstybėse, kuriose nėra Lietuvos Respublikos diplomatinių a</w:t>
      </w:r>
      <w:r>
        <w:rPr>
          <w:sz w:val="22"/>
          <w:lang w:val="lt-LT"/>
        </w:rPr>
        <w:t>tstovybių ir konsulinių įstaigų, išimtiniais atvejais, buvimo valstybei sutinkant, garbės konsului gali būti pavesta atlikti ir kai kuriuos diplomatinius aktus.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7. Garbės konsulas pradeda eiti savo pareigas nuo buvimo valstybės sutikimo (egzekvatūros) gav</w:t>
      </w:r>
      <w:r>
        <w:rPr>
          <w:sz w:val="22"/>
          <w:lang w:val="lt-LT"/>
        </w:rPr>
        <w:t>imo momento ar kito laiko, kurį nustato buvimo valstybės kompetentingi organai.</w:t>
      </w:r>
    </w:p>
    <w:p w:rsidR="00000000" w:rsidRDefault="006E1F4B">
      <w:pPr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8. Lietuvos Respublikos užsienio reikalų ministras, suderinęs su Lietuvos Respublikos Vyriausybe, garbės konsulo teikimu gali skirti etatinius garbės konsulo įstaigos tarnauto</w:t>
      </w:r>
      <w:r>
        <w:rPr>
          <w:sz w:val="22"/>
          <w:lang w:val="lt-LT"/>
        </w:rPr>
        <w:t>jus.</w:t>
      </w:r>
    </w:p>
    <w:p w:rsidR="00000000" w:rsidRDefault="006E1F4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______________</w:t>
      </w:r>
    </w:p>
    <w:sectPr w:rsidR="00000000">
      <w:pgSz w:w="12240" w:h="15840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B"/>
    <w:rsid w:val="006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 w:val="22"/>
      <w:lang w:val="lt-LT"/>
    </w:rPr>
  </w:style>
  <w:style w:type="paragraph" w:styleId="BodyText2">
    <w:name w:val="Body Text 2"/>
    <w:basedOn w:val="Normal"/>
    <w:semiHidden/>
    <w:pPr>
      <w:jc w:val="both"/>
    </w:pPr>
    <w:rPr>
      <w:snapToGrid w:val="0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 w:val="22"/>
      <w:lang w:val="lt-LT"/>
    </w:rPr>
  </w:style>
  <w:style w:type="paragraph" w:styleId="BodyText2">
    <w:name w:val="Body Text 2"/>
    <w:basedOn w:val="Normal"/>
    <w:semiHidden/>
    <w:pPr>
      <w:jc w:val="both"/>
    </w:pPr>
    <w:rPr>
      <w:snapToGrid w:val="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2932</Characters>
  <Application>Microsoft Office Word</Application>
  <DocSecurity>4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LIETUVOS  RESPUBLIKOS  VYRIAUSYBĖ</vt:lpstr>
    </vt:vector>
  </TitlesOfParts>
  <Company>Seimas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LIETUVOS  RESPUBLIKOS  VYRIAUSYBĖ</dc:title>
  <dc:subject/>
  <dc:creator>Romas Jurenas</dc:creator>
  <cp:keywords/>
  <dc:description>Dokumentas koreguotas UAB Fotonija 'Korektoriumi' v. 1.0a 1998.04.17 09:01:51</dc:description>
  <cp:lastModifiedBy>Adlib User</cp:lastModifiedBy>
  <cp:revision>2</cp:revision>
  <dcterms:created xsi:type="dcterms:W3CDTF">2015-02-13T18:57:00Z</dcterms:created>
  <dcterms:modified xsi:type="dcterms:W3CDTF">2015-02-13T18:57:00Z</dcterms:modified>
</cp:coreProperties>
</file>