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2019-09-11 iki 2019-12-31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2000, Nr. </w:t>
      </w:r>
      <w:fldSimple w:instr="HYPERLINK https://www.e-tar.lt/portal/legalAct.html?documentId=TAR.2327F7A33452">
        <w:r w:rsidRPr="00532B9F">
          <w:rPr>
            <w:rFonts w:ascii="Times New Roman" w:eastAsia="MS Mincho" w:hAnsi="Times New Roman"/>
            <w:sz w:val="20"/>
            <w:i/>
            <w:iCs/>
            <w:color w:val="0000FF" w:themeColor="hyperlink"/>
            <w:u w:val="single"/>
          </w:rPr>
          <w:t>36-1006</w:t>
        </w:r>
      </w:fldSimple>
      <w:r>
        <w:rPr>
          <w:rFonts w:ascii="Times New Roman" w:eastAsia="MS Mincho" w:hAnsi="Times New Roman"/>
          <w:sz w:val="20"/>
          <w:i/>
          <w:iCs/>
        </w:rPr>
        <w:t>, i. k. 1001100NUTA00000478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2019-09-11:</w:t>
      </w:r>
    </w:p>
    <w:p>
      <w:pPr>
        <w:rPr>
          <w:rFonts w:ascii="Times New Roman" w:hAnsi="Times New Roman"/>
          <w:sz w:val="20"/>
          <w:i/>
        </w:rPr>
      </w:pPr>
      <w:r>
        <w:rPr>
          <w:rFonts w:ascii="Times New Roman" w:hAnsi="Times New Roman"/>
          <w:sz w:val="20"/>
          <w:i/>
        </w:rPr>
        <w:t xml:space="preserve">Nr. </w:t>
      </w:r>
      <w:fldSimple w:instr="HYPERLINK https://www.e-tar.lt/portal/legalAct.html?documentId=a4122c00d38b11e98c12b3138b15576c">
        <w:r w:rsidRPr="00532B9F">
          <w:rPr>
            <w:rFonts w:ascii="Times New Roman" w:eastAsia="MS Mincho" w:hAnsi="Times New Roman"/>
            <w:sz w:val="20"/>
            <w:i/>
            <w:iCs/>
            <w:color w:val="0000FF" w:themeColor="hyperlink"/>
            <w:u w:val="single"/>
          </w:rPr>
          <w:t>921</w:t>
        </w:r>
      </w:fldSimple>
      <w:r>
        <w:rPr>
          <w:rFonts w:ascii="Times New Roman" w:eastAsia="MS Mincho" w:hAnsi="Times New Roman"/>
          <w:sz w:val="20"/>
          <w:i/>
          <w:iCs/>
        </w:rPr>
        <w:t>,
2019-08-28,
paskelbta TAR 2019-09-10, i. k. 2019-14370                </w:t>
      </w:r>
    </w:p>
    <w:p>
      <w:pPr>
        <w:rPr>
          <w:rFonts w:ascii="Times New Roman" w:hAnsi="Times New Roman"/>
          <w:sz w:val="22"/>
        </w:rPr>
      </w:pPr>
    </w:p>
    <w:p>
      <w:pPr>
        <w:jc w:val="center"/>
        <w:rPr>
          <w:b/>
          <w:szCs w:val="24"/>
        </w:rPr>
      </w:pPr>
      <w:r>
        <w:rPr>
          <w:b/>
          <w:szCs w:val="24"/>
        </w:rPr>
        <w:t>LIETUVOS RESPUBLIKOS VYRIAUSYBĖ</w:t>
      </w:r>
    </w:p>
    <w:p>
      <w:pPr>
        <w:jc w:val="center"/>
        <w:rPr>
          <w:b/>
          <w:szCs w:val="24"/>
        </w:rPr>
      </w:pPr>
    </w:p>
    <w:p>
      <w:pPr>
        <w:jc w:val="center"/>
        <w:rPr>
          <w:b/>
          <w:szCs w:val="24"/>
        </w:rPr>
      </w:pPr>
      <w:r>
        <w:rPr>
          <w:b/>
          <w:szCs w:val="24"/>
        </w:rPr>
        <w:t>NUTARIMAS</w:t>
      </w:r>
    </w:p>
    <w:p>
      <w:pPr>
        <w:jc w:val="center"/>
        <w:rPr>
          <w:b/>
          <w:szCs w:val="24"/>
        </w:rPr>
      </w:pPr>
      <w:r>
        <w:rPr>
          <w:b/>
          <w:szCs w:val="24"/>
        </w:rPr>
        <w:t>DĖL LIETUVOS RESPUBLIKOS TRANSPORTO LENGVATŲ ĮSTATYMO ĮGYVENDINIMO</w:t>
      </w:r>
    </w:p>
    <w:p>
      <w:pPr>
        <w:jc w:val="center"/>
        <w:rPr>
          <w:szCs w:val="24"/>
        </w:rPr>
      </w:pPr>
    </w:p>
    <w:p>
      <w:pPr>
        <w:jc w:val="center"/>
        <w:rPr>
          <w:szCs w:val="24"/>
        </w:rPr>
      </w:pPr>
      <w:r>
        <w:rPr>
          <w:color w:val="000000"/>
        </w:rPr>
        <w:t>2000 m. balandžio 28 d. Nr. 478</w:t>
      </w:r>
    </w:p>
    <w:p>
      <w:pPr>
        <w:jc w:val="center"/>
        <w:rPr>
          <w:szCs w:val="24"/>
        </w:rPr>
      </w:pPr>
      <w:r>
        <w:rPr>
          <w:szCs w:val="24"/>
        </w:rPr>
        <w:t>Vilnius</w:t>
      </w:r>
    </w:p>
    <w:p>
      <w:pPr>
        <w:jc w:val="center"/>
        <w:rPr>
          <w:szCs w:val="24"/>
        </w:rPr>
      </w:pPr>
    </w:p>
    <w:p>
      <w:pPr>
        <w:ind w:firstLine="1134"/>
        <w:jc w:val="both"/>
        <w:rPr>
          <w:szCs w:val="24"/>
        </w:rPr>
      </w:pPr>
      <w:r>
        <w:rPr>
          <w:szCs w:val="24"/>
        </w:rPr>
        <w:t>Vadovaudamasi Lietuvos Respublikos transporto lengvatų įstatymo 4 straipsnio 2 dalimi, 8 straipsniu, Lietuvos Respublikos Vyriausybė n u t a r i a:</w:t>
      </w:r>
    </w:p>
    <w:p>
      <w:pPr>
        <w:ind w:firstLine="1134"/>
        <w:jc w:val="both"/>
        <w:rPr>
          <w:szCs w:val="24"/>
        </w:rPr>
      </w:pPr>
      <w:r>
        <w:rPr>
          <w:szCs w:val="24"/>
        </w:rPr>
        <w:t>1</w:t>
      </w:r>
      <w:r>
        <w:rPr>
          <w:szCs w:val="24"/>
        </w:rPr>
        <w:t>. Patvirtinti Keleivinio transporto vežėjų išlaidų (negautų pajamų), susijusių su transporto lengvatų taikymu, kompensavimo (atlyginimo) tvarkos aprašą (pridedama).</w:t>
      </w:r>
    </w:p>
    <w:p>
      <w:pPr>
        <w:ind w:firstLine="1134"/>
        <w:jc w:val="both"/>
        <w:rPr>
          <w:szCs w:val="24"/>
        </w:rPr>
      </w:pPr>
      <w:r>
        <w:rPr>
          <w:szCs w:val="24"/>
        </w:rPr>
        <w:t>2</w:t>
      </w:r>
      <w:r>
        <w:rPr>
          <w:szCs w:val="24"/>
        </w:rPr>
        <w:t xml:space="preserve">.  Įgalioti:</w:t>
      </w:r>
    </w:p>
    <w:p>
      <w:pPr>
        <w:ind w:firstLine="1134"/>
        <w:jc w:val="both"/>
        <w:rPr>
          <w:szCs w:val="24"/>
        </w:rPr>
      </w:pPr>
      <w:r>
        <w:rPr>
          <w:szCs w:val="24"/>
        </w:rPr>
        <w:t>2.1</w:t>
      </w:r>
      <w:r>
        <w:rPr>
          <w:szCs w:val="24"/>
        </w:rPr>
        <w:t>. Lietuvos Respublikos susisiekimo ministeriją nustatyti keleivinį transportą kontroliuojančių pareigūnų nemokamo važiavimo keleiviniu transportu tvarką;</w:t>
      </w:r>
    </w:p>
    <w:p>
      <w:pPr>
        <w:ind w:firstLine="1134"/>
        <w:jc w:val="both"/>
        <w:rPr>
          <w:szCs w:val="24"/>
        </w:rPr>
      </w:pPr>
      <w:r>
        <w:rPr>
          <w:szCs w:val="24"/>
        </w:rPr>
        <w:t>2.2</w:t>
      </w:r>
      <w:r>
        <w:rPr>
          <w:szCs w:val="24"/>
        </w:rPr>
        <w:t xml:space="preserve">. Lietuvos Respublikos socialinės apsaugos ir darbo ministeriją, Lietuvos Respublikos sveikatos apsaugos ministeriją, Lietuvos Respublikos švietimo, mokslo ir sporto ministeriją pateikti  Susisiekimo ministerijai dokumentų (pažymėjimų), kuriais suteikiama teisė Lietuvos Respublikos transporto lengvatų įstatyme nurodytiems asmenims įsigyti važiavimo bilietą su nuolaida, pavyzdžius, išskyrus nurodytus šio nutarimo 3 punkte.</w:t>
      </w:r>
    </w:p>
    <w:p>
      <w:pPr>
        <w:ind w:firstLine="1134"/>
        <w:jc w:val="both"/>
      </w:pPr>
      <w:r>
        <w:rPr>
          <w:szCs w:val="24"/>
        </w:rPr>
        <w:t>3</w:t>
      </w:r>
      <w:r>
        <w:rPr>
          <w:szCs w:val="24"/>
        </w:rPr>
        <w:t>. Rekomenduoti Lietuvos gyventojų genocido ir rezistencijos tyrimo centrui pateikti Susisiekimo ministerijai dokumentų (pažymėjimų), kuriais suteikiama teisė Transporto lengvatų įstatymo 5 straipsnio 1 dalies 5–8 punktuose ir 2 dalies 2–4 punktuose nurodytiems asmenims įsigyti važiavimo bilietą su nuolaida, pavyzdžius.</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Andrius Kubilius</w:t>
      </w:r>
    </w:p>
    <w:p>
      <w:pPr>
        <w:tabs>
          <w:tab w:val="left" w:pos="6237"/>
        </w:tabs>
        <w:ind w:firstLine="709"/>
        <w:jc w:val="both"/>
        <w:rPr>
          <w:color w:val="000000"/>
        </w:rPr>
      </w:pPr>
    </w:p>
    <w:p>
      <w:pPr>
        <w:tabs>
          <w:tab w:val="left" w:pos="6237"/>
        </w:tabs>
        <w:ind w:firstLine="709"/>
        <w:jc w:val="both"/>
        <w:rPr>
          <w:color w:val="000000"/>
        </w:rPr>
      </w:pPr>
    </w:p>
    <w:p>
      <w:pPr>
        <w:tabs>
          <w:tab w:val="left" w:pos="6237"/>
        </w:tabs>
        <w:ind w:firstLine="709"/>
        <w:jc w:val="both"/>
        <w:rPr>
          <w:color w:val="000000"/>
        </w:rPr>
      </w:pPr>
    </w:p>
    <w:p>
      <w:pPr>
        <w:tabs>
          <w:tab w:val="right" w:pos="9639"/>
        </w:tabs>
        <w:rPr>
          <w:color w:val="000000"/>
        </w:rPr>
      </w:pPr>
      <w:r>
        <w:rPr>
          <w:caps/>
        </w:rPr>
        <w:t>Susisiekimo ministras</w:t>
        <w:tab/>
        <w:t>Rimantas Didžiokas</w:t>
      </w:r>
    </w:p>
    <w:p/>
    <w:p>
      <w:pPr>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pgNumType w:start="1"/>
          <w:cols w:space="720"/>
          <w:titlePg/>
          <w:docGrid w:linePitch="299"/>
        </w:sectPr>
      </w:pPr>
    </w:p>
    <w:p/>
    <w:p>
      <w:pPr>
        <w:ind w:left="4820"/>
      </w:pPr>
      <w:r>
        <w:rPr>
          <w:lang w:eastAsia="ar-SA"/>
        </w:rPr>
        <w:t>PATVIRTINTA</w:t>
        <w:br/>
        <w:t>Lietuvos Respublikos Vyriausybės</w:t>
        <w:br/>
      </w:r>
      <w:r>
        <w:t>2000 m. balandžio 28 d. nutarimu Nr. 478</w:t>
      </w:r>
      <w:r>
        <w:rPr>
          <w:lang w:eastAsia="ar-SA"/>
        </w:rPr>
        <w:br/>
        <w:t>(Lietuvos Respublikos Vyriausybės</w:t>
        <w:br/>
      </w:r>
      <w:r>
        <w:rPr>
          <w:color w:val="000000"/>
          <w:lang w:eastAsia="lt-LT"/>
        </w:rPr>
        <w:t>2016 m. kovo 9 d.</w:t>
      </w:r>
      <w:r>
        <w:rPr>
          <w:color w:val="000000"/>
          <w:lang w:eastAsia="ar-SA"/>
        </w:rPr>
        <w:t xml:space="preserve"> </w:t>
      </w:r>
      <w:r>
        <w:rPr>
          <w:lang w:eastAsia="ar-SA"/>
        </w:rPr>
        <w:t xml:space="preserve">nutarimo Nr. </w:t>
      </w:r>
      <w:r>
        <w:t>213</w:t>
        <w:br/>
        <w:t>redakcija)</w:t>
      </w:r>
    </w:p>
    <w:p>
      <w:pPr>
        <w:tabs>
          <w:tab w:val="left" w:pos="-284"/>
        </w:tabs>
        <w:rPr>
          <w:caps/>
          <w:lang w:eastAsia="lt-LT"/>
        </w:rPr>
      </w:pPr>
    </w:p>
    <w:p>
      <w:pPr>
        <w:tabs>
          <w:tab w:val="left" w:pos="-284"/>
        </w:tabs>
        <w:rPr>
          <w:caps/>
          <w:lang w:eastAsia="lt-LT"/>
        </w:rPr>
      </w:pPr>
    </w:p>
    <w:p>
      <w:pPr>
        <w:tabs>
          <w:tab w:val="left" w:pos="6237"/>
          <w:tab w:val="right" w:pos="8306"/>
        </w:tabs>
        <w:rPr>
          <w:color w:val="000000"/>
          <w:lang w:eastAsia="lt-LT"/>
        </w:rPr>
      </w:pPr>
    </w:p>
    <w:p>
      <w:pPr>
        <w:jc w:val="center"/>
        <w:rPr>
          <w:b/>
          <w:lang w:val="lv-LV"/>
        </w:rPr>
      </w:pPr>
      <w:r>
        <w:rPr>
          <w:b/>
          <w:lang w:val="lv-LV"/>
        </w:rPr>
        <w:t>KELEIVINIO TRANSPORTO VEŽĖJŲ IŠLAIDŲ (NEGAUTŲ PAJAMŲ), SUSIJUSIŲ SU TRANSPORTO LENGVATŲ TAIKYMU, KOMPENSAVIMO (ATLYGINIMO) TVARKOS APRAŠAS</w:t>
      </w:r>
    </w:p>
    <w:p>
      <w:pPr>
        <w:outlineLvl w:val="1"/>
        <w:rPr>
          <w:bCs/>
        </w:rPr>
      </w:pPr>
    </w:p>
    <w:p>
      <w:pPr>
        <w:outlineLvl w:val="1"/>
        <w:rPr>
          <w:bCs/>
        </w:rPr>
      </w:pPr>
    </w:p>
    <w:p>
      <w:pPr>
        <w:outlineLvl w:val="1"/>
        <w:rPr>
          <w:bCs/>
        </w:rPr>
      </w:pPr>
    </w:p>
    <w:p>
      <w:pPr>
        <w:tabs>
          <w:tab w:val="left" w:pos="993"/>
        </w:tabs>
        <w:ind w:firstLine="720"/>
        <w:jc w:val="both"/>
      </w:pPr>
      <w:r>
        <w:rPr>
          <w:lang w:eastAsia="lt-LT"/>
        </w:rPr>
        <w:t>1</w:t>
      </w:r>
      <w:r>
        <w:rPr>
          <w:lang w:eastAsia="lt-LT"/>
        </w:rPr>
        <w:t>.</w:t>
        <w:tab/>
      </w:r>
      <w:r>
        <w:rPr>
          <w:lang w:val="lv-LV"/>
        </w:rPr>
        <w:t>Keleivinio transporto vežėjų išlaidų (negautų pajamų), susijusių su transporto lengvatų taikymu, kompensavimo (atlyginimo) tvarkos aprašas (toliau – Aprašas) nustato keleivinio transporto vežėjų išlaidų (negautų pajamų), susijusių su transporto lengvatų, nustatytų Lietuvos Respublikos transporto lengvatų įstatyme, taikymu, kompensavimo (atlyginimo) tvarką.</w:t>
      </w:r>
    </w:p>
    <w:p>
      <w:pPr>
        <w:tabs>
          <w:tab w:val="left" w:pos="993"/>
        </w:tabs>
        <w:ind w:firstLine="720"/>
        <w:jc w:val="both"/>
        <w:rPr>
          <w:lang w:val="lv-LV"/>
        </w:rPr>
      </w:pPr>
      <w:r>
        <w:rPr>
          <w:lang w:eastAsia="lt-LT"/>
        </w:rPr>
        <w:t>2</w:t>
      </w:r>
      <w:r>
        <w:rPr>
          <w:lang w:eastAsia="lt-LT"/>
        </w:rPr>
        <w:t>.</w:t>
        <w:tab/>
      </w:r>
      <w:r>
        <w:rPr>
          <w:lang w:val="lv-LV"/>
        </w:rPr>
        <w:t>Vežėjų išlaidos (negautos pajamos) dėl keleiviams taikytų važiavimo reguliaraus susisiekimo laivais ir keltais, vietinio (miesto ir priemiestinio) reguliaraus susisiekimo autobusais ir troleibusais lengvatų kompensuojamos (atlyginamos) iš savivaldybių biudžetų pagal sutartis, sudarytas tarp vežėjų ir savivaldybių arba jų įgaliotų įstaigų. Pagal šias sutartis kiekvienas vežėjas, pasibaigus ataskaitiniam kalendoriniam mėnesiui, iki kito mėnesio 10 d. pateikia:</w:t>
      </w:r>
    </w:p>
    <w:p>
      <w:pPr>
        <w:tabs>
          <w:tab w:val="left" w:pos="1134"/>
        </w:tabs>
        <w:ind w:firstLine="720"/>
        <w:jc w:val="both"/>
        <w:rPr>
          <w:lang w:val="lv-LV"/>
        </w:rPr>
      </w:pPr>
      <w:r>
        <w:rPr>
          <w:lang w:val="lv-LV" w:eastAsia="lt-LT"/>
        </w:rPr>
        <w:t>2.1</w:t>
      </w:r>
      <w:r>
        <w:rPr>
          <w:lang w:val="lv-LV" w:eastAsia="lt-LT"/>
        </w:rPr>
        <w:t>.</w:t>
        <w:tab/>
      </w:r>
      <w:r>
        <w:rPr>
          <w:lang w:val="lv-LV"/>
        </w:rPr>
        <w:t>savivaldybei arba jos įgaliotai įstaigai, kurioje įregistruota vežėjo įmonė, – ataskaitą apie parduotus su nuolaida važiavimo reguliaraus susisiekimo laivais ir keltais bilietus (Aprašo 1 priedas);</w:t>
      </w:r>
    </w:p>
    <w:p>
      <w:pPr>
        <w:tabs>
          <w:tab w:val="left" w:pos="1134"/>
        </w:tabs>
        <w:ind w:firstLine="720"/>
        <w:jc w:val="both"/>
        <w:rPr>
          <w:lang w:val="lv-LV"/>
        </w:rPr>
      </w:pPr>
      <w:r>
        <w:rPr>
          <w:lang w:val="lv-LV" w:eastAsia="lt-LT"/>
        </w:rPr>
        <w:t>2.2</w:t>
      </w:r>
      <w:r>
        <w:rPr>
          <w:lang w:val="lv-LV" w:eastAsia="lt-LT"/>
        </w:rPr>
        <w:t>.</w:t>
        <w:tab/>
      </w:r>
      <w:r>
        <w:rPr>
          <w:lang w:val="lv-LV"/>
        </w:rPr>
        <w:t>savivaldybei arba jos įgaliotai įstaigai, išdavusiai vežėjui leidimus vežti keleivius vietinio reguliaraus susisiekimo autobusų ir troleibusų maršrutais, – ataskaitas apie parduotus su nuolaida važiavimo vietinio (miesto) reguliaraus susisiekimo autobusais ir troleibusais bilietus (Aprašo 2 priedas) ir ataskaitas apie parduotus su nuolaida važiavimo vietinio (priemiestinio) reguliaraus susisiekimo autobusais bilietus (Aprašo 3 priedas).</w:t>
      </w:r>
    </w:p>
    <w:p>
      <w:pPr>
        <w:tabs>
          <w:tab w:val="left" w:pos="993"/>
        </w:tabs>
        <w:ind w:firstLine="720"/>
        <w:jc w:val="both"/>
        <w:rPr>
          <w:lang w:val="lv-LV"/>
        </w:rPr>
      </w:pPr>
      <w:r>
        <w:rPr>
          <w:lang w:val="lv-LV" w:eastAsia="lt-LT"/>
        </w:rPr>
        <w:t>3</w:t>
      </w:r>
      <w:r>
        <w:rPr>
          <w:lang w:val="lv-LV" w:eastAsia="lt-LT"/>
        </w:rPr>
        <w:t>.</w:t>
        <w:tab/>
      </w:r>
      <w:r>
        <w:rPr>
          <w:lang w:val="lv-LV"/>
        </w:rPr>
        <w:t>Savivaldybės arba jų įgaliotos įstaigos, įvertinusios vežėjų ataskaitas, iki to paties mėnesio 22 d. kompensuoja (atlygina) vežėjų išlaidas (negautas pajamas) dėl praėjusį mėnesį keleiviams taikytų transporto lengvatų.</w:t>
      </w:r>
    </w:p>
    <w:p>
      <w:pPr>
        <w:ind w:firstLine="709"/>
        <w:jc w:val="both"/>
        <w:rPr>
          <w:szCs w:val="24"/>
        </w:rPr>
      </w:pPr>
      <w:r>
        <w:rPr>
          <w:szCs w:val="24"/>
        </w:rPr>
        <w:t>4</w:t>
      </w:r>
      <w:r>
        <w:rPr>
          <w:szCs w:val="24"/>
        </w:rPr>
        <w:t>. Vežėjų išlaidos (negautos pajamos) dėl keleiviams taikytų važiavimo keleiviniais traukiniais lengvatų kompensuojamos (atlyginamos) taip:</w:t>
      </w:r>
    </w:p>
    <w:p>
      <w:pPr>
        <w:ind w:firstLine="709"/>
        <w:jc w:val="both"/>
        <w:rPr>
          <w:szCs w:val="24"/>
        </w:rPr>
      </w:pPr>
      <w:r>
        <w:rPr>
          <w:szCs w:val="24"/>
        </w:rPr>
        <w:t>4.1</w:t>
      </w:r>
      <w:r>
        <w:rPr>
          <w:szCs w:val="24"/>
        </w:rPr>
        <w:t>. vežėjai, teikiantys keleivių, bagažo vežimo geležinkelių transportu paslaugas, pasibaigus ataskaitiniam kalendoriniam mėnesiui, iki kito mėnesio 12 dienos pateikia Lietuvos Respublikos susisiekimo ministerijai pagal sudarytą su ja sutartį ataskaitą apie parduotus su nuolaida važiavimo keleiviniais traukiniais bilietus (Aprašo 4 priedas);</w:t>
      </w:r>
    </w:p>
    <w:p>
      <w:pPr>
        <w:ind w:firstLine="709"/>
        <w:jc w:val="both"/>
        <w:rPr>
          <w:lang w:val="lv-LV"/>
        </w:rPr>
      </w:pPr>
      <w:r>
        <w:rPr>
          <w:szCs w:val="24"/>
        </w:rPr>
        <w:t>4.2</w:t>
      </w:r>
      <w:r>
        <w:rPr>
          <w:szCs w:val="24"/>
        </w:rPr>
        <w:t>. Susisiekimo ministerija per 5 darbo dienas įvertina gautas ataskaitas ir finansų ministro nustatyta tvarka pateikia Lietuvos Respublikos finansų ministerijai paraiškas (kartu su ataskaitomis apie parduotus su nuolaida važiavimo keleiviniais traukiniais bilietus), kad gautų Lietuvos Respublikos valstybės biudžete atitinkamoje programoje numatytų biudžeto lėšų; gautos lėšos per 3 darbo dienas pervedamos ataskaitą apie parduotus su nuolaida važiavimo keleiviniais traukiniais bilietus pateikusiam vežėjui.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4122c00d38b11e98c12b3138b15576c">
        <w:r w:rsidRPr="00532B9F">
          <w:rPr>
            <w:rFonts w:ascii="Times New Roman" w:eastAsia="MS Mincho" w:hAnsi="Times New Roman"/>
            <w:sz w:val="20"/>
            <w:i/>
            <w:iCs/>
            <w:color w:val="0000FF" w:themeColor="hyperlink"/>
            <w:u w:val="single"/>
          </w:rPr>
          <w:t>921</w:t>
        </w:r>
      </w:fldSimple>
      <w:r>
        <w:rPr>
          <w:rFonts w:ascii="Times New Roman" w:eastAsia="MS Mincho" w:hAnsi="Times New Roman"/>
          <w:sz w:val="20"/>
          <w:i/>
          <w:iCs/>
        </w:rPr>
        <w:t>,
2019-08-28,
paskelbta TAR 2019-09-10, i. k. 2019-14370            </w:t>
      </w:r>
    </w:p>
    <w:p/>
    <w:p>
      <w:pPr>
        <w:tabs>
          <w:tab w:val="left" w:pos="993"/>
        </w:tabs>
        <w:ind w:firstLine="720"/>
        <w:jc w:val="both"/>
        <w:rPr>
          <w:lang w:val="lv-LV"/>
        </w:rPr>
      </w:pPr>
      <w:r>
        <w:rPr>
          <w:lang w:val="lv-LV" w:eastAsia="lt-LT"/>
        </w:rPr>
        <w:t>5</w:t>
      </w:r>
      <w:r>
        <w:rPr>
          <w:lang w:val="lv-LV" w:eastAsia="lt-LT"/>
        </w:rPr>
        <w:t>.</w:t>
        <w:tab/>
      </w:r>
      <w:r>
        <w:rPr>
          <w:lang w:val="lv-LV"/>
        </w:rPr>
        <w:t>Vežėjų išlaidos (negautos pajamos) dėl keleiviams taikytų važiavimo tolimojo reguliaraus susisiekimo autobusais lengvatų kompensuojamos (atlyginamos) taip:</w:t>
      </w:r>
    </w:p>
    <w:p>
      <w:pPr>
        <w:tabs>
          <w:tab w:val="left" w:pos="1134"/>
        </w:tabs>
        <w:ind w:firstLine="720"/>
        <w:jc w:val="both"/>
        <w:rPr>
          <w:lang w:val="lv-LV"/>
        </w:rPr>
      </w:pPr>
      <w:r>
        <w:rPr>
          <w:lang w:val="lv-LV" w:eastAsia="lt-LT"/>
        </w:rPr>
        <w:t>5.1</w:t>
      </w:r>
      <w:r>
        <w:rPr>
          <w:lang w:val="lv-LV" w:eastAsia="lt-LT"/>
        </w:rPr>
        <w:t>.</w:t>
        <w:tab/>
      </w:r>
      <w:r>
        <w:rPr>
          <w:lang w:val="lv-LV"/>
        </w:rPr>
        <w:t>vežėjai, turintys Valstybinės kelių transporto inspekcijos prie Susisiekimo ministerijos (toliau – Inspekcija) išduotas licencijas verstis keleivių vežimu ir leidimus vežti keleivius tolimojo reguliaraus susisiekimo autobusų maršrutais, pasibaigus ataskaitiniam kalendoriniam mėnesiui, iki kito mėnesio 10 d. pateikia Inspekcijai pagal sudarytas su ja sutartis ataskaitas apie parduotus su nuolaida važiavimo tolimojo reguliaraus susisiekimo autobusais bilietus (Aprašo 5 priedas);</w:t>
      </w:r>
    </w:p>
    <w:p>
      <w:pPr>
        <w:tabs>
          <w:tab w:val="left" w:pos="1134"/>
        </w:tabs>
        <w:ind w:firstLine="720"/>
        <w:jc w:val="both"/>
        <w:rPr>
          <w:lang w:val="lv-LV"/>
        </w:rPr>
      </w:pPr>
      <w:r>
        <w:rPr>
          <w:lang w:val="lv-LV" w:eastAsia="lt-LT"/>
        </w:rPr>
        <w:t>5.2</w:t>
      </w:r>
      <w:r>
        <w:rPr>
          <w:lang w:val="lv-LV" w:eastAsia="lt-LT"/>
        </w:rPr>
        <w:t>.</w:t>
        <w:tab/>
      </w:r>
      <w:r>
        <w:t>Inspekcija, pasibaigus ataskaitų pateikimo terminui, per 10 darbo dienų jas įvertina ir finansų ministro nustatyta tvarka p</w:t>
      </w:r>
      <w:r>
        <w:rPr>
          <w:lang w:val="lv-LV"/>
        </w:rPr>
        <w:t xml:space="preserve">ateikia Lietuvos Respublikos finansų ministerijai </w:t>
      </w:r>
      <w:r>
        <w:t>paraiškas kompensuoti (atlyginti) šių vežėjų išlaidas (negautas pajamas) dėl transporto lengvatų Lietuvos Respublikos valstybės biudžete numatytomis lėšomis</w:t>
      </w:r>
      <w:r>
        <w:rPr>
          <w:lang w:val="lv-LV"/>
        </w:rPr>
        <w:t>; gautos lėšos per 3 darbo dienas pervedamos vežėjams.</w:t>
      </w:r>
    </w:p>
    <w:p>
      <w:pPr>
        <w:tabs>
          <w:tab w:val="left" w:pos="993"/>
        </w:tabs>
        <w:ind w:firstLine="720"/>
        <w:jc w:val="both"/>
        <w:rPr>
          <w:iCs/>
          <w:lang w:val="lv-LV"/>
        </w:rPr>
      </w:pPr>
      <w:r>
        <w:rPr>
          <w:iCs/>
          <w:lang w:val="lv-LV" w:eastAsia="lt-LT"/>
        </w:rPr>
        <w:t>6</w:t>
      </w:r>
      <w:r>
        <w:rPr>
          <w:iCs/>
          <w:lang w:val="lv-LV" w:eastAsia="lt-LT"/>
        </w:rPr>
        <w:t>.</w:t>
        <w:tab/>
      </w:r>
      <w:r>
        <w:rPr>
          <w:iCs/>
          <w:lang w:val="lv-LV"/>
        </w:rPr>
        <w:t xml:space="preserve">Vežėjas ataskaitas gali pateikti </w:t>
      </w:r>
      <w:r>
        <w:t xml:space="preserve">per atstumą, elektroninėmis priemonėmis arba tiesiogiai kreipdamasis į </w:t>
      </w:r>
      <w:r>
        <w:rPr>
          <w:lang w:val="lv-LV"/>
        </w:rPr>
        <w:t>savivaldybę arba jos įgaliotą įstaigą, Susisiekimo ministeriją ar Inspekciją.</w:t>
      </w:r>
    </w:p>
    <w:p>
      <w:pPr>
        <w:tabs>
          <w:tab w:val="left" w:pos="993"/>
        </w:tabs>
        <w:ind w:firstLine="720"/>
        <w:jc w:val="both"/>
        <w:rPr>
          <w:iCs/>
          <w:lang w:val="lv-LV"/>
        </w:rPr>
      </w:pPr>
      <w:r>
        <w:rPr>
          <w:iCs/>
          <w:lang w:val="lv-LV" w:eastAsia="lt-LT"/>
        </w:rPr>
        <w:t>7</w:t>
      </w:r>
      <w:r>
        <w:rPr>
          <w:iCs/>
          <w:lang w:val="lv-LV" w:eastAsia="lt-LT"/>
        </w:rPr>
        <w:t>.</w:t>
        <w:tab/>
      </w:r>
      <w:r>
        <w:rPr>
          <w:lang w:val="lv-LV"/>
        </w:rPr>
        <w:t>Aprašo 1–5 prieduose pateiktų ataskaitų formų pavyzdžių neatitinkančios, nevisiškai užpildytos, nepasirašytos, su skaičiavimo ir kitokiomis įforminimo klaidomis pateiktos ataskaitos, įvertinus visų vežėjų to paties ataskaitinio mėnesio ataskaitas, per 3 darbo dienas grąžinamos (nurodžius priežastis raštu) vežėjui, kuris gali jas ištaisyti ir pateikti kartu su kito ataskaitinio kalendorinio mėnesio ataskaitomis.</w:t>
      </w:r>
    </w:p>
    <w:p>
      <w:pPr>
        <w:tabs>
          <w:tab w:val="left" w:pos="993"/>
        </w:tabs>
        <w:ind w:firstLine="720"/>
        <w:jc w:val="both"/>
        <w:rPr>
          <w:iCs/>
          <w:lang w:val="lv-LV"/>
        </w:rPr>
      </w:pPr>
      <w:r>
        <w:rPr>
          <w:iCs/>
          <w:lang w:val="lv-LV" w:eastAsia="lt-LT"/>
        </w:rPr>
        <w:t>8</w:t>
      </w:r>
      <w:r>
        <w:rPr>
          <w:iCs/>
          <w:lang w:val="lv-LV" w:eastAsia="lt-LT"/>
        </w:rPr>
        <w:t>.</w:t>
        <w:tab/>
      </w:r>
      <w:r>
        <w:rPr>
          <w:lang w:val="lv-LV"/>
        </w:rPr>
        <w:t>Kad įsitikintų ataskaitų apie parduotus su nuolaida važiavimo keleiviniu transportu bilietus duomenų teisingumu, savivaldybės arba jų įgaliotos įstaigos, Susisiekimo ministerija ir Inspekcija gali iš vežėjų pareikalauti papildomų ataskaitų ar dokumentų (pavyzdžiui, kasos aparatų kontrolinių juostų, kasos aparatų ataskaitų, bilietų pardavimo apskaitos knygų, bilietų pardavimo žiniaraščių, bilietų kontrolės lapų ir panašiai) kopijų, kurių pagrindu sudarytos ataskaitos, arba teisės aktų nustatyta tvarka patikrinti reikiamus dokumentus vežėjų patalpose. Savivaldybės arba jų įgaliotos įstaigos, Susisiekimo ministerija ir Inspekcija kompensuoja (atlygina) šių vežėjų išlaidas (negautas pajamas) dėl transporto lengvatų tik po to, kai vežėjai pateikia reikalaujamas papildomas ataskaitas ar dokumentų kopijas, arba tik patikrinusios reikiamus dokumentus vežėjų patalpose ir įsitikinusios ataskaitų duomenų teisingumu.</w:t>
      </w:r>
    </w:p>
    <w:p>
      <w:pPr>
        <w:tabs>
          <w:tab w:val="left" w:pos="993"/>
        </w:tabs>
        <w:ind w:firstLine="720"/>
        <w:jc w:val="both"/>
        <w:rPr>
          <w:lang w:val="lv-LV"/>
        </w:rPr>
      </w:pPr>
      <w:r>
        <w:rPr>
          <w:lang w:val="lv-LV" w:eastAsia="lt-LT"/>
        </w:rPr>
        <w:t>9</w:t>
      </w:r>
      <w:r>
        <w:rPr>
          <w:lang w:val="lv-LV" w:eastAsia="lt-LT"/>
        </w:rPr>
        <w:t>.</w:t>
        <w:tab/>
      </w:r>
      <w:r>
        <w:t>Savivaldybės</w:t>
      </w:r>
      <w:r>
        <w:rPr>
          <w:lang w:val="lv-LV"/>
        </w:rPr>
        <w:t xml:space="preserve"> arba jų įgaliotos įstaigos</w:t>
      </w:r>
      <w:r>
        <w:t>, Susisiekimo ministerija ar Inspekcija, nustačiusios, kad per ataskaitinį kalendorinį mėnesį vežėjui dėl transporto lengvatų kompensuota (atlyginta) daugiau, negu turėjo būti kompensuota (atlyginta), nedelsdamos apie tai raštu informuoja vežėją, o permokėta turėtų išlaidų (negautų pajamų) dėl transporto lengvatų kompensacijos (atlyginimo) suma išskaičiuojama iš ateinančio (-ių) ataskaitinio (-ių) kalendorinio (-ių) mėnesio (-ių) kompensuotinos (-ų) (atlygintinos (-ų) sumos (-ų).</w:t>
      </w:r>
    </w:p>
    <w:p>
      <w:pPr>
        <w:tabs>
          <w:tab w:val="left" w:pos="993"/>
          <w:tab w:val="left" w:pos="1134"/>
        </w:tabs>
        <w:ind w:firstLine="720"/>
        <w:jc w:val="both"/>
        <w:rPr>
          <w:color w:val="000000"/>
          <w:lang w:eastAsia="lt-LT"/>
        </w:rPr>
      </w:pPr>
      <w:r>
        <w:rPr>
          <w:lang w:val="lv-LV" w:eastAsia="lt-LT"/>
        </w:rPr>
        <w:t>10</w:t>
      </w:r>
      <w:r>
        <w:rPr>
          <w:lang w:val="lv-LV" w:eastAsia="lt-LT"/>
        </w:rPr>
        <w:t>.</w:t>
        <w:tab/>
      </w:r>
      <w:r>
        <w:t>Savivaldybės</w:t>
      </w:r>
      <w:r>
        <w:rPr>
          <w:lang w:val="lv-LV"/>
        </w:rPr>
        <w:t xml:space="preserve"> arba jų įgaliotos įstaigos</w:t>
      </w:r>
      <w:r>
        <w:t>, Susisiekimo ministerija ar Inspekcija, nustačiusios, kad per ataskaitinį kalendorinį mėnesį vežėjui dėl transporto lengvatų kompensuota (atlyginta) mažiau, negu turėjo būti kompensuota (atlyginta), nedelsdamos apie tai raštu informuoja vežėją, o neprimokėta turėtų išlaidų (negautų pajamų) dėl transporto lengvatų kompensacijos (atlyginimo) suma pridedama prie ateinančio ataskaitinio kalendorinio mėnesio kompensuotinos (atlygintinos) sumos.</w:t>
      </w:r>
    </w:p>
    <w:p>
      <w:pPr>
        <w:tabs>
          <w:tab w:val="left" w:pos="6237"/>
          <w:tab w:val="right" w:pos="8306"/>
        </w:tabs>
        <w:jc w:val="center"/>
        <w:rPr>
          <w:color w:val="000000"/>
        </w:rPr>
      </w:pPr>
      <w:r>
        <w:rPr>
          <w:color w:val="000000"/>
          <w:lang w:eastAsia="lt-LT"/>
        </w:rPr>
        <w:t>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35030e9e211e59b23c9576935ca23">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2016-03-09,
paskelbta TAR 2016-03-14, i. k. 2016-04647            </w:t>
      </w:r>
    </w:p>
    <w:p/>
    <w:p>
      <w:pPr>
        <w:sectPr>
          <w:pgSz w:w="11907" w:h="16839"/>
          <w:pgMar w:top="1134" w:right="567" w:bottom="1134" w:left="1701" w:header="567" w:footer="567" w:gutter="0"/>
          <w:pgNumType w:start="1"/>
          <w:cols w:space="720"/>
          <w:titlePg/>
          <w:docGrid w:linePitch="299"/>
        </w:sectPr>
      </w:pPr>
    </w:p>
    <w:p/>
    <w:p>
      <w:pPr>
        <w:ind w:left="4536"/>
        <w:rPr>
          <w:szCs w:val="24"/>
          <w:lang w:eastAsia="lt-LT"/>
        </w:rPr>
      </w:pPr>
      <w:r>
        <w:rPr>
          <w:szCs w:val="24"/>
          <w:lang w:eastAsia="lt-LT"/>
        </w:rPr>
        <w:t xml:space="preserve">Keleivinio transporto vežėjų išlaidų (negautų </w:t>
      </w:r>
    </w:p>
    <w:p>
      <w:pPr>
        <w:ind w:left="4536"/>
        <w:rPr>
          <w:szCs w:val="24"/>
          <w:lang w:eastAsia="lt-LT"/>
        </w:rPr>
      </w:pPr>
      <w:r>
        <w:rPr>
          <w:szCs w:val="24"/>
          <w:lang w:eastAsia="lt-LT"/>
        </w:rPr>
        <w:t xml:space="preserve">pajamų), susijusių su transporto lengvatų </w:t>
      </w:r>
    </w:p>
    <w:p>
      <w:pPr>
        <w:ind w:left="4536"/>
        <w:rPr>
          <w:szCs w:val="24"/>
          <w:lang w:eastAsia="lt-LT"/>
        </w:rPr>
      </w:pPr>
      <w:r>
        <w:rPr>
          <w:szCs w:val="24"/>
          <w:lang w:eastAsia="lt-LT"/>
        </w:rPr>
        <w:t xml:space="preserve">taikymu, kompensavimo (atlyginimo) tvarkos </w:t>
      </w:r>
    </w:p>
    <w:p>
      <w:pPr>
        <w:ind w:left="4536"/>
        <w:rPr>
          <w:lang w:eastAsia="lt-LT"/>
        </w:rPr>
      </w:pPr>
      <w:r>
        <w:rPr>
          <w:szCs w:val="24"/>
          <w:lang w:eastAsia="lt-LT"/>
        </w:rPr>
        <w:t>aprašo</w:t>
      </w:r>
      <w:r>
        <w:rPr>
          <w:lang w:eastAsia="ar-SA"/>
        </w:rPr>
        <w:br/>
      </w:r>
      <w:r>
        <w:rPr>
          <w:lang w:eastAsia="lt-LT"/>
        </w:rPr>
        <w:t>1</w:t>
      </w:r>
      <w:r>
        <w:rPr>
          <w:lang w:eastAsia="lt-LT"/>
        </w:rPr>
        <w:t xml:space="preserve"> priedas</w:t>
      </w:r>
    </w:p>
    <w:p>
      <w:pPr>
        <w:tabs>
          <w:tab w:val="left" w:pos="-284"/>
        </w:tabs>
        <w:rPr>
          <w:caps/>
          <w:lang w:eastAsia="lt-LT"/>
        </w:rPr>
      </w:pPr>
    </w:p>
    <w:p>
      <w:pPr>
        <w:tabs>
          <w:tab w:val="left" w:pos="-284"/>
        </w:tabs>
        <w:rPr>
          <w:caps/>
          <w:lang w:eastAsia="lt-LT"/>
        </w:rPr>
      </w:pPr>
    </w:p>
    <w:p>
      <w:pPr>
        <w:jc w:val="center"/>
        <w:rPr>
          <w:b/>
          <w:lang w:eastAsia="lt-LT"/>
        </w:rPr>
      </w:pPr>
      <w:r>
        <w:rPr>
          <w:b/>
          <w:lang w:eastAsia="lt-LT"/>
        </w:rPr>
        <w:t>(Ataskaitos formos pavyzdys)</w:t>
      </w:r>
    </w:p>
    <w:p>
      <w:pPr>
        <w:rPr>
          <w:sz w:val="10"/>
          <w:szCs w:val="10"/>
        </w:rPr>
      </w:pPr>
    </w:p>
    <w:p>
      <w:pPr>
        <w:jc w:val="both"/>
        <w:rPr>
          <w:lang w:eastAsia="lt-LT"/>
        </w:rPr>
      </w:pPr>
    </w:p>
    <w:p>
      <w:pPr>
        <w:jc w:val="center"/>
        <w:rPr>
          <w:lang w:eastAsia="lt-LT"/>
        </w:rPr>
      </w:pPr>
      <w:r>
        <w:rPr>
          <w:lang w:eastAsia="lt-LT"/>
        </w:rPr>
        <w:t>__________________</w:t>
      </w:r>
      <w:r>
        <w:rPr>
          <w:lang w:val="pt-BR" w:eastAsia="lt-LT"/>
        </w:rPr>
        <w:t>_________________________________________________________</w:t>
      </w:r>
    </w:p>
    <w:p>
      <w:pPr>
        <w:jc w:val="center"/>
        <w:rPr>
          <w:sz w:val="20"/>
          <w:lang w:eastAsia="lt-LT"/>
        </w:rPr>
      </w:pPr>
      <w:r>
        <w:rPr>
          <w:sz w:val="20"/>
          <w:lang w:eastAsia="lt-LT"/>
        </w:rPr>
        <w:t>(įmonės pavadinimas)</w:t>
      </w:r>
    </w:p>
    <w:p>
      <w:pPr>
        <w:jc w:val="center"/>
        <w:rPr>
          <w:lang w:eastAsia="lt-LT"/>
        </w:rPr>
      </w:pPr>
      <w:r>
        <w:rPr>
          <w:lang w:eastAsia="lt-LT"/>
        </w:rPr>
        <w:t>___________________________________________________________________________</w:t>
      </w:r>
    </w:p>
    <w:p>
      <w:pPr>
        <w:jc w:val="center"/>
        <w:rPr>
          <w:sz w:val="20"/>
          <w:lang w:eastAsia="lt-LT"/>
        </w:rPr>
      </w:pPr>
      <w:r>
        <w:rPr>
          <w:sz w:val="20"/>
          <w:lang w:eastAsia="lt-LT"/>
        </w:rPr>
        <w:t>(įmonės kodas, adresas, kiti duomenys)</w:t>
      </w:r>
    </w:p>
    <w:p>
      <w:pPr>
        <w:jc w:val="both"/>
        <w:rPr>
          <w:lang w:eastAsia="lt-LT"/>
        </w:rPr>
      </w:pPr>
    </w:p>
    <w:p>
      <w:pPr>
        <w:jc w:val="both"/>
        <w:rPr>
          <w:lang w:eastAsia="lt-LT"/>
        </w:rPr>
      </w:pPr>
      <w:r>
        <w:rPr>
          <w:lang w:eastAsia="lt-LT"/>
        </w:rPr>
        <w:t xml:space="preserve">_______________ </w:t>
      </w:r>
      <w:r>
        <w:rPr>
          <w:szCs w:val="24"/>
          <w:lang w:eastAsia="lt-LT"/>
        </w:rPr>
        <w:t>savivaldybei</w:t>
      </w:r>
    </w:p>
    <w:p>
      <w:pPr>
        <w:jc w:val="both"/>
        <w:rPr>
          <w:lang w:eastAsia="lt-LT"/>
        </w:rPr>
      </w:pPr>
    </w:p>
    <w:p>
      <w:pPr>
        <w:jc w:val="both"/>
        <w:rPr>
          <w:lang w:eastAsia="lt-LT"/>
        </w:rPr>
      </w:pPr>
    </w:p>
    <w:p>
      <w:pPr>
        <w:jc w:val="center"/>
        <w:rPr>
          <w:b/>
          <w:lang w:eastAsia="lt-LT"/>
        </w:rPr>
      </w:pPr>
      <w:r>
        <w:rPr>
          <w:b/>
          <w:lang w:eastAsia="lt-LT"/>
        </w:rPr>
        <w:t>ATASKAITA APIE PARDUOTUS SU NUOLAIDA VAŽIAVIMO REGULIARAUS SUSISIEKIMO LAIVAIS IR KELTAIS BILIETUS</w:t>
      </w:r>
    </w:p>
    <w:p>
      <w:pPr>
        <w:jc w:val="center"/>
        <w:rPr>
          <w:b/>
          <w:lang w:eastAsia="lt-LT"/>
        </w:rPr>
      </w:pPr>
      <w:r>
        <w:rPr>
          <w:b/>
          <w:lang w:eastAsia="lt-LT"/>
        </w:rPr>
        <w:t>PER 20 __ M. __________ MĖNESĮ</w:t>
      </w:r>
    </w:p>
    <w:p>
      <w:pPr>
        <w:jc w:val="center"/>
        <w:rPr>
          <w:lang w:eastAsia="lt-LT"/>
        </w:rPr>
      </w:pPr>
    </w:p>
    <w:p>
      <w:pPr>
        <w:jc w:val="center"/>
        <w:rPr>
          <w:lang w:eastAsia="lt-LT"/>
        </w:rPr>
      </w:pPr>
      <w:r>
        <w:rPr>
          <w:lang w:eastAsia="lt-LT"/>
        </w:rPr>
        <w:t>20__-__-__ Nr. ____</w:t>
      </w:r>
    </w:p>
    <w:p>
      <w:pPr>
        <w:jc w:val="both"/>
        <w:rPr>
          <w:lang w:eastAsia="lt-LT"/>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618"/>
        <w:gridCol w:w="1418"/>
        <w:gridCol w:w="1135"/>
        <w:gridCol w:w="1277"/>
        <w:gridCol w:w="1418"/>
        <w:gridCol w:w="2269"/>
      </w:tblGrid>
      <w:tr>
        <w:trPr>
          <w:cantSplit/>
          <w:trHeight w:val="1701"/>
        </w:trPr>
        <w:tc>
          <w:tcPr>
            <w:tcW w:w="1617"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Maršruto numeris ir pavadinimas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Bilietų rūšis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Nuolaida, procentais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Parduotų su nuolaida bilietų skaičius, vienetais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Gauta pajamų už parduotus su nuolaida bilietus, eurais</w:t>
            </w:r>
          </w:p>
        </w:tc>
        <w:tc>
          <w:tcPr>
            <w:tcW w:w="2268"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Išlaidų (negautų pajamų) dėl keleiviams suteiktų važiavimo reguliaraus susisiekimo laivais ir keltais lengvatų kompensavimo (atlyginimo) dydis, eurais</w:t>
            </w:r>
          </w:p>
        </w:tc>
      </w:tr>
      <w:tr>
        <w:trPr>
          <w:cantSplit/>
        </w:trPr>
        <w:tc>
          <w:tcPr>
            <w:tcW w:w="1617" w:type="dxa"/>
            <w:vMerge w:val="restart"/>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61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61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617"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617"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617" w:type="dxa"/>
            <w:tcBorders>
              <w:top w:val="nil"/>
              <w:left w:val="nil"/>
              <w:bottom w:val="nil"/>
              <w:right w:val="single" w:sz="4" w:space="0" w:color="auto"/>
            </w:tcBorders>
          </w:tcPr>
          <w:p>
            <w:pPr>
              <w:rPr>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617" w:type="dxa"/>
            <w:tcBorders>
              <w:top w:val="nil"/>
              <w:left w:val="nil"/>
              <w:bottom w:val="nil"/>
              <w:right w:val="single" w:sz="4" w:space="0" w:color="auto"/>
            </w:tcBorders>
          </w:tcPr>
          <w:p>
            <w:pPr>
              <w:rPr>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617" w:type="dxa"/>
            <w:tcBorders>
              <w:top w:val="nil"/>
              <w:left w:val="nil"/>
              <w:bottom w:val="nil"/>
              <w:right w:val="single" w:sz="4" w:space="0" w:color="auto"/>
            </w:tcBorders>
          </w:tcPr>
          <w:p>
            <w:pPr>
              <w:rPr>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26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617" w:type="dxa"/>
            <w:tcBorders>
              <w:top w:val="nil"/>
              <w:left w:val="nil"/>
              <w:bottom w:val="nil"/>
              <w:right w:val="nil"/>
            </w:tcBorders>
          </w:tcPr>
          <w:p>
            <w:pPr>
              <w:rPr>
                <w:sz w:val="22"/>
                <w:szCs w:val="22"/>
                <w:lang w:eastAsia="lt-LT"/>
              </w:rPr>
            </w:pPr>
          </w:p>
        </w:tc>
        <w:tc>
          <w:tcPr>
            <w:tcW w:w="1417" w:type="dxa"/>
            <w:tcBorders>
              <w:top w:val="single" w:sz="4" w:space="0" w:color="auto"/>
              <w:left w:val="nil"/>
              <w:bottom w:val="nil"/>
              <w:right w:val="nil"/>
            </w:tcBorders>
          </w:tcPr>
          <w:p>
            <w:pPr>
              <w:rPr>
                <w:sz w:val="22"/>
                <w:szCs w:val="22"/>
                <w:lang w:eastAsia="lt-LT"/>
              </w:rPr>
            </w:pPr>
          </w:p>
        </w:tc>
        <w:tc>
          <w:tcPr>
            <w:tcW w:w="1134" w:type="dxa"/>
            <w:tcBorders>
              <w:top w:val="single" w:sz="4" w:space="0" w:color="auto"/>
              <w:left w:val="nil"/>
              <w:bottom w:val="nil"/>
              <w:right w:val="nil"/>
            </w:tcBorders>
          </w:tcPr>
          <w:p>
            <w:pPr>
              <w:jc w:val="center"/>
              <w:rPr>
                <w:sz w:val="22"/>
                <w:szCs w:val="22"/>
                <w:lang w:eastAsia="lt-LT"/>
              </w:rPr>
            </w:pPr>
          </w:p>
        </w:tc>
        <w:tc>
          <w:tcPr>
            <w:tcW w:w="1276" w:type="dxa"/>
            <w:tcBorders>
              <w:top w:val="single" w:sz="4" w:space="0" w:color="auto"/>
              <w:left w:val="nil"/>
              <w:bottom w:val="nil"/>
              <w:right w:val="nil"/>
            </w:tcBorders>
          </w:tcPr>
          <w:p>
            <w:pPr>
              <w:rPr>
                <w:sz w:val="22"/>
                <w:szCs w:val="22"/>
                <w:lang w:eastAsia="lt-LT"/>
              </w:rPr>
            </w:pPr>
          </w:p>
        </w:tc>
        <w:tc>
          <w:tcPr>
            <w:tcW w:w="1417"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226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bl>
    <w:p>
      <w:pPr>
        <w:jc w:val="both"/>
        <w:rPr>
          <w:lang w:eastAsia="lt-LT"/>
        </w:rPr>
      </w:pPr>
    </w:p>
    <w:p>
      <w:pPr>
        <w:jc w:val="both"/>
        <w:rPr>
          <w:lang w:eastAsia="lt-LT"/>
        </w:rPr>
      </w:pPr>
    </w:p>
    <w:p>
      <w:pPr>
        <w:rPr>
          <w:szCs w:val="24"/>
          <w:lang w:eastAsia="lt-LT"/>
        </w:rPr>
      </w:pPr>
    </w:p>
    <w:p>
      <w:pPr>
        <w:jc w:val="both"/>
        <w:rPr>
          <w:szCs w:val="24"/>
          <w:lang w:eastAsia="lt-LT"/>
        </w:rPr>
      </w:pPr>
      <w:r>
        <w:rPr>
          <w:szCs w:val="24"/>
          <w:lang w:eastAsia="lt-LT"/>
        </w:rPr>
        <w:t>(Įmonės vadovo pareigų pavadinimas)</w:t>
        <w:tab/>
        <w:tab/>
        <w:t>(Parašas)</w:t>
        <w:tab/>
        <w:tab/>
        <w:t>(Vardas ir pavardė)</w:t>
      </w:r>
    </w:p>
    <w:p>
      <w:pPr>
        <w:jc w:val="both"/>
        <w:rPr>
          <w:sz w:val="22"/>
          <w:szCs w:val="22"/>
          <w:lang w:val="lv-LV" w:eastAsia="lt-LT"/>
        </w:rPr>
      </w:pPr>
    </w:p>
    <w:p>
      <w:pPr>
        <w:jc w:val="both"/>
        <w:rPr>
          <w:sz w:val="22"/>
          <w:szCs w:val="22"/>
          <w:lang w:val="lv-LV" w:eastAsia="lt-LT"/>
        </w:rPr>
      </w:pPr>
    </w:p>
    <w:p>
      <w:pPr>
        <w:jc w:val="both"/>
        <w:rPr>
          <w:szCs w:val="24"/>
          <w:lang w:eastAsia="lt-LT"/>
        </w:rPr>
      </w:pPr>
      <w:r>
        <w:rPr>
          <w:szCs w:val="24"/>
          <w:lang w:eastAsia="lt-LT"/>
        </w:rPr>
        <w:t>(Įmonės vyriausiasis finansininkas (buhalteris)</w:t>
        <w:tab/>
        <w:t>(Parašas)</w:t>
        <w:tab/>
        <w:tab/>
        <w:t>(Vardas ir pavardė)</w:t>
      </w:r>
    </w:p>
    <w:p>
      <w:pPr>
        <w:tabs>
          <w:tab w:val="left" w:pos="-426"/>
        </w:tabs>
        <w:rPr>
          <w:lang w:eastAsia="lt-LT"/>
        </w:rPr>
      </w:pPr>
    </w:p>
    <w:p>
      <w:pPr>
        <w:tabs>
          <w:tab w:val="left" w:pos="6237"/>
          <w:tab w:val="right" w:pos="8306"/>
        </w:tabs>
        <w:jc w:val="center"/>
        <w:rPr>
          <w:color w:val="000000"/>
        </w:rP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A6C1D56FC">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2008-02-06,
Žin., 2008, Nr.
20-736 (2008-02-19), i. k. 1081100NUTA00000112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35030e9e211e59b23c9576935ca23">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2016-03-09,
paskelbta TAR 2016-03-14, i. k. 2016-04647            </w:t>
      </w:r>
    </w:p>
    <w:p/>
    <w:p>
      <w:pPr>
        <w:sectPr>
          <w:pgSz w:w="11907" w:h="16839"/>
          <w:pgMar w:top="1134" w:right="567" w:bottom="1134" w:left="1701" w:header="567" w:footer="567" w:gutter="0"/>
          <w:pgNumType w:start="1"/>
          <w:cols w:space="720"/>
          <w:titlePg/>
          <w:docGrid w:linePitch="299"/>
        </w:sectPr>
      </w:pPr>
    </w:p>
    <w:p/>
    <w:p>
      <w:pPr>
        <w:ind w:left="4536"/>
        <w:rPr>
          <w:szCs w:val="24"/>
          <w:lang w:eastAsia="lt-LT"/>
        </w:rPr>
      </w:pPr>
      <w:r>
        <w:rPr>
          <w:szCs w:val="24"/>
          <w:lang w:eastAsia="lt-LT"/>
        </w:rPr>
        <w:t xml:space="preserve">Keleivinio transporto vežėjų išlaidų (negautų </w:t>
      </w:r>
    </w:p>
    <w:p>
      <w:pPr>
        <w:ind w:left="4536"/>
        <w:rPr>
          <w:szCs w:val="24"/>
          <w:lang w:eastAsia="lt-LT"/>
        </w:rPr>
      </w:pPr>
      <w:r>
        <w:rPr>
          <w:szCs w:val="24"/>
          <w:lang w:eastAsia="lt-LT"/>
        </w:rPr>
        <w:t xml:space="preserve">pajamų), susijusių su transporto lengvatų </w:t>
      </w:r>
    </w:p>
    <w:p>
      <w:pPr>
        <w:ind w:left="4536"/>
        <w:rPr>
          <w:szCs w:val="24"/>
          <w:lang w:eastAsia="lt-LT"/>
        </w:rPr>
      </w:pPr>
      <w:r>
        <w:rPr>
          <w:szCs w:val="24"/>
          <w:lang w:eastAsia="lt-LT"/>
        </w:rPr>
        <w:t xml:space="preserve">taikymu, kompensavimo (atlyginimo) tvarkos </w:t>
      </w:r>
    </w:p>
    <w:p>
      <w:pPr>
        <w:ind w:left="4536"/>
        <w:rPr>
          <w:lang w:eastAsia="lt-LT"/>
        </w:rPr>
      </w:pPr>
      <w:r>
        <w:rPr>
          <w:szCs w:val="24"/>
          <w:lang w:eastAsia="lt-LT"/>
        </w:rPr>
        <w:t>aprašo</w:t>
      </w:r>
      <w:r>
        <w:rPr>
          <w:lang w:eastAsia="ar-SA"/>
        </w:rPr>
        <w:br/>
      </w:r>
      <w:r>
        <w:rPr>
          <w:lang w:eastAsia="lt-LT"/>
        </w:rPr>
        <w:t>2</w:t>
      </w:r>
      <w:r>
        <w:rPr>
          <w:lang w:eastAsia="lt-LT"/>
        </w:rPr>
        <w:t xml:space="preserve"> priedas</w:t>
      </w:r>
    </w:p>
    <w:p>
      <w:pPr>
        <w:tabs>
          <w:tab w:val="left" w:pos="-284"/>
        </w:tabs>
        <w:rPr>
          <w:caps/>
          <w:lang w:eastAsia="lt-LT"/>
        </w:rPr>
      </w:pPr>
    </w:p>
    <w:p>
      <w:pPr>
        <w:tabs>
          <w:tab w:val="left" w:pos="-284"/>
        </w:tabs>
        <w:rPr>
          <w:caps/>
          <w:lang w:eastAsia="lt-LT"/>
        </w:rPr>
      </w:pPr>
    </w:p>
    <w:p>
      <w:pPr>
        <w:jc w:val="center"/>
        <w:rPr>
          <w:b/>
          <w:lang w:eastAsia="lt-LT"/>
        </w:rPr>
      </w:pPr>
      <w:r>
        <w:rPr>
          <w:b/>
          <w:lang w:eastAsia="lt-LT"/>
        </w:rPr>
        <w:t>(Ataskaitos formos pavyzdys)</w:t>
      </w:r>
    </w:p>
    <w:p>
      <w:pPr>
        <w:rPr>
          <w:sz w:val="10"/>
          <w:szCs w:val="10"/>
        </w:rPr>
      </w:pPr>
    </w:p>
    <w:p>
      <w:pPr>
        <w:jc w:val="both"/>
        <w:rPr>
          <w:szCs w:val="24"/>
          <w:lang w:eastAsia="lt-LT"/>
        </w:rPr>
      </w:pPr>
    </w:p>
    <w:p>
      <w:pPr>
        <w:jc w:val="center"/>
        <w:rPr>
          <w:b/>
          <w:lang w:val="pt-BR" w:eastAsia="lt-LT"/>
        </w:rPr>
      </w:pPr>
      <w:r>
        <w:rPr>
          <w:b/>
          <w:lang w:eastAsia="lt-LT"/>
        </w:rPr>
        <w:t>__________________</w:t>
      </w:r>
      <w:r>
        <w:rPr>
          <w:b/>
          <w:lang w:val="pt-BR" w:eastAsia="lt-LT"/>
        </w:rPr>
        <w:t>_________________________________________________________</w:t>
      </w:r>
    </w:p>
    <w:p>
      <w:pPr>
        <w:jc w:val="center"/>
        <w:rPr>
          <w:sz w:val="20"/>
          <w:lang w:eastAsia="lt-LT"/>
        </w:rPr>
      </w:pPr>
      <w:r>
        <w:rPr>
          <w:sz w:val="20"/>
          <w:lang w:eastAsia="lt-LT"/>
        </w:rPr>
        <w:t>(įmonės pavadinimas)</w:t>
      </w:r>
    </w:p>
    <w:p>
      <w:pPr>
        <w:jc w:val="center"/>
        <w:rPr>
          <w:b/>
          <w:lang w:eastAsia="lt-LT"/>
        </w:rPr>
      </w:pPr>
      <w:r>
        <w:rPr>
          <w:b/>
          <w:lang w:eastAsia="lt-LT"/>
        </w:rPr>
        <w:t>___________________________________________________________________________</w:t>
      </w:r>
    </w:p>
    <w:p>
      <w:pPr>
        <w:jc w:val="center"/>
        <w:rPr>
          <w:sz w:val="20"/>
          <w:lang w:eastAsia="lt-LT"/>
        </w:rPr>
      </w:pPr>
      <w:r>
        <w:rPr>
          <w:sz w:val="20"/>
          <w:lang w:eastAsia="lt-LT"/>
        </w:rPr>
        <w:t>(įmonės kodas, adresas, kiti duomenys)</w:t>
      </w:r>
    </w:p>
    <w:p>
      <w:pPr>
        <w:jc w:val="both"/>
        <w:rPr>
          <w:lang w:eastAsia="lt-LT"/>
        </w:rPr>
      </w:pPr>
    </w:p>
    <w:p>
      <w:pPr>
        <w:jc w:val="both"/>
        <w:rPr>
          <w:lang w:eastAsia="lt-LT"/>
        </w:rPr>
      </w:pPr>
      <w:r>
        <w:rPr>
          <w:lang w:eastAsia="lt-LT"/>
        </w:rPr>
        <w:t xml:space="preserve">_______________ </w:t>
      </w:r>
      <w:r>
        <w:rPr>
          <w:szCs w:val="24"/>
          <w:lang w:eastAsia="lt-LT"/>
        </w:rPr>
        <w:t>savivaldybei</w:t>
      </w:r>
    </w:p>
    <w:p>
      <w:pPr>
        <w:jc w:val="both"/>
        <w:rPr>
          <w:lang w:eastAsia="lt-LT"/>
        </w:rPr>
      </w:pPr>
    </w:p>
    <w:p>
      <w:pPr>
        <w:jc w:val="both"/>
        <w:rPr>
          <w:lang w:eastAsia="lt-LT"/>
        </w:rPr>
      </w:pPr>
    </w:p>
    <w:p>
      <w:pPr>
        <w:jc w:val="center"/>
        <w:rPr>
          <w:b/>
          <w:lang w:eastAsia="lt-LT"/>
        </w:rPr>
      </w:pPr>
      <w:r>
        <w:rPr>
          <w:b/>
          <w:lang w:eastAsia="lt-LT"/>
        </w:rPr>
        <w:t>ATASKAITA APIE PARDUOTUS SU NUOLAIDA VAŽIAVIMO VIETINIO (MIESTO) REGULIARAUS SUSISIEKIMO AUTOBUSAIS IR TROLEIBUSAIS BILIETUS</w:t>
      </w:r>
    </w:p>
    <w:p>
      <w:pPr>
        <w:jc w:val="center"/>
        <w:rPr>
          <w:b/>
          <w:lang w:eastAsia="lt-LT"/>
        </w:rPr>
      </w:pPr>
      <w:r>
        <w:rPr>
          <w:b/>
          <w:lang w:eastAsia="lt-LT"/>
        </w:rPr>
        <w:t>PER 20 __ M. __________ MĖNESĮ</w:t>
      </w:r>
    </w:p>
    <w:p>
      <w:pPr>
        <w:jc w:val="center"/>
        <w:rPr>
          <w:lang w:eastAsia="lt-LT"/>
        </w:rPr>
      </w:pPr>
    </w:p>
    <w:p>
      <w:pPr>
        <w:jc w:val="center"/>
        <w:rPr>
          <w:lang w:eastAsia="lt-LT"/>
        </w:rPr>
      </w:pPr>
      <w:r>
        <w:rPr>
          <w:lang w:eastAsia="lt-LT"/>
        </w:rPr>
        <w:t>20__-__-__ Nr. ____</w:t>
      </w:r>
    </w:p>
    <w:p>
      <w:pPr>
        <w:jc w:val="both"/>
        <w:rPr>
          <w:b/>
          <w:lang w:eastAsia="lt-LT"/>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4"/>
        <w:gridCol w:w="1417"/>
        <w:gridCol w:w="1134"/>
        <w:gridCol w:w="1276"/>
        <w:gridCol w:w="1418"/>
        <w:gridCol w:w="2551"/>
      </w:tblGrid>
      <w:tr>
        <w:trPr>
          <w:cantSplit/>
          <w:trHeight w:val="1701"/>
        </w:trPr>
        <w:tc>
          <w:tcPr>
            <w:tcW w:w="1475"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Maršruto numeris ir pavadinimas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Bilietų rūšis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Nuolaida, procentais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Parduotų su nuolaida bilietų skaičius, vienetais</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Gauta pajamų už parduotus su nuolaida bilietus, eurais</w:t>
            </w:r>
          </w:p>
        </w:tc>
        <w:tc>
          <w:tcPr>
            <w:tcW w:w="2551"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Išlaidų (negautų pajamų) dėl keleiviams suteiktų važiavimo vietinio (miesto) reguliaraus susisiekimo autobusais ir troleibusais lengvatų kompensavimo (atlyginimo) dydis, eurais</w:t>
            </w:r>
          </w:p>
        </w:tc>
      </w:tr>
      <w:tr>
        <w:trPr>
          <w:cantSplit/>
        </w:trPr>
        <w:tc>
          <w:tcPr>
            <w:tcW w:w="1475" w:type="dxa"/>
            <w:vMerge w:val="restart"/>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single" w:sz="4" w:space="0" w:color="auto"/>
            </w:tcBorders>
          </w:tcPr>
          <w:p>
            <w:pPr>
              <w:rPr>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single" w:sz="4" w:space="0" w:color="auto"/>
            </w:tcBorders>
          </w:tcPr>
          <w:p>
            <w:pPr>
              <w:rPr>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single" w:sz="4" w:space="0" w:color="auto"/>
            </w:tcBorders>
          </w:tcPr>
          <w:p>
            <w:pPr>
              <w:rPr>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nil"/>
            </w:tcBorders>
          </w:tcPr>
          <w:p>
            <w:pPr>
              <w:rPr>
                <w:sz w:val="22"/>
                <w:szCs w:val="22"/>
                <w:lang w:eastAsia="lt-LT"/>
              </w:rPr>
            </w:pPr>
          </w:p>
        </w:tc>
        <w:tc>
          <w:tcPr>
            <w:tcW w:w="1417" w:type="dxa"/>
            <w:tcBorders>
              <w:top w:val="single" w:sz="4" w:space="0" w:color="auto"/>
              <w:left w:val="nil"/>
              <w:bottom w:val="nil"/>
              <w:right w:val="nil"/>
            </w:tcBorders>
          </w:tcPr>
          <w:p>
            <w:pPr>
              <w:rPr>
                <w:sz w:val="22"/>
                <w:szCs w:val="22"/>
                <w:lang w:eastAsia="lt-LT"/>
              </w:rPr>
            </w:pPr>
          </w:p>
        </w:tc>
        <w:tc>
          <w:tcPr>
            <w:tcW w:w="1134" w:type="dxa"/>
            <w:tcBorders>
              <w:top w:val="single" w:sz="4" w:space="0" w:color="auto"/>
              <w:left w:val="nil"/>
              <w:bottom w:val="nil"/>
              <w:right w:val="nil"/>
            </w:tcBorders>
          </w:tcPr>
          <w:p>
            <w:pPr>
              <w:jc w:val="center"/>
              <w:rPr>
                <w:sz w:val="22"/>
                <w:szCs w:val="22"/>
                <w:lang w:eastAsia="lt-LT"/>
              </w:rPr>
            </w:pPr>
          </w:p>
        </w:tc>
        <w:tc>
          <w:tcPr>
            <w:tcW w:w="1276" w:type="dxa"/>
            <w:tcBorders>
              <w:top w:val="single" w:sz="4" w:space="0" w:color="auto"/>
              <w:left w:val="nil"/>
              <w:bottom w:val="nil"/>
              <w:right w:val="nil"/>
            </w:tcBorders>
          </w:tcPr>
          <w:p>
            <w:pPr>
              <w:rPr>
                <w:sz w:val="22"/>
                <w:szCs w:val="22"/>
                <w:lang w:eastAsia="lt-LT"/>
              </w:rPr>
            </w:pPr>
          </w:p>
        </w:tc>
        <w:tc>
          <w:tcPr>
            <w:tcW w:w="1418"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2551"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bl>
    <w:p>
      <w:pPr>
        <w:jc w:val="both"/>
        <w:rPr>
          <w:lang w:eastAsia="lt-LT"/>
        </w:rPr>
      </w:pPr>
    </w:p>
    <w:p>
      <w:pPr>
        <w:jc w:val="both"/>
        <w:rPr>
          <w:lang w:eastAsia="lt-LT"/>
        </w:rPr>
      </w:pPr>
    </w:p>
    <w:p>
      <w:pPr>
        <w:jc w:val="both"/>
        <w:rPr>
          <w:szCs w:val="24"/>
          <w:lang w:eastAsia="lt-LT"/>
        </w:rPr>
      </w:pPr>
      <w:r>
        <w:rPr>
          <w:szCs w:val="24"/>
          <w:lang w:eastAsia="lt-LT"/>
        </w:rPr>
        <w:t>(Įmonės vadovo pareigų pavadinimas)</w:t>
        <w:tab/>
        <w:tab/>
        <w:t>(Parašas)</w:t>
        <w:tab/>
        <w:tab/>
        <w:t>(Vardas ir pavardė)</w:t>
      </w:r>
    </w:p>
    <w:p>
      <w:pPr>
        <w:jc w:val="both"/>
        <w:rPr>
          <w:sz w:val="22"/>
          <w:szCs w:val="22"/>
          <w:lang w:val="lv-LV" w:eastAsia="lt-LT"/>
        </w:rPr>
      </w:pPr>
    </w:p>
    <w:p>
      <w:pPr>
        <w:jc w:val="both"/>
        <w:rPr>
          <w:sz w:val="22"/>
          <w:szCs w:val="22"/>
          <w:lang w:val="lv-LV" w:eastAsia="lt-LT"/>
        </w:rPr>
      </w:pPr>
    </w:p>
    <w:p>
      <w:pPr>
        <w:jc w:val="both"/>
        <w:rPr>
          <w:szCs w:val="24"/>
          <w:lang w:eastAsia="lt-LT"/>
        </w:rPr>
      </w:pPr>
      <w:r>
        <w:rPr>
          <w:szCs w:val="24"/>
          <w:lang w:eastAsia="lt-LT"/>
        </w:rPr>
        <w:t>(Įmonės vyriausiasis finansininkas (buhalteris)</w:t>
        <w:tab/>
        <w:t>(Parašas)</w:t>
        <w:tab/>
        <w:tab/>
        <w:t>(Vardas ir pavardė)</w:t>
      </w:r>
    </w:p>
    <w:p>
      <w:pPr>
        <w:tabs>
          <w:tab w:val="left" w:pos="-426"/>
        </w:tabs>
        <w:rPr>
          <w:lang w:eastAsia="lt-LT"/>
        </w:rPr>
      </w:pPr>
    </w:p>
    <w:p>
      <w:pPr>
        <w:tabs>
          <w:tab w:val="left" w:pos="6237"/>
          <w:tab w:val="right" w:pos="8306"/>
        </w:tabs>
        <w:jc w:val="center"/>
        <w:rPr>
          <w:color w:val="000000"/>
        </w:rP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A6C1D56FC">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2008-02-06,
Žin., 2008, Nr.
20-736 (2008-02-19), i. k. 1081100NUTA00000112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35030e9e211e59b23c9576935ca23">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2016-03-09,
paskelbta TAR 2016-03-14, i. k. 2016-04647            </w:t>
      </w:r>
    </w:p>
    <w:p/>
    <w:p>
      <w:pPr>
        <w:sectPr>
          <w:pgSz w:w="11907" w:h="16839"/>
          <w:pgMar w:top="1134" w:right="567" w:bottom="1134" w:left="1701" w:header="567" w:footer="567" w:gutter="0"/>
          <w:pgNumType w:start="1"/>
          <w:cols w:space="720"/>
          <w:titlePg/>
          <w:docGrid w:linePitch="299"/>
        </w:sectPr>
      </w:pPr>
    </w:p>
    <w:p/>
    <w:p>
      <w:pPr>
        <w:ind w:left="4536"/>
        <w:rPr>
          <w:szCs w:val="24"/>
          <w:lang w:eastAsia="lt-LT"/>
        </w:rPr>
      </w:pPr>
      <w:r>
        <w:rPr>
          <w:szCs w:val="24"/>
          <w:lang w:eastAsia="lt-LT"/>
        </w:rPr>
        <w:t xml:space="preserve">Keleivinio transporto vežėjų išlaidų (negautų </w:t>
      </w:r>
    </w:p>
    <w:p>
      <w:pPr>
        <w:ind w:left="4536"/>
        <w:rPr>
          <w:szCs w:val="24"/>
          <w:lang w:eastAsia="lt-LT"/>
        </w:rPr>
      </w:pPr>
      <w:r>
        <w:rPr>
          <w:szCs w:val="24"/>
          <w:lang w:eastAsia="lt-LT"/>
        </w:rPr>
        <w:t xml:space="preserve">pajamų), susijusių su transporto lengvatų </w:t>
      </w:r>
    </w:p>
    <w:p>
      <w:pPr>
        <w:ind w:left="4536"/>
        <w:rPr>
          <w:szCs w:val="24"/>
          <w:lang w:eastAsia="lt-LT"/>
        </w:rPr>
      </w:pPr>
      <w:r>
        <w:rPr>
          <w:szCs w:val="24"/>
          <w:lang w:eastAsia="lt-LT"/>
        </w:rPr>
        <w:t xml:space="preserve">taikymu, kompensavimo (atlyginimo) tvarkos </w:t>
      </w:r>
    </w:p>
    <w:p>
      <w:pPr>
        <w:ind w:left="4536"/>
        <w:rPr>
          <w:lang w:eastAsia="lt-LT"/>
        </w:rPr>
      </w:pPr>
      <w:r>
        <w:rPr>
          <w:szCs w:val="24"/>
          <w:lang w:eastAsia="lt-LT"/>
        </w:rPr>
        <w:t>aprašo</w:t>
      </w:r>
      <w:r>
        <w:rPr>
          <w:lang w:eastAsia="ar-SA"/>
        </w:rPr>
        <w:br/>
      </w:r>
      <w:r>
        <w:rPr>
          <w:lang w:eastAsia="lt-LT"/>
        </w:rPr>
        <w:t>3</w:t>
      </w:r>
      <w:r>
        <w:rPr>
          <w:lang w:eastAsia="lt-LT"/>
        </w:rPr>
        <w:t xml:space="preserve"> priedas</w:t>
      </w:r>
    </w:p>
    <w:p>
      <w:pPr>
        <w:tabs>
          <w:tab w:val="left" w:pos="-284"/>
        </w:tabs>
        <w:rPr>
          <w:caps/>
          <w:lang w:eastAsia="lt-LT"/>
        </w:rPr>
      </w:pPr>
    </w:p>
    <w:p>
      <w:pPr>
        <w:tabs>
          <w:tab w:val="left" w:pos="-284"/>
        </w:tabs>
        <w:rPr>
          <w:caps/>
          <w:lang w:eastAsia="lt-LT"/>
        </w:rPr>
      </w:pPr>
    </w:p>
    <w:p>
      <w:pPr>
        <w:jc w:val="center"/>
        <w:rPr>
          <w:b/>
          <w:lang w:eastAsia="lt-LT"/>
        </w:rPr>
      </w:pPr>
      <w:r>
        <w:rPr>
          <w:b/>
          <w:lang w:eastAsia="lt-LT"/>
        </w:rPr>
        <w:t>(Ataskaitos formos pavyzdys)</w:t>
      </w:r>
    </w:p>
    <w:p>
      <w:pPr>
        <w:rPr>
          <w:sz w:val="10"/>
          <w:szCs w:val="10"/>
        </w:rPr>
      </w:pPr>
    </w:p>
    <w:p>
      <w:pPr>
        <w:jc w:val="both"/>
        <w:rPr>
          <w:szCs w:val="24"/>
          <w:lang w:eastAsia="lt-LT"/>
        </w:rPr>
      </w:pPr>
    </w:p>
    <w:p>
      <w:pPr>
        <w:jc w:val="center"/>
        <w:rPr>
          <w:lang w:val="pt-BR" w:eastAsia="lt-LT"/>
        </w:rPr>
      </w:pPr>
      <w:r>
        <w:rPr>
          <w:lang w:eastAsia="lt-LT"/>
        </w:rPr>
        <w:t>__________________</w:t>
      </w:r>
      <w:r>
        <w:rPr>
          <w:lang w:val="pt-BR" w:eastAsia="lt-LT"/>
        </w:rPr>
        <w:t>_________________________________________________________</w:t>
      </w:r>
    </w:p>
    <w:p>
      <w:pPr>
        <w:jc w:val="center"/>
        <w:rPr>
          <w:sz w:val="20"/>
          <w:lang w:eastAsia="lt-LT"/>
        </w:rPr>
      </w:pPr>
      <w:r>
        <w:rPr>
          <w:sz w:val="20"/>
          <w:lang w:eastAsia="lt-LT"/>
        </w:rPr>
        <w:t>(įmonės pavadinimas)</w:t>
      </w:r>
    </w:p>
    <w:p>
      <w:pPr>
        <w:jc w:val="center"/>
        <w:rPr>
          <w:lang w:eastAsia="lt-LT"/>
        </w:rPr>
      </w:pPr>
      <w:r>
        <w:rPr>
          <w:lang w:eastAsia="lt-LT"/>
        </w:rPr>
        <w:t>___________________________________________________________________________</w:t>
      </w:r>
    </w:p>
    <w:p>
      <w:pPr>
        <w:jc w:val="center"/>
        <w:rPr>
          <w:sz w:val="20"/>
          <w:lang w:eastAsia="lt-LT"/>
        </w:rPr>
      </w:pPr>
      <w:r>
        <w:rPr>
          <w:sz w:val="20"/>
          <w:lang w:eastAsia="lt-LT"/>
        </w:rPr>
        <w:t>(įmonės kodas, adresas, kiti duomenys)</w:t>
      </w:r>
    </w:p>
    <w:p>
      <w:pPr>
        <w:jc w:val="both"/>
        <w:rPr>
          <w:lang w:eastAsia="lt-LT"/>
        </w:rPr>
      </w:pPr>
    </w:p>
    <w:p>
      <w:pPr>
        <w:jc w:val="both"/>
        <w:rPr>
          <w:lang w:eastAsia="lt-LT"/>
        </w:rPr>
      </w:pPr>
      <w:r>
        <w:rPr>
          <w:lang w:eastAsia="lt-LT"/>
        </w:rPr>
        <w:t xml:space="preserve">_______________ </w:t>
      </w:r>
      <w:r>
        <w:rPr>
          <w:szCs w:val="24"/>
          <w:lang w:eastAsia="lt-LT"/>
        </w:rPr>
        <w:t>savivaldybei</w:t>
      </w:r>
    </w:p>
    <w:p>
      <w:pPr>
        <w:jc w:val="both"/>
        <w:rPr>
          <w:lang w:eastAsia="lt-LT"/>
        </w:rPr>
      </w:pPr>
    </w:p>
    <w:p>
      <w:pPr>
        <w:jc w:val="both"/>
        <w:rPr>
          <w:lang w:eastAsia="lt-LT"/>
        </w:rPr>
      </w:pPr>
    </w:p>
    <w:p>
      <w:pPr>
        <w:jc w:val="center"/>
        <w:rPr>
          <w:b/>
          <w:lang w:eastAsia="lt-LT"/>
        </w:rPr>
      </w:pPr>
      <w:r>
        <w:rPr>
          <w:b/>
          <w:lang w:eastAsia="lt-LT"/>
        </w:rPr>
        <w:t>ATASKAITA APIE PARDUOTUS SU NUOLAIDA VAŽIAVIMO VIETINIO (PRIEMIESTINIO) REGULIARAUS SUSISIEKIMO AUTOBUSAIS BILIETUS</w:t>
      </w:r>
    </w:p>
    <w:p>
      <w:pPr>
        <w:jc w:val="center"/>
        <w:rPr>
          <w:b/>
          <w:lang w:eastAsia="lt-LT"/>
        </w:rPr>
      </w:pPr>
      <w:r>
        <w:rPr>
          <w:b/>
          <w:lang w:eastAsia="lt-LT"/>
        </w:rPr>
        <w:t>PER 20 __ M. __________ MĖNESĮ</w:t>
      </w:r>
    </w:p>
    <w:p>
      <w:pPr>
        <w:jc w:val="center"/>
        <w:rPr>
          <w:lang w:eastAsia="lt-LT"/>
        </w:rPr>
      </w:pPr>
    </w:p>
    <w:p>
      <w:pPr>
        <w:jc w:val="center"/>
        <w:rPr>
          <w:lang w:eastAsia="lt-LT"/>
        </w:rPr>
      </w:pPr>
      <w:r>
        <w:rPr>
          <w:lang w:eastAsia="lt-LT"/>
        </w:rPr>
        <w:t>20__-__-__ Nr. ____</w:t>
      </w:r>
    </w:p>
    <w:p>
      <w:pPr>
        <w:jc w:val="both"/>
        <w:rPr>
          <w:lang w:eastAsia="lt-LT"/>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4"/>
        <w:gridCol w:w="1417"/>
        <w:gridCol w:w="1276"/>
        <w:gridCol w:w="1134"/>
        <w:gridCol w:w="1276"/>
        <w:gridCol w:w="2693"/>
      </w:tblGrid>
      <w:tr>
        <w:trPr>
          <w:cantSplit/>
          <w:trHeight w:val="1701"/>
        </w:trPr>
        <w:tc>
          <w:tcPr>
            <w:tcW w:w="1475"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Maršruto numeris ir pavadinimas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Bilietų rūšis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Nuolaida, procentais</w:t>
            </w:r>
          </w:p>
        </w:tc>
        <w:tc>
          <w:tcPr>
            <w:tcW w:w="1134"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Parduotų su nuolaida bilietų skaičius, vienetais</w:t>
            </w:r>
          </w:p>
        </w:tc>
        <w:tc>
          <w:tcPr>
            <w:tcW w:w="1276"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Gauta pajamų už parduotus su nuolaida bilietus, eurais</w:t>
            </w:r>
          </w:p>
        </w:tc>
        <w:tc>
          <w:tcPr>
            <w:tcW w:w="2693"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Išlaidų (negautų pajamų) dėl keleiviams suteiktų važiavimo vietinio (priemiestinio) reguliaraus susisiekimo autobusais lengvatų kompensavimo (atlyginimo) dydis, eurais</w:t>
            </w:r>
          </w:p>
        </w:tc>
      </w:tr>
      <w:tr>
        <w:trPr>
          <w:cantSplit/>
        </w:trPr>
        <w:tc>
          <w:tcPr>
            <w:tcW w:w="1475" w:type="dxa"/>
            <w:vMerge w:val="restart"/>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134"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47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134"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47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134"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475"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134"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475"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134"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single" w:sz="4" w:space="0" w:color="auto"/>
            </w:tcBorders>
          </w:tcPr>
          <w:p>
            <w:pPr>
              <w:rPr>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134"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single" w:sz="4" w:space="0" w:color="auto"/>
            </w:tcBorders>
          </w:tcPr>
          <w:p>
            <w:pPr>
              <w:rPr>
                <w:sz w:val="22"/>
                <w:szCs w:val="22"/>
                <w:lang w:eastAsia="lt-LT"/>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134"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single" w:sz="4" w:space="0" w:color="auto"/>
            </w:tcBorders>
          </w:tcPr>
          <w:p>
            <w:pPr>
              <w:rPr>
                <w:sz w:val="22"/>
                <w:szCs w:val="22"/>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134"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475" w:type="dxa"/>
            <w:tcBorders>
              <w:top w:val="nil"/>
              <w:left w:val="nil"/>
              <w:bottom w:val="nil"/>
              <w:right w:val="nil"/>
            </w:tcBorders>
          </w:tcPr>
          <w:p>
            <w:pPr>
              <w:rPr>
                <w:b/>
                <w:sz w:val="22"/>
                <w:szCs w:val="22"/>
                <w:lang w:eastAsia="lt-LT"/>
              </w:rPr>
            </w:pPr>
          </w:p>
        </w:tc>
        <w:tc>
          <w:tcPr>
            <w:tcW w:w="1417" w:type="dxa"/>
            <w:tcBorders>
              <w:top w:val="single" w:sz="4" w:space="0" w:color="auto"/>
              <w:left w:val="nil"/>
              <w:bottom w:val="nil"/>
              <w:right w:val="nil"/>
            </w:tcBorders>
          </w:tcPr>
          <w:p>
            <w:pPr>
              <w:rPr>
                <w:sz w:val="22"/>
                <w:szCs w:val="22"/>
                <w:lang w:eastAsia="lt-LT"/>
              </w:rPr>
            </w:pPr>
          </w:p>
        </w:tc>
        <w:tc>
          <w:tcPr>
            <w:tcW w:w="1276" w:type="dxa"/>
            <w:tcBorders>
              <w:top w:val="single" w:sz="4" w:space="0" w:color="auto"/>
              <w:left w:val="nil"/>
              <w:bottom w:val="nil"/>
              <w:right w:val="nil"/>
            </w:tcBorders>
          </w:tcPr>
          <w:p>
            <w:pPr>
              <w:jc w:val="center"/>
              <w:rPr>
                <w:sz w:val="22"/>
                <w:szCs w:val="22"/>
                <w:lang w:eastAsia="lt-LT"/>
              </w:rPr>
            </w:pPr>
          </w:p>
        </w:tc>
        <w:tc>
          <w:tcPr>
            <w:tcW w:w="1134" w:type="dxa"/>
            <w:tcBorders>
              <w:top w:val="single" w:sz="4" w:space="0" w:color="auto"/>
              <w:left w:val="nil"/>
              <w:bottom w:val="nil"/>
              <w:right w:val="nil"/>
            </w:tcBorders>
          </w:tcPr>
          <w:p>
            <w:pPr>
              <w:rPr>
                <w:sz w:val="22"/>
                <w:szCs w:val="22"/>
                <w:lang w:eastAsia="lt-LT"/>
              </w:rPr>
            </w:pPr>
          </w:p>
        </w:tc>
        <w:tc>
          <w:tcPr>
            <w:tcW w:w="1276"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2693"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bl>
    <w:p>
      <w:pPr>
        <w:jc w:val="both"/>
        <w:rPr>
          <w:lang w:eastAsia="lt-LT"/>
        </w:rPr>
      </w:pPr>
    </w:p>
    <w:p>
      <w:pPr>
        <w:jc w:val="both"/>
        <w:rPr>
          <w:lang w:eastAsia="lt-LT"/>
        </w:rPr>
      </w:pPr>
    </w:p>
    <w:p>
      <w:pPr>
        <w:jc w:val="both"/>
        <w:rPr>
          <w:szCs w:val="24"/>
          <w:lang w:eastAsia="lt-LT"/>
        </w:rPr>
      </w:pPr>
      <w:r>
        <w:rPr>
          <w:szCs w:val="24"/>
          <w:lang w:eastAsia="lt-LT"/>
        </w:rPr>
        <w:t>(Įmonės vadovo pareigų pavadinimas)</w:t>
        <w:tab/>
        <w:tab/>
        <w:t>(Parašas)</w:t>
        <w:tab/>
        <w:tab/>
        <w:t>(Vardas ir pavardė)</w:t>
      </w:r>
    </w:p>
    <w:p>
      <w:pPr>
        <w:jc w:val="both"/>
        <w:rPr>
          <w:sz w:val="22"/>
          <w:szCs w:val="22"/>
          <w:lang w:val="lv-LV" w:eastAsia="lt-LT"/>
        </w:rPr>
      </w:pPr>
    </w:p>
    <w:p>
      <w:pPr>
        <w:jc w:val="both"/>
        <w:rPr>
          <w:szCs w:val="24"/>
          <w:lang w:eastAsia="lt-LT"/>
        </w:rPr>
      </w:pPr>
    </w:p>
    <w:p>
      <w:pPr>
        <w:jc w:val="both"/>
        <w:rPr>
          <w:szCs w:val="24"/>
          <w:lang w:eastAsia="lt-LT"/>
        </w:rPr>
      </w:pPr>
      <w:r>
        <w:rPr>
          <w:szCs w:val="24"/>
          <w:lang w:eastAsia="lt-LT"/>
        </w:rPr>
        <w:t>(Įmonės vyriausiasis finansininkas (buhalteris)</w:t>
        <w:tab/>
        <w:t>(Parašas)</w:t>
        <w:tab/>
        <w:tab/>
        <w:t>(Vardas ir pavardė)</w:t>
      </w:r>
    </w:p>
    <w:p>
      <w:pPr>
        <w:tabs>
          <w:tab w:val="left" w:pos="-426"/>
        </w:tabs>
        <w:rPr>
          <w:lang w:eastAsia="lt-LT"/>
        </w:rPr>
      </w:pPr>
    </w:p>
    <w:p>
      <w:pPr>
        <w:tabs>
          <w:tab w:val="left" w:pos="6237"/>
          <w:tab w:val="right" w:pos="8306"/>
        </w:tabs>
        <w:jc w:val="center"/>
        <w:rPr>
          <w:color w:val="000000"/>
        </w:rP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A6C1D56FC">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2008-02-06,
Žin., 2008, Nr.
20-736 (2008-02-19), i. k. 1081100NUTA00000112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35030e9e211e59b23c9576935ca23">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2016-03-09,
paskelbta TAR 2016-03-14, i. k. 2016-04647            </w:t>
      </w:r>
    </w:p>
    <w:p/>
    <w:p>
      <w:pPr>
        <w:sectPr>
          <w:pgSz w:w="11907" w:h="16839"/>
          <w:pgMar w:top="1134" w:right="567" w:bottom="1134" w:left="1701" w:header="567" w:footer="567" w:gutter="0"/>
          <w:pgNumType w:start="1"/>
          <w:cols w:space="720"/>
          <w:titlePg/>
          <w:docGrid w:linePitch="299"/>
        </w:sectPr>
      </w:pPr>
    </w:p>
    <w:p/>
    <w:p>
      <w:pPr>
        <w:ind w:left="4536"/>
        <w:rPr>
          <w:szCs w:val="24"/>
          <w:lang w:eastAsia="lt-LT"/>
        </w:rPr>
      </w:pPr>
      <w:r>
        <w:rPr>
          <w:szCs w:val="24"/>
          <w:lang w:eastAsia="lt-LT"/>
        </w:rPr>
        <w:t xml:space="preserve">Keleivinio transporto vežėjų išlaidų (negautų </w:t>
      </w:r>
    </w:p>
    <w:p>
      <w:pPr>
        <w:ind w:left="4536"/>
        <w:rPr>
          <w:szCs w:val="24"/>
          <w:lang w:eastAsia="lt-LT"/>
        </w:rPr>
      </w:pPr>
      <w:r>
        <w:rPr>
          <w:szCs w:val="24"/>
          <w:lang w:eastAsia="lt-LT"/>
        </w:rPr>
        <w:t xml:space="preserve">pajamų), susijusių su transporto lengvatų </w:t>
      </w:r>
    </w:p>
    <w:p>
      <w:pPr>
        <w:ind w:left="4536"/>
        <w:rPr>
          <w:szCs w:val="24"/>
          <w:lang w:eastAsia="lt-LT"/>
        </w:rPr>
      </w:pPr>
      <w:r>
        <w:rPr>
          <w:szCs w:val="24"/>
          <w:lang w:eastAsia="lt-LT"/>
        </w:rPr>
        <w:t xml:space="preserve">taikymu, kompensavimo (atlyginimo) tvarkos </w:t>
      </w:r>
    </w:p>
    <w:p>
      <w:pPr>
        <w:ind w:left="4536"/>
        <w:rPr>
          <w:lang w:eastAsia="lt-LT"/>
        </w:rPr>
      </w:pPr>
      <w:r>
        <w:rPr>
          <w:szCs w:val="24"/>
          <w:lang w:eastAsia="lt-LT"/>
        </w:rPr>
        <w:t>aprašo</w:t>
      </w:r>
      <w:r>
        <w:rPr>
          <w:lang w:eastAsia="ar-SA"/>
        </w:rPr>
        <w:br/>
      </w:r>
      <w:r>
        <w:rPr>
          <w:lang w:eastAsia="lt-LT"/>
        </w:rPr>
        <w:t>4</w:t>
      </w:r>
      <w:r>
        <w:rPr>
          <w:lang w:eastAsia="lt-LT"/>
        </w:rPr>
        <w:t xml:space="preserve"> priedas</w:t>
      </w:r>
    </w:p>
    <w:p>
      <w:pPr>
        <w:tabs>
          <w:tab w:val="left" w:pos="-284"/>
        </w:tabs>
        <w:rPr>
          <w:caps/>
          <w:lang w:eastAsia="lt-LT"/>
        </w:rPr>
      </w:pPr>
    </w:p>
    <w:p>
      <w:pPr>
        <w:tabs>
          <w:tab w:val="left" w:pos="-284"/>
        </w:tabs>
        <w:rPr>
          <w:caps/>
          <w:lang w:eastAsia="lt-LT"/>
        </w:rPr>
      </w:pPr>
    </w:p>
    <w:p>
      <w:pPr>
        <w:jc w:val="center"/>
        <w:rPr>
          <w:b/>
          <w:lang w:eastAsia="lt-LT"/>
        </w:rPr>
      </w:pPr>
      <w:r>
        <w:rPr>
          <w:b/>
          <w:lang w:eastAsia="lt-LT"/>
        </w:rPr>
        <w:t>(Ataskaitos formos pavyzdys)</w:t>
      </w:r>
    </w:p>
    <w:p>
      <w:pPr>
        <w:rPr>
          <w:sz w:val="10"/>
          <w:szCs w:val="10"/>
        </w:rPr>
      </w:pPr>
    </w:p>
    <w:p>
      <w:pPr>
        <w:rPr>
          <w:lang w:eastAsia="lt-LT"/>
        </w:rPr>
      </w:pPr>
    </w:p>
    <w:p>
      <w:pPr>
        <w:jc w:val="center"/>
        <w:rPr>
          <w:lang w:val="pt-BR" w:eastAsia="lt-LT"/>
        </w:rPr>
      </w:pPr>
      <w:r>
        <w:rPr>
          <w:lang w:eastAsia="lt-LT"/>
        </w:rPr>
        <w:t>__________________</w:t>
      </w:r>
      <w:r>
        <w:rPr>
          <w:lang w:val="pt-BR" w:eastAsia="lt-LT"/>
        </w:rPr>
        <w:t>_________________________________________________________</w:t>
      </w:r>
    </w:p>
    <w:p>
      <w:pPr>
        <w:jc w:val="center"/>
        <w:rPr>
          <w:sz w:val="20"/>
          <w:lang w:eastAsia="lt-LT"/>
        </w:rPr>
      </w:pPr>
      <w:r>
        <w:rPr>
          <w:sz w:val="20"/>
          <w:lang w:eastAsia="lt-LT"/>
        </w:rPr>
        <w:t>(įmonės pavadinimas)</w:t>
      </w:r>
    </w:p>
    <w:p>
      <w:pPr>
        <w:jc w:val="center"/>
        <w:rPr>
          <w:lang w:eastAsia="lt-LT"/>
        </w:rPr>
      </w:pPr>
      <w:r>
        <w:rPr>
          <w:lang w:eastAsia="lt-LT"/>
        </w:rPr>
        <w:t>___________________________________________________________________________</w:t>
      </w:r>
    </w:p>
    <w:p>
      <w:pPr>
        <w:jc w:val="center"/>
        <w:rPr>
          <w:sz w:val="20"/>
          <w:lang w:eastAsia="lt-LT"/>
        </w:rPr>
      </w:pPr>
      <w:r>
        <w:rPr>
          <w:sz w:val="20"/>
          <w:lang w:eastAsia="lt-LT"/>
        </w:rPr>
        <w:t>(įmonės kodas, adresas, kiti duomenys)</w:t>
      </w:r>
    </w:p>
    <w:p>
      <w:pPr>
        <w:jc w:val="both"/>
        <w:rPr>
          <w:lang w:eastAsia="lt-LT"/>
        </w:rPr>
      </w:pPr>
    </w:p>
    <w:p>
      <w:pPr>
        <w:jc w:val="both"/>
        <w:rPr>
          <w:lang w:eastAsia="lt-LT"/>
        </w:rPr>
      </w:pPr>
    </w:p>
    <w:p>
      <w:pPr>
        <w:jc w:val="both"/>
        <w:rPr>
          <w:szCs w:val="24"/>
          <w:lang w:eastAsia="lt-LT"/>
        </w:rPr>
      </w:pPr>
      <w:r>
        <w:rPr>
          <w:szCs w:val="24"/>
          <w:lang w:eastAsia="lt-LT"/>
        </w:rPr>
        <w:t>Lietuvos Respublikos susisiekimo ministerijai</w:t>
      </w:r>
    </w:p>
    <w:p>
      <w:pPr>
        <w:jc w:val="both"/>
        <w:rPr>
          <w:lang w:eastAsia="lt-LT"/>
        </w:rPr>
      </w:pPr>
    </w:p>
    <w:p>
      <w:pPr>
        <w:jc w:val="both"/>
        <w:rPr>
          <w:lang w:eastAsia="lt-LT"/>
        </w:rPr>
      </w:pPr>
    </w:p>
    <w:p>
      <w:pPr>
        <w:jc w:val="center"/>
        <w:rPr>
          <w:b/>
          <w:lang w:eastAsia="lt-LT"/>
        </w:rPr>
      </w:pPr>
      <w:r>
        <w:rPr>
          <w:b/>
          <w:lang w:eastAsia="lt-LT"/>
        </w:rPr>
        <w:t>ATASKAITA APIE PARDUOTUS SU NUOLAIDA VAŽIAVIMO KELEIVINIAIS TRAUKINIAIS BILIETUS</w:t>
      </w:r>
    </w:p>
    <w:p>
      <w:pPr>
        <w:jc w:val="center"/>
        <w:rPr>
          <w:b/>
          <w:lang w:eastAsia="lt-LT"/>
        </w:rPr>
      </w:pPr>
      <w:r>
        <w:rPr>
          <w:b/>
          <w:lang w:eastAsia="lt-LT"/>
        </w:rPr>
        <w:t>PER 20 __ M. __________ MĖNESĮ</w:t>
      </w:r>
    </w:p>
    <w:p>
      <w:pPr>
        <w:jc w:val="center"/>
        <w:rPr>
          <w:lang w:eastAsia="lt-LT"/>
        </w:rPr>
      </w:pPr>
    </w:p>
    <w:p>
      <w:pPr>
        <w:jc w:val="center"/>
        <w:rPr>
          <w:lang w:eastAsia="lt-LT"/>
        </w:rPr>
      </w:pPr>
      <w:r>
        <w:rPr>
          <w:lang w:eastAsia="lt-LT"/>
        </w:rPr>
        <w:t>20__-__-__ Nr. ____</w:t>
      </w:r>
    </w:p>
    <w:p>
      <w:pPr>
        <w:jc w:val="both"/>
        <w:rPr>
          <w:lang w:eastAsia="lt-LT"/>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2"/>
        <w:gridCol w:w="1418"/>
        <w:gridCol w:w="1275"/>
        <w:gridCol w:w="1418"/>
        <w:gridCol w:w="1417"/>
        <w:gridCol w:w="2410"/>
      </w:tblGrid>
      <w:tr>
        <w:trPr>
          <w:cantSplit/>
          <w:trHeight w:val="1701"/>
        </w:trPr>
        <w:tc>
          <w:tcPr>
            <w:tcW w:w="1333"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Maršruto numeris ir pavadinimas</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Bilietų rūšis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Nuolaida, procentais</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Parduotų su nuolaida bilietų skaičius, vienetais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Gauta pajamų už parduotus su nuolaida bilietus, eurais</w:t>
            </w:r>
          </w:p>
        </w:tc>
        <w:tc>
          <w:tcPr>
            <w:tcW w:w="2410"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 w:val="22"/>
                <w:szCs w:val="22"/>
              </w:rPr>
            </w:pPr>
            <w:r>
              <w:rPr>
                <w:sz w:val="22"/>
                <w:szCs w:val="22"/>
              </w:rPr>
              <w:t>Išlaidų (negautų pajamų) dėl keleiviams suteiktų važiavimo keleiviniais traukiniais lengvatų kompensavimo (atlyginimo) dydis, eurais</w:t>
            </w:r>
          </w:p>
        </w:tc>
      </w:tr>
      <w:tr>
        <w:trPr>
          <w:cantSplit/>
        </w:trPr>
        <w:tc>
          <w:tcPr>
            <w:tcW w:w="1333" w:type="dxa"/>
            <w:vMerge w:val="restart"/>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33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33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r>
        <w:trPr>
          <w:cantSplit/>
        </w:trPr>
        <w:tc>
          <w:tcPr>
            <w:tcW w:w="1333" w:type="dxa"/>
            <w:vMerge/>
            <w:tcBorders>
              <w:top w:val="single" w:sz="4" w:space="0" w:color="auto"/>
              <w:left w:val="single" w:sz="4" w:space="0" w:color="auto"/>
              <w:bottom w:val="single" w:sz="4" w:space="0" w:color="auto"/>
              <w:right w:val="single" w:sz="4" w:space="0" w:color="auto"/>
            </w:tcBorders>
            <w:vAlign w:val="center"/>
            <w:hideMark/>
          </w:tcPr>
          <w:p>
            <w:pPr>
              <w:rPr>
                <w:b/>
                <w:sz w:val="22"/>
                <w:szCs w:val="2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333"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Vienkartiniai</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333" w:type="dxa"/>
            <w:tcBorders>
              <w:top w:val="nil"/>
              <w:left w:val="nil"/>
              <w:bottom w:val="nil"/>
              <w:right w:val="single" w:sz="4" w:space="0" w:color="auto"/>
            </w:tcBorders>
          </w:tcPr>
          <w:p>
            <w:pPr>
              <w:rPr>
                <w:sz w:val="22"/>
                <w:szCs w:val="2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333" w:type="dxa"/>
            <w:tcBorders>
              <w:top w:val="nil"/>
              <w:left w:val="nil"/>
              <w:bottom w:val="nil"/>
              <w:right w:val="single" w:sz="4" w:space="0" w:color="auto"/>
            </w:tcBorders>
          </w:tcPr>
          <w:p>
            <w:pPr>
              <w:rPr>
                <w:sz w:val="22"/>
                <w:szCs w:val="22"/>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 xml:space="preserve">Terminuoti vardiniai </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333" w:type="dxa"/>
            <w:tcBorders>
              <w:top w:val="nil"/>
              <w:left w:val="nil"/>
              <w:bottom w:val="nil"/>
              <w:right w:val="single" w:sz="4" w:space="0" w:color="auto"/>
            </w:tcBorders>
          </w:tcPr>
          <w:p>
            <w:pPr>
              <w:rPr>
                <w:sz w:val="22"/>
                <w:szCs w:val="22"/>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 w:val="22"/>
                <w:szCs w:val="22"/>
                <w:lang w:eastAsia="lt-LT"/>
              </w:rPr>
            </w:pPr>
            <w:r>
              <w:rPr>
                <w:sz w:val="22"/>
                <w:szCs w:val="22"/>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 w:val="22"/>
                <w:szCs w:val="22"/>
                <w:lang w:eastAsia="lt-LT"/>
              </w:rPr>
            </w:pPr>
          </w:p>
        </w:tc>
      </w:tr>
      <w:tr>
        <w:trPr>
          <w:cantSplit/>
        </w:trPr>
        <w:tc>
          <w:tcPr>
            <w:tcW w:w="1333" w:type="dxa"/>
            <w:tcBorders>
              <w:top w:val="nil"/>
              <w:left w:val="nil"/>
              <w:bottom w:val="nil"/>
              <w:right w:val="nil"/>
            </w:tcBorders>
          </w:tcPr>
          <w:p>
            <w:pPr>
              <w:rPr>
                <w:b/>
                <w:sz w:val="22"/>
                <w:szCs w:val="22"/>
                <w:lang w:eastAsia="lt-LT"/>
              </w:rPr>
            </w:pPr>
          </w:p>
        </w:tc>
        <w:tc>
          <w:tcPr>
            <w:tcW w:w="1418" w:type="dxa"/>
            <w:tcBorders>
              <w:top w:val="single" w:sz="4" w:space="0" w:color="auto"/>
              <w:left w:val="nil"/>
              <w:bottom w:val="nil"/>
              <w:right w:val="nil"/>
            </w:tcBorders>
          </w:tcPr>
          <w:p>
            <w:pPr>
              <w:rPr>
                <w:sz w:val="22"/>
                <w:szCs w:val="22"/>
                <w:lang w:eastAsia="lt-LT"/>
              </w:rPr>
            </w:pPr>
          </w:p>
        </w:tc>
        <w:tc>
          <w:tcPr>
            <w:tcW w:w="1275" w:type="dxa"/>
            <w:tcBorders>
              <w:top w:val="single" w:sz="4" w:space="0" w:color="auto"/>
              <w:left w:val="nil"/>
              <w:bottom w:val="nil"/>
              <w:right w:val="nil"/>
            </w:tcBorders>
          </w:tcPr>
          <w:p>
            <w:pPr>
              <w:jc w:val="center"/>
              <w:rPr>
                <w:sz w:val="22"/>
                <w:szCs w:val="22"/>
                <w:lang w:eastAsia="lt-LT"/>
              </w:rPr>
            </w:pPr>
          </w:p>
        </w:tc>
        <w:tc>
          <w:tcPr>
            <w:tcW w:w="1418" w:type="dxa"/>
            <w:tcBorders>
              <w:top w:val="single" w:sz="4" w:space="0" w:color="auto"/>
              <w:left w:val="nil"/>
              <w:bottom w:val="nil"/>
              <w:right w:val="nil"/>
            </w:tcBorders>
          </w:tcPr>
          <w:p>
            <w:pPr>
              <w:rPr>
                <w:sz w:val="22"/>
                <w:szCs w:val="22"/>
                <w:lang w:eastAsia="lt-LT"/>
              </w:rPr>
            </w:pPr>
          </w:p>
        </w:tc>
        <w:tc>
          <w:tcPr>
            <w:tcW w:w="1417" w:type="dxa"/>
            <w:tcBorders>
              <w:top w:val="single" w:sz="4" w:space="0" w:color="auto"/>
              <w:left w:val="nil"/>
              <w:bottom w:val="nil"/>
              <w:right w:val="single" w:sz="4" w:space="0" w:color="auto"/>
            </w:tcBorders>
            <w:hideMark/>
          </w:tcPr>
          <w:p>
            <w:pPr>
              <w:jc w:val="right"/>
              <w:rPr>
                <w:sz w:val="22"/>
                <w:szCs w:val="22"/>
                <w:lang w:eastAsia="lt-LT"/>
              </w:rPr>
            </w:pPr>
            <w:r>
              <w:rPr>
                <w:sz w:val="22"/>
                <w:szCs w:val="22"/>
                <w:lang w:eastAsia="lt-LT"/>
              </w:rPr>
              <w:t>Iš viso</w:t>
            </w:r>
          </w:p>
        </w:tc>
        <w:tc>
          <w:tcPr>
            <w:tcW w:w="2410" w:type="dxa"/>
            <w:tcBorders>
              <w:top w:val="single" w:sz="4" w:space="0" w:color="auto"/>
              <w:left w:val="single" w:sz="4" w:space="0" w:color="auto"/>
              <w:bottom w:val="single" w:sz="4" w:space="0" w:color="auto"/>
              <w:right w:val="single" w:sz="4" w:space="0" w:color="auto"/>
            </w:tcBorders>
          </w:tcPr>
          <w:p>
            <w:pPr>
              <w:rPr>
                <w:sz w:val="22"/>
                <w:szCs w:val="22"/>
                <w:lang w:eastAsia="lt-LT"/>
              </w:rPr>
            </w:pPr>
          </w:p>
        </w:tc>
      </w:tr>
    </w:tbl>
    <w:p>
      <w:pPr>
        <w:jc w:val="both"/>
        <w:rPr>
          <w:lang w:eastAsia="lt-LT"/>
        </w:rPr>
      </w:pPr>
    </w:p>
    <w:p>
      <w:pPr>
        <w:jc w:val="both"/>
        <w:rPr>
          <w:lang w:eastAsia="lt-LT"/>
        </w:rPr>
      </w:pPr>
    </w:p>
    <w:p>
      <w:pPr>
        <w:jc w:val="both"/>
        <w:rPr>
          <w:szCs w:val="24"/>
          <w:lang w:eastAsia="lt-LT"/>
        </w:rPr>
      </w:pPr>
      <w:r>
        <w:rPr>
          <w:szCs w:val="24"/>
          <w:lang w:eastAsia="lt-LT"/>
        </w:rPr>
        <w:t>(Įmonės vadovo pareigų pavadinimas)</w:t>
        <w:tab/>
        <w:tab/>
        <w:t>(Parašas)</w:t>
        <w:tab/>
        <w:tab/>
        <w:t>(Vardas ir pavardė)</w:t>
      </w:r>
    </w:p>
    <w:p>
      <w:pPr>
        <w:jc w:val="both"/>
        <w:rPr>
          <w:sz w:val="22"/>
          <w:szCs w:val="22"/>
          <w:lang w:val="lv-LV" w:eastAsia="lt-LT"/>
        </w:rPr>
      </w:pPr>
    </w:p>
    <w:p>
      <w:pPr>
        <w:jc w:val="both"/>
        <w:rPr>
          <w:sz w:val="22"/>
          <w:szCs w:val="22"/>
          <w:lang w:val="lv-LV" w:eastAsia="lt-LT"/>
        </w:rPr>
      </w:pPr>
    </w:p>
    <w:p>
      <w:pPr>
        <w:jc w:val="both"/>
        <w:rPr>
          <w:szCs w:val="24"/>
          <w:lang w:eastAsia="lt-LT"/>
        </w:rPr>
      </w:pPr>
      <w:r>
        <w:rPr>
          <w:szCs w:val="24"/>
          <w:lang w:eastAsia="lt-LT"/>
        </w:rPr>
        <w:t>(Įmonės vyriausiasis finansininkas (buhalteris)</w:t>
        <w:tab/>
        <w:t>(Parašas)</w:t>
        <w:tab/>
        <w:tab/>
        <w:t>(Vardas ir pavardė)</w:t>
      </w:r>
    </w:p>
    <w:p>
      <w:pPr>
        <w:tabs>
          <w:tab w:val="left" w:pos="-426"/>
        </w:tabs>
        <w:rPr>
          <w:lang w:eastAsia="lt-LT"/>
        </w:rPr>
      </w:pPr>
    </w:p>
    <w:p>
      <w:pPr>
        <w:tabs>
          <w:tab w:val="left" w:pos="6237"/>
          <w:tab w:val="right" w:pos="8306"/>
        </w:tabs>
        <w:jc w:val="center"/>
        <w:rPr>
          <w:color w:val="000000"/>
        </w:rP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40CBA2DE02">
        <w:r w:rsidRPr="00532B9F">
          <w:rPr>
            <w:rFonts w:ascii="Times New Roman" w:eastAsia="MS Mincho" w:hAnsi="Times New Roman"/>
            <w:sz w:val="20"/>
            <w:i/>
            <w:iCs/>
            <w:color w:val="0000FF" w:themeColor="hyperlink"/>
            <w:u w:val="single"/>
          </w:rPr>
          <w:t>361</w:t>
        </w:r>
      </w:fldSimple>
      <w:r>
        <w:rPr>
          <w:rFonts w:ascii="Times New Roman" w:eastAsia="MS Mincho" w:hAnsi="Times New Roman"/>
          <w:sz w:val="20"/>
          <w:i/>
          <w:iCs/>
        </w:rPr>
        <w:t>,
2001-03-30,
Žin., 2001, Nr.
30-974 (2001-04-06), i. k. 1011100NUTA00000361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A6C1D56FC">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2008-02-06,
Žin., 2008, Nr.
20-736 (2008-02-19), i. k. 1081100NUTA00000112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35030e9e211e59b23c9576935ca23">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2016-03-09,
paskelbta TAR 2016-03-14, i. k. 2016-04647            </w:t>
      </w:r>
    </w:p>
    <w:p/>
    <w:p>
      <w:pPr>
        <w:sectPr>
          <w:pgSz w:w="11907" w:h="16839"/>
          <w:pgMar w:top="1134" w:right="567" w:bottom="1134" w:left="1701" w:header="567" w:footer="567" w:gutter="0"/>
          <w:pgNumType w:start="1"/>
          <w:cols w:space="720"/>
          <w:titlePg/>
          <w:docGrid w:linePitch="299"/>
        </w:sectPr>
      </w:pPr>
    </w:p>
    <w:p/>
    <w:p>
      <w:pPr>
        <w:ind w:left="4536"/>
        <w:rPr>
          <w:szCs w:val="24"/>
          <w:lang w:eastAsia="lt-LT"/>
        </w:rPr>
      </w:pPr>
      <w:r>
        <w:rPr>
          <w:szCs w:val="24"/>
          <w:lang w:eastAsia="lt-LT"/>
        </w:rPr>
        <w:t xml:space="preserve">Keleivinio transporto vežėjų išlaidų (negautų </w:t>
      </w:r>
    </w:p>
    <w:p>
      <w:pPr>
        <w:ind w:left="4536"/>
        <w:rPr>
          <w:szCs w:val="24"/>
          <w:lang w:eastAsia="lt-LT"/>
        </w:rPr>
      </w:pPr>
      <w:r>
        <w:rPr>
          <w:szCs w:val="24"/>
          <w:lang w:eastAsia="lt-LT"/>
        </w:rPr>
        <w:t xml:space="preserve">pajamų), susijusių su transporto lengvatų </w:t>
      </w:r>
    </w:p>
    <w:p>
      <w:pPr>
        <w:ind w:left="4536"/>
        <w:rPr>
          <w:szCs w:val="24"/>
          <w:lang w:eastAsia="lt-LT"/>
        </w:rPr>
      </w:pPr>
      <w:r>
        <w:rPr>
          <w:szCs w:val="24"/>
          <w:lang w:eastAsia="lt-LT"/>
        </w:rPr>
        <w:t xml:space="preserve">taikymu, kompensavimo (atlyginimo) tvarkos </w:t>
      </w:r>
    </w:p>
    <w:p>
      <w:pPr>
        <w:ind w:left="4536"/>
        <w:rPr>
          <w:lang w:eastAsia="lt-LT"/>
        </w:rPr>
      </w:pPr>
      <w:r>
        <w:rPr>
          <w:szCs w:val="24"/>
          <w:lang w:eastAsia="lt-LT"/>
        </w:rPr>
        <w:t>aprašo</w:t>
      </w:r>
      <w:r>
        <w:rPr>
          <w:lang w:eastAsia="ar-SA"/>
        </w:rPr>
        <w:br/>
      </w:r>
      <w:r>
        <w:rPr>
          <w:lang w:eastAsia="lt-LT"/>
        </w:rPr>
        <w:t>5</w:t>
      </w:r>
      <w:r>
        <w:rPr>
          <w:lang w:eastAsia="lt-LT"/>
        </w:rPr>
        <w:t xml:space="preserve"> priedas</w:t>
      </w:r>
    </w:p>
    <w:p>
      <w:pPr>
        <w:tabs>
          <w:tab w:val="left" w:pos="-284"/>
        </w:tabs>
        <w:rPr>
          <w:caps/>
          <w:lang w:eastAsia="lt-LT"/>
        </w:rPr>
      </w:pPr>
    </w:p>
    <w:p>
      <w:pPr>
        <w:tabs>
          <w:tab w:val="left" w:pos="-284"/>
        </w:tabs>
        <w:rPr>
          <w:caps/>
          <w:lang w:eastAsia="lt-LT"/>
        </w:rPr>
      </w:pPr>
    </w:p>
    <w:p>
      <w:pPr>
        <w:jc w:val="center"/>
        <w:rPr>
          <w:b/>
          <w:lang w:eastAsia="lt-LT"/>
        </w:rPr>
      </w:pPr>
      <w:r>
        <w:rPr>
          <w:b/>
          <w:lang w:eastAsia="lt-LT"/>
        </w:rPr>
        <w:t>(Ataskaitos formos pavyzdys)</w:t>
      </w:r>
    </w:p>
    <w:p>
      <w:pPr>
        <w:rPr>
          <w:sz w:val="10"/>
          <w:szCs w:val="10"/>
        </w:rPr>
      </w:pPr>
    </w:p>
    <w:p>
      <w:pPr>
        <w:jc w:val="both"/>
        <w:rPr>
          <w:lang w:eastAsia="lt-LT"/>
        </w:rPr>
      </w:pPr>
    </w:p>
    <w:p>
      <w:pPr>
        <w:jc w:val="both"/>
        <w:rPr>
          <w:lang w:eastAsia="lt-LT"/>
        </w:rPr>
      </w:pPr>
    </w:p>
    <w:p>
      <w:pPr>
        <w:jc w:val="center"/>
        <w:rPr>
          <w:lang w:val="pt-BR" w:eastAsia="lt-LT"/>
        </w:rPr>
      </w:pPr>
      <w:r>
        <w:rPr>
          <w:lang w:eastAsia="lt-LT"/>
        </w:rPr>
        <w:t>__________________</w:t>
      </w:r>
      <w:r>
        <w:rPr>
          <w:lang w:val="pt-BR" w:eastAsia="lt-LT"/>
        </w:rPr>
        <w:t>_________________________________________________________</w:t>
      </w:r>
    </w:p>
    <w:p>
      <w:pPr>
        <w:jc w:val="center"/>
        <w:rPr>
          <w:sz w:val="20"/>
          <w:lang w:eastAsia="lt-LT"/>
        </w:rPr>
      </w:pPr>
      <w:r>
        <w:rPr>
          <w:sz w:val="20"/>
          <w:lang w:eastAsia="lt-LT"/>
        </w:rPr>
        <w:t>(įmonės pavadinimas)</w:t>
      </w:r>
    </w:p>
    <w:p>
      <w:pPr>
        <w:jc w:val="center"/>
        <w:rPr>
          <w:lang w:eastAsia="lt-LT"/>
        </w:rPr>
      </w:pPr>
      <w:r>
        <w:rPr>
          <w:lang w:eastAsia="lt-LT"/>
        </w:rPr>
        <w:t>___________________________________________________________________________</w:t>
      </w:r>
    </w:p>
    <w:p>
      <w:pPr>
        <w:jc w:val="center"/>
        <w:rPr>
          <w:sz w:val="20"/>
          <w:lang w:eastAsia="lt-LT"/>
        </w:rPr>
      </w:pPr>
      <w:r>
        <w:rPr>
          <w:sz w:val="20"/>
          <w:lang w:eastAsia="lt-LT"/>
        </w:rPr>
        <w:t>(įmonės kodas, adresas, kiti duomenys)</w:t>
      </w:r>
    </w:p>
    <w:p>
      <w:pPr>
        <w:jc w:val="both"/>
        <w:rPr>
          <w:lang w:eastAsia="lt-LT"/>
        </w:rPr>
      </w:pPr>
    </w:p>
    <w:p>
      <w:pPr>
        <w:jc w:val="both"/>
        <w:rPr>
          <w:szCs w:val="24"/>
          <w:lang w:eastAsia="lt-LT"/>
        </w:rPr>
      </w:pPr>
      <w:r>
        <w:rPr>
          <w:szCs w:val="24"/>
          <w:lang w:eastAsia="lt-LT"/>
        </w:rPr>
        <w:t>Valstybinei kelių transporto inspekcijai</w:t>
      </w:r>
    </w:p>
    <w:p>
      <w:pPr>
        <w:jc w:val="both"/>
        <w:rPr>
          <w:szCs w:val="24"/>
          <w:lang w:eastAsia="lt-LT"/>
        </w:rPr>
      </w:pPr>
      <w:r>
        <w:rPr>
          <w:szCs w:val="24"/>
          <w:lang w:eastAsia="lt-LT"/>
        </w:rPr>
        <w:t>prie Susisiekimo ministerijos</w:t>
      </w:r>
    </w:p>
    <w:p>
      <w:pPr>
        <w:jc w:val="both"/>
        <w:rPr>
          <w:lang w:eastAsia="lt-LT"/>
        </w:rPr>
      </w:pPr>
    </w:p>
    <w:p>
      <w:pPr>
        <w:jc w:val="both"/>
        <w:rPr>
          <w:lang w:eastAsia="lt-LT"/>
        </w:rPr>
      </w:pPr>
    </w:p>
    <w:p>
      <w:pPr>
        <w:jc w:val="center"/>
        <w:rPr>
          <w:b/>
          <w:lang w:eastAsia="lt-LT"/>
        </w:rPr>
      </w:pPr>
      <w:r>
        <w:rPr>
          <w:b/>
          <w:lang w:eastAsia="lt-LT"/>
        </w:rPr>
        <w:t>ATASKAITA APIE PARDUOTUS SU NUOLAIDA VAŽIAVIMO TOLIMOJO REGULIARAUS SUSISIEKIMO AUTOBUSAIS BILIETUS</w:t>
      </w:r>
    </w:p>
    <w:p>
      <w:pPr>
        <w:jc w:val="center"/>
        <w:rPr>
          <w:b/>
          <w:lang w:eastAsia="lt-LT"/>
        </w:rPr>
      </w:pPr>
      <w:r>
        <w:rPr>
          <w:b/>
          <w:lang w:eastAsia="lt-LT"/>
        </w:rPr>
        <w:t>PER 20 __ M. __________ MĖNESĮ</w:t>
      </w:r>
    </w:p>
    <w:p>
      <w:pPr>
        <w:jc w:val="center"/>
        <w:rPr>
          <w:lang w:eastAsia="lt-LT"/>
        </w:rPr>
      </w:pPr>
    </w:p>
    <w:p>
      <w:pPr>
        <w:jc w:val="center"/>
        <w:rPr>
          <w:lang w:eastAsia="lt-LT"/>
        </w:rPr>
      </w:pPr>
      <w:r>
        <w:rPr>
          <w:lang w:eastAsia="lt-LT"/>
        </w:rPr>
        <w:t>20__-__-__ Nr. ____</w:t>
      </w:r>
    </w:p>
    <w:p>
      <w:pPr>
        <w:jc w:val="center"/>
        <w:rPr>
          <w:lang w:eastAsia="lt-LT"/>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2"/>
        <w:gridCol w:w="1418"/>
        <w:gridCol w:w="1275"/>
        <w:gridCol w:w="1418"/>
        <w:gridCol w:w="1417"/>
        <w:gridCol w:w="2410"/>
      </w:tblGrid>
      <w:tr>
        <w:trPr>
          <w:cantSplit/>
          <w:trHeight w:val="1701"/>
        </w:trPr>
        <w:tc>
          <w:tcPr>
            <w:tcW w:w="1333"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Cs w:val="24"/>
              </w:rPr>
            </w:pPr>
            <w:r>
              <w:rPr>
                <w:szCs w:val="24"/>
              </w:rPr>
              <w:t>Maršruto numeris ir pavadinimas</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Cs w:val="24"/>
              </w:rPr>
            </w:pPr>
            <w:r>
              <w:rPr>
                <w:szCs w:val="24"/>
              </w:rPr>
              <w:t>Bilietų rūšis</w:t>
            </w:r>
          </w:p>
        </w:tc>
        <w:tc>
          <w:tcPr>
            <w:tcW w:w="1275"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Cs w:val="24"/>
              </w:rPr>
            </w:pPr>
            <w:r>
              <w:rPr>
                <w:szCs w:val="24"/>
              </w:rPr>
              <w:t>Nuolaida, procentais</w:t>
            </w:r>
          </w:p>
        </w:tc>
        <w:tc>
          <w:tcPr>
            <w:tcW w:w="1418"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Cs w:val="24"/>
              </w:rPr>
            </w:pPr>
            <w:r>
              <w:rPr>
                <w:szCs w:val="24"/>
              </w:rPr>
              <w:t>Parduotų su nuolaida bilietų skaičius, vienetais</w:t>
            </w:r>
          </w:p>
        </w:tc>
        <w:tc>
          <w:tcPr>
            <w:tcW w:w="1417"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Cs w:val="24"/>
              </w:rPr>
            </w:pPr>
            <w:r>
              <w:rPr>
                <w:szCs w:val="24"/>
              </w:rPr>
              <w:t>Gauta pajamų už parduotus su nuolaida bilietus, eurais</w:t>
            </w:r>
          </w:p>
        </w:tc>
        <w:tc>
          <w:tcPr>
            <w:tcW w:w="2410" w:type="dxa"/>
            <w:tcBorders>
              <w:top w:val="single" w:sz="4" w:space="0" w:color="auto"/>
              <w:left w:val="single" w:sz="4" w:space="0" w:color="auto"/>
              <w:bottom w:val="single" w:sz="4" w:space="0" w:color="auto"/>
              <w:right w:val="single" w:sz="4" w:space="0" w:color="auto"/>
            </w:tcBorders>
            <w:vAlign w:val="center"/>
            <w:hideMark/>
          </w:tcPr>
          <w:p>
            <w:pPr>
              <w:tabs>
                <w:tab w:val="left" w:pos="1296"/>
                <w:tab w:val="center" w:pos="4153"/>
                <w:tab w:val="right" w:pos="8306"/>
              </w:tabs>
              <w:jc w:val="center"/>
              <w:rPr>
                <w:szCs w:val="24"/>
              </w:rPr>
            </w:pPr>
            <w:r>
              <w:rPr>
                <w:szCs w:val="24"/>
              </w:rPr>
              <w:t>Išlaidų (negautų pajamų) dėl keleiviams suteiktų važiavimo tolimojo reguliaraus susisiekimo autobusais lengvatų kompensavimo (atlyginimo) dydis, eurais</w:t>
            </w:r>
          </w:p>
        </w:tc>
      </w:tr>
      <w:tr>
        <w:trPr>
          <w:cantSplit/>
        </w:trPr>
        <w:tc>
          <w:tcPr>
            <w:tcW w:w="1333" w:type="dxa"/>
            <w:vMerge w:val="restart"/>
            <w:tcBorders>
              <w:top w:val="single" w:sz="4" w:space="0" w:color="auto"/>
              <w:left w:val="single" w:sz="4" w:space="0" w:color="auto"/>
              <w:bottom w:val="single" w:sz="4" w:space="0" w:color="auto"/>
              <w:right w:val="single" w:sz="4" w:space="0" w:color="auto"/>
            </w:tcBorders>
          </w:tcPr>
          <w:p>
            <w:pPr>
              <w:rPr>
                <w:b/>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Vienkartiniai</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szCs w:val="24"/>
                <w:lang w:eastAsia="lt-LT"/>
              </w:rPr>
            </w:pPr>
          </w:p>
        </w:tc>
      </w:tr>
      <w:tr>
        <w:trPr>
          <w:cantSplit/>
        </w:trPr>
        <w:tc>
          <w:tcPr>
            <w:tcW w:w="1333"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szCs w:val="24"/>
                <w:lang w:eastAsia="lt-LT"/>
              </w:rPr>
            </w:pPr>
          </w:p>
        </w:tc>
      </w:tr>
      <w:tr>
        <w:trPr>
          <w:cantSplit/>
        </w:trPr>
        <w:tc>
          <w:tcPr>
            <w:tcW w:w="1333"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 xml:space="preserve">Terminuoti vardiniai </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cantSplit/>
        </w:trPr>
        <w:tc>
          <w:tcPr>
            <w:tcW w:w="1333" w:type="dxa"/>
            <w:vMerge/>
            <w:tcBorders>
              <w:top w:val="single" w:sz="4" w:space="0" w:color="auto"/>
              <w:left w:val="single" w:sz="4" w:space="0" w:color="auto"/>
              <w:bottom w:val="single" w:sz="4" w:space="0" w:color="auto"/>
              <w:right w:val="single" w:sz="4" w:space="0" w:color="auto"/>
            </w:tcBorders>
            <w:vAlign w:val="center"/>
            <w:hideMark/>
          </w:tcPr>
          <w:p>
            <w:pPr>
              <w:rPr>
                <w:b/>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cantSplit/>
        </w:trPr>
        <w:tc>
          <w:tcPr>
            <w:tcW w:w="1333" w:type="dxa"/>
            <w:tcBorders>
              <w:top w:val="single" w:sz="4" w:space="0" w:color="auto"/>
              <w:left w:val="nil"/>
              <w:bottom w:val="nil"/>
              <w:right w:val="single" w:sz="4" w:space="0" w:color="auto"/>
            </w:tcBorders>
            <w:hideMark/>
          </w:tcPr>
          <w:p>
            <w:pPr>
              <w:tabs>
                <w:tab w:val="center" w:pos="609"/>
                <w:tab w:val="right" w:pos="1219"/>
              </w:tabs>
              <w:rPr>
                <w:szCs w:val="24"/>
                <w:lang w:eastAsia="lt-LT"/>
              </w:rPr>
            </w:pPr>
            <w:r>
              <w:rPr>
                <w:szCs w:val="24"/>
                <w:lang w:eastAsia="lt-LT"/>
              </w:rPr>
              <w:tab/>
              <w:tab/>
              <w:t>Iš viso</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Vienkartiniai</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cantSplit/>
          <w:trHeight w:val="214"/>
        </w:trPr>
        <w:tc>
          <w:tcPr>
            <w:tcW w:w="1333" w:type="dxa"/>
            <w:tcBorders>
              <w:top w:val="nil"/>
              <w:left w:val="nil"/>
              <w:bottom w:val="nil"/>
              <w:right w:val="single" w:sz="4" w:space="0" w:color="auto"/>
            </w:tcBorders>
          </w:tcPr>
          <w:p>
            <w:pPr>
              <w:rPr>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cantSplit/>
          <w:trHeight w:val="214"/>
        </w:trPr>
        <w:tc>
          <w:tcPr>
            <w:tcW w:w="1333" w:type="dxa"/>
            <w:tcBorders>
              <w:top w:val="nil"/>
              <w:left w:val="nil"/>
              <w:bottom w:val="nil"/>
              <w:right w:val="single" w:sz="4" w:space="0" w:color="auto"/>
            </w:tcBorders>
          </w:tcPr>
          <w:p>
            <w:pPr>
              <w:rPr>
                <w:szCs w:val="24"/>
                <w:lang w:eastAsia="lt-LT"/>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 xml:space="preserve">Terminuoti vardiniai </w:t>
            </w: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50</w:t>
            </w:r>
          </w:p>
        </w:tc>
        <w:tc>
          <w:tcPr>
            <w:tcW w:w="1418"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cantSplit/>
          <w:trHeight w:val="70"/>
        </w:trPr>
        <w:tc>
          <w:tcPr>
            <w:tcW w:w="1333" w:type="dxa"/>
            <w:tcBorders>
              <w:top w:val="nil"/>
              <w:left w:val="nil"/>
              <w:bottom w:val="nil"/>
              <w:right w:val="single" w:sz="4" w:space="0" w:color="auto"/>
            </w:tcBorders>
          </w:tcPr>
          <w:p>
            <w:pPr>
              <w:rPr>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pPr>
              <w:rPr>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hideMark/>
          </w:tcPr>
          <w:p>
            <w:pPr>
              <w:jc w:val="center"/>
              <w:rPr>
                <w:szCs w:val="24"/>
                <w:lang w:eastAsia="lt-LT"/>
              </w:rPr>
            </w:pPr>
            <w:r>
              <w:rPr>
                <w:szCs w:val="24"/>
                <w:lang w:eastAsia="lt-LT"/>
              </w:rPr>
              <w:t>80</w:t>
            </w:r>
          </w:p>
        </w:tc>
        <w:tc>
          <w:tcPr>
            <w:tcW w:w="1418"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pPr>
              <w:rPr>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pPr>
              <w:rPr>
                <w:b/>
                <w:szCs w:val="24"/>
                <w:lang w:eastAsia="lt-LT"/>
              </w:rPr>
            </w:pPr>
          </w:p>
        </w:tc>
      </w:tr>
      <w:tr>
        <w:trPr>
          <w:cantSplit/>
        </w:trPr>
        <w:tc>
          <w:tcPr>
            <w:tcW w:w="1333" w:type="dxa"/>
            <w:tcBorders>
              <w:top w:val="nil"/>
              <w:left w:val="nil"/>
              <w:bottom w:val="nil"/>
              <w:right w:val="nil"/>
            </w:tcBorders>
          </w:tcPr>
          <w:p>
            <w:pPr>
              <w:rPr>
                <w:b/>
                <w:szCs w:val="24"/>
                <w:lang w:eastAsia="lt-LT"/>
              </w:rPr>
            </w:pPr>
          </w:p>
        </w:tc>
        <w:tc>
          <w:tcPr>
            <w:tcW w:w="1418" w:type="dxa"/>
            <w:tcBorders>
              <w:top w:val="single" w:sz="4" w:space="0" w:color="auto"/>
              <w:left w:val="nil"/>
              <w:bottom w:val="nil"/>
              <w:right w:val="nil"/>
            </w:tcBorders>
          </w:tcPr>
          <w:p>
            <w:pPr>
              <w:rPr>
                <w:szCs w:val="24"/>
                <w:lang w:eastAsia="lt-LT"/>
              </w:rPr>
            </w:pPr>
          </w:p>
        </w:tc>
        <w:tc>
          <w:tcPr>
            <w:tcW w:w="1275" w:type="dxa"/>
            <w:tcBorders>
              <w:top w:val="single" w:sz="4" w:space="0" w:color="auto"/>
              <w:left w:val="nil"/>
              <w:bottom w:val="nil"/>
              <w:right w:val="nil"/>
            </w:tcBorders>
          </w:tcPr>
          <w:p>
            <w:pPr>
              <w:jc w:val="center"/>
              <w:rPr>
                <w:szCs w:val="24"/>
                <w:lang w:eastAsia="lt-LT"/>
              </w:rPr>
            </w:pPr>
          </w:p>
        </w:tc>
        <w:tc>
          <w:tcPr>
            <w:tcW w:w="1418" w:type="dxa"/>
            <w:tcBorders>
              <w:top w:val="single" w:sz="4" w:space="0" w:color="auto"/>
              <w:left w:val="nil"/>
              <w:bottom w:val="nil"/>
              <w:right w:val="nil"/>
            </w:tcBorders>
          </w:tcPr>
          <w:p>
            <w:pPr>
              <w:rPr>
                <w:szCs w:val="24"/>
                <w:lang w:eastAsia="lt-LT"/>
              </w:rPr>
            </w:pPr>
          </w:p>
        </w:tc>
        <w:tc>
          <w:tcPr>
            <w:tcW w:w="1417" w:type="dxa"/>
            <w:tcBorders>
              <w:top w:val="single" w:sz="4" w:space="0" w:color="auto"/>
              <w:left w:val="nil"/>
              <w:bottom w:val="nil"/>
              <w:right w:val="single" w:sz="4" w:space="0" w:color="auto"/>
            </w:tcBorders>
            <w:hideMark/>
          </w:tcPr>
          <w:p>
            <w:pPr>
              <w:jc w:val="right"/>
              <w:rPr>
                <w:szCs w:val="24"/>
                <w:lang w:eastAsia="lt-LT"/>
              </w:rPr>
            </w:pPr>
            <w:r>
              <w:rPr>
                <w:szCs w:val="24"/>
                <w:lang w:eastAsia="lt-LT"/>
              </w:rPr>
              <w:t>Iš viso</w:t>
            </w:r>
          </w:p>
        </w:tc>
        <w:tc>
          <w:tcPr>
            <w:tcW w:w="2410" w:type="dxa"/>
            <w:tcBorders>
              <w:top w:val="single" w:sz="4" w:space="0" w:color="auto"/>
              <w:left w:val="single" w:sz="4" w:space="0" w:color="auto"/>
              <w:bottom w:val="single" w:sz="4" w:space="0" w:color="auto"/>
              <w:right w:val="single" w:sz="4" w:space="0" w:color="auto"/>
            </w:tcBorders>
          </w:tcPr>
          <w:p>
            <w:pPr>
              <w:rPr>
                <w:szCs w:val="24"/>
                <w:lang w:eastAsia="lt-LT"/>
              </w:rPr>
            </w:pPr>
          </w:p>
        </w:tc>
      </w:tr>
    </w:tbl>
    <w:p>
      <w:pPr>
        <w:jc w:val="both"/>
        <w:rPr>
          <w:lang w:eastAsia="lt-LT"/>
        </w:rPr>
      </w:pPr>
    </w:p>
    <w:p>
      <w:pPr>
        <w:tabs>
          <w:tab w:val="left" w:pos="5387"/>
          <w:tab w:val="left" w:pos="7371"/>
        </w:tabs>
        <w:jc w:val="both"/>
        <w:rPr>
          <w:szCs w:val="24"/>
          <w:lang w:eastAsia="lt-LT"/>
        </w:rPr>
      </w:pPr>
      <w:r>
        <w:rPr>
          <w:szCs w:val="24"/>
          <w:lang w:eastAsia="lt-LT"/>
        </w:rPr>
        <w:t>(Įmonės vadovo pareigų pavadinimas)</w:t>
        <w:tab/>
        <w:t>(Parašas)</w:t>
        <w:tab/>
        <w:t>(Vardas ir pavardė)</w:t>
      </w:r>
    </w:p>
    <w:p>
      <w:pPr>
        <w:jc w:val="both"/>
        <w:rPr>
          <w:sz w:val="22"/>
          <w:szCs w:val="22"/>
          <w:lang w:val="lv-LV" w:eastAsia="lt-LT"/>
        </w:rPr>
      </w:pPr>
    </w:p>
    <w:p>
      <w:pPr>
        <w:jc w:val="both"/>
        <w:rPr>
          <w:sz w:val="22"/>
          <w:szCs w:val="22"/>
          <w:lang w:val="lv-LV" w:eastAsia="lt-LT"/>
        </w:rPr>
      </w:pPr>
    </w:p>
    <w:p>
      <w:pPr>
        <w:tabs>
          <w:tab w:val="left" w:pos="5387"/>
          <w:tab w:val="left" w:pos="7371"/>
        </w:tabs>
        <w:jc w:val="both"/>
        <w:rPr>
          <w:szCs w:val="24"/>
          <w:lang w:eastAsia="lt-LT"/>
        </w:rPr>
      </w:pPr>
      <w:r>
        <w:rPr>
          <w:szCs w:val="24"/>
          <w:lang w:eastAsia="lt-LT"/>
        </w:rPr>
        <w:t>(Įmonės vyriausiasis finansininkas (buhalteris)</w:t>
        <w:tab/>
        <w:t>(Parašas)</w:t>
        <w:tab/>
        <w:t>(Vardas ir pavardė)</w:t>
      </w:r>
    </w:p>
    <w:p>
      <w:pPr>
        <w:jc w:val="both"/>
        <w:rPr>
          <w:lang w:eastAsia="lt-LT"/>
        </w:rPr>
      </w:pPr>
    </w:p>
    <w:p>
      <w:pPr>
        <w:tabs>
          <w:tab w:val="left" w:pos="6237"/>
          <w:tab w:val="right" w:pos="8306"/>
        </w:tabs>
        <w:jc w:val="center"/>
      </w:pP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FCFFA57509">
        <w:r w:rsidRPr="00532B9F">
          <w:rPr>
            <w:rFonts w:ascii="Times New Roman" w:eastAsia="MS Mincho" w:hAnsi="Times New Roman"/>
            <w:sz w:val="20"/>
            <w:i/>
            <w:iCs/>
            <w:color w:val="0000FF" w:themeColor="hyperlink"/>
            <w:u w:val="single"/>
          </w:rPr>
          <w:t>1078</w:t>
        </w:r>
      </w:fldSimple>
      <w:r>
        <w:rPr>
          <w:rFonts w:ascii="Times New Roman" w:eastAsia="MS Mincho" w:hAnsi="Times New Roman"/>
          <w:sz w:val="20"/>
          <w:i/>
          <w:iCs/>
        </w:rPr>
        <w:t>,
2002-07-08,
Žin., 2002, Nr.
71-2986 (2002-07-12), i. k. 1021100NUTA00001078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7291D8C91AE">
        <w:r w:rsidRPr="00532B9F">
          <w:rPr>
            <w:rFonts w:ascii="Times New Roman" w:eastAsia="MS Mincho" w:hAnsi="Times New Roman"/>
            <w:sz w:val="20"/>
            <w:i/>
            <w:iCs/>
            <w:color w:val="0000FF" w:themeColor="hyperlink"/>
            <w:u w:val="single"/>
          </w:rPr>
          <w:t>700</w:t>
        </w:r>
      </w:fldSimple>
      <w:r>
        <w:rPr>
          <w:rFonts w:ascii="Times New Roman" w:eastAsia="MS Mincho" w:hAnsi="Times New Roman"/>
          <w:sz w:val="20"/>
          <w:i/>
          <w:iCs/>
        </w:rPr>
        <w:t>,
2003-06-03,
Žin., 2003, Nr.
55-2440 (2003-06-06), i. k. 1031100NUTA00000700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F6761B9ED1">
        <w:r w:rsidRPr="00532B9F">
          <w:rPr>
            <w:rFonts w:ascii="Times New Roman" w:eastAsia="MS Mincho" w:hAnsi="Times New Roman"/>
            <w:sz w:val="20"/>
            <w:i/>
            <w:iCs/>
            <w:color w:val="0000FF" w:themeColor="hyperlink"/>
            <w:u w:val="single"/>
          </w:rPr>
          <w:t>13</w:t>
        </w:r>
      </w:fldSimple>
      <w:r>
        <w:rPr>
          <w:rFonts w:ascii="Times New Roman" w:eastAsia="MS Mincho" w:hAnsi="Times New Roman"/>
          <w:sz w:val="20"/>
          <w:i/>
          <w:iCs/>
        </w:rPr>
        <w:t>,
2007-01-05,
Žin., 2007, Nr.
4-165 (2007-01-11), i. k. 1071100NUTA00000013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3A6C1D56FC">
        <w:r w:rsidRPr="00532B9F">
          <w:rPr>
            <w:rFonts w:ascii="Times New Roman" w:eastAsia="MS Mincho" w:hAnsi="Times New Roman"/>
            <w:sz w:val="20"/>
            <w:i/>
            <w:iCs/>
            <w:color w:val="0000FF" w:themeColor="hyperlink"/>
            <w:u w:val="single"/>
          </w:rPr>
          <w:t>112</w:t>
        </w:r>
      </w:fldSimple>
      <w:r>
        <w:rPr>
          <w:rFonts w:ascii="Times New Roman" w:eastAsia="MS Mincho" w:hAnsi="Times New Roman"/>
          <w:sz w:val="20"/>
          <w:i/>
          <w:iCs/>
        </w:rPr>
        <w:t>,
2008-02-06,
Žin., 2008, Nr.
20-736 (2008-02-19), i. k. 1081100NUTA00000112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e35030e9e211e59b23c9576935ca23">
        <w:r w:rsidRPr="00532B9F">
          <w:rPr>
            <w:rFonts w:ascii="Times New Roman" w:eastAsia="MS Mincho" w:hAnsi="Times New Roman"/>
            <w:sz w:val="20"/>
            <w:i/>
            <w:iCs/>
            <w:color w:val="0000FF" w:themeColor="hyperlink"/>
            <w:u w:val="single"/>
          </w:rPr>
          <w:t>213</w:t>
        </w:r>
      </w:fldSimple>
      <w:r>
        <w:rPr>
          <w:rFonts w:ascii="Times New Roman" w:eastAsia="MS Mincho" w:hAnsi="Times New Roman"/>
          <w:sz w:val="20"/>
          <w:i/>
          <w:iCs/>
        </w:rPr>
        <w:t>,
2016-03-09,
paskelbta TAR 2016-03-14, i. k. 2016-04647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440CBA2DE02">
        <w:r w:rsidRPr="00532B9F">
          <w:rPr>
            <w:rFonts w:ascii="Times New Roman" w:eastAsia="MS Mincho" w:hAnsi="Times New Roman"/>
            <w:sz w:val="20"/>
            <w:iCs/>
            <w:color w:val="0000FF" w:themeColor="hyperlink"/>
            <w:u w:val="single"/>
          </w:rPr>
          <w:t>361</w:t>
        </w:r>
      </w:fldSimple>
      <w:r>
        <w:rPr>
          <w:rFonts w:ascii="Times New Roman" w:eastAsia="MS Mincho" w:hAnsi="Times New Roman"/>
          <w:sz w:val="20"/>
          <w:iCs/>
        </w:rPr>
        <w:t>,
2001-03-30,
Žin., 2001, Nr.
30-974 (2001-04-06), i. k. 1011100NUTA00000361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19FCFFA57509">
        <w:r w:rsidRPr="00532B9F">
          <w:rPr>
            <w:rFonts w:ascii="Times New Roman" w:eastAsia="MS Mincho" w:hAnsi="Times New Roman"/>
            <w:sz w:val="20"/>
            <w:iCs/>
            <w:color w:val="0000FF" w:themeColor="hyperlink"/>
            <w:u w:val="single"/>
          </w:rPr>
          <w:t>1078</w:t>
        </w:r>
      </w:fldSimple>
      <w:r>
        <w:rPr>
          <w:rFonts w:ascii="Times New Roman" w:eastAsia="MS Mincho" w:hAnsi="Times New Roman"/>
          <w:sz w:val="20"/>
          <w:iCs/>
        </w:rPr>
        <w:t>,
2002-07-08,
Žin., 2002, Nr.
71-2986 (2002-07-12), i. k. 1021100NUTA00001078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7291D8C91AE">
        <w:r w:rsidRPr="00532B9F">
          <w:rPr>
            <w:rFonts w:ascii="Times New Roman" w:eastAsia="MS Mincho" w:hAnsi="Times New Roman"/>
            <w:sz w:val="20"/>
            <w:iCs/>
            <w:color w:val="0000FF" w:themeColor="hyperlink"/>
            <w:u w:val="single"/>
          </w:rPr>
          <w:t>700</w:t>
        </w:r>
      </w:fldSimple>
      <w:r>
        <w:rPr>
          <w:rFonts w:ascii="Times New Roman" w:eastAsia="MS Mincho" w:hAnsi="Times New Roman"/>
          <w:sz w:val="20"/>
          <w:iCs/>
        </w:rPr>
        <w:t>,
2003-06-03,
Žin., 2003, Nr.
55-2440 (2003-06-06), i. k. 1031100NUTA00000700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0921D66611F">
        <w:r w:rsidRPr="00532B9F">
          <w:rPr>
            <w:rFonts w:ascii="Times New Roman" w:eastAsia="MS Mincho" w:hAnsi="Times New Roman"/>
            <w:sz w:val="20"/>
            <w:iCs/>
            <w:color w:val="0000FF" w:themeColor="hyperlink"/>
            <w:u w:val="single"/>
          </w:rPr>
          <w:t>1286</w:t>
        </w:r>
      </w:fldSimple>
      <w:r>
        <w:rPr>
          <w:rFonts w:ascii="Times New Roman" w:eastAsia="MS Mincho" w:hAnsi="Times New Roman"/>
          <w:sz w:val="20"/>
          <w:iCs/>
        </w:rPr>
        <w:t>,
2003-10-14,
Žin., 2003, Nr.
98-4412 (2003-10-17), i. k. 1031100NUTA00001286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8F6761B9ED1">
        <w:r w:rsidRPr="00532B9F">
          <w:rPr>
            <w:rFonts w:ascii="Times New Roman" w:eastAsia="MS Mincho" w:hAnsi="Times New Roman"/>
            <w:sz w:val="20"/>
            <w:iCs/>
            <w:color w:val="0000FF" w:themeColor="hyperlink"/>
            <w:u w:val="single"/>
          </w:rPr>
          <w:t>13</w:t>
        </w:r>
      </w:fldSimple>
      <w:r>
        <w:rPr>
          <w:rFonts w:ascii="Times New Roman" w:eastAsia="MS Mincho" w:hAnsi="Times New Roman"/>
          <w:sz w:val="20"/>
          <w:iCs/>
        </w:rPr>
        <w:t>,
2007-01-05,
Žin., 2007, Nr.
4-165 (2007-01-11), i. k. 1071100NUTA00000013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83A6C1D56FC">
        <w:r w:rsidRPr="00532B9F">
          <w:rPr>
            <w:rFonts w:ascii="Times New Roman" w:eastAsia="MS Mincho" w:hAnsi="Times New Roman"/>
            <w:sz w:val="20"/>
            <w:iCs/>
            <w:color w:val="0000FF" w:themeColor="hyperlink"/>
            <w:u w:val="single"/>
          </w:rPr>
          <w:t>112</w:t>
        </w:r>
      </w:fldSimple>
      <w:r>
        <w:rPr>
          <w:rFonts w:ascii="Times New Roman" w:eastAsia="MS Mincho" w:hAnsi="Times New Roman"/>
          <w:sz w:val="20"/>
          <w:iCs/>
        </w:rPr>
        <w:t>,
2008-02-06,
Žin., 2008, Nr.
20-736 (2008-02-19), i. k. 1081100NUTA00000112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D2B80E19814">
        <w:r w:rsidRPr="00532B9F">
          <w:rPr>
            <w:rFonts w:ascii="Times New Roman" w:eastAsia="MS Mincho" w:hAnsi="Times New Roman"/>
            <w:sz w:val="20"/>
            <w:iCs/>
            <w:color w:val="0000FF" w:themeColor="hyperlink"/>
            <w:u w:val="single"/>
          </w:rPr>
          <w:t>1252</w:t>
        </w:r>
      </w:fldSimple>
      <w:r>
        <w:rPr>
          <w:rFonts w:ascii="Times New Roman" w:eastAsia="MS Mincho" w:hAnsi="Times New Roman"/>
          <w:sz w:val="20"/>
          <w:iCs/>
        </w:rPr>
        <w:t>,
2008-11-24,
Žin., 2008, Nr.
140-5548 (2008-12-06), i. k. 1081100NUTA00001252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be35030e9e211e59b23c9576935ca23">
        <w:r w:rsidRPr="00532B9F">
          <w:rPr>
            <w:rFonts w:ascii="Times New Roman" w:eastAsia="MS Mincho" w:hAnsi="Times New Roman"/>
            <w:sz w:val="20"/>
            <w:iCs/>
            <w:color w:val="0000FF" w:themeColor="hyperlink"/>
            <w:u w:val="single"/>
          </w:rPr>
          <w:t>213</w:t>
        </w:r>
      </w:fldSimple>
      <w:r>
        <w:rPr>
          <w:rFonts w:ascii="Times New Roman" w:eastAsia="MS Mincho" w:hAnsi="Times New Roman"/>
          <w:sz w:val="20"/>
          <w:iCs/>
        </w:rPr>
        <w:t>,
2016-03-09,
paskelbta TAR 2016-03-14, i. k. 2016-04647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4122c00d38b11e98c12b3138b15576c">
        <w:r w:rsidRPr="00532B9F">
          <w:rPr>
            <w:rFonts w:ascii="Times New Roman" w:eastAsia="MS Mincho" w:hAnsi="Times New Roman"/>
            <w:sz w:val="20"/>
            <w:iCs/>
            <w:color w:val="0000FF" w:themeColor="hyperlink"/>
            <w:u w:val="single"/>
          </w:rPr>
          <w:t>921</w:t>
        </w:r>
      </w:fldSimple>
      <w:r>
        <w:rPr>
          <w:rFonts w:ascii="Times New Roman" w:eastAsia="MS Mincho" w:hAnsi="Times New Roman"/>
          <w:sz w:val="20"/>
          <w:iCs/>
        </w:rPr>
        <w:t>,
2019-08-28,
paskelbta TAR 2019-09-10, i. k. 2019-14370                </w:t>
      </w:r>
    </w:p>
    <w:p>
      <w:pPr>
        <w:jc w:val="both"/>
        <w:rPr>
          <w:rFonts w:ascii="Times New Roman" w:hAnsi="Times New Roman"/>
        </w:rPr>
      </w:pPr>
      <w:r>
        <w:rPr>
          <w:rFonts w:ascii="Times New Roman" w:hAnsi="Times New Roman"/>
          <w:sz w:val="20"/>
        </w:rPr>
        <w:t>Dėl Lietuvos Respublikos Vyriausybės 2000 m. balandžio 28 d. nutarimo Nr. 478 „Dėl Lietuvos Respublikos transporto lengvatų įstatymo įgyvendinimo“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720"/>
      <w:titlePg/>
      <w:docGrid w:linePitch="299"/>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2</w:t>
    </w:r>
    <w:r>
      <w:rPr>
        <w:sz w:val="22"/>
        <w:szCs w:val="22"/>
        <w:lang w:val="en-US"/>
      </w:rPr>
      <w:fldChar w:fldCharType="end"/>
    </w:r>
  </w:p>
  <w:p>
    <w:pPr>
      <w:tabs>
        <w:tab w:val="center" w:pos="4819"/>
        <w:tab w:val="right" w:pos="9638"/>
      </w:tabs>
      <w:rPr>
        <w:sz w:val="22"/>
        <w:szCs w:val="22"/>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58F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9</Pages>
  <Words>11051</Words>
  <Characters>6300</Characters>
  <Application>Microsoft Office Word</Application>
  <DocSecurity>0</DocSecurity>
  <Lines>52</Lines>
  <Paragraphs>34</Paragraphs>
  <ScaleCrop>false</ScaleCrop>
  <Company/>
  <LinksUpToDate>false</LinksUpToDate>
  <CharactersWithSpaces>17317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2015-06-23T23:15:00Z</dcterms:created>
  <dc:creator>User</dc:creator>
  <lastModifiedBy>BODIN Aušra</lastModifiedBy>
  <dcterms:modified xsi:type="dcterms:W3CDTF">2019-09-11T07:28:00Z</dcterms:modified>
  <revision>14</revision>
</coreProperties>
</file>