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2014-03-01 iki 2019-01-25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2B88BD021FCB">
        <w:r w:rsidRPr="00532B9F">
          <w:rPr>
            <w:rFonts w:ascii="Times New Roman" w:eastAsia="MS Mincho" w:hAnsi="Times New Roman"/>
            <w:sz w:val="20"/>
            <w:i/>
            <w:iCs/>
            <w:color w:val="0000FF" w:themeColor="hyperlink"/>
            <w:u w:val="single"/>
          </w:rPr>
          <w:t>16-780</w:t>
        </w:r>
      </w:fldSimple>
      <w:r>
        <w:rPr>
          <w:rFonts w:ascii="Times New Roman" w:eastAsia="MS Mincho" w:hAnsi="Times New Roman"/>
          <w:sz w:val="20"/>
          <w:i/>
          <w:iCs/>
        </w:rPr>
        <w:t>, i. k. 1131100NUTA00000108</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caps/>
        </w:rPr>
      </w:pPr>
      <w: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15" o:title=""/>
          </v:shape>
          <w:control r:id="rId16" w:name="Control 3" w:shapeid="_x0000_s1027"/>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 xml:space="preserve">Dėl </w:t>
      </w:r>
      <w:r>
        <w:rPr>
          <w:b/>
        </w:rPr>
        <w:t>KRIMINALINĖS ŽVALGYBOS SUBJEKTŲ SĄRAŠO PATVIRTINIMO IR JŲ KRIMINALINĖS ŽVALGYBOS MASTO NUSTATYMO</w:t>
      </w:r>
    </w:p>
    <w:p/>
    <w:p>
      <w:pPr>
        <w:jc w:val="center"/>
        <w:rPr>
          <w:color w:val="000000"/>
        </w:rPr>
      </w:pPr>
      <w:r>
        <w:t>2013 m. vasario 6 d.</w:t>
      </w:r>
      <w:r>
        <w:rPr>
          <w:color w:val="000000"/>
        </w:rPr>
        <w:t xml:space="preserve"> Nr. </w:t>
      </w:r>
      <w:r>
        <w:t>108</w:t>
      </w:r>
    </w:p>
    <w:p>
      <w:pPr>
        <w:jc w:val="center"/>
        <w:rPr>
          <w:color w:val="000000"/>
        </w:rPr>
      </w:pPr>
      <w:r>
        <w:rPr>
          <w:color w:val="000000"/>
        </w:rPr>
        <w:t>Vilnius</w:t>
      </w:r>
    </w:p>
    <w:p>
      <w:pPr>
        <w:jc w:val="center"/>
        <w:rPr>
          <w:color w:val="000000"/>
        </w:rPr>
      </w:pPr>
    </w:p>
    <w:p>
      <w:pPr>
        <w:ind w:firstLine="567"/>
        <w:jc w:val="both"/>
      </w:pPr>
      <w:r>
        <w:t xml:space="preserve">Vadovaudamasi Lietuvos Respublikos kriminalinės žvalgybos įstatymo (Žin., 2012, Nr. </w:t>
      </w:r>
      <w:hyperlink r:id="rId17" w:tgtFrame="_blank" w:history="1">
        <w:r>
          <w:rPr>
            <w:bCs/>
            <w:color w:val="0000FF"/>
            <w:u w:val="single"/>
          </w:rPr>
          <w:t>122-6093</w:t>
        </w:r>
      </w:hyperlink>
      <w:r>
        <w:t>) 2 straipsnio 12 dalimi, Lietuvos Respublikos Vyriausybė</w:t>
      </w:r>
      <w:r>
        <w:rPr>
          <w:spacing w:val="100"/>
        </w:rPr>
        <w:t xml:space="preserve"> nutaria</w:t>
      </w:r>
      <w:r>
        <w:t>:</w:t>
      </w:r>
    </w:p>
    <w:p>
      <w:pPr>
        <w:ind w:firstLine="567"/>
        <w:jc w:val="both"/>
      </w:pPr>
      <w:r>
        <w:t>1</w:t>
      </w:r>
      <w:r>
        <w:t>. Patvirtinti šį kriminalinės žvalgybos subjektų sąrašą:</w:t>
      </w:r>
    </w:p>
    <w:p>
      <w:pPr>
        <w:ind w:firstLine="567"/>
        <w:jc w:val="both"/>
      </w:pPr>
      <w:r>
        <w:t>1.1</w:t>
      </w:r>
      <w:r>
        <w:t xml:space="preserve">. Policijos departamento prie Vidaus reikalų ministerijos kriminalinę žvalgybą įgalioti vykdyti padaliniai; </w:t>
      </w:r>
    </w:p>
    <w:p>
      <w:pPr>
        <w:ind w:firstLine="567"/>
        <w:jc w:val="both"/>
      </w:pPr>
      <w:r>
        <w:t>1.2</w:t>
      </w:r>
      <w:r>
        <w:t>. Lietuvos kriminalinės policijos biuro ir teritorinių policijos įstaigų kriminalinę žvalgybą įgalioti vykdyti padaliniai;</w:t>
      </w:r>
    </w:p>
    <w:p>
      <w:pPr>
        <w:ind w:firstLine="567"/>
        <w:jc w:val="both"/>
      </w:pPr>
      <w:r>
        <w:t>1.3</w:t>
      </w:r>
      <w:r>
        <w:t>. Valstybės sienos apsaugos tarnybos prie Vidaus reikalų ministerijos kriminalinę žvalgybą įgalioti vykdyti padaliniai;</w:t>
      </w:r>
    </w:p>
    <w:p>
      <w:pPr>
        <w:ind w:firstLine="567"/>
        <w:jc w:val="both"/>
      </w:pPr>
      <w:r>
        <w:t>1.4</w:t>
      </w:r>
      <w:r>
        <w:t>. Vadovybės apsaugos departamento prie Vidaus reikalų ministerijos kriminalinę žvalgybą įgalioti vykdyti padaliniai;</w:t>
      </w:r>
    </w:p>
    <w:p>
      <w:pPr>
        <w:ind w:firstLine="567"/>
        <w:jc w:val="both"/>
      </w:pPr>
      <w:r>
        <w:t>1.5</w:t>
      </w:r>
      <w:r>
        <w:t xml:space="preserve">. Finansinių nusikaltimų tyrimo tarnybos prie Vidaus reikalų ministerijos kriminalinę žvalgybą įgalioti vykdyti padaliniai; </w:t>
      </w:r>
    </w:p>
    <w:p>
      <w:pPr>
        <w:ind w:firstLine="567"/>
        <w:jc w:val="both"/>
      </w:pPr>
      <w:r>
        <w:t>1.6</w:t>
      </w:r>
      <w:r>
        <w:t>. Muitinės departamento prie Finansų ministerijos ir Muitinės kriminalinės tarnybos kriminalinę žvalgybą įgalioti vykdyti padaliniai;</w:t>
      </w:r>
    </w:p>
    <w:p>
      <w:pPr>
        <w:ind w:firstLine="567"/>
        <w:jc w:val="both"/>
        <w:rPr>
          <w:i/>
        </w:rPr>
      </w:pPr>
      <w:r>
        <w:t>1.7</w:t>
      </w:r>
      <w:r>
        <w:t>. Specialiųjų tyrimų tarnybos kriminalinę žvalgybą įgalioti vykdyti padaliniai.</w:t>
      </w:r>
    </w:p>
    <w:p>
      <w:pPr>
        <w:tabs>
          <w:tab w:val="left" w:pos="1080"/>
        </w:tabs>
        <w:ind w:firstLine="567"/>
        <w:jc w:val="both"/>
        <w:rPr>
          <w:i/>
        </w:rPr>
      </w:pPr>
      <w:r>
        <w:rPr>
          <w:szCs w:val="24"/>
          <w:lang w:eastAsia="lt-LT"/>
        </w:rPr>
        <w:t>1.8</w:t>
      </w:r>
      <w:r>
        <w:rPr>
          <w:szCs w:val="24"/>
          <w:lang w:eastAsia="lt-LT"/>
        </w:rPr>
        <w:t>. Kalėjimų departamento prie Teisingumo ministerijos ir laisvės atėmimo vietų kriminalinę žvalgybą įgalioti vykdyti padaliniai.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7d03d09d4a11e3a4affcaaa513aa57">
        <w:r w:rsidRPr="00532B9F">
          <w:rPr>
            <w:rFonts w:ascii="Times New Roman" w:eastAsia="MS Mincho" w:hAnsi="Times New Roman"/>
            <w:sz w:val="20"/>
            <w:i/>
            <w:iCs/>
            <w:color w:val="0000FF" w:themeColor="hyperlink"/>
            <w:u w:val="single"/>
          </w:rPr>
          <w:t>167</w:t>
        </w:r>
      </w:fldSimple>
      <w:r>
        <w:rPr>
          <w:rFonts w:ascii="Times New Roman" w:eastAsia="MS Mincho" w:hAnsi="Times New Roman"/>
          <w:sz w:val="20"/>
          <w:i/>
          <w:iCs/>
        </w:rPr>
        <w:t>,
2014-02-19,
paskelbta TAR 2014-02-24, i. k. 2014-01991        </w:t>
      </w:r>
    </w:p>
    <w:p/>
    <w:p>
      <w:pPr>
        <w:ind w:firstLine="567"/>
        <w:jc w:val="both"/>
      </w:pPr>
      <w:r>
        <w:t>2</w:t>
      </w:r>
      <w:r>
        <w:t>. Nustatyti, kad kriminalinės žvalgybos subjektų teises ir pareigas taip pat turi:</w:t>
      </w:r>
    </w:p>
    <w:p>
      <w:pPr>
        <w:ind w:firstLine="567"/>
        <w:jc w:val="both"/>
      </w:pPr>
      <w:r>
        <w:t>2.1</w:t>
      </w:r>
      <w:r>
        <w:t>. Antrojo operatyvinių tarnybų departamento prie Krašto apsaugos ministerijos kriminalinę žvalgybą įgalioti vykdyti padaliniai;</w:t>
      </w:r>
    </w:p>
    <w:p>
      <w:pPr>
        <w:ind w:firstLine="567"/>
        <w:jc w:val="both"/>
      </w:pPr>
      <w:r>
        <w:t>2.2</w:t>
      </w:r>
      <w:r>
        <w:t>. Valstybės saugumo departamento kriminalinę žvalgybą įgalioti vykdyti padaliniai.</w:t>
      </w:r>
    </w:p>
    <w:p>
      <w:pPr>
        <w:ind w:firstLine="567"/>
        <w:jc w:val="both"/>
      </w:pPr>
      <w:r>
        <w:t>3</w:t>
      </w:r>
      <w:r>
        <w:t>. Nustatyti 1 ir 2 punktuose nurodytiems padaliniams šį kriminalinės žvalgybos mastą:</w:t>
      </w:r>
    </w:p>
    <w:p>
      <w:pPr>
        <w:ind w:firstLine="567"/>
        <w:jc w:val="both"/>
      </w:pPr>
      <w:r>
        <w:t>3.1</w:t>
      </w:r>
      <w:r>
        <w:t>. Policijos departamento prie Vidaus reikalų ministerijos kriminalinę žvalgybą įgaliotiems vykdyti padaliniams pagal kompetenciją – užkardant rengiamas, tiriant daromas ar padarytas Policijos departamento prie Vidaus reikalų ministerijos ir jam pavaldžių įstaigų statutinių ar kitų valstybės tarnautojų</w:t>
      </w:r>
      <w:r>
        <w:rPr>
          <w:b/>
        </w:rPr>
        <w:t xml:space="preserve"> </w:t>
      </w:r>
      <w:r>
        <w:t>ir darbuotojų nusikalstamas veikas,</w:t>
      </w:r>
      <w:r>
        <w:rPr>
          <w:b/>
        </w:rPr>
        <w:t xml:space="preserve"> </w:t>
      </w:r>
      <w:r>
        <w:rPr>
          <w:bCs/>
        </w:rPr>
        <w:t>taip pat užkardant prieš šiuos asmenis rengiamas, tiriant daromas ar padarytas nusikalstamas veikas,</w:t>
      </w:r>
      <w:r>
        <w:t xml:space="preserve"> naudotis visomis kriminalinės žvalgybos subjektų teisėmis ir vykdyti kriminalinės žvalgybos subjektų pareigas;</w:t>
      </w:r>
    </w:p>
    <w:p>
      <w:pPr>
        <w:ind w:firstLine="567"/>
        <w:jc w:val="both"/>
      </w:pPr>
      <w:r>
        <w:t>3.2</w:t>
      </w:r>
      <w:r>
        <w:t>. Lietuvos kriminalinės policijos biuro ir teritorinių policijos įstaigų kriminalinę žvalgybą įgaliotiems vykdyti padaliniams pagal kompetenciją – užkardant rengiamas, tiriant daromas ar padarytas nusikalstamas veikas, vykdant asmenų paiešką ir vykdant asmenų apsaugą nuo nusikalstamo poveikio, naudotis visomis kriminalinės žvalgybos subjektų teisėmis ir vykdyti kriminalinės žvalgybos subjektų pareigas;</w:t>
      </w:r>
    </w:p>
    <w:p>
      <w:pPr>
        <w:ind w:firstLine="567"/>
        <w:jc w:val="both"/>
      </w:pPr>
      <w:r>
        <w:t>3.3</w:t>
      </w:r>
      <w:r>
        <w:t xml:space="preserve">. Valstybės sienos apsaugos tarnybos prie Vidaus reikalų ministerijos kriminalinę žvalgybą įgaliotiems vykdyti padaliniams pagal kompetenciją – atliekant Lietuvos Respublikos valstybės sienos apsaugos tarnybos įstatyme (Žin., 2000, Nr. </w:t>
      </w:r>
      <w:hyperlink r:id="rId18" w:tgtFrame="_blank" w:history="1">
        <w:r>
          <w:rPr>
            <w:color w:val="0000FF"/>
            <w:u w:val="single"/>
          </w:rPr>
          <w:t>92-2848</w:t>
        </w:r>
      </w:hyperlink>
      <w:r>
        <w:t>) nustatytas pagrindines funkcijas, taip pat užkardant rengiamas, tiriant daromas ar padarytas Valstybės sienos apsaugos tarnybos prie Vidaus reikalų ministerijos statutinių ar kitų valstybės tarnautojų ir darbuotojų korupcinio pobūdžio nusikalstamas veikas, naudotis visomis kriminalinės žvalgybos subjektų teisėmis ir vykdyti kriminalinės žvalgybos subjektų pareigas;</w:t>
      </w:r>
    </w:p>
    <w:p>
      <w:pPr>
        <w:ind w:firstLine="567"/>
        <w:jc w:val="both"/>
      </w:pPr>
      <w:r>
        <w:t>3.4</w:t>
      </w:r>
      <w:r>
        <w:t>. Vadovybės apsaugos departamento prie Vidaus reikalų ministerijos kriminalinę žvalgybą įgaliotiems vykdyti padaliniams pagal kompetenciją – užkardant nusikalstamas veikas prieš saugomus asmenis ir objektus, užkardant rengiamas, tiriant daromas ar padarytas Vadovybės apsaugos departamento prie Vidaus reikalų ministerijos statutinių ar kitų valstybės tarnautojų ir darbuotojų korupcinio pobūdžio nusikalstamas veikas, naudotis visomis kriminalinės žvalgybos subjektų teisėmis ir vykdyti kriminalinės žvalgybos subjektų pareigas;</w:t>
      </w:r>
    </w:p>
    <w:p>
      <w:pPr>
        <w:ind w:firstLine="567"/>
        <w:jc w:val="both"/>
        <w:rPr>
          <w:i/>
        </w:rPr>
      </w:pPr>
      <w:r>
        <w:t>3.5</w:t>
      </w:r>
      <w:r>
        <w:t>. Finansinių nusikaltimų tyrimo tarnybos prie Vidaus reikalų ministerijos kriminalinę žvalgybą įgaliotiems vykdyti padaliniams pagal kompetenciją – užkardant rengiamas, tiriant daromas ar padarytas nusikalstamas veikas finansų sistemai, kitas nusikalstamas veikas, susijusias su mokesčiais, įmokomis į Valstybinio socialinio draudimo fondą ir kitus valstybės pinigų fondus, taip pat Finansinių nusikaltimų tyrimo tarnybos prie Vidaus reikalų ministerijos statutinių ar kitų valstybės tarnautojų ir darbuotojų korupcinio pobūdžio nusikalstamas veikas, naudotis visomis kriminalinės žvalgybos subjektų teisėmis ir vykdyti kriminalinės žvalgybos subjektų pareigas;</w:t>
      </w:r>
    </w:p>
    <w:p>
      <w:pPr>
        <w:ind w:firstLine="567"/>
        <w:jc w:val="both"/>
        <w:rPr>
          <w:i/>
        </w:rPr>
      </w:pPr>
      <w:r>
        <w:t>3.6</w:t>
      </w:r>
      <w:r>
        <w:t>. Muitinės departamento prie Finansų ministerijos ir Muitinės kriminalinės tarnybos kriminalinę žvalgybą įgaliotiems vykdyti padaliniams pagal kompetenciją – užkardant rengiamą, tiriant daromą ar padarytą kontrabandą ir kitas su muitinės veikla susijusias nusikalstamas veikas, muitinės statutinių ar kitų valstybės tarnautojų ir darbuotojų korupcinio pobūdžio nusikalstamas veikas, naudotis visomis kriminalinės žvalgybos subjektų teisėmis ir vykdyti kriminalinės žvalgybos subjektų pareigas;</w:t>
      </w:r>
    </w:p>
    <w:p>
      <w:pPr>
        <w:ind w:firstLine="567"/>
        <w:jc w:val="both"/>
      </w:pPr>
      <w:r>
        <w:t>3.7</w:t>
      </w:r>
      <w:r>
        <w:t xml:space="preserve">. Specialiųjų tyrimų tarnybos kriminalinę žvalgybą įgaliotiems vykdyti padaliniams pagal kompetenciją – užkardant rengiamas, tiriant daromas ar padarytas korupcinio pobūdžio nusikalstamas veikas, užkardant rengiamas, tiriant daromas ar padarytas Specialiųjų tyrimų tarnybos statutinių ar kitų valstybės tarnautojų ir darbuotojų nusikalstamas veikas, </w:t>
      </w:r>
      <w:r>
        <w:rPr>
          <w:bCs/>
        </w:rPr>
        <w:t xml:space="preserve">taip pat </w:t>
      </w:r>
      <w:r>
        <w:t>užtikrinant</w:t>
      </w:r>
      <w:r>
        <w:rPr>
          <w:bCs/>
        </w:rPr>
        <w:t xml:space="preserve"> Specialiųjų tyrimų tarnybos</w:t>
      </w:r>
      <w:r>
        <w:t xml:space="preserve"> kriminalinės žvalgybos subjektų vidaus saugumą, naudotis visomis kriminalinės žvalgybos subjektų teisėmis ir vykdyti kriminalinės žvalgybos subjektų pareigas;</w:t>
      </w:r>
    </w:p>
    <w:p>
      <w:pPr>
        <w:tabs>
          <w:tab w:val="left" w:pos="1260"/>
        </w:tabs>
        <w:ind w:firstLine="567"/>
        <w:jc w:val="both"/>
      </w:pPr>
      <w:r>
        <w:rPr>
          <w:szCs w:val="24"/>
          <w:lang w:eastAsia="lt-LT"/>
        </w:rPr>
        <w:t>3.8</w:t>
      </w:r>
      <w:r>
        <w:rPr>
          <w:szCs w:val="24"/>
          <w:lang w:eastAsia="lt-LT"/>
        </w:rPr>
        <w:t>. Kalėjimų departamento prie Teisingumo ministerijos ir laisvės atėmimo vietų kriminalinę žvalgybą įgaliotiems vykdyti padaliniams pagal jų kompetenciją – užkardant rengiamas, tiriant daromas ar padarytas nusikalstamas veikas laisvės atėmimo vietose, taip pat tiriant daromas ar padarytas Kalėjimų departamento prie Teisingumo ministerijos ir jam pavaldžių įstaigų ar įmonių pareigūnų ar kitų valstybės tarnautojų ir darbuotojų korupcinio pobūdžio nusikalstamas veikas ir vykdant asmenų apsaugą nuo nusikalstamo poveikio, naudotis visomis kriminalinės žvalgybos subjektų teisėmis ir vykdyti kriminalinės žvalgybos subjektų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7d03d09d4a11e3a4affcaaa513aa57">
        <w:r w:rsidRPr="00532B9F">
          <w:rPr>
            <w:rFonts w:ascii="Times New Roman" w:eastAsia="MS Mincho" w:hAnsi="Times New Roman"/>
            <w:sz w:val="20"/>
            <w:i/>
            <w:iCs/>
            <w:color w:val="0000FF" w:themeColor="hyperlink"/>
            <w:u w:val="single"/>
          </w:rPr>
          <w:t>167</w:t>
        </w:r>
      </w:fldSimple>
      <w:r>
        <w:rPr>
          <w:rFonts w:ascii="Times New Roman" w:eastAsia="MS Mincho" w:hAnsi="Times New Roman"/>
          <w:sz w:val="20"/>
          <w:i/>
          <w:iCs/>
        </w:rPr>
        <w:t>,
2014-02-19,
paskelbta TAR 2014-02-24, i. k. 2014-01991        </w:t>
      </w:r>
    </w:p>
    <w:p/>
    <w:p>
      <w:pPr>
        <w:ind w:firstLine="567"/>
        <w:jc w:val="both"/>
        <w:rPr>
          <w:i/>
        </w:rPr>
      </w:pPr>
      <w:r>
        <w:t>3.9</w:t>
      </w:r>
      <w:r>
        <w:t xml:space="preserve">. Antrojo operatyvinių tarnybų departamento prie Krašto apsaugos ministerijos kriminalinę žvalgybą įgaliotiems vykdyti padaliniams pagal Lietuvos Respublikos žvalgybos įstatyme (Žin., 2012, Nr. </w:t>
      </w:r>
      <w:hyperlink r:id="rId19" w:tgtFrame="_blank" w:history="1">
        <w:r>
          <w:rPr>
            <w:color w:val="0000FF"/>
            <w:u w:val="single"/>
          </w:rPr>
          <w:t>129-6463</w:t>
        </w:r>
      </w:hyperlink>
      <w:r>
        <w:t xml:space="preserve">) nustatytas veiklos sritis – </w:t>
      </w:r>
      <w:r>
        <w:rPr>
          <w:color w:val="000000"/>
        </w:rPr>
        <w:t xml:space="preserve">gavus duomenų apie Lietuvos Respublikos </w:t>
      </w:r>
      <w:r>
        <w:t xml:space="preserve">kriminalinės žvalgybos įstatymo 8 straipsnio 2 dalyje nurodytuose </w:t>
      </w:r>
      <w:r>
        <w:rPr>
          <w:color w:val="000000"/>
        </w:rPr>
        <w:t xml:space="preserve">Lietuvos Respublikos baudžiamojo kodekso (Žin., 2000, Nr. </w:t>
      </w:r>
      <w:hyperlink r:id="rId20" w:tgtFrame="_blank" w:history="1">
        <w:r>
          <w:rPr>
            <w:color w:val="0000FF"/>
            <w:u w:val="single"/>
          </w:rPr>
          <w:t>89-2741</w:t>
        </w:r>
      </w:hyperlink>
      <w:r>
        <w:rPr>
          <w:color w:val="000000"/>
        </w:rPr>
        <w:t xml:space="preserve">) straipsniuose nustatytas nusikalstamas veikas arba apie jas rengiantį, darantį ar padariusį asmenį, </w:t>
      </w:r>
      <w:r>
        <w:t>naudotis visomis kriminalinės žvalgybos subjektų teisėmis ir vykdyti kriminalinės žvalgybos subjektų pareigas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7d03d09d4a11e3a4affcaaa513aa57">
        <w:r w:rsidRPr="00532B9F">
          <w:rPr>
            <w:rFonts w:ascii="Times New Roman" w:eastAsia="MS Mincho" w:hAnsi="Times New Roman"/>
            <w:sz w:val="20"/>
            <w:i/>
            <w:iCs/>
            <w:color w:val="0000FF" w:themeColor="hyperlink"/>
            <w:u w:val="single"/>
          </w:rPr>
          <w:t>167</w:t>
        </w:r>
      </w:fldSimple>
      <w:r>
        <w:rPr>
          <w:rFonts w:ascii="Times New Roman" w:eastAsia="MS Mincho" w:hAnsi="Times New Roman"/>
          <w:sz w:val="20"/>
          <w:i/>
          <w:iCs/>
        </w:rPr>
        <w:t>,
2014-02-19,
paskelbta TAR 2014-02-24, i. k. 2014-01991        </w:t>
      </w:r>
    </w:p>
    <w:p/>
    <w:p>
      <w:pPr>
        <w:ind w:firstLine="567"/>
        <w:jc w:val="both"/>
      </w:pPr>
      <w:r>
        <w:t>3.10</w:t>
      </w:r>
      <w:r>
        <w:t>. Valstybės saugumo departamento kriminalinę žvalgybą įgaliotiems vykdyti padaliniams pagal Lietuvos Respublikos žvalgybos įstatyme nustatytas veiklos sritis –</w:t>
      </w:r>
      <w:r>
        <w:rPr>
          <w:color w:val="000000"/>
        </w:rPr>
        <w:t xml:space="preserve"> gavus duomenų apie Lietuvos Respublikos </w:t>
      </w:r>
      <w:r>
        <w:t>kriminalinės žvalgybos įstatymo 8 straipsnio 2 dalyje nurodytuose</w:t>
      </w:r>
      <w:r>
        <w:rPr>
          <w:color w:val="000000"/>
        </w:rPr>
        <w:t xml:space="preserve"> Lietuvos Respublikos baudžiamojo kodekso straipsniuose nustatytas nusikalstamas veikas arba apie jas rengiantį, darantį ar padariusį asmenį, </w:t>
      </w:r>
      <w:r>
        <w:t>naudotis visomis kriminalinės žvalgybos subjektų teisėmis ir vykdyti kriminalinės žvalgybos subjektų pareigas.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7d03d09d4a11e3a4affcaaa513aa57">
        <w:r w:rsidRPr="00532B9F">
          <w:rPr>
            <w:rFonts w:ascii="Times New Roman" w:eastAsia="MS Mincho" w:hAnsi="Times New Roman"/>
            <w:sz w:val="20"/>
            <w:i/>
            <w:iCs/>
            <w:color w:val="0000FF" w:themeColor="hyperlink"/>
            <w:u w:val="single"/>
          </w:rPr>
          <w:t>167</w:t>
        </w:r>
      </w:fldSimple>
      <w:r>
        <w:rPr>
          <w:rFonts w:ascii="Times New Roman" w:eastAsia="MS Mincho" w:hAnsi="Times New Roman"/>
          <w:sz w:val="20"/>
          <w:i/>
          <w:iCs/>
        </w:rPr>
        <w:t>,
2014-02-19,
paskelbta TAR 2014-02-24, i. k. 2014-01991        </w:t>
      </w:r>
    </w:p>
    <w:p/>
    <w:p>
      <w:pPr>
        <w:ind w:firstLine="567"/>
        <w:jc w:val="both"/>
        <w:rPr>
          <w:i/>
        </w:rPr>
      </w:pPr>
      <w:r>
        <w:t>4</w:t>
      </w:r>
      <w:r>
        <w:t>. Nustatyti, kad 1 ir 2 punktuose nurodytiems padaliniams įgaliojimus vykdyti kriminalinę žvalgybą suteikia atitinkamai kriminalinės žvalgybos pagrindinių institucijų ir kriminalinės žvalgybos pagrindinių institucijų teises ir pareigas turinčių žvalgybos institucijų vadovai.</w:t>
      </w:r>
    </w:p>
    <w:p>
      <w:pPr>
        <w:ind w:firstLine="567"/>
        <w:jc w:val="both"/>
      </w:pPr>
      <w:r>
        <w:t>5</w:t>
      </w:r>
      <w:r>
        <w:t>. Pripažinti netekusiais galios:</w:t>
      </w:r>
    </w:p>
    <w:p>
      <w:pPr>
        <w:ind w:firstLine="567"/>
        <w:jc w:val="both"/>
      </w:pPr>
      <w:r>
        <w:t>5.1</w:t>
      </w:r>
      <w:r>
        <w:t xml:space="preserve">. Lietuvos Respublikos Vyriausybės 2002 m. spalio 3 d. nutarimą Nr. 1559 „Dėl operatyvinės veiklos subjektų sąrašo patvirtinimo ir jų operatyvinės veiklos masto nustatymo“ (Žin., 2002, Nr. </w:t>
      </w:r>
      <w:hyperlink r:id="rId21" w:tgtFrame="_blank" w:history="1">
        <w:r>
          <w:rPr>
            <w:color w:val="0000FF"/>
            <w:u w:val="single"/>
          </w:rPr>
          <w:t>97-4279</w:t>
        </w:r>
      </w:hyperlink>
      <w:r>
        <w:t>);</w:t>
      </w:r>
    </w:p>
    <w:p>
      <w:pPr>
        <w:ind w:firstLine="567"/>
        <w:jc w:val="both"/>
        <w:rPr>
          <w:bCs/>
        </w:rPr>
      </w:pPr>
      <w:r>
        <w:t>5.2</w:t>
      </w:r>
      <w:r>
        <w:t>. Lietuvos Respublikos Vyriausybės 2003 m. rugpjūčio 12 d. nutarimą Nr. 1028 „</w:t>
      </w:r>
      <w:r>
        <w:rPr>
          <w:bCs/>
        </w:rPr>
        <w:t>Dėl Lietuvos Respublikos Vyriausybės 2002 m. spalio 3 d. nutarimo Nr. 1559 „Dėl operatyvinės veiklos subjektų sąrašo patvirtinimo ir jų operatyvinės veiklos masto nustatymo“ pakeitimo“ (</w:t>
      </w:r>
      <w:r>
        <w:rPr>
          <w:iCs/>
        </w:rPr>
        <w:t xml:space="preserve">Žin., 2003, Nr. </w:t>
      </w:r>
      <w:hyperlink r:id="rId22" w:tgtFrame="_blank" w:history="1">
        <w:r>
          <w:rPr>
            <w:iCs/>
            <w:color w:val="0000FF"/>
            <w:u w:val="single"/>
          </w:rPr>
          <w:t>80-3663</w:t>
        </w:r>
      </w:hyperlink>
      <w:r>
        <w:rPr>
          <w:iCs/>
        </w:rPr>
        <w:t>)</w:t>
      </w:r>
      <w:r>
        <w:rPr>
          <w:bCs/>
        </w:rPr>
        <w:t>;</w:t>
      </w:r>
    </w:p>
    <w:p>
      <w:pPr>
        <w:ind w:firstLine="567"/>
        <w:jc w:val="both"/>
        <w:rPr>
          <w:bCs/>
        </w:rPr>
      </w:pPr>
      <w:r>
        <w:t>5.3</w:t>
      </w:r>
      <w:r>
        <w:t>. Lietuvos Respublikos Vyriausybės 2008 m. gegužės 16 d. nutarimą Nr. 453 „</w:t>
      </w:r>
      <w:r>
        <w:rPr>
          <w:bCs/>
        </w:rPr>
        <w:t>Dėl Lietuvos Respublikos Vyriausybės 2002 m. spalio 3 d. nutarimo Nr. 1559 „Dėl operatyvinės veiklos subjektų sąrašo patvirtinimo ir jų operatyvinės veiklos masto nustatymo“ pakeitimo“ (</w:t>
      </w:r>
      <w:r>
        <w:rPr>
          <w:iCs/>
        </w:rPr>
        <w:t xml:space="preserve">Žin., 2008, Nr. </w:t>
      </w:r>
      <w:hyperlink r:id="rId23" w:tgtFrame="_blank" w:history="1">
        <w:r>
          <w:rPr>
            <w:iCs/>
            <w:color w:val="0000FF"/>
            <w:u w:val="single"/>
          </w:rPr>
          <w:t>58-2179</w:t>
        </w:r>
      </w:hyperlink>
      <w:r>
        <w:rPr>
          <w:iCs/>
        </w:rPr>
        <w:t>)</w:t>
      </w:r>
      <w:r>
        <w:rPr>
          <w:bCs/>
        </w:rPr>
        <w:t>;</w:t>
      </w:r>
    </w:p>
    <w:p>
      <w:pPr>
        <w:ind w:firstLine="567"/>
        <w:jc w:val="both"/>
      </w:pPr>
      <w:r>
        <w:rPr>
          <w:bCs/>
        </w:rPr>
        <w:t>5.4</w:t>
      </w:r>
      <w:r>
        <w:rPr>
          <w:bCs/>
        </w:rPr>
        <w:t>.</w:t>
      </w:r>
      <w:r>
        <w:t> Lietuvos Respublikos Vyriausybės 2011 m. birželio 29 d. nutarimą Nr. 794 „</w:t>
      </w:r>
      <w:r>
        <w:rPr>
          <w:bCs/>
        </w:rPr>
        <w:t>Dėl Lietuvos Respublikos Vyriausybės 2002 m. spalio 3 d. nutarimo Nr. 1559 „Dėl operatyvinės veiklos subjektų sąrašo patvirtinimo ir jų operatyvinės veiklos masto nustatymo“ pakeitimo“ (</w:t>
      </w:r>
      <w:r>
        <w:rPr>
          <w:iCs/>
        </w:rPr>
        <w:t xml:space="preserve">Žin., 2011, Nr. </w:t>
      </w:r>
      <w:hyperlink r:id="rId24" w:tgtFrame="_blank" w:history="1">
        <w:r>
          <w:rPr>
            <w:iCs/>
            <w:color w:val="0000FF"/>
            <w:u w:val="single"/>
          </w:rPr>
          <w:t>83-4029</w:t>
        </w:r>
      </w:hyperlink>
      <w:r>
        <w:rPr>
          <w:iCs/>
        </w:rPr>
        <w:t>)</w:t>
      </w:r>
      <w:r>
        <w:rPr>
          <w:bCs/>
        </w:rPr>
        <w:t>.</w:t>
      </w:r>
    </w:p>
    <w:p>
      <w:pPr>
        <w:tabs>
          <w:tab w:val="right" w:pos="9071"/>
        </w:tabs>
      </w:pPr>
    </w:p>
    <w:p>
      <w:pPr>
        <w:tabs>
          <w:tab w:val="right" w:pos="9071"/>
        </w:tabs>
      </w:pPr>
    </w:p>
    <w:p>
      <w:pPr>
        <w:tabs>
          <w:tab w:val="right" w:pos="9071"/>
        </w:tabs>
      </w:pPr>
    </w:p>
    <w:p>
      <w:pPr>
        <w:tabs>
          <w:tab w:val="right" w:pos="9071"/>
        </w:tabs>
      </w:pPr>
      <w:r>
        <w:t>Ministras Pirmininkas</w:t>
        <w:tab/>
        <w:t>Algirdas Butkevičius</w:t>
      </w:r>
    </w:p>
    <w:p/>
    <w:p/>
    <w:p/>
    <w:p>
      <w:pPr>
        <w:tabs>
          <w:tab w:val="right" w:pos="9071"/>
        </w:tabs>
      </w:pPr>
      <w:r>
        <w:t>Vidaus reikalų ministras</w:t>
        <w:tab/>
        <w:t>Dailis Alfonsas Barakauskas</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a7d03d09d4a11e3a4affcaaa513aa57">
        <w:r w:rsidRPr="00532B9F">
          <w:rPr>
            <w:rFonts w:ascii="Times New Roman" w:eastAsia="MS Mincho" w:hAnsi="Times New Roman"/>
            <w:sz w:val="20"/>
            <w:iCs/>
            <w:color w:val="0000FF" w:themeColor="hyperlink"/>
            <w:u w:val="single"/>
          </w:rPr>
          <w:t>167</w:t>
        </w:r>
      </w:fldSimple>
      <w:r>
        <w:rPr>
          <w:rFonts w:ascii="Times New Roman" w:eastAsia="MS Mincho" w:hAnsi="Times New Roman"/>
          <w:sz w:val="20"/>
          <w:iCs/>
        </w:rPr>
        <w:t>,
2014-02-19,
paskelbta TAR 2014-02-24, i. k. 2014-01991                </w:t>
      </w:r>
    </w:p>
    <w:p>
      <w:pPr>
        <w:jc w:val="both"/>
        <w:rPr>
          <w:rFonts w:ascii="Times New Roman" w:hAnsi="Times New Roman"/>
        </w:rPr>
      </w:pPr>
      <w:r>
        <w:rPr>
          <w:rFonts w:ascii="Times New Roman" w:hAnsi="Times New Roman"/>
          <w:sz w:val="20"/>
        </w:rPr>
        <w:t>Dėl Lietuvos Respublikos Vyriausybės 2013 m. vasario 6 d. nutarimo Nr. 108 „Dėl Kriminalinės žvalgybos subjektų sąrašo patvirtinimo ir jų kriminalinės žvalgybos masto nustatymo“ pakeitimo  </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3</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5</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A360E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3B8E4F16C815"/>
  <Relationship Id="rId18" Type="http://schemas.openxmlformats.org/officeDocument/2006/relationships/hyperlink" TargetMode="External" Target="https://www.e-tar.lt/portal/lt/legalAct/TAR.084ED4C79D93"/>
  <Relationship Id="rId19" Type="http://schemas.openxmlformats.org/officeDocument/2006/relationships/hyperlink" TargetMode="External" Target="https://www.e-tar.lt/portal/lt/legalAct/TAR.8DC7CE5B68DD"/>
  <Relationship Id="rId2" Type="http://schemas.openxmlformats.org/officeDocument/2006/relationships/header" Target="header5.xml"/>
  <Relationship Id="rId20" Type="http://schemas.openxmlformats.org/officeDocument/2006/relationships/hyperlink" TargetMode="External" Target="https://www.e-tar.lt/portal/lt/legalAct/TAR.2B866DFF7D43"/>
  <Relationship Id="rId21" Type="http://schemas.openxmlformats.org/officeDocument/2006/relationships/hyperlink" TargetMode="External" Target="https://www.e-tar.lt/portal/lt/legalAct/TAR.134122278BA1"/>
  <Relationship Id="rId22" Type="http://schemas.openxmlformats.org/officeDocument/2006/relationships/hyperlink" TargetMode="External" Target="https://www.e-tar.lt/portal/lt/legalAct/TAR.14561B76BED9"/>
  <Relationship Id="rId23" Type="http://schemas.openxmlformats.org/officeDocument/2006/relationships/hyperlink" TargetMode="External" Target="https://www.e-tar.lt/portal/lt/legalAct/TAR.6FE81F480E17"/>
  <Relationship Id="rId24" Type="http://schemas.openxmlformats.org/officeDocument/2006/relationships/hyperlink" TargetMode="External" Target="https://www.e-tar.lt/portal/lt/legalAct/TAR.FE42E86B2E2F"/>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Pages>
  <Words>6155</Words>
  <Characters>3509</Characters>
  <Application>Microsoft Office Word</Application>
  <DocSecurity>0</DocSecurity>
  <Lines>29</Lines>
  <Paragraphs>19</Paragraphs>
  <ScaleCrop>false</ScaleCrop>
  <Company>LRVK</Company>
  <LinksUpToDate>false</LinksUpToDate>
  <CharactersWithSpaces>9645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2019-01-28T13:00:00Z</dcterms:created>
  <dc:creator>lrvk</dc:creator>
  <lastModifiedBy>BODIN Aušra</lastModifiedBy>
  <lastPrinted>2013-02-04T13:32:00Z</lastPrinted>
  <dcterms:modified xsi:type="dcterms:W3CDTF">2019-01-28T13:07:00Z</dcterms:modified>
  <revision>7</revision>
  <dc:title>DĖL KRIMINALINĖS ŽVALGYBOS SUBJEKTŲ SĄRAŠO PATVIRTINIMO IR JŲ KRIMINALINĖS ŽVALGYBOS MASTO NUSTATYMO</dc:title>
</coreProperties>
</file>