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359AFE24543C">
        <w:r w:rsidRPr="00532B9F">
          <w:rPr>
            <w:rFonts w:ascii="Times New Roman" w:eastAsia="MS Mincho" w:hAnsi="Times New Roman"/>
            <w:sz w:val="20"/>
            <w:i/>
            <w:iCs/>
            <w:color w:val="0000FF" w:themeColor="hyperlink"/>
            <w:u w:val="single"/>
          </w:rPr>
          <w:t>30-1109</w:t>
        </w:r>
      </w:fldSimple>
      <w:r>
        <w:rPr>
          <w:rFonts w:ascii="Times New Roman" w:eastAsia="MS Mincho" w:hAnsi="Times New Roman"/>
          <w:sz w:val="20"/>
          <w:i/>
          <w:iCs/>
        </w:rPr>
        <w:t>, i. k. 1072250ISAK000V-138</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SVEIKATOS APSAUGOS MINISTRO</w:t>
      </w:r>
    </w:p>
    <w:p>
      <w:pPr>
        <w:jc w:val="center"/>
      </w:pPr>
    </w:p>
    <w:p>
      <w:pPr>
        <w:jc w:val="center"/>
        <w:rPr>
          <w:b/>
        </w:rPr>
      </w:pPr>
      <w:r>
        <w:rPr>
          <w:b/>
        </w:rPr>
        <w:t>Į S A K Y M A S</w:t>
      </w:r>
    </w:p>
    <w:p>
      <w:pPr>
        <w:jc w:val="center"/>
        <w:rPr>
          <w:b/>
        </w:rPr>
      </w:pPr>
      <w:r>
        <w:rPr>
          <w:b/>
        </w:rPr>
        <w:t>DĖL PAŽYMOS VEŽTIS GYDYMO TIKSLAIS ASMENINIAM VARTOJIMUI SKIRTAS NARKOTINES IR (ARBA) PSICHOTROPINES MEDŽIAGAS IŠDAVIMO TVARKOS APRAŠO PATVIRTINIMO</w:t>
      </w:r>
    </w:p>
    <w:p>
      <w:pPr>
        <w:jc w:val="center"/>
      </w:pPr>
    </w:p>
    <w:p>
      <w:pPr>
        <w:jc w:val="center"/>
      </w:pPr>
      <w:r>
        <w:t>2007 m. kovo 2 d. Nr. V-138</w:t>
      </w:r>
    </w:p>
    <w:p>
      <w:pPr>
        <w:jc w:val="center"/>
      </w:pPr>
      <w:r>
        <w:t>Vilnius</w:t>
      </w:r>
    </w:p>
    <w:p>
      <w:pPr>
        <w:ind w:firstLine="709"/>
        <w:jc w:val="both"/>
      </w:pPr>
    </w:p>
    <w:p>
      <w:pPr>
        <w:ind w:firstLine="709"/>
        <w:jc w:val="both"/>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 xml:space="preserve">Įgyvendindamas Lietuvos Respublikos narkotinių ir psichotropinių medžiagų kontrolės įstatymo 20 straipsnio 1 dalį ir Vykdomojo komiteto sprendimą dėl 75 straipsnyje numatytos pažymos narkotinėms ir psichotropinėms medžiagoms vežtis (SCH/Com-ex (94) 28 rev.) (OL </w:t>
      </w:r>
      <w:r>
        <w:rPr>
          <w:i/>
          <w:szCs w:val="24"/>
          <w:lang w:eastAsia="lt-LT"/>
        </w:rPr>
        <w:t>2004 m.</w:t>
      </w:r>
      <w:r>
        <w:rPr>
          <w:szCs w:val="24"/>
          <w:lang w:eastAsia="lt-LT"/>
        </w:rPr>
        <w:t xml:space="preserve"> </w:t>
      </w:r>
      <w:r>
        <w:rPr>
          <w:i/>
          <w:szCs w:val="24"/>
          <w:lang w:eastAsia="lt-LT"/>
        </w:rPr>
        <w:t>specialusis leidimas</w:t>
      </w:r>
      <w:r>
        <w:rPr>
          <w:szCs w:val="24"/>
          <w:lang w:eastAsia="lt-LT"/>
        </w:rPr>
        <w:t>, 19 skyrius, 2 tomas, p. 416):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655f609dbc11e58fd1fc0b9bba68a7">
        <w:r w:rsidRPr="00532B9F">
          <w:rPr>
            <w:rFonts w:ascii="Times New Roman" w:eastAsia="MS Mincho" w:hAnsi="Times New Roman"/>
            <w:sz w:val="20"/>
            <w:i/>
            <w:iCs/>
            <w:color w:val="0000FF" w:themeColor="hyperlink"/>
            <w:u w:val="single"/>
          </w:rPr>
          <w:t>V-1357</w:t>
        </w:r>
      </w:fldSimple>
      <w:r>
        <w:rPr>
          <w:rFonts w:ascii="Times New Roman" w:eastAsia="MS Mincho" w:hAnsi="Times New Roman"/>
          <w:sz w:val="20"/>
          <w:i/>
          <w:iCs/>
        </w:rPr>
        <w:t>,
2015-11-27,
paskelbta TAR 2015-12-09, i. k. 2015-19474            </w:t>
      </w:r>
    </w:p>
    <w:p/>
    <w:p>
      <w:pPr>
        <w:widowControl w:val="0"/>
        <w:shd w:val="clear" w:color="auto" w:fill="FFFFFF"/>
        <w:ind w:firstLine="709"/>
        <w:jc w:val="both"/>
      </w:pPr>
      <w:r>
        <w:t>1</w:t>
      </w:r>
      <w:r>
        <w:t xml:space="preserve">. </w:t>
      </w:r>
      <w:r>
        <w:rPr>
          <w:spacing w:val="60"/>
        </w:rPr>
        <w:t>Tvirtinu</w:t>
      </w:r>
      <w:r>
        <w:t xml:space="preserve"> pridedamus:</w:t>
      </w:r>
    </w:p>
    <w:p>
      <w:pPr>
        <w:widowControl w:val="0"/>
        <w:shd w:val="clear" w:color="auto" w:fill="FFFFFF"/>
        <w:ind w:firstLine="709"/>
        <w:jc w:val="both"/>
      </w:pPr>
      <w:r>
        <w:t>1.1</w:t>
      </w:r>
      <w:r>
        <w:t>. Pažymos vežtis gydymo tikslais asmeniniam vartojimui skirtas narkotines ir (arba) psichotropines medžiagas išdavimo tvarkos aprašą;</w:t>
      </w:r>
    </w:p>
    <w:p>
      <w:pPr>
        <w:widowControl w:val="0"/>
        <w:shd w:val="clear" w:color="auto" w:fill="FFFFFF"/>
        <w:ind w:firstLine="709"/>
        <w:jc w:val="both"/>
      </w:pPr>
      <w:r>
        <w:t>1.2</w:t>
      </w:r>
      <w:r>
        <w:t>. Pažymos vežtis gydymo tikslais asmeniniam vartojimui skirtas narkotines ir (arba) psichotropines medžiagas formą.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2</w:t>
      </w:r>
      <w:r>
        <w:rPr>
          <w:szCs w:val="24"/>
          <w:lang w:eastAsia="lt-LT"/>
        </w:rPr>
        <w:t xml:space="preserve">. </w:t>
      </w:r>
      <w:r>
        <w:rPr>
          <w:spacing w:val="60"/>
          <w:szCs w:val="24"/>
          <w:lang w:eastAsia="lt-LT"/>
        </w:rPr>
        <w:t>Pavedu</w:t>
      </w:r>
      <w:r>
        <w:rPr>
          <w:szCs w:val="24"/>
          <w:lang w:eastAsia="lt-LT"/>
        </w:rPr>
        <w:t xml:space="preserve"> įsakymo vykdymą kontroliuoti viceministrui pagal veiklos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655f609dbc11e58fd1fc0b9bba68a7">
        <w:r w:rsidRPr="00532B9F">
          <w:rPr>
            <w:rFonts w:ascii="Times New Roman" w:eastAsia="MS Mincho" w:hAnsi="Times New Roman"/>
            <w:sz w:val="20"/>
            <w:i/>
            <w:iCs/>
            <w:color w:val="0000FF" w:themeColor="hyperlink"/>
            <w:u w:val="single"/>
          </w:rPr>
          <w:t>V-1357</w:t>
        </w:r>
      </w:fldSimple>
      <w:r>
        <w:rPr>
          <w:rFonts w:ascii="Times New Roman" w:eastAsia="MS Mincho" w:hAnsi="Times New Roman"/>
          <w:sz w:val="20"/>
          <w:i/>
          <w:iCs/>
        </w:rPr>
        <w:t>,
2015-11-27,
paskelbta TAR 2015-12-09, i. k. 2015-19474            </w:t>
      </w:r>
    </w:p>
    <w:p/>
    <w:p>
      <w:pPr>
        <w:tabs>
          <w:tab w:val="right" w:pos="9639"/>
        </w:tabs>
      </w:pPr>
    </w:p>
    <w:p>
      <w:pPr>
        <w:tabs>
          <w:tab w:val="right" w:pos="9639"/>
        </w:tabs>
      </w:pPr>
    </w:p>
    <w:p>
      <w:pPr>
        <w:tabs>
          <w:tab w:val="right" w:pos="9639"/>
        </w:tabs>
      </w:pPr>
    </w:p>
    <w:p>
      <w:pPr>
        <w:tabs>
          <w:tab w:val="right" w:pos="9639"/>
        </w:tabs>
      </w:pPr>
      <w:r>
        <w:rPr>
          <w:caps/>
        </w:rPr>
        <w:t>SVEIKATOS APSAUGOS MINISTRAS</w:t>
        <w:tab/>
        <w:t>RIMVYDAS TURČINSKAS</w:t>
      </w:r>
    </w:p>
    <w:p>
      <w:pPr>
        <w:widowControl w:val="0"/>
        <w:shd w:val="clear" w:color="auto" w:fill="FFFFFF"/>
        <w:ind w:left="5102"/>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pPr>
        <w:widowControl w:val="0"/>
        <w:shd w:val="clear" w:color="auto" w:fill="FFFFFF"/>
        <w:ind w:left="5102"/>
      </w:pPr>
      <w:r>
        <w:t>PATVIRTINTA</w:t>
      </w:r>
    </w:p>
    <w:p>
      <w:pPr>
        <w:widowControl w:val="0"/>
        <w:shd w:val="clear" w:color="auto" w:fill="FFFFFF"/>
        <w:ind w:firstLine="5102"/>
      </w:pPr>
      <w:r>
        <w:t xml:space="preserve">Lietuvos Respublikos sveikatos apsaugos </w:t>
      </w:r>
    </w:p>
    <w:p>
      <w:pPr>
        <w:widowControl w:val="0"/>
        <w:shd w:val="clear" w:color="auto" w:fill="FFFFFF"/>
        <w:ind w:firstLine="5102"/>
      </w:pPr>
      <w:r>
        <w:t>ministro 2007 m. kovo 2 d. įsakymu Nr. V-138</w:t>
      </w:r>
    </w:p>
    <w:p>
      <w:pPr>
        <w:ind w:firstLine="709"/>
      </w:pPr>
    </w:p>
    <w:p>
      <w:pPr>
        <w:widowControl w:val="0"/>
        <w:shd w:val="clear" w:color="auto" w:fill="FFFFFF"/>
        <w:jc w:val="center"/>
      </w:pPr>
      <w:r>
        <w:rPr>
          <w:b/>
          <w:bCs/>
        </w:rPr>
        <w:t>PAŽYMOS VEŽTIS GYDYMO TIKSLAIS ASMENINIAM VARTOJIMUI SKIRTAS NARKOTINES IR (ARBA) PSICHOTROPINES MEDŽIAGAS IŠDAVIMO TVARKOS APRAŠAS</w:t>
      </w:r>
    </w:p>
    <w:p>
      <w:pPr>
        <w:ind w:firstLine="709"/>
        <w:jc w:val="both"/>
      </w:pPr>
    </w:p>
    <w:p>
      <w:pPr>
        <w:widowControl w:val="0"/>
        <w:shd w:val="clear" w:color="auto" w:fill="FFFFFF"/>
        <w:ind w:firstLine="709"/>
        <w:jc w:val="both"/>
      </w:pPr>
      <w:r>
        <w:t>1</w:t>
      </w:r>
      <w:r>
        <w:t>. Pažymos vežtis gydymo tikslais asmeniniam vartojimui skirtas narkotines ir (arba) psichotropines medžiagas išdavimo tvarkos aprašas (toliau – Aprašas) nustato pažymos vežtis gydymo tikslais asmeniniam vartojimui skirtas narkotines ir (arba) psichotropines medžiagas (toliau – Pažyma) išdavimo asmenims, vykstantiems į Šengeno valstybę, tvarką bei informacijos, susijusios su Pažymų išdavimu, teikimą.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w:t>
      </w:r>
      <w:r>
        <w:rPr>
          <w:szCs w:val="24"/>
          <w:lang w:eastAsia="lt-LT"/>
        </w:rPr>
        <w:t>. Apraše vartojamos sąvokos:</w:t>
      </w:r>
    </w:p>
    <w:p>
      <w:pPr>
        <w:widowControl w:val="0"/>
        <w:ind w:firstLine="851"/>
        <w:jc w:val="both"/>
        <w:rPr>
          <w:szCs w:val="24"/>
          <w:lang w:eastAsia="lt-LT"/>
        </w:rPr>
      </w:pPr>
      <w:r>
        <w:rPr>
          <w:szCs w:val="24"/>
        </w:rPr>
        <w:t>2.1</w:t>
      </w:r>
      <w:r>
        <w:rPr>
          <w:szCs w:val="24"/>
        </w:rPr>
        <w:t xml:space="preserve">. </w:t>
      </w:r>
      <w:r>
        <w:rPr>
          <w:b/>
          <w:bCs/>
          <w:szCs w:val="24"/>
        </w:rPr>
        <w:t>Gydymui skirtos narkotinės ir (arba) psichotropinės medžiagos</w:t>
      </w:r>
      <w:r>
        <w:rPr>
          <w:bCs/>
          <w:szCs w:val="24"/>
        </w:rPr>
        <w:t xml:space="preserve"> – </w:t>
      </w:r>
      <w:r>
        <w:rPr>
          <w:szCs w:val="24"/>
        </w:rPr>
        <w:t>asmeniniam vartojimui skirti vaistiniai preparatai (vaistai), kurių sudėtyje yra medžiagų, įtrauktų į I,</w:t>
      </w:r>
      <w:r>
        <w:rPr>
          <w:i/>
          <w:szCs w:val="24"/>
        </w:rPr>
        <w:t xml:space="preserve"> </w:t>
      </w:r>
      <w:r>
        <w:rPr>
          <w:szCs w:val="24"/>
        </w:rPr>
        <w:t xml:space="preserve">II ir III sąrašus, patvirtintus Lietuvos Respublikos sveikatos apsaugos ministro 2000 m. sausio 6 d. įsakymu Nr. 5 „Dėl narkotinių ir psichotropinių medžiagų sąrašų patvirtinimo“.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951530669611e9917e8e4938a80ccb">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2019-04-23,
paskelbta TAR 2019-04-24, i. k. 2019-06705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2.2</w:t>
      </w:r>
      <w:r>
        <w:rPr>
          <w:szCs w:val="24"/>
          <w:lang w:eastAsia="lt-LT"/>
        </w:rPr>
        <w:t xml:space="preserve">. </w:t>
      </w:r>
      <w:r>
        <w:rPr>
          <w:b/>
          <w:szCs w:val="24"/>
          <w:lang w:eastAsia="lt-LT"/>
        </w:rPr>
        <w:t>Kompetentinga institucija</w:t>
      </w:r>
      <w:r>
        <w:rPr>
          <w:szCs w:val="24"/>
          <w:lang w:eastAsia="lt-LT"/>
        </w:rPr>
        <w:t xml:space="preserve"> – asmens sveikatos priežiūros įstaiga.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2.3</w:t>
      </w:r>
      <w:r>
        <w:rPr>
          <w:szCs w:val="24"/>
          <w:lang w:eastAsia="lt-LT"/>
        </w:rPr>
        <w:t xml:space="preserve">. </w:t>
      </w:r>
      <w:r>
        <w:rPr>
          <w:b/>
          <w:szCs w:val="24"/>
          <w:lang w:eastAsia="lt-LT"/>
        </w:rPr>
        <w:t>Išrašas</w:t>
      </w:r>
      <w:r>
        <w:rPr>
          <w:szCs w:val="24"/>
          <w:lang w:eastAsia="lt-LT"/>
        </w:rPr>
        <w:t xml:space="preserve"> – į Privalomų sveikatos statistikos apskaitos ir kitų tipinių formų, pildomų sveikatos priežiūros įstaigose, sąrašus ir saugojimo terminus, patvirtintus Lietuvos Respublikos sveikatos apsaugos ministro 1999 m. lapkričio 29 d. įsakymu Nr. 515 „Dėl Sveikatos priežiūros įstaigų veiklos apskaitos ir atskaitomybės tvarkos“, įtrauktas Medicinos dokumentų išrašas (Forma Nr. 027/a.).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2.4</w:t>
      </w:r>
      <w:r>
        <w:rPr>
          <w:szCs w:val="24"/>
          <w:lang w:eastAsia="lt-LT"/>
        </w:rPr>
        <w:t>. Kitos Apraše vartojamos sąvokos atitinka Lietuvos Respublikos farmacijos įstatyme, Lietuvos Respublikos narkotinių ir psichotropinių medžiagų kontrolės įstatyme ir Lietuvos Respublikos sveikatos apsaugos ministro 2002 m. kovo 8 d. įsakyme Nr. 112 „Dėl Receptų rašymo ir vaistinių preparatų, medicinos priemonių (medicinos prietaisų) ir kompensuojamųjų medicinos pagalbos priemonių išdavimo (pardavimo) vaistinėse gyventojams ir popierinių receptų saugojimo, išdavus (pardavus) vaistinius preparatus, medicinos priemones (medicinos prietaisus) ir kompensuojamąsias medicinos pagalbos priemones vaistinėje, taisyklių patvirtinimo“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655f609dbc11e58fd1fc0b9bba68a7">
        <w:r w:rsidRPr="00532B9F">
          <w:rPr>
            <w:rFonts w:ascii="Times New Roman" w:eastAsia="MS Mincho" w:hAnsi="Times New Roman"/>
            <w:sz w:val="20"/>
            <w:i/>
            <w:iCs/>
            <w:color w:val="0000FF" w:themeColor="hyperlink"/>
            <w:u w:val="single"/>
          </w:rPr>
          <w:t>V-1357</w:t>
        </w:r>
      </w:fldSimple>
      <w:r>
        <w:rPr>
          <w:rFonts w:ascii="Times New Roman" w:eastAsia="MS Mincho" w:hAnsi="Times New Roman"/>
          <w:sz w:val="20"/>
          <w:i/>
          <w:iCs/>
        </w:rPr>
        <w:t>,
2015-11-27,
paskelbta TAR 2015-12-09, i. k. 2015-19474            </w:t>
      </w:r>
    </w:p>
    <w:p/>
    <w:p>
      <w:pPr>
        <w:widowControl w:val="0"/>
        <w:shd w:val="clear" w:color="auto" w:fill="FFFFFF"/>
        <w:ind w:firstLine="709"/>
        <w:jc w:val="both"/>
      </w:pPr>
      <w:r>
        <w:t>3</w:t>
      </w:r>
      <w:r>
        <w:t>. Pažyma išduodama vienai gydymui skirtai narkotinei ir (arba) psichotropinei medžiagai, nurodytai recepte ar išraše, ir galioja visą kelionės į Šengeno valstybę laiką, bet ne ilgiau kaip 30 dienų.</w:t>
      </w:r>
    </w:p>
    <w:p>
      <w:pPr>
        <w:widowControl w:val="0"/>
        <w:shd w:val="clear" w:color="auto" w:fill="FFFFFF"/>
        <w:ind w:firstLine="709"/>
        <w:jc w:val="both"/>
      </w:pPr>
      <w:r>
        <w:t>4</w:t>
      </w:r>
      <w:r>
        <w:t>. Pažymą išduoda kompetentinga institucija, vadovaudamasi šiuo Aprašu ir savo patvirtinta pažymų išdavimo tvarka, ne vėliau kaip kitą dieną po Aprašo 6 punkte nurodytų dokumentų gavimo.</w:t>
      </w:r>
    </w:p>
    <w:p>
      <w:pPr>
        <w:widowControl w:val="0"/>
        <w:shd w:val="clear" w:color="auto" w:fill="FFFFFF"/>
        <w:ind w:firstLine="709"/>
        <w:jc w:val="both"/>
      </w:pPr>
      <w:r>
        <w:t>5</w:t>
      </w:r>
      <w:r>
        <w:t>. Pažyma kompetentingos institucijos išduodama asmenims, kurie iš Lietuvos Respublikos teritorijos vyksta į kitą Šengeno valstybę ir tuo laikotarpiu gydytojo paskyrimu turi vartoti narkotines ir (arba) psichotropines medžiagas (toliau – asmuo).</w:t>
      </w:r>
    </w:p>
    <w:p>
      <w:pPr>
        <w:widowControl w:val="0"/>
        <w:shd w:val="clear" w:color="auto" w:fill="FFFFFF"/>
        <w:ind w:firstLine="709"/>
        <w:jc w:val="both"/>
      </w:pPr>
      <w:r>
        <w:t>6</w:t>
      </w:r>
      <w:r>
        <w:t>. Asmuo, norintis gauti Pažymą, kompetentingai institucijai turi pateikti:</w:t>
      </w:r>
    </w:p>
    <w:p>
      <w:pPr>
        <w:widowControl w:val="0"/>
        <w:shd w:val="clear" w:color="auto" w:fill="FFFFFF"/>
        <w:ind w:firstLine="709"/>
        <w:jc w:val="both"/>
      </w:pPr>
      <w:r>
        <w:t>6.1</w:t>
      </w:r>
      <w:r>
        <w:t>. prašymą;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6.2</w:t>
      </w:r>
      <w:r>
        <w:rPr>
          <w:szCs w:val="24"/>
          <w:lang w:eastAsia="lt-LT"/>
        </w:rPr>
        <w:t>. popierinio recepto kopiją, elektroninio recepto arba elektroninio vaistinio preparato, medicinos priemonės (medicinos prietaiso) kompensuojamosios medicinos pagalbos priemonės išdavimo (pardavimo) dokumento (toliau – išdavimo (pardavimo) dokumentas) nuorašą.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655f609dbc11e58fd1fc0b9bba68a7">
        <w:r w:rsidRPr="00532B9F">
          <w:rPr>
            <w:rFonts w:ascii="Times New Roman" w:eastAsia="MS Mincho" w:hAnsi="Times New Roman"/>
            <w:sz w:val="20"/>
            <w:i/>
            <w:iCs/>
            <w:color w:val="0000FF" w:themeColor="hyperlink"/>
            <w:u w:val="single"/>
          </w:rPr>
          <w:t>V-1357</w:t>
        </w:r>
      </w:fldSimple>
      <w:r>
        <w:rPr>
          <w:rFonts w:ascii="Times New Roman" w:eastAsia="MS Mincho" w:hAnsi="Times New Roman"/>
          <w:sz w:val="20"/>
          <w:i/>
          <w:iCs/>
        </w:rPr>
        <w:t>,
2015-11-27,
paskelbta TAR 2015-12-09, i. k. 2015-19474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7</w:t>
      </w:r>
      <w:r>
        <w:rPr>
          <w:szCs w:val="24"/>
          <w:lang w:eastAsia="lt-LT"/>
        </w:rPr>
        <w:t>. Popierinio recepto kopija, elektroninio recepto arba išdavimo (pardavimo) dokumento nuorašas turi būti patvirtinti vaistinės ar asmens sveikatos priežiūros įstaigos, išdavusios ar paskyrusios narkotinę ir (ar) psichotropinę medžiagą, Dokumentų rengimo taisyklių, patvirtintų Lietuvos vyriausiojo archyvaro 2011 m. liepos 4 d. įsakymu Nr. V-117 „Dėl Dokumentų rengimo taisyklių patvirtinimo“,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655f609dbc11e58fd1fc0b9bba68a7">
        <w:r w:rsidRPr="00532B9F">
          <w:rPr>
            <w:rFonts w:ascii="Times New Roman" w:eastAsia="MS Mincho" w:hAnsi="Times New Roman"/>
            <w:sz w:val="20"/>
            <w:i/>
            <w:iCs/>
            <w:color w:val="0000FF" w:themeColor="hyperlink"/>
            <w:u w:val="single"/>
          </w:rPr>
          <w:t>V-1357</w:t>
        </w:r>
      </w:fldSimple>
      <w:r>
        <w:rPr>
          <w:rFonts w:ascii="Times New Roman" w:eastAsia="MS Mincho" w:hAnsi="Times New Roman"/>
          <w:sz w:val="20"/>
          <w:i/>
          <w:iCs/>
        </w:rPr>
        <w:t>,
2015-11-27,
paskelbta TAR 2015-12-09, i. k. 2015-19474            </w:t>
      </w:r>
    </w:p>
    <w:p/>
    <w:p>
      <w:pPr>
        <w:widowControl w:val="0"/>
        <w:shd w:val="clear" w:color="auto" w:fill="FFFFFF"/>
        <w:ind w:firstLine="709"/>
        <w:jc w:val="both"/>
      </w:pPr>
      <w:r>
        <w:t>8</w:t>
      </w:r>
      <w:r>
        <w:t>. Prašyme išduoti Pažymą turi būti nurodyta:</w:t>
      </w:r>
    </w:p>
    <w:p>
      <w:pPr>
        <w:widowControl w:val="0"/>
        <w:shd w:val="clear" w:color="auto" w:fill="FFFFFF"/>
        <w:ind w:firstLine="709"/>
        <w:jc w:val="both"/>
      </w:pPr>
      <w:r>
        <w:t>8.1</w:t>
      </w:r>
      <w:r>
        <w:t>. asmens vardas, pavardė, gimimo data;</w:t>
      </w:r>
    </w:p>
    <w:p>
      <w:pPr>
        <w:widowControl w:val="0"/>
        <w:shd w:val="clear" w:color="auto" w:fill="FFFFFF"/>
        <w:ind w:firstLine="709"/>
        <w:jc w:val="both"/>
      </w:pPr>
      <w:r>
        <w:t>8.2</w:t>
      </w:r>
      <w:r>
        <w:t>. asmens nuolatinės gyvenamosios vietos adresas, telefonas;</w:t>
      </w:r>
    </w:p>
    <w:p>
      <w:pPr>
        <w:widowControl w:val="0"/>
        <w:shd w:val="clear" w:color="auto" w:fill="FFFFFF"/>
        <w:ind w:firstLine="709"/>
        <w:jc w:val="both"/>
      </w:pPr>
      <w:r>
        <w:t>8.3</w:t>
      </w:r>
      <w:r>
        <w:t>. prašymo data;</w:t>
      </w:r>
    </w:p>
    <w:p>
      <w:pPr>
        <w:widowControl w:val="0"/>
        <w:shd w:val="clear" w:color="auto" w:fill="FFFFFF"/>
        <w:ind w:firstLine="709"/>
        <w:jc w:val="both"/>
      </w:pPr>
      <w:r>
        <w:t>8.4</w:t>
      </w:r>
      <w:r>
        <w:t>. asmens gimimo vieta;</w:t>
      </w:r>
    </w:p>
    <w:p>
      <w:pPr>
        <w:widowControl w:val="0"/>
        <w:shd w:val="clear" w:color="auto" w:fill="FFFFFF"/>
        <w:ind w:firstLine="709"/>
        <w:jc w:val="both"/>
      </w:pPr>
      <w:r>
        <w:t>8.5</w:t>
      </w:r>
      <w:r>
        <w:t>. asmens pilietybė;</w:t>
      </w:r>
    </w:p>
    <w:p>
      <w:pPr>
        <w:widowControl w:val="0"/>
        <w:shd w:val="clear" w:color="auto" w:fill="FFFFFF"/>
        <w:ind w:firstLine="709"/>
        <w:jc w:val="both"/>
      </w:pPr>
      <w:r>
        <w:t>8.6</w:t>
      </w:r>
      <w:r>
        <w:t>. asmens tapatybę patvirtinančio dokumento pavadinimas ir numeris;</w:t>
      </w:r>
    </w:p>
    <w:p>
      <w:pPr>
        <w:widowControl w:val="0"/>
        <w:shd w:val="clear" w:color="auto" w:fill="FFFFFF"/>
        <w:ind w:firstLine="709"/>
        <w:jc w:val="both"/>
      </w:pPr>
      <w:r>
        <w:t>8.7</w:t>
      </w:r>
      <w:r>
        <w:t>. vaisto, dėl kurio prašoma išduoti Pažymą, pavadinimas;</w:t>
      </w:r>
    </w:p>
    <w:p>
      <w:pPr>
        <w:widowControl w:val="0"/>
        <w:shd w:val="clear" w:color="auto" w:fill="FFFFFF"/>
        <w:ind w:firstLine="709"/>
        <w:jc w:val="both"/>
      </w:pPr>
      <w:r>
        <w:t>8.8</w:t>
      </w:r>
      <w:r>
        <w:t>. Šengeno valstybė, į kurią asmuo išvyksta, bei kelionės dienų skaičius;</w:t>
      </w:r>
    </w:p>
    <w:p>
      <w:pPr>
        <w:widowControl w:val="0"/>
        <w:shd w:val="clear" w:color="auto" w:fill="FFFFFF"/>
        <w:ind w:firstLine="709"/>
        <w:jc w:val="both"/>
      </w:pPr>
      <w:r>
        <w:t>8.9</w:t>
      </w:r>
      <w:r>
        <w:t>. asmens parašas ir patvirtinimas, kad prašyme pateikta visa reikiama ir teisinga informacija ir (ar) duomenys.</w:t>
      </w:r>
    </w:p>
    <w:p>
      <w:pPr>
        <w:widowControl w:val="0"/>
        <w:shd w:val="clear" w:color="auto" w:fill="FFFFFF"/>
        <w:ind w:firstLine="709"/>
        <w:jc w:val="both"/>
      </w:pPr>
      <w:r>
        <w:t>9</w:t>
      </w:r>
      <w:r>
        <w:t>. Pažyma išduodama pateikus pasą ar kitą asmens tapatybę patvirtinantį dokumentą.</w:t>
      </w:r>
    </w:p>
    <w:p>
      <w:pPr>
        <w:widowControl w:val="0"/>
        <w:shd w:val="clear" w:color="auto" w:fill="FFFFFF"/>
        <w:ind w:firstLine="709"/>
        <w:jc w:val="both"/>
      </w:pPr>
      <w:r>
        <w:t>10</w:t>
      </w:r>
      <w:r>
        <w:t>. Jeigu dėl Pažymos išdavimo kreipiasi pareiškėjo atstovas, jis be šio aprašo 9 punkte nurodyto dokumento, turi pateikti ir įgaliojimą.</w:t>
      </w:r>
    </w:p>
    <w:p>
      <w:pPr>
        <w:widowControl w:val="0"/>
        <w:shd w:val="clear" w:color="auto" w:fill="FFFFFF"/>
        <w:ind w:firstLine="709"/>
        <w:jc w:val="both"/>
      </w:pPr>
      <w:r>
        <w:t>11</w:t>
      </w:r>
      <w:r>
        <w:t>. Pažyma turi būti patvirtinta kompetentingos institucijos antspaudu ir kompetentingos institucijos administracijos vadovo ar jo įgalioto asmens parašu.</w:t>
      </w:r>
    </w:p>
    <w:p>
      <w:pPr>
        <w:widowControl w:val="0"/>
        <w:shd w:val="clear" w:color="auto" w:fill="FFFFFF"/>
        <w:ind w:firstLine="709"/>
        <w:jc w:val="both"/>
      </w:pPr>
      <w:r>
        <w:t>12</w:t>
      </w:r>
      <w:r>
        <w:t>. Pažyma išduodama pasirašytinai.</w:t>
      </w:r>
    </w:p>
    <w:p>
      <w:pPr>
        <w:widowControl w:val="0"/>
        <w:shd w:val="clear" w:color="auto" w:fill="FFFFFF"/>
        <w:ind w:firstLine="709"/>
        <w:jc w:val="both"/>
      </w:pPr>
      <w:r>
        <w:t>13</w:t>
      </w:r>
      <w:r>
        <w:t>. Kompetentingos institucijos pasilieka Pažymos kopiją.</w:t>
      </w:r>
    </w:p>
    <w:p>
      <w:pPr>
        <w:widowControl w:val="0"/>
        <w:shd w:val="clear" w:color="auto" w:fill="FFFFFF"/>
        <w:ind w:firstLine="709"/>
        <w:jc w:val="both"/>
      </w:pPr>
      <w:r>
        <w:t>14</w:t>
      </w:r>
      <w:r>
        <w:t>. Pažymos turi būti registruojamos registracijos žurnale.</w:t>
      </w:r>
    </w:p>
    <w:p>
      <w:pPr>
        <w:widowControl w:val="0"/>
        <w:shd w:val="clear" w:color="auto" w:fill="FFFFFF"/>
        <w:ind w:firstLine="709"/>
        <w:jc w:val="both"/>
      </w:pPr>
      <w:r>
        <w:t>15</w:t>
      </w:r>
      <w:r>
        <w:t>. Praradus Pažymą, gali būti išduodamas jos dublikatas.</w:t>
      </w:r>
    </w:p>
    <w:p>
      <w:pPr>
        <w:widowControl w:val="0"/>
        <w:shd w:val="clear" w:color="auto" w:fill="FFFFFF"/>
        <w:ind w:firstLine="709"/>
        <w:jc w:val="both"/>
      </w:pPr>
      <w:r>
        <w:t>16</w:t>
      </w:r>
      <w:r>
        <w:t>. Prašymai išduoti Pažymą, Pažymų kopijos bei registracijos žurnalo duomenys saugomi trejus metus nuo prašymo pateikimo datos.</w:t>
      </w:r>
    </w:p>
    <w:p>
      <w:pPr>
        <w:widowControl w:val="0"/>
        <w:shd w:val="clear" w:color="auto" w:fill="FFFFFF"/>
        <w:ind w:firstLine="709"/>
        <w:jc w:val="both"/>
      </w:pPr>
      <w:r>
        <w:t>17</w:t>
      </w:r>
      <w:r>
        <w:t>. Informaciją, susijusią su Pažymos išdavimu, teikia Valstybinė vaistų kontrolės tarnyba prie Lietuvos Respublikos sveikatos apsaugos ministerijos.</w:t>
      </w:r>
    </w:p>
    <w:p>
      <w:pPr>
        <w:jc w:val="center"/>
      </w:pPr>
      <w:r>
        <w:t>______________</w:t>
      </w:r>
    </w:p>
    <w:p>
      <w:pPr>
        <w:ind w:left="5102"/>
      </w:pPr>
      <w:r>
        <w:br w:type="page"/>
        <w:t xml:space="preserve">Forma patvirtinta Lietuvos Respublikos </w:t>
      </w:r>
    </w:p>
    <w:p>
      <w:pPr>
        <w:ind w:firstLine="5102"/>
      </w:pPr>
      <w:r>
        <w:t xml:space="preserve">sveikatos apsaugos ministro </w:t>
      </w:r>
    </w:p>
    <w:p>
      <w:pPr>
        <w:ind w:firstLine="5102"/>
      </w:pPr>
      <w:r>
        <w:t>2007 m. kovo 2 d. įsakymu Nr. V-138</w:t>
      </w:r>
    </w:p>
    <w:p>
      <w:pPr>
        <w:jc w:val="center"/>
      </w:pPr>
    </w:p>
    <w:p>
      <w:pPr>
        <w:widowControl w:val="0"/>
        <w:shd w:val="clear" w:color="auto" w:fill="FFFFFF"/>
        <w:jc w:val="center"/>
      </w:pPr>
      <w:r>
        <w:rPr>
          <w:b/>
          <w:bCs/>
        </w:rPr>
        <w:t>(Pažymos vežtis gydymo tikslais asmeniniam vartojimui skirtas narkotines ir (arba) psichotropines medžiagas forma)</w:t>
      </w:r>
    </w:p>
    <w:p>
      <w:pPr>
        <w:ind w:firstLine="709"/>
        <w:jc w:val="both"/>
      </w:pPr>
    </w:p>
    <w:p>
      <w:r>
        <w:t>____________________________________________________</w:t>
      </w:r>
    </w:p>
    <w:p>
      <w:pPr>
        <w:widowControl w:val="0"/>
        <w:shd w:val="clear" w:color="auto" w:fill="FFFFFF"/>
        <w:rPr>
          <w:sz w:val="20"/>
        </w:rPr>
      </w:pPr>
      <w:r>
        <w:rPr>
          <w:sz w:val="20"/>
        </w:rPr>
        <w:t>(Kompetentingos institucijos pavadinimas, telefonas, faksas, el. pašto adresas)</w:t>
      </w:r>
    </w:p>
    <w:p>
      <w:r>
        <w:t>_________</w:t>
      </w:r>
    </w:p>
    <w:p>
      <w:pPr>
        <w:widowControl w:val="0"/>
        <w:shd w:val="clear" w:color="auto" w:fill="FFFFFF"/>
        <w:rPr>
          <w:sz w:val="20"/>
        </w:rPr>
      </w:pPr>
      <w:r>
        <w:rPr>
          <w:sz w:val="20"/>
        </w:rPr>
        <w:t>adresatas</w:t>
      </w:r>
    </w:p>
    <w:p>
      <w:pPr>
        <w:ind w:firstLine="709"/>
        <w:jc w:val="both"/>
      </w:pPr>
    </w:p>
    <w:p>
      <w:pPr>
        <w:widowControl w:val="0"/>
        <w:shd w:val="clear" w:color="auto" w:fill="FFFFFF"/>
        <w:jc w:val="center"/>
        <w:rPr>
          <w:b/>
          <w:bCs/>
        </w:rPr>
      </w:pPr>
      <w:r>
        <w:rPr>
          <w:b/>
          <w:bCs/>
        </w:rPr>
        <w:t>PAŽYMA</w:t>
      </w:r>
    </w:p>
    <w:p>
      <w:pPr>
        <w:widowControl w:val="0"/>
        <w:shd w:val="clear" w:color="auto" w:fill="FFFFFF"/>
        <w:jc w:val="center"/>
      </w:pPr>
      <w:r>
        <w:rPr>
          <w:b/>
          <w:bCs/>
        </w:rPr>
        <w:t>VEŽTIS GYDYMO TIKSLAIS ASMENINIAM VARTOJIMUI SKIRTAS NARKOTINES IR (ARBA) PSICHOTROPINES MEDŽIAGAS</w:t>
      </w:r>
    </w:p>
    <w:p>
      <w:pPr>
        <w:widowControl w:val="0"/>
        <w:shd w:val="clear" w:color="auto" w:fill="FFFFFF"/>
        <w:jc w:val="center"/>
      </w:pPr>
      <w:r>
        <w:t>(Šengeno konvencijos 75 straipsnis)</w:t>
      </w:r>
    </w:p>
    <w:p>
      <w:pPr>
        <w:jc w:val="center"/>
      </w:pPr>
    </w:p>
    <w:p>
      <w:pPr>
        <w:widowControl w:val="0"/>
        <w:shd w:val="clear" w:color="auto" w:fill="FFFFFF"/>
        <w:tabs>
          <w:tab w:val="left" w:leader="underscore" w:pos="3163"/>
          <w:tab w:val="left" w:leader="underscore" w:pos="3758"/>
        </w:tabs>
        <w:jc w:val="center"/>
      </w:pPr>
      <w:r>
        <w:t>_______ Nr. _____</w:t>
      </w:r>
    </w:p>
    <w:p>
      <w:pPr>
        <w:widowControl w:val="0"/>
        <w:shd w:val="clear" w:color="auto" w:fill="FFFFFF"/>
        <w:tabs>
          <w:tab w:val="left" w:pos="4047"/>
        </w:tabs>
        <w:ind w:firstLine="4047"/>
        <w:jc w:val="both"/>
        <w:rPr>
          <w:sz w:val="20"/>
        </w:rPr>
      </w:pPr>
      <w:r>
        <w:rPr>
          <w:sz w:val="20"/>
        </w:rPr>
        <w:t>(data)</w:t>
      </w:r>
    </w:p>
    <w:p>
      <w:pPr>
        <w:widowControl w:val="0"/>
        <w:shd w:val="clear" w:color="auto" w:fill="FFFFFF"/>
        <w:ind w:firstLine="709"/>
        <w:jc w:val="both"/>
      </w:pPr>
    </w:p>
    <w:p>
      <w:pPr>
        <w:widowControl w:val="0"/>
        <w:shd w:val="clear" w:color="auto" w:fill="FFFFFF"/>
        <w:tabs>
          <w:tab w:val="left" w:leader="underscore" w:pos="1618"/>
          <w:tab w:val="left" w:leader="underscore" w:pos="2770"/>
        </w:tabs>
        <w:jc w:val="both"/>
      </w:pPr>
      <w:r>
        <w:t xml:space="preserve">Lietuvos Respublika __________ (miestas) __________ </w:t>
      </w:r>
      <w:r>
        <w:rPr>
          <w:bCs/>
        </w:rPr>
        <w:t>(1)</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803"/>
        <w:gridCol w:w="15"/>
        <w:gridCol w:w="4813"/>
        <w:gridCol w:w="6"/>
      </w:tblGrid>
      <w:tr>
        <w:trPr>
          <w:cantSplit/>
          <w:trHeight w:val="1815"/>
        </w:trPr>
        <w:tc>
          <w:tcPr>
            <w:tcW w:w="9029"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rPr>
                <w:b/>
                <w:sz w:val="20"/>
              </w:rPr>
            </w:pPr>
            <w:r>
              <w:rPr>
                <w:b/>
                <w:sz w:val="20"/>
              </w:rPr>
              <w:t>A. Pažymą išrašęs gydytojas:</w:t>
            </w:r>
          </w:p>
          <w:p>
            <w:pPr>
              <w:shd w:val="clear" w:color="auto" w:fill="FFFFFF"/>
              <w:tabs>
                <w:tab w:val="center" w:pos="4503"/>
                <w:tab w:val="center" w:pos="8208"/>
              </w:tabs>
              <w:rPr>
                <w:sz w:val="20"/>
              </w:rPr>
            </w:pPr>
            <w:r>
              <w:rPr>
                <w:sz w:val="20"/>
              </w:rPr>
              <w:t>_______________</w:t>
              <w:tab/>
              <w:t>_______________</w:t>
              <w:tab/>
              <w:t>_________________ (2)</w:t>
            </w:r>
          </w:p>
          <w:p>
            <w:pPr>
              <w:shd w:val="clear" w:color="auto" w:fill="FFFFFF"/>
              <w:tabs>
                <w:tab w:val="center" w:pos="4503"/>
                <w:tab w:val="center" w:pos="8151"/>
              </w:tabs>
              <w:rPr>
                <w:sz w:val="20"/>
              </w:rPr>
            </w:pPr>
            <w:r>
              <w:rPr>
                <w:sz w:val="20"/>
              </w:rPr>
              <w:t xml:space="preserve">(Pavardė) </w:t>
              <w:tab/>
              <w:t xml:space="preserve">(Vardas) </w:t>
              <w:tab/>
              <w:t xml:space="preserve">(Tel.) </w:t>
            </w:r>
          </w:p>
          <w:p>
            <w:pPr>
              <w:shd w:val="clear" w:color="auto" w:fill="FFFFFF"/>
              <w:tabs>
                <w:tab w:val="right" w:leader="underscore" w:pos="9177"/>
              </w:tabs>
              <w:rPr>
                <w:sz w:val="20"/>
              </w:rPr>
            </w:pPr>
            <w:r>
              <w:rPr>
                <w:sz w:val="20"/>
              </w:rPr>
              <w:t>_</w:t>
              <w:tab/>
              <w:t>(3)</w:t>
            </w:r>
          </w:p>
          <w:p>
            <w:pPr>
              <w:shd w:val="clear" w:color="auto" w:fill="FFFFFF"/>
              <w:rPr>
                <w:sz w:val="20"/>
              </w:rPr>
            </w:pPr>
            <w:r>
              <w:rPr>
                <w:sz w:val="20"/>
              </w:rPr>
              <w:t>(Adresas)</w:t>
            </w:r>
          </w:p>
          <w:p>
            <w:pPr>
              <w:shd w:val="clear" w:color="auto" w:fill="FFFFFF"/>
              <w:rPr>
                <w:sz w:val="20"/>
              </w:rPr>
            </w:pPr>
          </w:p>
          <w:p>
            <w:pPr>
              <w:shd w:val="clear" w:color="auto" w:fill="FFFFFF"/>
              <w:tabs>
                <w:tab w:val="left" w:leader="dot" w:pos="1940"/>
                <w:tab w:val="right" w:pos="2480"/>
                <w:tab w:val="right" w:leader="dot" w:pos="5180"/>
              </w:tabs>
              <w:rPr>
                <w:sz w:val="20"/>
              </w:rPr>
            </w:pPr>
            <w:r>
              <w:rPr>
                <w:sz w:val="20"/>
              </w:rPr>
              <w:t>.</w:t>
              <w:tab/>
              <w:tab/>
              <w:tab/>
              <w:t xml:space="preserve"> (4) </w:t>
            </w:r>
          </w:p>
          <w:p>
            <w:pPr>
              <w:shd w:val="clear" w:color="auto" w:fill="FFFFFF"/>
              <w:tabs>
                <w:tab w:val="center" w:pos="3740"/>
              </w:tabs>
              <w:rPr>
                <w:sz w:val="20"/>
              </w:rPr>
            </w:pPr>
            <w:r>
              <w:rPr>
                <w:sz w:val="20"/>
              </w:rPr>
              <w:t xml:space="preserve">(Gydytojo spaudas) </w:t>
              <w:tab/>
              <w:t>(Gydytojo parašas)</w:t>
            </w:r>
          </w:p>
          <w:p>
            <w:pPr>
              <w:shd w:val="clear" w:color="auto" w:fill="FFFFFF"/>
              <w:tabs>
                <w:tab w:val="center" w:pos="3740"/>
              </w:tabs>
              <w:rPr>
                <w:sz w:val="20"/>
              </w:rPr>
            </w:pPr>
          </w:p>
        </w:tc>
      </w:tr>
      <w:tr>
        <w:trPr>
          <w:cantSplit/>
          <w:trHeight w:val="23"/>
        </w:trPr>
        <w:tc>
          <w:tcPr>
            <w:tcW w:w="4514" w:type="dxa"/>
            <w:gridSpan w:val="2"/>
            <w:tcBorders>
              <w:top w:val="single" w:sz="6" w:space="0" w:color="auto"/>
              <w:left w:val="single" w:sz="6" w:space="0" w:color="auto"/>
            </w:tcBorders>
            <w:shd w:val="clear" w:color="auto" w:fill="FFFFFF"/>
          </w:tcPr>
          <w:p>
            <w:pPr>
              <w:shd w:val="clear" w:color="auto" w:fill="FFFFFF"/>
              <w:rPr>
                <w:b/>
                <w:sz w:val="20"/>
              </w:rPr>
            </w:pPr>
            <w:r>
              <w:rPr>
                <w:b/>
                <w:sz w:val="20"/>
              </w:rPr>
              <w:t>B. Pacientas:</w:t>
            </w:r>
          </w:p>
        </w:tc>
        <w:tc>
          <w:tcPr>
            <w:tcW w:w="4515" w:type="dxa"/>
            <w:gridSpan w:val="2"/>
            <w:tcBorders>
              <w:top w:val="single" w:sz="6" w:space="0" w:color="auto"/>
              <w:right w:val="single" w:sz="6" w:space="0" w:color="auto"/>
            </w:tcBorders>
            <w:shd w:val="clear" w:color="auto" w:fill="FFFFFF"/>
          </w:tcPr>
          <w:p>
            <w:pPr>
              <w:shd w:val="clear" w:color="auto" w:fill="FFFFFF"/>
              <w:rPr>
                <w:sz w:val="20"/>
              </w:rPr>
            </w:pPr>
          </w:p>
        </w:tc>
      </w:tr>
      <w:tr>
        <w:trPr>
          <w:cantSplit/>
          <w:trHeight w:val="23"/>
        </w:trPr>
        <w:tc>
          <w:tcPr>
            <w:tcW w:w="4514" w:type="dxa"/>
            <w:gridSpan w:val="2"/>
            <w:tcBorders>
              <w:left w:val="single" w:sz="6" w:space="0" w:color="auto"/>
            </w:tcBorders>
            <w:shd w:val="clear" w:color="auto" w:fill="FFFFFF"/>
          </w:tcPr>
          <w:p>
            <w:pPr>
              <w:shd w:val="clear" w:color="auto" w:fill="FFFFFF"/>
              <w:tabs>
                <w:tab w:val="right" w:leader="underscore" w:pos="4280"/>
              </w:tabs>
              <w:rPr>
                <w:sz w:val="20"/>
              </w:rPr>
            </w:pPr>
            <w:r>
              <w:rPr>
                <w:sz w:val="20"/>
              </w:rPr>
              <w:t>_</w:t>
              <w:tab/>
              <w:t>(5)</w:t>
            </w:r>
          </w:p>
          <w:p>
            <w:pPr>
              <w:shd w:val="clear" w:color="auto" w:fill="FFFFFF"/>
              <w:tabs>
                <w:tab w:val="center" w:pos="2660"/>
              </w:tabs>
              <w:rPr>
                <w:sz w:val="20"/>
              </w:rPr>
            </w:pPr>
            <w:r>
              <w:rPr>
                <w:sz w:val="20"/>
              </w:rPr>
              <w:t xml:space="preserve">(Pavardė) </w:t>
              <w:tab/>
              <w:t>(Vardas)</w:t>
            </w:r>
          </w:p>
        </w:tc>
        <w:tc>
          <w:tcPr>
            <w:tcW w:w="4515" w:type="dxa"/>
            <w:gridSpan w:val="2"/>
            <w:tcBorders>
              <w:right w:val="single" w:sz="6" w:space="0" w:color="auto"/>
            </w:tcBorders>
            <w:shd w:val="clear" w:color="auto" w:fill="FFFFFF"/>
          </w:tcPr>
          <w:p>
            <w:pPr>
              <w:shd w:val="clear" w:color="auto" w:fill="FFFFFF"/>
              <w:tabs>
                <w:tab w:val="right" w:leader="underscore" w:pos="4280"/>
              </w:tabs>
              <w:rPr>
                <w:sz w:val="20"/>
              </w:rPr>
            </w:pPr>
            <w:r>
              <w:rPr>
                <w:sz w:val="20"/>
              </w:rPr>
              <w:t>_</w:t>
              <w:tab/>
              <w:t>(6)</w:t>
            </w:r>
          </w:p>
          <w:p>
            <w:pPr>
              <w:shd w:val="clear" w:color="auto" w:fill="FFFFFF"/>
              <w:tabs>
                <w:tab w:val="right" w:leader="underscore" w:pos="4280"/>
              </w:tabs>
              <w:rPr>
                <w:sz w:val="20"/>
              </w:rPr>
            </w:pPr>
            <w:r>
              <w:rPr>
                <w:sz w:val="20"/>
              </w:rPr>
              <w:t xml:space="preserve">(Paso ar kito tapatybės dokumento Nr.) </w:t>
            </w:r>
          </w:p>
        </w:tc>
      </w:tr>
      <w:tr>
        <w:trPr>
          <w:cantSplit/>
          <w:trHeight w:val="23"/>
        </w:trPr>
        <w:tc>
          <w:tcPr>
            <w:tcW w:w="4514" w:type="dxa"/>
            <w:gridSpan w:val="2"/>
            <w:tcBorders>
              <w:left w:val="single" w:sz="6" w:space="0" w:color="auto"/>
            </w:tcBorders>
            <w:shd w:val="clear" w:color="auto" w:fill="FFFFFF"/>
          </w:tcPr>
          <w:p>
            <w:pPr>
              <w:shd w:val="clear" w:color="auto" w:fill="FFFFFF"/>
              <w:tabs>
                <w:tab w:val="right" w:leader="underscore" w:pos="4280"/>
              </w:tabs>
              <w:rPr>
                <w:sz w:val="20"/>
              </w:rPr>
            </w:pPr>
            <w:r>
              <w:rPr>
                <w:sz w:val="20"/>
              </w:rPr>
              <w:t>_</w:t>
              <w:tab/>
              <w:t>(7)</w:t>
            </w:r>
          </w:p>
          <w:p>
            <w:pPr>
              <w:shd w:val="clear" w:color="auto" w:fill="FFFFFF"/>
              <w:tabs>
                <w:tab w:val="right" w:leader="underscore" w:pos="4280"/>
              </w:tabs>
              <w:rPr>
                <w:sz w:val="20"/>
              </w:rPr>
            </w:pPr>
            <w:r>
              <w:rPr>
                <w:sz w:val="20"/>
              </w:rPr>
              <w:t xml:space="preserve">(Gimimo vieta) </w:t>
            </w:r>
          </w:p>
        </w:tc>
        <w:tc>
          <w:tcPr>
            <w:tcW w:w="4515" w:type="dxa"/>
            <w:gridSpan w:val="2"/>
            <w:tcBorders>
              <w:right w:val="single" w:sz="6" w:space="0" w:color="auto"/>
            </w:tcBorders>
            <w:shd w:val="clear" w:color="auto" w:fill="FFFFFF"/>
          </w:tcPr>
          <w:p>
            <w:pPr>
              <w:shd w:val="clear" w:color="auto" w:fill="FFFFFF"/>
              <w:tabs>
                <w:tab w:val="right" w:leader="underscore" w:pos="4280"/>
              </w:tabs>
              <w:rPr>
                <w:sz w:val="20"/>
              </w:rPr>
            </w:pPr>
            <w:r>
              <w:rPr>
                <w:sz w:val="20"/>
              </w:rPr>
              <w:t>_</w:t>
              <w:tab/>
              <w:t>(8)</w:t>
            </w:r>
          </w:p>
          <w:p>
            <w:pPr>
              <w:shd w:val="clear" w:color="auto" w:fill="FFFFFF"/>
              <w:tabs>
                <w:tab w:val="right" w:leader="underscore" w:pos="4280"/>
              </w:tabs>
              <w:jc w:val="center"/>
              <w:rPr>
                <w:sz w:val="20"/>
              </w:rPr>
            </w:pPr>
            <w:r>
              <w:rPr>
                <w:sz w:val="20"/>
              </w:rPr>
              <w:t>(Gimimo data)</w:t>
            </w:r>
          </w:p>
        </w:tc>
      </w:tr>
      <w:tr>
        <w:trPr>
          <w:cantSplit/>
          <w:trHeight w:val="23"/>
        </w:trPr>
        <w:tc>
          <w:tcPr>
            <w:tcW w:w="4514" w:type="dxa"/>
            <w:gridSpan w:val="2"/>
            <w:tcBorders>
              <w:left w:val="single" w:sz="6" w:space="0" w:color="auto"/>
            </w:tcBorders>
            <w:shd w:val="clear" w:color="auto" w:fill="FFFFFF"/>
          </w:tcPr>
          <w:p>
            <w:pPr>
              <w:shd w:val="clear" w:color="auto" w:fill="FFFFFF"/>
              <w:tabs>
                <w:tab w:val="right" w:leader="underscore" w:pos="4280"/>
              </w:tabs>
              <w:rPr>
                <w:sz w:val="20"/>
              </w:rPr>
            </w:pPr>
            <w:r>
              <w:rPr>
                <w:sz w:val="20"/>
              </w:rPr>
              <w:t>_</w:t>
              <w:tab/>
              <w:t>(9)</w:t>
            </w:r>
          </w:p>
          <w:p>
            <w:pPr>
              <w:shd w:val="clear" w:color="auto" w:fill="FFFFFF"/>
              <w:tabs>
                <w:tab w:val="right" w:leader="underscore" w:pos="4280"/>
              </w:tabs>
              <w:rPr>
                <w:sz w:val="20"/>
              </w:rPr>
            </w:pPr>
            <w:r>
              <w:rPr>
                <w:sz w:val="20"/>
              </w:rPr>
              <w:t>(Pilietybė)</w:t>
            </w:r>
          </w:p>
        </w:tc>
        <w:tc>
          <w:tcPr>
            <w:tcW w:w="4515" w:type="dxa"/>
            <w:gridSpan w:val="2"/>
            <w:tcBorders>
              <w:right w:val="single" w:sz="6" w:space="0" w:color="auto"/>
            </w:tcBorders>
            <w:shd w:val="clear" w:color="auto" w:fill="FFFFFF"/>
          </w:tcPr>
          <w:p>
            <w:pPr>
              <w:shd w:val="clear" w:color="auto" w:fill="FFFFFF"/>
              <w:tabs>
                <w:tab w:val="right" w:leader="underscore" w:pos="4280"/>
              </w:tabs>
              <w:rPr>
                <w:sz w:val="20"/>
              </w:rPr>
            </w:pPr>
            <w:r>
              <w:rPr>
                <w:sz w:val="20"/>
              </w:rPr>
              <w:t>_</w:t>
              <w:tab/>
              <w:t>(10)</w:t>
            </w:r>
          </w:p>
          <w:p>
            <w:pPr>
              <w:shd w:val="clear" w:color="auto" w:fill="FFFFFF"/>
              <w:tabs>
                <w:tab w:val="right" w:leader="underscore" w:pos="4280"/>
              </w:tabs>
              <w:jc w:val="center"/>
              <w:rPr>
                <w:sz w:val="20"/>
              </w:rPr>
            </w:pPr>
            <w:r>
              <w:rPr>
                <w:sz w:val="20"/>
              </w:rPr>
              <w:t>(Lytis)</w:t>
            </w:r>
          </w:p>
        </w:tc>
      </w:tr>
      <w:tr>
        <w:trPr>
          <w:cantSplit/>
          <w:trHeight w:val="23"/>
        </w:trPr>
        <w:tc>
          <w:tcPr>
            <w:tcW w:w="9029" w:type="dxa"/>
            <w:gridSpan w:val="4"/>
            <w:tcBorders>
              <w:left w:val="single" w:sz="6" w:space="0" w:color="auto"/>
              <w:right w:val="single" w:sz="6" w:space="0" w:color="auto"/>
            </w:tcBorders>
            <w:shd w:val="clear" w:color="auto" w:fill="FFFFFF"/>
          </w:tcPr>
          <w:p>
            <w:pPr>
              <w:shd w:val="clear" w:color="auto" w:fill="FFFFFF"/>
              <w:tabs>
                <w:tab w:val="right" w:leader="underscore" w:pos="9063"/>
              </w:tabs>
              <w:rPr>
                <w:sz w:val="20"/>
              </w:rPr>
            </w:pPr>
            <w:r>
              <w:rPr>
                <w:sz w:val="20"/>
              </w:rPr>
              <w:t>_</w:t>
              <w:tab/>
              <w:t>(11)</w:t>
            </w:r>
          </w:p>
          <w:p>
            <w:pPr>
              <w:shd w:val="clear" w:color="auto" w:fill="FFFFFF"/>
              <w:rPr>
                <w:sz w:val="20"/>
              </w:rPr>
            </w:pPr>
            <w:r>
              <w:rPr>
                <w:sz w:val="20"/>
              </w:rPr>
              <w:t xml:space="preserve">(Adresas) </w:t>
            </w:r>
          </w:p>
        </w:tc>
      </w:tr>
      <w:tr>
        <w:trPr>
          <w:cantSplit/>
          <w:trHeight w:val="23"/>
        </w:trPr>
        <w:tc>
          <w:tcPr>
            <w:tcW w:w="4514" w:type="dxa"/>
            <w:gridSpan w:val="2"/>
            <w:tcBorders>
              <w:left w:val="single" w:sz="6" w:space="0" w:color="auto"/>
              <w:bottom w:val="single" w:sz="6" w:space="0" w:color="auto"/>
            </w:tcBorders>
            <w:shd w:val="clear" w:color="auto" w:fill="FFFFFF"/>
          </w:tcPr>
          <w:p>
            <w:pPr>
              <w:shd w:val="clear" w:color="auto" w:fill="FFFFFF"/>
              <w:tabs>
                <w:tab w:val="right" w:leader="underscore" w:pos="4280"/>
              </w:tabs>
              <w:rPr>
                <w:sz w:val="20"/>
              </w:rPr>
            </w:pPr>
            <w:r>
              <w:rPr>
                <w:sz w:val="20"/>
              </w:rPr>
              <w:t>_</w:t>
              <w:tab/>
              <w:t xml:space="preserve">(12) </w:t>
            </w:r>
          </w:p>
          <w:p>
            <w:pPr>
              <w:shd w:val="clear" w:color="auto" w:fill="FFFFFF"/>
              <w:tabs>
                <w:tab w:val="right" w:leader="underscore" w:pos="4280"/>
              </w:tabs>
              <w:rPr>
                <w:sz w:val="20"/>
              </w:rPr>
            </w:pPr>
            <w:r>
              <w:rPr>
                <w:sz w:val="20"/>
              </w:rPr>
              <w:t xml:space="preserve">(Kelionės dienų skaičius) </w:t>
            </w:r>
          </w:p>
        </w:tc>
        <w:tc>
          <w:tcPr>
            <w:tcW w:w="4515" w:type="dxa"/>
            <w:gridSpan w:val="2"/>
            <w:tcBorders>
              <w:bottom w:val="single" w:sz="6" w:space="0" w:color="auto"/>
              <w:right w:val="single" w:sz="6" w:space="0" w:color="auto"/>
            </w:tcBorders>
            <w:shd w:val="clear" w:color="auto" w:fill="FFFFFF"/>
          </w:tcPr>
          <w:p>
            <w:pPr>
              <w:shd w:val="clear" w:color="auto" w:fill="FFFFFF"/>
              <w:tabs>
                <w:tab w:val="right" w:leader="underscore" w:pos="4280"/>
              </w:tabs>
              <w:rPr>
                <w:sz w:val="20"/>
              </w:rPr>
            </w:pPr>
            <w:r>
              <w:rPr>
                <w:sz w:val="20"/>
              </w:rPr>
              <w:t>_</w:t>
              <w:tab/>
              <w:t>(13)</w:t>
            </w:r>
          </w:p>
          <w:p>
            <w:pPr>
              <w:shd w:val="clear" w:color="auto" w:fill="FFFFFF"/>
              <w:tabs>
                <w:tab w:val="right" w:leader="underscore" w:pos="4280"/>
              </w:tabs>
              <w:rPr>
                <w:sz w:val="20"/>
              </w:rPr>
            </w:pPr>
            <w:r>
              <w:rPr>
                <w:sz w:val="20"/>
              </w:rPr>
              <w:t>(Раžyma galioja – ne ilgiau kaip 30 dienų)</w:t>
            </w:r>
          </w:p>
        </w:tc>
      </w:tr>
      <w:tr>
        <w:trPr>
          <w:gridAfter w:val="1"/>
          <w:wAfter w:w="6" w:type="dxa"/>
          <w:cantSplit/>
          <w:trHeight w:val="23"/>
        </w:trPr>
        <w:tc>
          <w:tcPr>
            <w:tcW w:w="9023" w:type="dxa"/>
            <w:gridSpan w:val="3"/>
            <w:tcBorders>
              <w:top w:val="single" w:sz="6" w:space="0" w:color="auto"/>
              <w:left w:val="single" w:sz="6" w:space="0" w:color="auto"/>
              <w:right w:val="single" w:sz="6" w:space="0" w:color="auto"/>
            </w:tcBorders>
            <w:shd w:val="clear" w:color="auto" w:fill="FFFFFF"/>
          </w:tcPr>
          <w:p>
            <w:pPr>
              <w:shd w:val="clear" w:color="auto" w:fill="FFFFFF"/>
              <w:rPr>
                <w:b/>
                <w:sz w:val="20"/>
              </w:rPr>
            </w:pPr>
            <w:r>
              <w:rPr>
                <w:b/>
                <w:sz w:val="20"/>
              </w:rPr>
              <w:t>C. Paskirtas vaistas:</w:t>
            </w:r>
          </w:p>
        </w:tc>
      </w:tr>
      <w:tr>
        <w:trPr>
          <w:gridAfter w:val="1"/>
          <w:wAfter w:w="6" w:type="dxa"/>
          <w:cantSplit/>
          <w:trHeight w:val="23"/>
        </w:trPr>
        <w:tc>
          <w:tcPr>
            <w:tcW w:w="4500" w:type="dxa"/>
            <w:tcBorders>
              <w:left w:val="single" w:sz="6" w:space="0" w:color="auto"/>
            </w:tcBorders>
            <w:shd w:val="clear" w:color="auto" w:fill="FFFFFF"/>
          </w:tcPr>
          <w:p>
            <w:pPr>
              <w:shd w:val="clear" w:color="auto" w:fill="FFFFFF"/>
              <w:tabs>
                <w:tab w:val="right" w:leader="underscore" w:pos="4280"/>
              </w:tabs>
              <w:rPr>
                <w:sz w:val="20"/>
              </w:rPr>
            </w:pPr>
            <w:r>
              <w:rPr>
                <w:sz w:val="20"/>
              </w:rPr>
              <w:t>_</w:t>
              <w:tab/>
              <w:t>(14)</w:t>
            </w:r>
          </w:p>
          <w:p>
            <w:pPr>
              <w:shd w:val="clear" w:color="auto" w:fill="FFFFFF"/>
              <w:tabs>
                <w:tab w:val="right" w:leader="underscore" w:pos="4280"/>
              </w:tabs>
              <w:rPr>
                <w:sz w:val="20"/>
              </w:rPr>
            </w:pPr>
            <w:r>
              <w:rPr>
                <w:sz w:val="20"/>
              </w:rPr>
              <w:t xml:space="preserve">(vaisto pavadinimas ar ekstemporalus vaistinis preparatas) </w:t>
            </w:r>
          </w:p>
        </w:tc>
        <w:tc>
          <w:tcPr>
            <w:tcW w:w="4523" w:type="dxa"/>
            <w:gridSpan w:val="2"/>
            <w:tcBorders>
              <w:right w:val="single" w:sz="6" w:space="0" w:color="auto"/>
            </w:tcBorders>
            <w:shd w:val="clear" w:color="auto" w:fill="FFFFFF"/>
          </w:tcPr>
          <w:p>
            <w:pPr>
              <w:shd w:val="clear" w:color="auto" w:fill="FFFFFF"/>
              <w:tabs>
                <w:tab w:val="right" w:leader="underscore" w:pos="4280"/>
              </w:tabs>
              <w:rPr>
                <w:sz w:val="20"/>
              </w:rPr>
            </w:pPr>
            <w:r>
              <w:rPr>
                <w:sz w:val="20"/>
              </w:rPr>
              <w:t>_</w:t>
              <w:tab/>
              <w:t>(15)</w:t>
            </w:r>
          </w:p>
          <w:p>
            <w:pPr>
              <w:shd w:val="clear" w:color="auto" w:fill="FFFFFF"/>
              <w:tabs>
                <w:tab w:val="right" w:leader="underscore" w:pos="4280"/>
              </w:tabs>
              <w:rPr>
                <w:sz w:val="20"/>
              </w:rPr>
            </w:pPr>
            <w:r>
              <w:rPr>
                <w:sz w:val="20"/>
              </w:rPr>
              <w:t>(farmacinė forma)</w:t>
            </w:r>
          </w:p>
        </w:tc>
      </w:tr>
      <w:tr>
        <w:trPr>
          <w:gridAfter w:val="1"/>
          <w:wAfter w:w="6" w:type="dxa"/>
          <w:cantSplit/>
          <w:trHeight w:val="23"/>
        </w:trPr>
        <w:tc>
          <w:tcPr>
            <w:tcW w:w="4500" w:type="dxa"/>
            <w:tcBorders>
              <w:left w:val="single" w:sz="6" w:space="0" w:color="auto"/>
            </w:tcBorders>
            <w:shd w:val="clear" w:color="auto" w:fill="FFFFFF"/>
          </w:tcPr>
          <w:p>
            <w:pPr>
              <w:shd w:val="clear" w:color="auto" w:fill="FFFFFF"/>
              <w:tabs>
                <w:tab w:val="right" w:leader="underscore" w:pos="4280"/>
              </w:tabs>
              <w:rPr>
                <w:sz w:val="20"/>
              </w:rPr>
            </w:pPr>
            <w:r>
              <w:rPr>
                <w:sz w:val="20"/>
              </w:rPr>
              <w:t>_</w:t>
              <w:tab/>
              <w:t>(16)</w:t>
            </w:r>
          </w:p>
          <w:p>
            <w:pPr>
              <w:shd w:val="clear" w:color="auto" w:fill="FFFFFF"/>
              <w:tabs>
                <w:tab w:val="right" w:leader="underscore" w:pos="4280"/>
              </w:tabs>
              <w:rPr>
                <w:sz w:val="20"/>
              </w:rPr>
            </w:pPr>
            <w:r>
              <w:rPr>
                <w:sz w:val="20"/>
              </w:rPr>
              <w:t>(bendrinis veikliosios medžiagos pavadinimas)</w:t>
            </w:r>
          </w:p>
        </w:tc>
        <w:tc>
          <w:tcPr>
            <w:tcW w:w="4523" w:type="dxa"/>
            <w:gridSpan w:val="2"/>
            <w:tcBorders>
              <w:right w:val="single" w:sz="6" w:space="0" w:color="auto"/>
            </w:tcBorders>
            <w:shd w:val="clear" w:color="auto" w:fill="FFFFFF"/>
          </w:tcPr>
          <w:p>
            <w:pPr>
              <w:shd w:val="clear" w:color="auto" w:fill="FFFFFF"/>
              <w:tabs>
                <w:tab w:val="right" w:leader="underscore" w:pos="4280"/>
              </w:tabs>
              <w:rPr>
                <w:sz w:val="20"/>
              </w:rPr>
            </w:pPr>
            <w:r>
              <w:rPr>
                <w:sz w:val="20"/>
              </w:rPr>
              <w:t>_</w:t>
              <w:tab/>
              <w:t>(17)</w:t>
            </w:r>
          </w:p>
          <w:p>
            <w:pPr>
              <w:shd w:val="clear" w:color="auto" w:fill="FFFFFF"/>
              <w:tabs>
                <w:tab w:val="right" w:leader="underscore" w:pos="4280"/>
              </w:tabs>
              <w:rPr>
                <w:sz w:val="20"/>
              </w:rPr>
            </w:pPr>
            <w:r>
              <w:rPr>
                <w:sz w:val="20"/>
              </w:rPr>
              <w:t>(veikliosios medžiagos koncentracija)</w:t>
            </w:r>
          </w:p>
        </w:tc>
      </w:tr>
      <w:tr>
        <w:trPr>
          <w:gridAfter w:val="1"/>
          <w:wAfter w:w="6" w:type="dxa"/>
          <w:cantSplit/>
          <w:trHeight w:val="23"/>
        </w:trPr>
        <w:tc>
          <w:tcPr>
            <w:tcW w:w="4500" w:type="dxa"/>
            <w:tcBorders>
              <w:left w:val="single" w:sz="6" w:space="0" w:color="auto"/>
            </w:tcBorders>
            <w:shd w:val="clear" w:color="auto" w:fill="FFFFFF"/>
          </w:tcPr>
          <w:p>
            <w:pPr>
              <w:shd w:val="clear" w:color="auto" w:fill="FFFFFF"/>
              <w:tabs>
                <w:tab w:val="right" w:leader="underscore" w:pos="4280"/>
              </w:tabs>
              <w:rPr>
                <w:sz w:val="20"/>
              </w:rPr>
            </w:pPr>
            <w:r>
              <w:rPr>
                <w:sz w:val="20"/>
              </w:rPr>
              <w:t>_</w:t>
              <w:tab/>
              <w:t xml:space="preserve"> (18)</w:t>
            </w:r>
          </w:p>
          <w:p>
            <w:pPr>
              <w:shd w:val="clear" w:color="auto" w:fill="FFFFFF"/>
              <w:tabs>
                <w:tab w:val="right" w:leader="underscore" w:pos="4280"/>
              </w:tabs>
              <w:rPr>
                <w:sz w:val="20"/>
              </w:rPr>
            </w:pPr>
            <w:r>
              <w:rPr>
                <w:sz w:val="20"/>
              </w:rPr>
              <w:t>(Vartojimo nurodymai)</w:t>
            </w:r>
          </w:p>
        </w:tc>
        <w:tc>
          <w:tcPr>
            <w:tcW w:w="4523" w:type="dxa"/>
            <w:gridSpan w:val="2"/>
            <w:tcBorders>
              <w:right w:val="single" w:sz="6" w:space="0" w:color="auto"/>
            </w:tcBorders>
            <w:shd w:val="clear" w:color="auto" w:fill="FFFFFF"/>
          </w:tcPr>
          <w:p>
            <w:pPr>
              <w:shd w:val="clear" w:color="auto" w:fill="FFFFFF"/>
              <w:tabs>
                <w:tab w:val="right" w:leader="underscore" w:pos="4280"/>
              </w:tabs>
              <w:rPr>
                <w:sz w:val="20"/>
              </w:rPr>
            </w:pPr>
            <w:r>
              <w:rPr>
                <w:sz w:val="20"/>
              </w:rPr>
              <w:t>_</w:t>
              <w:tab/>
              <w:t>(19)</w:t>
            </w:r>
          </w:p>
          <w:p>
            <w:pPr>
              <w:shd w:val="clear" w:color="auto" w:fill="FFFFFF"/>
              <w:tabs>
                <w:tab w:val="right" w:leader="underscore" w:pos="4280"/>
              </w:tabs>
              <w:rPr>
                <w:sz w:val="20"/>
              </w:rPr>
            </w:pPr>
            <w:r>
              <w:rPr>
                <w:sz w:val="20"/>
              </w:rPr>
              <w:t>(veikliosios medžiagos bendras kiekis)</w:t>
            </w:r>
          </w:p>
        </w:tc>
      </w:tr>
      <w:tr>
        <w:trPr>
          <w:gridAfter w:val="1"/>
          <w:wAfter w:w="6" w:type="dxa"/>
          <w:cantSplit/>
          <w:trHeight w:val="23"/>
        </w:trPr>
        <w:tc>
          <w:tcPr>
            <w:tcW w:w="4500" w:type="dxa"/>
            <w:tcBorders>
              <w:left w:val="single" w:sz="6" w:space="0" w:color="auto"/>
            </w:tcBorders>
            <w:shd w:val="clear" w:color="auto" w:fill="FFFFFF"/>
          </w:tcPr>
          <w:p>
            <w:pPr>
              <w:shd w:val="clear" w:color="auto" w:fill="FFFFFF"/>
              <w:tabs>
                <w:tab w:val="right" w:leader="underscore" w:pos="4280"/>
              </w:tabs>
              <w:rPr>
                <w:sz w:val="20"/>
              </w:rPr>
            </w:pPr>
            <w:r>
              <w:rPr>
                <w:sz w:val="20"/>
              </w:rPr>
              <w:t>_</w:t>
              <w:tab/>
              <w:t>(20)</w:t>
            </w:r>
          </w:p>
          <w:p>
            <w:pPr>
              <w:shd w:val="clear" w:color="auto" w:fill="FFFFFF"/>
              <w:tabs>
                <w:tab w:val="right" w:leader="underscore" w:pos="4280"/>
              </w:tabs>
              <w:rPr>
                <w:sz w:val="20"/>
              </w:rPr>
            </w:pPr>
            <w:r>
              <w:rPr>
                <w:sz w:val="20"/>
              </w:rPr>
              <w:t>(Paskyrimo trukmė – ne ilgiau kaip 30 dienų)</w:t>
            </w:r>
          </w:p>
        </w:tc>
        <w:tc>
          <w:tcPr>
            <w:tcW w:w="4523" w:type="dxa"/>
            <w:gridSpan w:val="2"/>
            <w:tcBorders>
              <w:right w:val="single" w:sz="6" w:space="0" w:color="auto"/>
            </w:tcBorders>
            <w:shd w:val="clear" w:color="auto" w:fill="FFFFFF"/>
          </w:tcPr>
          <w:p>
            <w:pPr>
              <w:shd w:val="clear" w:color="auto" w:fill="FFFFFF"/>
              <w:tabs>
                <w:tab w:val="right" w:leader="underscore" w:pos="4280"/>
              </w:tabs>
              <w:rPr>
                <w:sz w:val="20"/>
              </w:rPr>
            </w:pPr>
          </w:p>
        </w:tc>
      </w:tr>
      <w:tr>
        <w:trPr>
          <w:gridAfter w:val="1"/>
          <w:wAfter w:w="6" w:type="dxa"/>
          <w:cantSplit/>
          <w:trHeight w:val="23"/>
        </w:trPr>
        <w:tc>
          <w:tcPr>
            <w:tcW w:w="9023" w:type="dxa"/>
            <w:gridSpan w:val="3"/>
            <w:tcBorders>
              <w:left w:val="single" w:sz="6" w:space="0" w:color="auto"/>
              <w:bottom w:val="single" w:sz="6" w:space="0" w:color="auto"/>
              <w:right w:val="single" w:sz="6" w:space="0" w:color="auto"/>
            </w:tcBorders>
            <w:shd w:val="clear" w:color="auto" w:fill="FFFFFF"/>
          </w:tcPr>
          <w:p>
            <w:pPr>
              <w:shd w:val="clear" w:color="auto" w:fill="FFFFFF"/>
              <w:tabs>
                <w:tab w:val="right" w:leader="underscore" w:pos="8780"/>
              </w:tabs>
              <w:rPr>
                <w:sz w:val="20"/>
              </w:rPr>
            </w:pPr>
            <w:r>
              <w:rPr>
                <w:sz w:val="20"/>
              </w:rPr>
              <w:t>_</w:t>
              <w:tab/>
              <w:t>(21)</w:t>
            </w:r>
          </w:p>
          <w:p>
            <w:pPr>
              <w:shd w:val="clear" w:color="auto" w:fill="FFFFFF"/>
              <w:rPr>
                <w:sz w:val="20"/>
              </w:rPr>
            </w:pPr>
            <w:r>
              <w:rPr>
                <w:sz w:val="20"/>
              </w:rPr>
              <w:t>(</w:t>
            </w:r>
            <w:r>
              <w:rPr>
                <w:b/>
                <w:sz w:val="20"/>
              </w:rPr>
              <w:t>Pastaba.</w:t>
            </w:r>
            <w:r>
              <w:rPr>
                <w:sz w:val="20"/>
              </w:rPr>
              <w:t xml:space="preserve"> Gydytojas, pildantis pastabas, be kitų pastabų privalo nurodyti paskirto vaistinio preparato kiekį vienetais (pvz., tabletėmis, ampulėmis, gramais, miligramais ir kt.)</w:t>
            </w:r>
          </w:p>
        </w:tc>
      </w:tr>
      <w:tr>
        <w:trPr>
          <w:gridAfter w:val="1"/>
          <w:wAfter w:w="6" w:type="dxa"/>
          <w:cantSplit/>
          <w:trHeight w:val="23"/>
        </w:trPr>
        <w:tc>
          <w:tcPr>
            <w:tcW w:w="9023" w:type="dxa"/>
            <w:gridSpan w:val="3"/>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rPr>
                <w:b/>
                <w:sz w:val="20"/>
              </w:rPr>
            </w:pPr>
            <w:r>
              <w:rPr>
                <w:b/>
                <w:sz w:val="20"/>
              </w:rPr>
              <w:t>D. Išduodanti institucija</w:t>
            </w:r>
          </w:p>
          <w:p>
            <w:pPr>
              <w:shd w:val="clear" w:color="auto" w:fill="FFFFFF"/>
              <w:rPr>
                <w:sz w:val="20"/>
              </w:rPr>
            </w:pPr>
          </w:p>
          <w:p>
            <w:pPr>
              <w:shd w:val="clear" w:color="auto" w:fill="FFFFFF"/>
              <w:tabs>
                <w:tab w:val="right" w:leader="underscore" w:pos="9120"/>
              </w:tabs>
              <w:rPr>
                <w:sz w:val="20"/>
              </w:rPr>
            </w:pPr>
            <w:r>
              <w:rPr>
                <w:sz w:val="20"/>
              </w:rPr>
              <w:t>_</w:t>
              <w:tab/>
              <w:t>(22)</w:t>
            </w:r>
          </w:p>
          <w:p>
            <w:pPr>
              <w:shd w:val="clear" w:color="auto" w:fill="FFFFFF"/>
              <w:jc w:val="center"/>
              <w:rPr>
                <w:sz w:val="20"/>
              </w:rPr>
            </w:pPr>
            <w:r>
              <w:rPr>
                <w:sz w:val="20"/>
              </w:rPr>
              <w:t>(Pavadinimas)</w:t>
            </w:r>
          </w:p>
          <w:p>
            <w:pPr>
              <w:shd w:val="clear" w:color="auto" w:fill="FFFFFF"/>
              <w:tabs>
                <w:tab w:val="left" w:leader="dot" w:pos="2480"/>
                <w:tab w:val="right" w:leader="dot" w:pos="5180"/>
              </w:tabs>
              <w:rPr>
                <w:sz w:val="20"/>
              </w:rPr>
            </w:pPr>
            <w:r>
              <w:rPr>
                <w:sz w:val="20"/>
              </w:rPr>
              <w:tab/>
              <w:t xml:space="preserve"> </w:t>
              <w:tab/>
              <w:t xml:space="preserve"> (23) </w:t>
            </w:r>
          </w:p>
          <w:p>
            <w:pPr>
              <w:shd w:val="clear" w:color="auto" w:fill="FFFFFF"/>
              <w:tabs>
                <w:tab w:val="left" w:pos="2840"/>
              </w:tabs>
              <w:rPr>
                <w:sz w:val="20"/>
              </w:rPr>
            </w:pPr>
            <w:r>
              <w:rPr>
                <w:sz w:val="20"/>
              </w:rPr>
              <w:t xml:space="preserve">(Adresas) </w:t>
              <w:tab/>
              <w:t xml:space="preserve">(Tel.) </w:t>
            </w:r>
          </w:p>
          <w:p>
            <w:pPr>
              <w:shd w:val="clear" w:color="auto" w:fill="FFFFFF"/>
              <w:tabs>
                <w:tab w:val="left" w:leader="dot" w:pos="3322"/>
              </w:tabs>
              <w:rPr>
                <w:sz w:val="20"/>
              </w:rPr>
            </w:pPr>
          </w:p>
          <w:p>
            <w:pPr>
              <w:shd w:val="clear" w:color="auto" w:fill="FFFFFF"/>
              <w:tabs>
                <w:tab w:val="center" w:pos="4460"/>
                <w:tab w:val="center" w:pos="7160"/>
              </w:tabs>
              <w:rPr>
                <w:sz w:val="20"/>
              </w:rPr>
            </w:pPr>
            <w:r>
              <w:rPr>
                <w:sz w:val="20"/>
              </w:rPr>
              <w:t xml:space="preserve">____________________ A. V. </w:t>
              <w:tab/>
              <w:t>_____________</w:t>
              <w:tab/>
              <w:t xml:space="preserve">________________ (24) </w:t>
            </w:r>
          </w:p>
          <w:p>
            <w:pPr>
              <w:shd w:val="clear" w:color="auto" w:fill="FFFFFF"/>
              <w:tabs>
                <w:tab w:val="center" w:pos="4460"/>
                <w:tab w:val="center" w:pos="7160"/>
              </w:tabs>
              <w:rPr>
                <w:sz w:val="20"/>
              </w:rPr>
            </w:pPr>
            <w:r>
              <w:rPr>
                <w:sz w:val="20"/>
              </w:rPr>
              <w:t xml:space="preserve">(pareigų pavadinimas) </w:t>
              <w:tab/>
              <w:t xml:space="preserve">(parašas) </w:t>
              <w:tab/>
              <w:t>(vardas ir pavardė)</w:t>
            </w:r>
          </w:p>
          <w:p>
            <w:pPr>
              <w:shd w:val="clear" w:color="auto" w:fill="FFFFFF"/>
              <w:tabs>
                <w:tab w:val="center" w:pos="4460"/>
                <w:tab w:val="center" w:pos="7160"/>
              </w:tabs>
              <w:rPr>
                <w:sz w:val="20"/>
              </w:rPr>
            </w:pPr>
          </w:p>
        </w:tc>
      </w:tr>
    </w:tbl>
    <w:p>
      <w:pPr>
        <w:ind w:firstLine="709"/>
        <w:jc w:val="both"/>
      </w:pPr>
    </w:p>
    <w:p>
      <w:pPr>
        <w:widowControl w:val="0"/>
        <w:shd w:val="clear" w:color="auto" w:fill="FFFFFF"/>
        <w:jc w:val="center"/>
      </w:pPr>
      <w:r>
        <w:t>ATMINTINĖ</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771"/>
        <w:gridCol w:w="4433"/>
        <w:gridCol w:w="4433"/>
      </w:tblGrid>
      <w:tr>
        <w:trPr>
          <w:cantSplit/>
          <w:trHeight w:val="1395"/>
        </w:trPr>
        <w:tc>
          <w:tcPr>
            <w:tcW w:w="720" w:type="dxa"/>
            <w:tcBorders>
              <w:top w:val="single" w:sz="6" w:space="0" w:color="auto"/>
              <w:left w:val="single" w:sz="6" w:space="0" w:color="auto"/>
              <w:right w:val="single" w:sz="6" w:space="0" w:color="auto"/>
            </w:tcBorders>
            <w:shd w:val="clear" w:color="auto" w:fill="FFFFFF"/>
            <w:vAlign w:val="bottom"/>
          </w:tcPr>
          <w:p>
            <w:pPr>
              <w:widowControl w:val="0"/>
              <w:shd w:val="clear" w:color="auto" w:fill="FFFFFF"/>
              <w:rPr>
                <w:sz w:val="20"/>
                <w:szCs w:val="22"/>
              </w:rPr>
            </w:pPr>
            <w:r>
              <w:rPr>
                <w:sz w:val="20"/>
                <w:szCs w:val="22"/>
              </w:rPr>
              <w:t>(1)</w:t>
            </w:r>
          </w:p>
          <w:p>
            <w:pPr>
              <w:widowControl w:val="0"/>
              <w:shd w:val="clear" w:color="auto" w:fill="FFFFFF"/>
              <w:rPr>
                <w:sz w:val="20"/>
                <w:szCs w:val="22"/>
              </w:rPr>
            </w:pPr>
          </w:p>
        </w:tc>
        <w:tc>
          <w:tcPr>
            <w:tcW w:w="4140" w:type="dxa"/>
            <w:tcBorders>
              <w:top w:val="single" w:sz="6" w:space="0" w:color="auto"/>
              <w:left w:val="single" w:sz="6" w:space="0" w:color="auto"/>
              <w:right w:val="single" w:sz="6" w:space="0" w:color="auto"/>
            </w:tcBorders>
            <w:shd w:val="clear" w:color="auto" w:fill="FFFFFF"/>
          </w:tcPr>
          <w:p>
            <w:pPr>
              <w:widowControl w:val="0"/>
              <w:shd w:val="clear" w:color="auto" w:fill="FFFFFF"/>
              <w:rPr>
                <w:sz w:val="20"/>
                <w:szCs w:val="22"/>
              </w:rPr>
            </w:pPr>
            <w:r>
              <w:rPr>
                <w:sz w:val="20"/>
                <w:szCs w:val="22"/>
              </w:rPr>
              <w:t>Certification to carry drugs and/or</w:t>
            </w:r>
          </w:p>
          <w:p>
            <w:pPr>
              <w:widowControl w:val="0"/>
              <w:shd w:val="clear" w:color="auto" w:fill="FFFFFF"/>
              <w:rPr>
                <w:sz w:val="20"/>
                <w:szCs w:val="22"/>
              </w:rPr>
            </w:pPr>
            <w:r>
              <w:rPr>
                <w:sz w:val="20"/>
                <w:szCs w:val="22"/>
              </w:rPr>
              <w:t>psychotropic substances for treatment</w:t>
            </w:r>
          </w:p>
          <w:p>
            <w:pPr>
              <w:widowControl w:val="0"/>
              <w:shd w:val="clear" w:color="auto" w:fill="FFFFFF"/>
              <w:rPr>
                <w:sz w:val="20"/>
                <w:szCs w:val="22"/>
              </w:rPr>
            </w:pPr>
            <w:r>
              <w:rPr>
                <w:sz w:val="20"/>
                <w:szCs w:val="22"/>
              </w:rPr>
              <w:t>purposes – Schengen Implementing</w:t>
            </w:r>
          </w:p>
          <w:p>
            <w:pPr>
              <w:widowControl w:val="0"/>
              <w:shd w:val="clear" w:color="auto" w:fill="FFFFFF"/>
              <w:rPr>
                <w:sz w:val="20"/>
                <w:szCs w:val="22"/>
              </w:rPr>
            </w:pPr>
            <w:r>
              <w:rPr>
                <w:sz w:val="20"/>
                <w:szCs w:val="22"/>
              </w:rPr>
              <w:t>Convention – Article 75</w:t>
            </w:r>
          </w:p>
          <w:p>
            <w:pPr>
              <w:widowControl w:val="0"/>
              <w:shd w:val="clear" w:color="auto" w:fill="FFFFFF"/>
              <w:rPr>
                <w:sz w:val="20"/>
                <w:szCs w:val="22"/>
              </w:rPr>
            </w:pPr>
            <w:r>
              <w:rPr>
                <w:sz w:val="20"/>
                <w:szCs w:val="22"/>
              </w:rPr>
              <w:t>Country, town, date</w:t>
            </w:r>
          </w:p>
        </w:tc>
        <w:tc>
          <w:tcPr>
            <w:tcW w:w="4140" w:type="dxa"/>
            <w:tcBorders>
              <w:top w:val="single" w:sz="6" w:space="0" w:color="auto"/>
              <w:left w:val="single" w:sz="6" w:space="0" w:color="auto"/>
              <w:right w:val="single" w:sz="6" w:space="0" w:color="auto"/>
            </w:tcBorders>
            <w:shd w:val="clear" w:color="auto" w:fill="FFFFFF"/>
          </w:tcPr>
          <w:p>
            <w:pPr>
              <w:widowControl w:val="0"/>
              <w:shd w:val="clear" w:color="auto" w:fill="FFFFFF"/>
              <w:rPr>
                <w:sz w:val="20"/>
                <w:szCs w:val="22"/>
              </w:rPr>
            </w:pPr>
            <w:r>
              <w:rPr>
                <w:sz w:val="20"/>
                <w:szCs w:val="22"/>
              </w:rPr>
              <w:t>Certificat pour le transport de</w:t>
            </w:r>
          </w:p>
          <w:p>
            <w:pPr>
              <w:widowControl w:val="0"/>
              <w:shd w:val="clear" w:color="auto" w:fill="FFFFFF"/>
              <w:rPr>
                <w:sz w:val="20"/>
                <w:szCs w:val="22"/>
              </w:rPr>
            </w:pPr>
            <w:r>
              <w:rPr>
                <w:sz w:val="20"/>
                <w:szCs w:val="22"/>
              </w:rPr>
              <w:t>stupéfiants et/ou de substances</w:t>
            </w:r>
          </w:p>
          <w:p>
            <w:pPr>
              <w:widowControl w:val="0"/>
              <w:shd w:val="clear" w:color="auto" w:fill="FFFFFF"/>
              <w:rPr>
                <w:sz w:val="20"/>
                <w:szCs w:val="22"/>
              </w:rPr>
            </w:pPr>
            <w:r>
              <w:rPr>
                <w:sz w:val="20"/>
                <w:szCs w:val="22"/>
              </w:rPr>
              <w:t>psychotropes á des fins thérapeutiąues –</w:t>
            </w:r>
          </w:p>
          <w:p>
            <w:pPr>
              <w:widowControl w:val="0"/>
              <w:shd w:val="clear" w:color="auto" w:fill="FFFFFF"/>
              <w:rPr>
                <w:sz w:val="20"/>
                <w:szCs w:val="22"/>
              </w:rPr>
            </w:pPr>
            <w:r>
              <w:rPr>
                <w:sz w:val="20"/>
                <w:szCs w:val="22"/>
              </w:rPr>
              <w:t>Article 75 de la Convention</w:t>
            </w:r>
          </w:p>
          <w:p>
            <w:pPr>
              <w:widowControl w:val="0"/>
              <w:shd w:val="clear" w:color="auto" w:fill="FFFFFF"/>
              <w:rPr>
                <w:sz w:val="20"/>
                <w:szCs w:val="22"/>
              </w:rPr>
            </w:pPr>
            <w:r>
              <w:rPr>
                <w:sz w:val="20"/>
                <w:szCs w:val="22"/>
              </w:rPr>
              <w:t>d'application de l'Accord de Schengen</w:t>
            </w:r>
          </w:p>
          <w:p>
            <w:pPr>
              <w:widowControl w:val="0"/>
              <w:shd w:val="clear" w:color="auto" w:fill="FFFFFF"/>
              <w:rPr>
                <w:sz w:val="20"/>
                <w:szCs w:val="22"/>
              </w:rPr>
            </w:pPr>
            <w:r>
              <w:rPr>
                <w:sz w:val="20"/>
                <w:szCs w:val="22"/>
              </w:rPr>
              <w:t>Pays, deliver á, date</w:t>
            </w:r>
          </w:p>
        </w:tc>
      </w:tr>
      <w:tr>
        <w:trPr>
          <w:cantSplit/>
          <w:trHeight w:val="23"/>
        </w:trPr>
        <w:tc>
          <w:tcPr>
            <w:tcW w:w="7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b/>
                <w:sz w:val="20"/>
                <w:szCs w:val="22"/>
              </w:rPr>
            </w:pPr>
            <w:r>
              <w:rPr>
                <w:b/>
                <w:sz w:val="20"/>
                <w:szCs w:val="22"/>
              </w:rPr>
              <w:t>A</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Prescribing doctor</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Médecin prescripteur</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(2)</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Name, first name, phone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Nom, prénom, téléphone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(3)</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Address</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Adresse</w:t>
            </w:r>
          </w:p>
        </w:tc>
      </w:tr>
      <w:tr>
        <w:trPr>
          <w:cantSplit/>
          <w:trHeight w:val="23"/>
        </w:trPr>
        <w:tc>
          <w:tcPr>
            <w:tcW w:w="72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(4)</w:t>
            </w:r>
          </w:p>
        </w:tc>
        <w:tc>
          <w:tcPr>
            <w:tcW w:w="41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doctor's stamp and signature</w:t>
            </w:r>
          </w:p>
        </w:tc>
        <w:tc>
          <w:tcPr>
            <w:tcW w:w="41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Cachet, signature du médecin</w:t>
            </w:r>
          </w:p>
        </w:tc>
      </w:tr>
      <w:tr>
        <w:trPr>
          <w:cantSplit/>
          <w:trHeight w:val="23"/>
        </w:trPr>
        <w:tc>
          <w:tcPr>
            <w:tcW w:w="7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b/>
                <w:sz w:val="20"/>
                <w:szCs w:val="22"/>
              </w:rPr>
            </w:pPr>
            <w:r>
              <w:rPr>
                <w:b/>
                <w:sz w:val="20"/>
                <w:szCs w:val="22"/>
              </w:rPr>
              <w:t>B</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Patient</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Patient</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(5)</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Name, first name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Nom, prénom</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(6)</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No. of passport or other identification document</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 du passeport ou du document d'identité</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(7)</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Place of birth</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Lieu de naissance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(8)</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Date of birth</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Date de naissance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(9)</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Nationality</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Nationalité</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(10)</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Sex</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Sexe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(11)</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Address</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Adresse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(12)</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Duration of travel in days</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Durée du voyage en jours</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(13)</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Validity of authorisation from/to – max 30 days</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Durée de validité de l'autorisation du/au – max. 30 jours</w:t>
            </w:r>
          </w:p>
        </w:tc>
      </w:tr>
      <w:tr>
        <w:trPr>
          <w:cantSplit/>
          <w:trHeight w:val="23"/>
        </w:trPr>
        <w:tc>
          <w:tcPr>
            <w:tcW w:w="7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b/>
                <w:sz w:val="20"/>
                <w:szCs w:val="22"/>
              </w:rPr>
            </w:pPr>
            <w:r>
              <w:rPr>
                <w:b/>
                <w:sz w:val="20"/>
                <w:szCs w:val="22"/>
              </w:rPr>
              <w:t>C</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Prescribed drug</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Médicament prescrit</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(14)</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Trade name or special preparation</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Nom commercial ou préparation spéciale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(15)</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Dosage form</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Forme pharmaceutiąue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(16)</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International name of active substance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Dénomination internationale de la substance active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(17)</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Concentration of active substance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Concentration de la substance active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(18)</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Instructions for use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Mode d'emploi</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(19)</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Totai quantity of active substance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Quantité totale de la substance active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(20)</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Duration of prescription in days – max. 30 days</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Dureé de la prescription, en jours – max. 30 jours</w:t>
            </w:r>
          </w:p>
        </w:tc>
      </w:tr>
      <w:tr>
        <w:trPr>
          <w:cantSplit/>
          <w:trHeight w:val="23"/>
        </w:trPr>
        <w:tc>
          <w:tcPr>
            <w:tcW w:w="72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(21)</w:t>
            </w:r>
          </w:p>
        </w:tc>
        <w:tc>
          <w:tcPr>
            <w:tcW w:w="41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Remarks</w:t>
            </w:r>
          </w:p>
        </w:tc>
        <w:tc>
          <w:tcPr>
            <w:tcW w:w="41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Remarques</w:t>
            </w:r>
          </w:p>
        </w:tc>
      </w:tr>
      <w:tr>
        <w:trPr>
          <w:cantSplit/>
          <w:trHeight w:val="23"/>
        </w:trPr>
        <w:tc>
          <w:tcPr>
            <w:tcW w:w="7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b/>
                <w:sz w:val="20"/>
                <w:szCs w:val="22"/>
              </w:rPr>
            </w:pPr>
            <w:r>
              <w:rPr>
                <w:b/>
                <w:sz w:val="20"/>
                <w:szCs w:val="22"/>
              </w:rPr>
              <w:t>D</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Issuing authority</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Autorité qui délivre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(22)</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Name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Désignation</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(23)</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Address, phone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Adresse, téléphone</w:t>
            </w:r>
          </w:p>
        </w:tc>
      </w:tr>
      <w:tr>
        <w:trPr>
          <w:cantSplit/>
          <w:trHeight w:val="23"/>
        </w:trPr>
        <w:tc>
          <w:tcPr>
            <w:tcW w:w="72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(24)</w:t>
            </w:r>
          </w:p>
        </w:tc>
        <w:tc>
          <w:tcPr>
            <w:tcW w:w="41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Stamp, signature of authority</w:t>
            </w:r>
          </w:p>
        </w:tc>
        <w:tc>
          <w:tcPr>
            <w:tcW w:w="41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Sceau, signature de l'autorité</w:t>
            </w:r>
          </w:p>
        </w:tc>
      </w:tr>
    </w:tbl>
    <w:p>
      <w:pPr>
        <w:widowControl w:val="0"/>
        <w:shd w:val="clear" w:color="auto" w:fill="FFFFFF"/>
        <w:ind w:firstLine="709"/>
        <w:jc w:val="both"/>
      </w:pPr>
      <w:r>
        <w:t>Pastaba. Pažyma išduodama kartu su atmintine.</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655f609dbc11e58fd1fc0b9bba68a7">
        <w:r w:rsidRPr="00532B9F">
          <w:rPr>
            <w:rFonts w:ascii="Times New Roman" w:eastAsia="MS Mincho" w:hAnsi="Times New Roman"/>
            <w:sz w:val="20"/>
            <w:iCs/>
            <w:color w:val="0000FF" w:themeColor="hyperlink"/>
            <w:u w:val="single"/>
          </w:rPr>
          <w:t>V-1357</w:t>
        </w:r>
      </w:fldSimple>
      <w:r>
        <w:rPr>
          <w:rFonts w:ascii="Times New Roman" w:eastAsia="MS Mincho" w:hAnsi="Times New Roman"/>
          <w:sz w:val="20"/>
          <w:iCs/>
        </w:rPr>
        <w:t>,
2015-11-27,
paskelbta TAR 2015-12-09, i. k. 2015-19474                </w:t>
      </w:r>
    </w:p>
    <w:p>
      <w:pPr>
        <w:jc w:val="both"/>
        <w:rPr>
          <w:rFonts w:ascii="Times New Roman" w:hAnsi="Times New Roman"/>
        </w:rPr>
      </w:pPr>
      <w:r>
        <w:rPr>
          <w:rFonts w:ascii="Times New Roman" w:hAnsi="Times New Roman"/>
          <w:sz w:val="20"/>
        </w:rPr>
        <w:t>Dėl Lietuvos Respublikos sveikatos apsaugos ministro 2007 m. kovo 2 d. įsakymo Nr. V-138 „Dėl Pažymos vežtis gydymo tikslais asmeniniam vartojimui skirtas narkotines ir (arba) psichotropines medžiagas išdavimo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8951530669611e9917e8e4938a80ccb">
        <w:r w:rsidRPr="00532B9F">
          <w:rPr>
            <w:rFonts w:ascii="Times New Roman" w:eastAsia="MS Mincho" w:hAnsi="Times New Roman"/>
            <w:sz w:val="20"/>
            <w:iCs/>
            <w:color w:val="0000FF" w:themeColor="hyperlink"/>
            <w:u w:val="single"/>
          </w:rPr>
          <w:t>V-475</w:t>
        </w:r>
      </w:fldSimple>
      <w:r>
        <w:rPr>
          <w:rFonts w:ascii="Times New Roman" w:eastAsia="MS Mincho" w:hAnsi="Times New Roman"/>
          <w:sz w:val="20"/>
          <w:iCs/>
        </w:rPr>
        <w:t>,
2019-04-23,
paskelbta TAR 2019-04-24, i. k. 2019-06705                </w:t>
      </w:r>
    </w:p>
    <w:p>
      <w:pPr>
        <w:jc w:val="both"/>
        <w:rPr>
          <w:rFonts w:ascii="Times New Roman" w:hAnsi="Times New Roman"/>
        </w:rPr>
      </w:pPr>
      <w:r>
        <w:rPr>
          <w:rFonts w:ascii="Times New Roman" w:hAnsi="Times New Roman"/>
          <w:sz w:val="20"/>
        </w:rPr>
        <w:t>Dėl Lietuvos Respublikos sveikatos apsaugos ministro 2007 m. kovo 2 d. įsakymo Nr. V-138 „Dėl Pažymos vežtis gydymo tikslais asmeniniam vartojimui skirtas narkotines ir (arba) psichotropines medžiagas išdavimo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C6E45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5</Pages>
  <Words>6408</Words>
  <Characters>3654</Characters>
  <Application>Microsoft Office Word</Application>
  <DocSecurity>0</DocSecurity>
  <Lines>30</Lines>
  <Paragraphs>20</Paragraphs>
  <ScaleCrop>false</ScaleCrop>
  <Company/>
  <LinksUpToDate>false</LinksUpToDate>
  <CharactersWithSpaces>10042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2015-09-15T01:32:00Z</dcterms:created>
  <dc:creator>Rima</dc:creator>
  <lastModifiedBy>„Windows“ vartotojas</lastModifiedBy>
  <dcterms:modified xsi:type="dcterms:W3CDTF">2019-04-25T12:12:00Z</dcterms:modified>
  <revision>6</revision>
  <dc:title>LIETUVOS RESPUBLIKOS SVEIKATOS APSAUGOS MINISTRO</dc:title>
</coreProperties>
</file>