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AFEB8FA5168">
        <w:r w:rsidRPr="00532B9F">
          <w:rPr>
            <w:rFonts w:ascii="Times New Roman" w:eastAsia="MS Mincho" w:hAnsi="Times New Roman"/>
            <w:sz w:val="20"/>
            <w:i/>
            <w:iCs/>
            <w:color w:val="0000FF" w:themeColor="hyperlink"/>
            <w:u w:val="single"/>
          </w:rPr>
          <w:t>9-426</w:t>
        </w:r>
      </w:fldSimple>
      <w:r>
        <w:rPr>
          <w:rFonts w:ascii="Times New Roman" w:eastAsia="MS Mincho" w:hAnsi="Times New Roman"/>
          <w:sz w:val="20"/>
          <w:i/>
          <w:iCs/>
        </w:rPr>
        <w:t>, i. k. 111508AISAK0000V-56</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VYRIAUSIOJO ARCHYVARO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 xml:space="preserve">DĖL LĖŠŲ APSKAIČIAVIMO VALSTYBĖS PERDUOTAI SAVIVALDYBĖMS PRISKIRTŲ ARCHYVINIŲ DOKUMENTŲ TVARKYMO FUNKCIJAI ATLIKTI METODIKOS PATVIRTINIMO </w:t>
      </w:r>
    </w:p>
    <w:p>
      <w:pPr>
        <w:widowControl w:val="0"/>
        <w:suppressAutoHyphens/>
        <w:jc w:val="center"/>
        <w:rPr>
          <w:color w:val="000000"/>
        </w:rPr>
      </w:pPr>
    </w:p>
    <w:p>
      <w:pPr>
        <w:widowControl w:val="0"/>
        <w:suppressAutoHyphens/>
        <w:jc w:val="center"/>
        <w:rPr>
          <w:color w:val="000000"/>
        </w:rPr>
      </w:pPr>
      <w:r>
        <w:rPr>
          <w:color w:val="000000"/>
        </w:rPr>
        <w:t>2011 m. sausio 14 d. Nr. V-56</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dokumentų ir archyvų įstatymo (Žin., 1995, Nr. </w:t>
      </w:r>
      <w:hyperlink r:id="rId17" w:tgtFrame="_blank" w:history="1">
        <w:r>
          <w:rPr>
            <w:color w:val="0000FF" w:themeColor="hyperlink"/>
            <w:u w:val="single"/>
          </w:rPr>
          <w:t>107-2389</w:t>
        </w:r>
      </w:hyperlink>
      <w:r>
        <w:rPr>
          <w:color w:val="000000"/>
        </w:rPr>
        <w:t xml:space="preserve">; 2004, Nr. 57-1982; 2010, Nr. </w:t>
      </w:r>
      <w:hyperlink r:id="rId18" w:tgtFrame="_blank" w:history="1">
        <w:r>
          <w:rPr>
            <w:color w:val="0000FF" w:themeColor="hyperlink"/>
            <w:u w:val="single"/>
          </w:rPr>
          <w:t>79-4055</w:t>
        </w:r>
      </w:hyperlink>
      <w:r>
        <w:rPr>
          <w:color w:val="000000"/>
        </w:rPr>
        <w:t>) 5 straipsnio 3 dalies 4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Lėšų apskaičiavimo valstybės perduotai savivaldybėms priskirtų archyvinių dokumentų tvarkymo funkcijai atlikti metodiką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2009 m. balandžio 28 d. įsakymą Nr. V-34 „Dėl </w:t>
      </w:r>
      <w:r>
        <w:rPr>
          <w:caps/>
          <w:color w:val="000000"/>
        </w:rPr>
        <w:t>l</w:t>
      </w:r>
      <w:r>
        <w:rPr>
          <w:color w:val="000000"/>
        </w:rPr>
        <w:t xml:space="preserve">ėšų apskaičiavimo valstybės perduotai savivaldybėms priskirtų archyvinių dokumentų tvarkymo funkcijai atlikti metodikos patvirtinimo“ (Žin., 2009, Nr. </w:t>
      </w:r>
      <w:hyperlink r:id="rId19" w:tgtFrame="_blank" w:history="1">
        <w:r>
          <w:rPr>
            <w:color w:val="0000FF" w:themeColor="hyperlink"/>
            <w:u w:val="single"/>
          </w:rPr>
          <w:t>51-2054</w:t>
        </w:r>
      </w:hyperlink>
      <w:r>
        <w:rPr>
          <w:color w:val="000000"/>
        </w:rPr>
        <w:t>);</w:t>
      </w:r>
    </w:p>
    <w:p>
      <w:pPr>
        <w:widowControl w:val="0"/>
        <w:suppressAutoHyphens/>
        <w:ind w:firstLine="567"/>
        <w:jc w:val="both"/>
        <w:rPr>
          <w:color w:val="000000"/>
        </w:rPr>
      </w:pPr>
      <w:r>
        <w:rPr>
          <w:color w:val="000000"/>
        </w:rPr>
        <w:t>2.2</w:t>
      </w:r>
      <w:r>
        <w:rPr>
          <w:color w:val="000000"/>
        </w:rPr>
        <w:t xml:space="preserve">. Lietuvos archyvų departamento prie Lietuvos Respublikos Vyriausybės generalinio direktoriaus 2010 m. balandžio 12 d. įsakymą Nr. V-23 „Dėl Lietuvos archyvų departamento prie Lietuvos Respublikos Vyriausybės generalinio direktoriaus 2009 m. balandžio 28 d. įsakymo Nr. V-34 „Dėl </w:t>
      </w:r>
      <w:r>
        <w:rPr>
          <w:caps/>
          <w:color w:val="000000"/>
        </w:rPr>
        <w:t>l</w:t>
      </w:r>
      <w:r>
        <w:rPr>
          <w:color w:val="000000"/>
        </w:rPr>
        <w:t xml:space="preserve">ėšų apskaičiavimo valstybės perduotai savivaldybėms priskirtų archyvinių dokumentų tvarkymo funkcijai atlikti metodikos patvirtinimo“ pakeitimo“ (Žin., 2010, Nr. </w:t>
      </w:r>
      <w:hyperlink r:id="rId20" w:tgtFrame="_blank" w:history="1">
        <w:r>
          <w:rPr>
            <w:color w:val="0000FF" w:themeColor="hyperlink"/>
            <w:u w:val="single"/>
          </w:rPr>
          <w:t>43-2099</w:t>
        </w:r>
      </w:hyperlink>
      <w:r>
        <w:rPr>
          <w:color w:val="000000"/>
        </w:rPr>
        <w:t>).</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Lietuvos vyriausiasis archyvaras</w:t>
        <w:tab/>
        <w:t>Ramojus Kraujelis</w:t>
      </w:r>
    </w:p>
    <w:p>
      <w:pPr>
        <w:widowControl w:val="0"/>
        <w:tabs>
          <w:tab w:val="right" w:pos="9071"/>
        </w:tabs>
        <w:suppressAutoHyphens/>
        <w:rPr>
          <w:caps/>
          <w:color w:val="000000"/>
        </w:rPr>
      </w:pPr>
    </w:p>
    <w:p>
      <w:pPr>
        <w:widowControl w:val="0"/>
        <w:tabs>
          <w:tab w:val="right" w:pos="9071"/>
        </w:tabs>
        <w:suppressAutoHyphens/>
        <w:rPr>
          <w:color w:val="000000"/>
        </w:rPr>
      </w:pPr>
    </w:p>
    <w:p>
      <w:pPr>
        <w:widowControl w:val="0"/>
        <w:suppressAutoHyphens/>
        <w:ind w:left="5103"/>
        <w:rPr>
          <w:color w:val="000000"/>
        </w:rPr>
        <w:sectPr>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701" w:header="697" w:footer="624" w:gutter="0"/>
          <w:pgNumType w:start="1"/>
          <w:cols w:space="720"/>
          <w:titlePg/>
        </w:sectPr>
      </w:pPr>
      <w:r>
        <w:rPr>
          <w:color w:val="000000"/>
        </w:rPr>
        <w:br w:type="page"/>
      </w:r>
    </w:p>
    <w:p>
      <w:pPr>
        <w:widowControl w:val="0"/>
        <w:suppressAutoHyphens/>
        <w:ind w:left="5103"/>
        <w:rPr>
          <w:color w:val="000000"/>
        </w:rPr>
      </w:pPr>
      <w:r>
        <w:rPr>
          <w:color w:val="000000"/>
        </w:rPr>
        <w:t>PATVIRTINTA</w:t>
      </w:r>
    </w:p>
    <w:p>
      <w:pPr>
        <w:widowControl w:val="0"/>
        <w:suppressAutoHyphens/>
        <w:ind w:left="5103"/>
        <w:rPr>
          <w:color w:val="000000"/>
        </w:rPr>
      </w:pPr>
      <w:r>
        <w:rPr>
          <w:color w:val="000000"/>
        </w:rPr>
        <w:t xml:space="preserve">Lietuvos vyriausiojo archyvaro </w:t>
      </w:r>
    </w:p>
    <w:p>
      <w:pPr>
        <w:widowControl w:val="0"/>
        <w:suppressAutoHyphens/>
        <w:ind w:left="5103"/>
        <w:rPr>
          <w:color w:val="000000"/>
        </w:rPr>
      </w:pPr>
      <w:r>
        <w:rPr>
          <w:color w:val="000000"/>
        </w:rPr>
        <w:t>2011 m. sausio 14 d. įsakymu Nr. V-56</w:t>
      </w:r>
    </w:p>
    <w:p>
      <w:pPr>
        <w:widowControl w:val="0"/>
        <w:suppressAutoHyphens/>
        <w:jc w:val="both"/>
        <w:rPr>
          <w:color w:val="000000"/>
        </w:rPr>
      </w:pPr>
    </w:p>
    <w:p>
      <w:pPr>
        <w:widowControl w:val="0"/>
        <w:suppressAutoHyphens/>
        <w:jc w:val="center"/>
        <w:rPr>
          <w:b/>
          <w:bCs/>
          <w:caps/>
          <w:color w:val="000000"/>
        </w:rPr>
      </w:pPr>
      <w:r>
        <w:rPr>
          <w:b/>
          <w:bCs/>
          <w:caps/>
          <w:color w:val="000000"/>
        </w:rPr>
        <w:t>LĖŠŲ APSKAIČIAVIMO VALSTYBĖS PERDUOTAI SAVIVALDYBĖMS PRISKIRTŲ ARCHYVINIŲ DOKUMENTŲ TVARKYMO FUNKCIJAI ATLIKTI METODIKA</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Lėšų apskaičiavimo valstybės perduotai savivaldybėms priskirtų archyvinių dokumentų tvarkymo funkcijai atlikti metodika nustato valstybės biudžeto asignavimų poreikio valstybinei (valstybės perduotai savivaldybėms) pagal teisės aktus priskirtų archyvinių dokumentų tvarkymo funkcijai atlikti apskaičiavimo tvarką planuojamais biudžetiniais metais. </w:t>
      </w:r>
    </w:p>
    <w:p>
      <w:pPr>
        <w:ind w:firstLine="567"/>
        <w:jc w:val="both"/>
        <w:rPr>
          <w:color w:val="000000"/>
        </w:rPr>
      </w:pPr>
      <w:r>
        <w:t>2</w:t>
      </w:r>
      <w:r>
        <w:t xml:space="preserve">. </w:t>
      </w:r>
      <w:r>
        <w:rPr>
          <w:color w:val="000000"/>
        </w:rPr>
        <w:t>Valstybės perduota savivaldybėms pagal teisės aktus priskirtų archyvinių dokumentų tvarkymo funkcija apima likviduojamų nevalstybinių organizacijų, privačių juridinių asmenų, likviduojamų valstybės institucijų, įstaigų ir įmonių, kurių savininko teises ir pareigas įgyvendinanti institucija yra Lietuvos Respublikos Seimas, Lietuvos Respublikos Vyriausybė arba ministerija, taip pat anksčiau veikusių įstaigų ir įmonių, kai jų funkcijų perėmėjo ar savininko teises ir pareigas įgyvendinančių institucijų ar jų įgaliotų įstaigų nėra (toliau – likviduotos įmonės), veiklos dokumentų, kurių saugojimo terminai nėra pasibaigę, tolesnį saugojimą, tvarkymą, juridinius faktus patvirtinančių dokumentų išdavimą saugomų dokumentų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f9510f0f011e5989ee743dd0efbb0">
        <w:r w:rsidRPr="00532B9F">
          <w:rPr>
            <w:rFonts w:ascii="Times New Roman" w:eastAsia="MS Mincho" w:hAnsi="Times New Roman"/>
            <w:sz w:val="20"/>
            <w:i/>
            <w:iCs/>
            <w:color w:val="0000FF" w:themeColor="hyperlink"/>
            <w:u w:val="single"/>
          </w:rPr>
          <w:t>(1.3 E)VE-35</w:t>
        </w:r>
      </w:fldSimple>
      <w:r>
        <w:rPr>
          <w:rFonts w:ascii="Times New Roman" w:eastAsia="MS Mincho" w:hAnsi="Times New Roman"/>
          <w:sz w:val="20"/>
          <w:i/>
          <w:iCs/>
        </w:rPr>
        <w:t>,
2016-03-23,
paskelbta TAR 2016-03-23, i. k. 2016-05774            </w:t>
      </w:r>
    </w:p>
    <w:p/>
    <w:p>
      <w:pPr>
        <w:widowControl w:val="0"/>
        <w:suppressAutoHyphens/>
        <w:ind w:firstLine="567"/>
        <w:jc w:val="both"/>
        <w:rPr>
          <w:color w:val="000000"/>
        </w:rPr>
      </w:pPr>
      <w:r>
        <w:rPr>
          <w:color w:val="000000"/>
        </w:rPr>
        <w:t>3</w:t>
      </w:r>
      <w:r>
        <w:rPr>
          <w:color w:val="000000"/>
        </w:rPr>
        <w:t>. Valstybės biudžeto asignavimų poreikis kiekvienai savivaldybei apskaičiuojamas šioms su perduotos funkcijos atlikimu susijusioms išlaidoms:</w:t>
      </w:r>
    </w:p>
    <w:p>
      <w:pPr>
        <w:widowControl w:val="0"/>
        <w:suppressAutoHyphens/>
        <w:ind w:firstLine="567"/>
        <w:jc w:val="both"/>
        <w:rPr>
          <w:color w:val="000000"/>
        </w:rPr>
      </w:pPr>
      <w:r>
        <w:rPr>
          <w:color w:val="000000"/>
        </w:rPr>
        <w:t>3.1</w:t>
      </w:r>
      <w:r>
        <w:rPr>
          <w:color w:val="000000"/>
        </w:rPr>
        <w:t>. darbo užmokesčiui;</w:t>
      </w:r>
    </w:p>
    <w:p>
      <w:pPr>
        <w:widowControl w:val="0"/>
        <w:suppressAutoHyphens/>
        <w:ind w:firstLine="567"/>
        <w:jc w:val="both"/>
        <w:rPr>
          <w:color w:val="000000"/>
        </w:rPr>
      </w:pPr>
      <w:r>
        <w:rPr>
          <w:color w:val="000000"/>
        </w:rPr>
        <w:t>3.2</w:t>
      </w:r>
      <w:r>
        <w:rPr>
          <w:color w:val="000000"/>
        </w:rPr>
        <w:t xml:space="preserve">. socialinio draudimo įmokoms; </w:t>
      </w:r>
    </w:p>
    <w:p>
      <w:pPr>
        <w:widowControl w:val="0"/>
        <w:suppressAutoHyphens/>
        <w:ind w:firstLine="567"/>
        <w:jc w:val="both"/>
        <w:rPr>
          <w:color w:val="000000"/>
        </w:rPr>
      </w:pPr>
      <w:r>
        <w:rPr>
          <w:color w:val="000000"/>
        </w:rPr>
        <w:t>3.3</w:t>
      </w:r>
      <w:r>
        <w:rPr>
          <w:color w:val="000000"/>
        </w:rPr>
        <w:t>. prekėms ir paslaugoms.</w:t>
      </w:r>
    </w:p>
    <w:p>
      <w:pPr>
        <w:widowControl w:val="0"/>
        <w:suppressAutoHyphens/>
        <w:ind w:firstLine="567"/>
        <w:jc w:val="both"/>
        <w:rPr>
          <w:color w:val="000000"/>
        </w:rPr>
      </w:pPr>
      <w:r>
        <w:rPr>
          <w:color w:val="000000"/>
        </w:rPr>
        <w:t>4</w:t>
      </w:r>
      <w:r>
        <w:rPr>
          <w:color w:val="000000"/>
        </w:rPr>
        <w:t>. Lėšos darbo užmokesčiui apskaičiuojamos pagal formulę D = [(M</w:t>
      </w:r>
      <w:r>
        <w:rPr>
          <w:color w:val="000000"/>
          <w:vertAlign w:val="subscript"/>
        </w:rPr>
        <w:t>1</w:t>
      </w:r>
      <w:r>
        <w:rPr>
          <w:color w:val="000000"/>
        </w:rPr>
        <w:t>:300) + (M</w:t>
      </w:r>
      <w:r>
        <w:rPr>
          <w:color w:val="000000"/>
          <w:vertAlign w:val="subscript"/>
        </w:rPr>
        <w:t>2</w:t>
      </w:r>
      <w:r>
        <w:rPr>
          <w:color w:val="000000"/>
        </w:rPr>
        <w:t>:500) + (M</w:t>
      </w:r>
      <w:r>
        <w:rPr>
          <w:color w:val="000000"/>
          <w:vertAlign w:val="subscript"/>
        </w:rPr>
        <w:t>3</w:t>
      </w:r>
      <w:r>
        <w:rPr>
          <w:color w:val="000000"/>
        </w:rPr>
        <w:t>:650)] x V, kur:</w:t>
      </w:r>
    </w:p>
    <w:p>
      <w:pPr>
        <w:widowControl w:val="0"/>
        <w:suppressAutoHyphens/>
        <w:ind w:firstLine="567"/>
        <w:jc w:val="both"/>
        <w:rPr>
          <w:color w:val="000000"/>
        </w:rPr>
      </w:pPr>
      <w:r>
        <w:rPr>
          <w:color w:val="000000"/>
        </w:rPr>
        <w:t>D – lėšos darbo užmokesčiui;</w:t>
      </w:r>
    </w:p>
    <w:p>
      <w:pPr>
        <w:widowControl w:val="0"/>
        <w:suppressAutoHyphens/>
        <w:ind w:firstLine="567"/>
        <w:jc w:val="both"/>
        <w:rPr>
          <w:color w:val="000000"/>
        </w:rPr>
      </w:pPr>
      <w:r>
        <w:rPr>
          <w:color w:val="000000"/>
        </w:rPr>
        <w:t>M</w:t>
      </w:r>
      <w:r>
        <w:rPr>
          <w:color w:val="000000"/>
          <w:vertAlign w:val="subscript"/>
        </w:rPr>
        <w:t>1</w:t>
      </w:r>
      <w:r>
        <w:rPr>
          <w:color w:val="000000"/>
        </w:rPr>
        <w:t xml:space="preserve"> – saugomų dokumentų kiekis nuo 1 iki 900 tiesinių metrų lentynų (300 tiesinių metrų lentynų – 1 pareigybė);</w:t>
      </w:r>
    </w:p>
    <w:p>
      <w:pPr>
        <w:widowControl w:val="0"/>
        <w:suppressAutoHyphens/>
        <w:ind w:firstLine="567"/>
        <w:jc w:val="both"/>
        <w:rPr>
          <w:color w:val="000000"/>
        </w:rPr>
      </w:pPr>
      <w:r>
        <w:rPr>
          <w:color w:val="000000"/>
        </w:rPr>
        <w:t>M</w:t>
      </w:r>
      <w:r>
        <w:rPr>
          <w:color w:val="000000"/>
          <w:vertAlign w:val="subscript"/>
        </w:rPr>
        <w:t xml:space="preserve">2 </w:t>
      </w:r>
      <w:r>
        <w:rPr>
          <w:color w:val="000000"/>
        </w:rPr>
        <w:t>– saugomų dokumentų kiekis nuo 900 iki 3000 tiesinių metrų lentynų (500 tiesinių metrų lentynų – 1 pareigybė);</w:t>
      </w:r>
    </w:p>
    <w:p>
      <w:pPr>
        <w:widowControl w:val="0"/>
        <w:suppressAutoHyphens/>
        <w:ind w:firstLine="567"/>
        <w:jc w:val="both"/>
        <w:rPr>
          <w:color w:val="000000"/>
          <w:vertAlign w:val="subscript"/>
        </w:rPr>
      </w:pPr>
      <w:r>
        <w:rPr>
          <w:color w:val="000000"/>
        </w:rPr>
        <w:t>M</w:t>
      </w:r>
      <w:r>
        <w:rPr>
          <w:color w:val="000000"/>
          <w:vertAlign w:val="subscript"/>
        </w:rPr>
        <w:t>3</w:t>
      </w:r>
      <w:r>
        <w:rPr>
          <w:color w:val="000000"/>
        </w:rPr>
        <w:t xml:space="preserve"> – saugomų dokumentų kiekis nuo 3000 tiesinių metrų lentynų (650 tiesinių metrų lentynų – 1 pareigybė);</w:t>
      </w:r>
    </w:p>
    <w:p>
      <w:pPr>
        <w:widowControl w:val="0"/>
        <w:suppressAutoHyphens/>
        <w:ind w:firstLine="567"/>
        <w:jc w:val="both"/>
        <w:rPr>
          <w:color w:val="000000"/>
        </w:rPr>
      </w:pPr>
      <w:r>
        <w:rPr>
          <w:color w:val="000000"/>
        </w:rPr>
        <w:t>V – vienos pareigybės vidutinis metinis darbo užmokestis (be socialinio draudimo įmokų).</w:t>
      </w:r>
    </w:p>
    <w:p>
      <w:pPr>
        <w:overflowPunct w:val="0"/>
        <w:ind w:firstLine="567"/>
        <w:jc w:val="both"/>
        <w:textAlignment w:val="baseline"/>
        <w:rPr>
          <w:color w:val="000000"/>
        </w:rPr>
      </w:pPr>
      <w:r>
        <w:t>5</w:t>
      </w:r>
      <w:r>
        <w:t>. Lėšos socialinio draudimo įmokoms sudaro 1,45 % nuo apskaičiuoto darbo užmokesčio.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8009f0166f11ea9d279ea27696ab7b">
        <w:r w:rsidRPr="00532B9F">
          <w:rPr>
            <w:rFonts w:ascii="Times New Roman" w:eastAsia="MS Mincho" w:hAnsi="Times New Roman"/>
            <w:sz w:val="20"/>
            <w:i/>
            <w:iCs/>
            <w:color w:val="0000FF" w:themeColor="hyperlink"/>
            <w:u w:val="single"/>
          </w:rPr>
          <w:t>VE-65</w:t>
        </w:r>
      </w:fldSimple>
      <w:r>
        <w:rPr>
          <w:rFonts w:ascii="Times New Roman" w:eastAsia="MS Mincho" w:hAnsi="Times New Roman"/>
          <w:sz w:val="20"/>
          <w:i/>
          <w:iCs/>
        </w:rPr>
        <w:t>,
2019-12-04,
paskelbta TAR 2019-12-04, i. k. 2019-19515            </w:t>
      </w:r>
    </w:p>
    <w:p/>
    <w:p>
      <w:pPr>
        <w:widowControl w:val="0"/>
        <w:suppressAutoHyphens/>
        <w:ind w:firstLine="567"/>
        <w:jc w:val="both"/>
        <w:rPr>
          <w:color w:val="000000"/>
        </w:rPr>
      </w:pPr>
      <w:r>
        <w:rPr>
          <w:color w:val="000000"/>
        </w:rPr>
        <w:t>6</w:t>
      </w:r>
      <w:r>
        <w:rPr>
          <w:color w:val="000000"/>
        </w:rPr>
        <w:t>. Lėšos prekėms ir paslaugoms apskaičiuojamos:</w:t>
      </w:r>
    </w:p>
    <w:p>
      <w:pPr>
        <w:widowControl w:val="0"/>
        <w:suppressAutoHyphens/>
        <w:ind w:firstLine="567"/>
        <w:jc w:val="both"/>
        <w:rPr>
          <w:color w:val="000000"/>
        </w:rPr>
      </w:pPr>
      <w:r>
        <w:rPr>
          <w:color w:val="000000"/>
        </w:rPr>
        <w:t>6.1</w:t>
      </w:r>
      <w:r>
        <w:rPr>
          <w:color w:val="000000"/>
        </w:rPr>
        <w:t>. patalpų eksploatavimo paslaugoms – pagal formulę E = P x L, kur:</w:t>
      </w:r>
    </w:p>
    <w:p>
      <w:pPr>
        <w:widowControl w:val="0"/>
        <w:suppressAutoHyphens/>
        <w:ind w:firstLine="567"/>
        <w:jc w:val="both"/>
        <w:rPr>
          <w:color w:val="000000"/>
        </w:rPr>
      </w:pPr>
      <w:r>
        <w:rPr>
          <w:color w:val="000000"/>
        </w:rPr>
        <w:t>E – lėšos patalpų eksploatavimui (šildymui, elektros energijai, vandentiekiui ir kt.);</w:t>
      </w:r>
    </w:p>
    <w:p>
      <w:pPr>
        <w:widowControl w:val="0"/>
        <w:suppressAutoHyphens/>
        <w:ind w:firstLine="567"/>
        <w:jc w:val="both"/>
        <w:rPr>
          <w:color w:val="000000"/>
        </w:rPr>
      </w:pPr>
      <w:r>
        <w:rPr>
          <w:color w:val="000000"/>
        </w:rPr>
        <w:t>P – patalpų plotas (likviduotų įmonių dokumentų saugyklų ir administracinių patalpų plotas);</w:t>
      </w:r>
    </w:p>
    <w:p>
      <w:pPr>
        <w:widowControl w:val="0"/>
        <w:suppressAutoHyphens/>
        <w:ind w:firstLine="567"/>
        <w:jc w:val="both"/>
        <w:rPr>
          <w:color w:val="000000"/>
        </w:rPr>
      </w:pPr>
      <w:r>
        <w:rPr>
          <w:color w:val="000000"/>
        </w:rPr>
        <w:t>L – vidutinės metų išlaidos vienam kvadratiniam metrui (apskaičiuojamos pagal valstybės archyvų, esančių apskričių centruose, faktines išlaidas);</w:t>
      </w:r>
    </w:p>
    <w:p>
      <w:pPr>
        <w:widowControl w:val="0"/>
        <w:suppressAutoHyphens/>
        <w:ind w:firstLine="567"/>
        <w:jc w:val="both"/>
        <w:rPr>
          <w:color w:val="000000"/>
        </w:rPr>
      </w:pPr>
      <w:r>
        <w:rPr>
          <w:color w:val="000000"/>
        </w:rPr>
        <w:t>6.2</w:t>
      </w:r>
      <w:r>
        <w:rPr>
          <w:color w:val="000000"/>
        </w:rPr>
        <w:t>. kitoms paslaugoms ir prekėms – pagal formulę K = M x L, kur:</w:t>
      </w:r>
    </w:p>
    <w:p>
      <w:pPr>
        <w:widowControl w:val="0"/>
        <w:suppressAutoHyphens/>
        <w:ind w:firstLine="567"/>
        <w:jc w:val="both"/>
        <w:rPr>
          <w:color w:val="000000"/>
        </w:rPr>
      </w:pPr>
      <w:r>
        <w:rPr>
          <w:color w:val="000000"/>
        </w:rPr>
        <w:t>K – lėšos ryšių paslaugoms, kanceliarinėms ir kitoms prekėms;</w:t>
      </w:r>
    </w:p>
    <w:p>
      <w:pPr>
        <w:widowControl w:val="0"/>
        <w:suppressAutoHyphens/>
        <w:ind w:firstLine="567"/>
        <w:jc w:val="both"/>
        <w:rPr>
          <w:color w:val="000000"/>
          <w:spacing w:val="-3"/>
        </w:rPr>
      </w:pPr>
      <w:r>
        <w:rPr>
          <w:color w:val="000000"/>
          <w:spacing w:val="-3"/>
        </w:rPr>
        <w:t>M – išnagrinėtų asmenų prašymų (viena pavardė) išduoti juridinius faktus patvirtinančius dokumentus skaičius per metus;</w:t>
      </w:r>
    </w:p>
    <w:p>
      <w:pPr>
        <w:widowControl w:val="0"/>
        <w:suppressAutoHyphens/>
        <w:ind w:firstLine="567"/>
        <w:jc w:val="both"/>
        <w:rPr>
          <w:color w:val="000000"/>
        </w:rPr>
      </w:pPr>
      <w:r>
        <w:t>L – apskaičiuotos vidutinės dokumentų pagal vieną prašymą parengimo ir išsiuntimo išlaidos (iki 0,60 euro)</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cc07a0d21311e4bcd1a882e9a189f1">
        <w:r w:rsidRPr="00532B9F">
          <w:rPr>
            <w:rFonts w:ascii="Times New Roman" w:eastAsia="MS Mincho" w:hAnsi="Times New Roman"/>
            <w:sz w:val="20"/>
            <w:i/>
            <w:iCs/>
            <w:color w:val="0000FF" w:themeColor="hyperlink"/>
            <w:u w:val="single"/>
          </w:rPr>
          <w:t>(1.3 E)VE-21</w:t>
        </w:r>
      </w:fldSimple>
      <w:r>
        <w:rPr>
          <w:rFonts w:ascii="Times New Roman" w:eastAsia="MS Mincho" w:hAnsi="Times New Roman"/>
          <w:sz w:val="20"/>
          <w:i/>
          <w:iCs/>
        </w:rPr>
        <w:t>,
2015-03-24,
paskelbta TAR 2015-03-24, i. k. 2015-04202            </w:t>
      </w:r>
    </w:p>
    <w:p/>
    <w:p>
      <w:pPr>
        <w:widowControl w:val="0"/>
        <w:suppressAutoHyphens/>
        <w:ind w:firstLine="567"/>
        <w:jc w:val="both"/>
        <w:rPr>
          <w:color w:val="000000"/>
        </w:rPr>
      </w:pPr>
      <w:r>
        <w:rPr>
          <w:color w:val="000000"/>
        </w:rPr>
        <w:t>7</w:t>
      </w:r>
      <w:r>
        <w:rPr>
          <w:color w:val="000000"/>
        </w:rPr>
        <w:t>. Bendras valstybės biudžeto asignavimų poreikis savivaldybei perduotai funkcijai atlikti apskaičiuojamas pagal formulę B = D + S + E + K, kur:</w:t>
      </w:r>
    </w:p>
    <w:p>
      <w:pPr>
        <w:widowControl w:val="0"/>
        <w:suppressAutoHyphens/>
        <w:ind w:firstLine="567"/>
        <w:jc w:val="both"/>
        <w:rPr>
          <w:color w:val="000000"/>
        </w:rPr>
      </w:pPr>
      <w:r>
        <w:rPr>
          <w:color w:val="000000"/>
        </w:rPr>
        <w:t>B – savivaldybei apskaičiuotas valstybės biudžeto asignavimų poreikis;</w:t>
      </w:r>
    </w:p>
    <w:p>
      <w:pPr>
        <w:widowControl w:val="0"/>
        <w:suppressAutoHyphens/>
        <w:ind w:firstLine="567"/>
        <w:jc w:val="both"/>
        <w:rPr>
          <w:color w:val="000000"/>
        </w:rPr>
      </w:pPr>
      <w:r>
        <w:rPr>
          <w:color w:val="000000"/>
        </w:rPr>
        <w:t>D – lėšos darbo užmokesčiui;</w:t>
      </w:r>
    </w:p>
    <w:p>
      <w:pPr>
        <w:widowControl w:val="0"/>
        <w:suppressAutoHyphens/>
        <w:ind w:firstLine="567"/>
        <w:jc w:val="both"/>
        <w:rPr>
          <w:color w:val="000000"/>
        </w:rPr>
      </w:pPr>
      <w:r>
        <w:rPr>
          <w:color w:val="000000"/>
        </w:rPr>
        <w:t>S – lėšos socialinio draudimo įmokoms;</w:t>
      </w:r>
    </w:p>
    <w:p>
      <w:pPr>
        <w:widowControl w:val="0"/>
        <w:suppressAutoHyphens/>
        <w:ind w:firstLine="567"/>
        <w:jc w:val="both"/>
        <w:rPr>
          <w:color w:val="000000"/>
        </w:rPr>
      </w:pPr>
      <w:r>
        <w:rPr>
          <w:color w:val="000000"/>
        </w:rPr>
        <w:t>E – lėšos patalpų eksploatavimui;</w:t>
      </w:r>
    </w:p>
    <w:p>
      <w:pPr>
        <w:widowControl w:val="0"/>
        <w:suppressAutoHyphens/>
        <w:ind w:firstLine="567"/>
        <w:jc w:val="both"/>
        <w:rPr>
          <w:color w:val="000000"/>
        </w:rPr>
      </w:pPr>
      <w:r>
        <w:rPr>
          <w:color w:val="000000"/>
        </w:rPr>
        <w:t>K – lėšos ryšių paslaugoms, kanceliarinėms ir kitoms prekėms.</w:t>
      </w:r>
    </w:p>
    <w:p>
      <w:pPr>
        <w:ind w:firstLine="567"/>
        <w:jc w:val="both"/>
        <w:rPr>
          <w:color w:val="000000"/>
        </w:rPr>
      </w:pPr>
      <w:r>
        <w:t>8</w:t>
      </w:r>
      <w:r>
        <w:t>. Savivaldybės administracijos, vykdydamos Lietuvos Respublikos Vyriausybės patvirtintą planuojamų biudžetinių metų valstybės ir savivaldybių biudžetų finansinių rodiklių projektų rengimo planą perduotai savivaldybėms priskirtų archyvinių dokumentų tvarkymo funkcijai atlikti, Lietuvos vyriausiojo archyvaro nustatytais terminais pateikia Lietuvos vyriausiojo archyvaro tarnybai duomenis, kurių reikia valstybės biudžeto asignavimų poreikiui apskaičiuoti (priedas). Teikiami duomenys turi būti pasirašyti kvalifikuotu elektroniniu parašu ir atitikti Lietuvos vyriausiojo archyvaro teisės aktais nustatytus oficialiųjų elektroninių dokumentų rengimo reikalavimus.</w:t>
      </w:r>
    </w:p>
    <w:p>
      <w:pPr>
        <w:ind w:firstLine="567"/>
        <w:jc w:val="both"/>
        <w:rPr>
          <w:color w:val="000000"/>
        </w:rPr>
      </w:pPr>
      <w:r>
        <w:t xml:space="preserve">Duomenis kvalifikuotu elektroniniu parašu pasirašo savivaldybės administracijos direktorius arba jo įgaliotas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f9510f0f011e5989ee743dd0efbb0">
        <w:r w:rsidRPr="00532B9F">
          <w:rPr>
            <w:rFonts w:ascii="Times New Roman" w:eastAsia="MS Mincho" w:hAnsi="Times New Roman"/>
            <w:sz w:val="20"/>
            <w:i/>
            <w:iCs/>
            <w:color w:val="0000FF" w:themeColor="hyperlink"/>
            <w:u w:val="single"/>
          </w:rPr>
          <w:t>(1.3 E)VE-35</w:t>
        </w:r>
      </w:fldSimple>
      <w:r>
        <w:rPr>
          <w:rFonts w:ascii="Times New Roman" w:eastAsia="MS Mincho" w:hAnsi="Times New Roman"/>
          <w:sz w:val="20"/>
          <w:i/>
          <w:iCs/>
        </w:rPr>
        <w:t>,
2016-03-23,
paskelbta TAR 2016-03-23, i. k. 2016-05774            </w:t>
      </w:r>
    </w:p>
    <w:p/>
    <w:p>
      <w:pPr>
        <w:widowControl w:val="0"/>
        <w:suppressAutoHyphens/>
        <w:jc w:val="center"/>
        <w:rPr>
          <w:color w:val="000000"/>
        </w:rPr>
      </w:pPr>
      <w:r>
        <w:rPr>
          <w:color w:val="000000"/>
        </w:rPr>
        <w:t>_________________</w:t>
      </w:r>
    </w:p>
    <w:p>
      <w:pPr>
        <w:ind w:firstLine="5670"/>
        <w:sectPr>
          <w:pgSz w:w="11907" w:h="16840" w:code="9"/>
          <w:pgMar w:top="1134" w:right="567" w:bottom="1134" w:left="1701" w:header="697" w:footer="624" w:gutter="0"/>
          <w:pgNumType w:start="1"/>
          <w:cols w:space="720"/>
          <w:titlePg/>
        </w:sectPr>
      </w:pPr>
    </w:p>
    <w:p>
      <w:pPr>
        <w:ind w:firstLine="5103"/>
        <w:rPr>
          <w:bCs/>
          <w:szCs w:val="24"/>
        </w:rPr>
      </w:pPr>
      <w:r>
        <w:rPr>
          <w:bCs/>
          <w:szCs w:val="24"/>
        </w:rPr>
        <w:t>Lėšų apskaičiavimo valstybės perduotai</w:t>
      </w:r>
    </w:p>
    <w:p>
      <w:pPr>
        <w:ind w:firstLine="5103"/>
        <w:rPr>
          <w:bCs/>
          <w:szCs w:val="24"/>
        </w:rPr>
      </w:pPr>
      <w:r>
        <w:rPr>
          <w:bCs/>
          <w:szCs w:val="24"/>
        </w:rPr>
        <w:t>savivaldybėms priskirtų archyvinių</w:t>
      </w:r>
    </w:p>
    <w:p>
      <w:pPr>
        <w:ind w:firstLine="5103"/>
        <w:rPr>
          <w:bCs/>
          <w:szCs w:val="24"/>
        </w:rPr>
      </w:pPr>
      <w:r>
        <w:rPr>
          <w:bCs/>
          <w:szCs w:val="24"/>
        </w:rPr>
        <w:t>dokumentų tvarkymo funkcijai atlikti</w:t>
      </w:r>
    </w:p>
    <w:p>
      <w:pPr>
        <w:ind w:firstLine="5103"/>
        <w:rPr>
          <w:szCs w:val="24"/>
        </w:rPr>
      </w:pPr>
      <w:r>
        <w:rPr>
          <w:bCs/>
          <w:szCs w:val="24"/>
        </w:rPr>
        <w:t>metodikos</w:t>
      </w:r>
    </w:p>
    <w:p>
      <w:pPr>
        <w:ind w:firstLine="5103"/>
        <w:rPr>
          <w:szCs w:val="24"/>
        </w:rPr>
      </w:pPr>
      <w:r>
        <w:rPr>
          <w:szCs w:val="24"/>
        </w:rPr>
        <w:t xml:space="preserve">priedas </w:t>
      </w:r>
    </w:p>
    <w:p>
      <w:pPr>
        <w:rPr>
          <w:color w:val="00B050"/>
          <w:szCs w:val="24"/>
        </w:rPr>
      </w:pPr>
    </w:p>
    <w:p>
      <w:pPr>
        <w:tabs>
          <w:tab w:val="left" w:pos="5796"/>
        </w:tabs>
        <w:rPr>
          <w:b/>
          <w:sz w:val="20"/>
        </w:rPr>
      </w:pPr>
    </w:p>
    <w:p>
      <w:pPr>
        <w:jc w:val="center"/>
        <w:rPr>
          <w:b/>
          <w:sz w:val="22"/>
        </w:rPr>
      </w:pPr>
      <w:r>
        <w:rPr>
          <w:b/>
          <w:sz w:val="22"/>
          <w:szCs w:val="24"/>
        </w:rPr>
        <w:t xml:space="preserve">(Duomenų </w:t>
      </w:r>
      <w:r>
        <w:rPr>
          <w:b/>
          <w:sz w:val="22"/>
        </w:rPr>
        <w:t>forma)</w:t>
      </w:r>
    </w:p>
    <w:p>
      <w:pPr>
        <w:jc w:val="center"/>
        <w:rPr>
          <w:b/>
          <w:sz w:val="22"/>
        </w:rPr>
      </w:pPr>
    </w:p>
    <w:p>
      <w:pPr>
        <w:jc w:val="center"/>
        <w:rPr>
          <w:szCs w:val="24"/>
        </w:rPr>
      </w:pPr>
      <w:r>
        <w:rPr>
          <w:szCs w:val="24"/>
        </w:rPr>
        <w:t>(Herbas)</w:t>
      </w:r>
    </w:p>
    <w:p>
      <w:pPr>
        <w:jc w:val="center"/>
      </w:pPr>
    </w:p>
    <w:p>
      <w:pPr>
        <w:jc w:val="center"/>
        <w:rPr>
          <w:b/>
          <w:szCs w:val="24"/>
        </w:rPr>
      </w:pPr>
      <w:r>
        <w:rPr>
          <w:b/>
          <w:szCs w:val="24"/>
        </w:rPr>
        <w:t>_______________________________________</w:t>
      </w:r>
    </w:p>
    <w:p>
      <w:pPr>
        <w:jc w:val="center"/>
        <w:rPr>
          <w:szCs w:val="24"/>
        </w:rPr>
      </w:pPr>
      <w:r>
        <w:rPr>
          <w:szCs w:val="24"/>
        </w:rPr>
        <w:t>(dokumento sudarytojo pavadinimas)</w:t>
      </w:r>
    </w:p>
    <w:p>
      <w:pPr>
        <w:jc w:val="center"/>
        <w:rPr>
          <w:szCs w:val="24"/>
        </w:rPr>
      </w:pPr>
      <w:r>
        <w:rPr>
          <w:szCs w:val="24"/>
        </w:rPr>
        <w:t>_____________________________________</w:t>
      </w:r>
    </w:p>
    <w:p>
      <w:pPr>
        <w:jc w:val="center"/>
        <w:rPr>
          <w:szCs w:val="24"/>
        </w:rPr>
      </w:pPr>
      <w:r>
        <w:rPr>
          <w:szCs w:val="24"/>
        </w:rPr>
        <w:t>(įstaigos duomenys)</w:t>
      </w:r>
    </w:p>
    <w:p>
      <w:pPr>
        <w:jc w:val="center"/>
        <w:rPr>
          <w:szCs w:val="24"/>
        </w:rPr>
      </w:pPr>
    </w:p>
    <w:p>
      <w:pPr>
        <w:rPr>
          <w:szCs w:val="24"/>
        </w:rPr>
      </w:pPr>
      <w:r>
        <w:rPr>
          <w:szCs w:val="24"/>
        </w:rPr>
        <w:t>(Adresatas)</w:t>
      </w:r>
    </w:p>
    <w:p>
      <w:pPr>
        <w:rPr>
          <w:szCs w:val="24"/>
        </w:rPr>
      </w:pPr>
    </w:p>
    <w:p>
      <w:pPr>
        <w:jc w:val="center"/>
        <w:rPr>
          <w:b/>
          <w:bCs/>
        </w:rPr>
      </w:pPr>
      <w:r>
        <w:rPr>
          <w:b/>
          <w:bCs/>
        </w:rPr>
        <w:t>DUOMENYS</w:t>
      </w:r>
    </w:p>
    <w:p>
      <w:pPr>
        <w:jc w:val="center"/>
        <w:rPr>
          <w:b/>
          <w:bCs/>
          <w:szCs w:val="24"/>
        </w:rPr>
      </w:pPr>
      <w:r>
        <w:rPr>
          <w:b/>
          <w:bCs/>
        </w:rPr>
        <w:t xml:space="preserve">DĖL VALSTYBĖS BIUDŽETO ASIGNAVIMŲ POREIKIO VALSTYBĖS PERDUOTAI SAVIVALDYBĖMS </w:t>
      </w:r>
      <w:r>
        <w:rPr>
          <w:b/>
          <w:bCs/>
          <w:szCs w:val="24"/>
        </w:rPr>
        <w:t>PRISKIRTŲ ARCHYVINIŲ DOKUMENTŲ TVARKYMO FUNKCIJAI ATLIKTI APSKAIČIAVIMO</w:t>
      </w:r>
      <w:r>
        <w:rPr>
          <w:b/>
          <w:bCs/>
          <w:szCs w:val="24"/>
        </w:rPr>
        <w:t>_________M.</w:t>
      </w:r>
    </w:p>
    <w:p>
      <w:pPr>
        <w:ind w:left="2880" w:firstLine="720"/>
        <w:rPr>
          <w:szCs w:val="24"/>
        </w:rPr>
      </w:pPr>
    </w:p>
    <w:p>
      <w:pPr>
        <w:ind w:left="2880" w:firstLine="720"/>
        <w:rPr>
          <w:szCs w:val="24"/>
        </w:rPr>
      </w:pPr>
      <w:r>
        <w:rPr>
          <w:szCs w:val="24"/>
        </w:rPr>
        <w:t>_____________ Nr.________</w:t>
      </w:r>
    </w:p>
    <w:p>
      <w:pPr>
        <w:ind w:left="2880" w:firstLine="1320"/>
        <w:rPr>
          <w:szCs w:val="24"/>
        </w:rPr>
      </w:pPr>
      <w:r>
        <w:rPr>
          <w:szCs w:val="24"/>
        </w:rPr>
        <w:t>(data)</w:t>
      </w:r>
    </w:p>
    <w:p>
      <w:pPr>
        <w:ind w:left="2160" w:firstLine="720"/>
        <w:rPr>
          <w:szCs w:val="24"/>
        </w:rPr>
      </w:pPr>
    </w:p>
    <w:p>
      <w:pPr>
        <w:rPr>
          <w:b/>
          <w:szCs w:val="24"/>
        </w:rPr>
      </w:pPr>
      <w:r>
        <w:rPr>
          <w:b/>
          <w:szCs w:val="24"/>
        </w:rPr>
        <w:t xml:space="preserve">1 lentelė. Funkcijos atlikimo rodikliai </w:t>
      </w:r>
    </w:p>
    <w:p>
      <w:pPr>
        <w:rPr>
          <w:b/>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7"/>
        <w:gridCol w:w="1282"/>
        <w:gridCol w:w="1445"/>
        <w:gridCol w:w="1449"/>
        <w:gridCol w:w="1094"/>
      </w:tblGrid>
      <w:tr>
        <w:trPr>
          <w:trHeight w:val="285"/>
        </w:trPr>
        <w:tc>
          <w:tcPr>
            <w:tcW w:w="2119" w:type="pct"/>
            <w:vMerge w:val="restart"/>
          </w:tcPr>
          <w:p>
            <w:pPr>
              <w:rPr>
                <w:sz w:val="18"/>
                <w:szCs w:val="18"/>
              </w:rPr>
            </w:pPr>
          </w:p>
          <w:p>
            <w:pPr>
              <w:keepNext/>
              <w:keepLines/>
              <w:outlineLvl w:val="1"/>
              <w:rPr>
                <w:b/>
                <w:bCs/>
                <w:szCs w:val="24"/>
              </w:rPr>
            </w:pPr>
            <w:r>
              <w:rPr>
                <w:b/>
                <w:bCs/>
                <w:szCs w:val="24"/>
              </w:rPr>
              <w:t>Rodiklio pavadinimas</w:t>
            </w:r>
          </w:p>
        </w:tc>
        <w:tc>
          <w:tcPr>
            <w:tcW w:w="701" w:type="pct"/>
            <w:vMerge w:val="restart"/>
          </w:tcPr>
          <w:p>
            <w:pPr>
              <w:jc w:val="center"/>
              <w:rPr>
                <w:b/>
                <w:bCs/>
                <w:szCs w:val="24"/>
              </w:rPr>
            </w:pPr>
            <w:r>
              <w:rPr>
                <w:b/>
                <w:bCs/>
                <w:szCs w:val="24"/>
              </w:rPr>
              <w:t>Matavimo vienetas</w:t>
            </w:r>
          </w:p>
        </w:tc>
        <w:tc>
          <w:tcPr>
            <w:tcW w:w="1582" w:type="pct"/>
            <w:gridSpan w:val="2"/>
          </w:tcPr>
          <w:p>
            <w:pPr>
              <w:jc w:val="center"/>
              <w:rPr>
                <w:b/>
                <w:bCs/>
                <w:szCs w:val="24"/>
              </w:rPr>
            </w:pPr>
            <w:r>
              <w:rPr>
                <w:b/>
                <w:bCs/>
                <w:szCs w:val="24"/>
              </w:rPr>
              <w:t>Rodiklis</w:t>
            </w:r>
          </w:p>
          <w:p>
            <w:pPr>
              <w:jc w:val="center"/>
              <w:rPr>
                <w:b/>
                <w:bCs/>
                <w:szCs w:val="24"/>
              </w:rPr>
            </w:pPr>
          </w:p>
        </w:tc>
        <w:tc>
          <w:tcPr>
            <w:tcW w:w="598" w:type="pct"/>
            <w:vMerge w:val="restart"/>
          </w:tcPr>
          <w:p>
            <w:pPr>
              <w:jc w:val="center"/>
              <w:rPr>
                <w:b/>
                <w:bCs/>
                <w:szCs w:val="24"/>
              </w:rPr>
            </w:pPr>
            <w:r>
              <w:rPr>
                <w:b/>
                <w:bCs/>
                <w:szCs w:val="24"/>
              </w:rPr>
              <w:t>Pastabos</w:t>
            </w:r>
          </w:p>
        </w:tc>
      </w:tr>
      <w:tr>
        <w:trPr>
          <w:trHeight w:val="255"/>
        </w:trPr>
        <w:tc>
          <w:tcPr>
            <w:tcW w:w="2119" w:type="pct"/>
            <w:vMerge/>
          </w:tcPr>
          <w:p>
            <w:pPr>
              <w:rPr>
                <w:sz w:val="18"/>
                <w:szCs w:val="18"/>
              </w:rPr>
            </w:pPr>
          </w:p>
          <w:p>
            <w:pPr>
              <w:keepNext/>
              <w:keepLines/>
              <w:outlineLvl w:val="1"/>
              <w:rPr>
                <w:b/>
                <w:bCs/>
                <w:szCs w:val="24"/>
              </w:rPr>
            </w:pPr>
          </w:p>
        </w:tc>
        <w:tc>
          <w:tcPr>
            <w:tcW w:w="701" w:type="pct"/>
            <w:vMerge/>
          </w:tcPr>
          <w:p>
            <w:pPr>
              <w:jc w:val="center"/>
              <w:rPr>
                <w:b/>
                <w:bCs/>
                <w:szCs w:val="24"/>
              </w:rPr>
            </w:pPr>
          </w:p>
        </w:tc>
        <w:tc>
          <w:tcPr>
            <w:tcW w:w="790" w:type="pct"/>
            <w:shd w:val="clear" w:color="auto" w:fill="auto"/>
          </w:tcPr>
          <w:p>
            <w:pPr>
              <w:jc w:val="center"/>
              <w:rPr>
                <w:b/>
                <w:bCs/>
                <w:sz w:val="20"/>
              </w:rPr>
            </w:pPr>
            <w:r>
              <w:rPr>
                <w:b/>
                <w:bCs/>
                <w:sz w:val="20"/>
              </w:rPr>
              <w:t>Einamųjų metų pagal balandžio 1 d.</w:t>
            </w:r>
          </w:p>
        </w:tc>
        <w:tc>
          <w:tcPr>
            <w:tcW w:w="792" w:type="pct"/>
            <w:shd w:val="clear" w:color="auto" w:fill="auto"/>
          </w:tcPr>
          <w:p>
            <w:pPr>
              <w:jc w:val="center"/>
              <w:rPr>
                <w:b/>
                <w:bCs/>
                <w:sz w:val="20"/>
              </w:rPr>
            </w:pPr>
            <w:r>
              <w:rPr>
                <w:b/>
                <w:bCs/>
                <w:sz w:val="20"/>
              </w:rPr>
              <w:t>Planuojamųjų metų</w:t>
            </w:r>
          </w:p>
        </w:tc>
        <w:tc>
          <w:tcPr>
            <w:tcW w:w="598" w:type="pct"/>
            <w:vMerge/>
          </w:tcPr>
          <w:p>
            <w:pPr>
              <w:jc w:val="center"/>
              <w:rPr>
                <w:b/>
                <w:bCs/>
                <w:szCs w:val="24"/>
              </w:rPr>
            </w:pPr>
          </w:p>
        </w:tc>
      </w:tr>
      <w:tr>
        <w:tc>
          <w:tcPr>
            <w:tcW w:w="2119" w:type="pct"/>
          </w:tcPr>
          <w:p>
            <w:pPr>
              <w:rPr>
                <w:szCs w:val="24"/>
              </w:rPr>
            </w:pPr>
            <w:r>
              <w:rPr>
                <w:szCs w:val="24"/>
              </w:rPr>
              <w:t>1. Likviduotų įmonių dokumentų saugyklų ir administracinių patalpų plotas</w:t>
            </w:r>
          </w:p>
        </w:tc>
        <w:tc>
          <w:tcPr>
            <w:tcW w:w="701" w:type="pct"/>
          </w:tcPr>
          <w:p>
            <w:pPr>
              <w:rPr>
                <w:szCs w:val="24"/>
              </w:rPr>
            </w:pPr>
            <w:r>
              <w:rPr>
                <w:szCs w:val="24"/>
              </w:rPr>
              <w:t>kv. m</w:t>
            </w:r>
          </w:p>
        </w:tc>
        <w:tc>
          <w:tcPr>
            <w:tcW w:w="790" w:type="pct"/>
            <w:shd w:val="clear" w:color="auto" w:fill="auto"/>
          </w:tcPr>
          <w:p>
            <w:pPr>
              <w:rPr>
                <w:szCs w:val="24"/>
              </w:rPr>
            </w:pPr>
          </w:p>
        </w:tc>
        <w:tc>
          <w:tcPr>
            <w:tcW w:w="792" w:type="pct"/>
            <w:shd w:val="clear" w:color="auto" w:fill="auto"/>
          </w:tcPr>
          <w:p>
            <w:pPr>
              <w:rPr>
                <w:szCs w:val="24"/>
              </w:rPr>
            </w:pPr>
          </w:p>
        </w:tc>
        <w:tc>
          <w:tcPr>
            <w:tcW w:w="598" w:type="pct"/>
          </w:tcPr>
          <w:p>
            <w:pPr>
              <w:rPr>
                <w:szCs w:val="24"/>
              </w:rPr>
            </w:pPr>
          </w:p>
        </w:tc>
      </w:tr>
      <w:tr>
        <w:tc>
          <w:tcPr>
            <w:tcW w:w="2119" w:type="pct"/>
          </w:tcPr>
          <w:p>
            <w:pPr>
              <w:rPr>
                <w:szCs w:val="24"/>
              </w:rPr>
            </w:pPr>
            <w:r>
              <w:rPr>
                <w:szCs w:val="24"/>
              </w:rPr>
              <w:t xml:space="preserve">2. Likviduotų įmonių saugomų dokumentų kiekis </w:t>
            </w:r>
          </w:p>
        </w:tc>
        <w:tc>
          <w:tcPr>
            <w:tcW w:w="701" w:type="pct"/>
          </w:tcPr>
          <w:p>
            <w:pPr>
              <w:rPr>
                <w:szCs w:val="24"/>
              </w:rPr>
            </w:pPr>
            <w:r>
              <w:rPr>
                <w:szCs w:val="24"/>
              </w:rPr>
              <w:t>tiesinis metras</w:t>
            </w:r>
          </w:p>
        </w:tc>
        <w:tc>
          <w:tcPr>
            <w:tcW w:w="790" w:type="pct"/>
            <w:shd w:val="clear" w:color="auto" w:fill="auto"/>
          </w:tcPr>
          <w:p>
            <w:pPr>
              <w:rPr>
                <w:szCs w:val="24"/>
              </w:rPr>
            </w:pPr>
          </w:p>
        </w:tc>
        <w:tc>
          <w:tcPr>
            <w:tcW w:w="792" w:type="pct"/>
            <w:shd w:val="clear" w:color="auto" w:fill="auto"/>
          </w:tcPr>
          <w:p>
            <w:pPr>
              <w:rPr>
                <w:szCs w:val="24"/>
              </w:rPr>
            </w:pPr>
          </w:p>
        </w:tc>
        <w:tc>
          <w:tcPr>
            <w:tcW w:w="598" w:type="pct"/>
          </w:tcPr>
          <w:p>
            <w:pPr>
              <w:rPr>
                <w:szCs w:val="24"/>
              </w:rPr>
            </w:pPr>
          </w:p>
        </w:tc>
      </w:tr>
      <w:tr>
        <w:tc>
          <w:tcPr>
            <w:tcW w:w="2119" w:type="pct"/>
          </w:tcPr>
          <w:p>
            <w:pPr>
              <w:rPr>
                <w:szCs w:val="24"/>
              </w:rPr>
            </w:pPr>
            <w:r>
              <w:rPr>
                <w:szCs w:val="24"/>
              </w:rPr>
              <w:t>3. Išnagrinėtų asmenų prašymų išduoti juridinius faktus patvirtinančius dokumentus (iš likviduotų įmonių dokumentų) skaičius</w:t>
            </w:r>
          </w:p>
        </w:tc>
        <w:tc>
          <w:tcPr>
            <w:tcW w:w="701" w:type="pct"/>
          </w:tcPr>
          <w:p>
            <w:pPr>
              <w:rPr>
                <w:szCs w:val="24"/>
              </w:rPr>
            </w:pPr>
            <w:r>
              <w:rPr>
                <w:szCs w:val="24"/>
              </w:rPr>
              <w:t>prašymas</w:t>
            </w:r>
          </w:p>
          <w:p>
            <w:pPr>
              <w:rPr>
                <w:szCs w:val="24"/>
              </w:rPr>
            </w:pPr>
            <w:r>
              <w:rPr>
                <w:szCs w:val="24"/>
              </w:rPr>
              <w:t>(viena pavardė)</w:t>
            </w:r>
          </w:p>
        </w:tc>
        <w:tc>
          <w:tcPr>
            <w:tcW w:w="790" w:type="pct"/>
            <w:shd w:val="clear" w:color="auto" w:fill="auto"/>
          </w:tcPr>
          <w:p>
            <w:pPr>
              <w:rPr>
                <w:szCs w:val="24"/>
              </w:rPr>
            </w:pPr>
          </w:p>
        </w:tc>
        <w:tc>
          <w:tcPr>
            <w:tcW w:w="792" w:type="pct"/>
            <w:shd w:val="clear" w:color="auto" w:fill="auto"/>
          </w:tcPr>
          <w:p>
            <w:pPr>
              <w:rPr>
                <w:szCs w:val="24"/>
              </w:rPr>
            </w:pPr>
          </w:p>
        </w:tc>
        <w:tc>
          <w:tcPr>
            <w:tcW w:w="598" w:type="pct"/>
          </w:tcPr>
          <w:p>
            <w:pPr>
              <w:rPr>
                <w:szCs w:val="24"/>
              </w:rPr>
            </w:pPr>
          </w:p>
        </w:tc>
      </w:tr>
    </w:tbl>
    <w:p/>
    <w:p>
      <w:pPr>
        <w:rPr>
          <w:b/>
        </w:rPr>
      </w:pPr>
      <w:r>
        <w:rPr>
          <w:b/>
        </w:rPr>
        <w:t>2 lentelė. Ištekliai funkcijai atlikti</w:t>
      </w:r>
    </w:p>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7"/>
        <w:gridCol w:w="1282"/>
        <w:gridCol w:w="1445"/>
        <w:gridCol w:w="1451"/>
        <w:gridCol w:w="1076"/>
        <w:gridCol w:w="16"/>
      </w:tblGrid>
      <w:tr>
        <w:trPr>
          <w:trHeight w:val="285"/>
        </w:trPr>
        <w:tc>
          <w:tcPr>
            <w:tcW w:w="2119" w:type="pct"/>
            <w:vMerge w:val="restart"/>
          </w:tcPr>
          <w:p>
            <w:pPr>
              <w:rPr>
                <w:sz w:val="18"/>
                <w:szCs w:val="18"/>
              </w:rPr>
            </w:pPr>
          </w:p>
          <w:p>
            <w:pPr>
              <w:keepNext/>
              <w:keepLines/>
              <w:outlineLvl w:val="1"/>
              <w:rPr>
                <w:b/>
                <w:bCs/>
                <w:szCs w:val="24"/>
              </w:rPr>
            </w:pPr>
            <w:r>
              <w:rPr>
                <w:b/>
                <w:bCs/>
                <w:szCs w:val="24"/>
              </w:rPr>
              <w:t>Rodiklio pavadinimas</w:t>
            </w:r>
          </w:p>
        </w:tc>
        <w:tc>
          <w:tcPr>
            <w:tcW w:w="701" w:type="pct"/>
            <w:vMerge w:val="restart"/>
          </w:tcPr>
          <w:p>
            <w:pPr>
              <w:jc w:val="center"/>
              <w:rPr>
                <w:b/>
                <w:bCs/>
                <w:szCs w:val="24"/>
              </w:rPr>
            </w:pPr>
            <w:r>
              <w:rPr>
                <w:b/>
                <w:bCs/>
                <w:szCs w:val="24"/>
              </w:rPr>
              <w:t>Matavimo vienetas</w:t>
            </w:r>
          </w:p>
        </w:tc>
        <w:tc>
          <w:tcPr>
            <w:tcW w:w="1583" w:type="pct"/>
            <w:gridSpan w:val="2"/>
          </w:tcPr>
          <w:p>
            <w:pPr>
              <w:jc w:val="center"/>
              <w:rPr>
                <w:b/>
                <w:bCs/>
                <w:szCs w:val="24"/>
              </w:rPr>
            </w:pPr>
            <w:r>
              <w:rPr>
                <w:b/>
                <w:bCs/>
                <w:szCs w:val="24"/>
              </w:rPr>
              <w:t>Rodiklis</w:t>
            </w:r>
          </w:p>
          <w:p>
            <w:pPr>
              <w:jc w:val="center"/>
              <w:rPr>
                <w:b/>
                <w:bCs/>
                <w:szCs w:val="24"/>
              </w:rPr>
            </w:pPr>
          </w:p>
        </w:tc>
        <w:tc>
          <w:tcPr>
            <w:tcW w:w="597" w:type="pct"/>
            <w:gridSpan w:val="2"/>
            <w:vMerge w:val="restart"/>
          </w:tcPr>
          <w:p>
            <w:pPr>
              <w:jc w:val="center"/>
              <w:rPr>
                <w:b/>
                <w:bCs/>
                <w:szCs w:val="24"/>
              </w:rPr>
            </w:pPr>
            <w:r>
              <w:rPr>
                <w:b/>
                <w:bCs/>
                <w:szCs w:val="24"/>
              </w:rPr>
              <w:t>Pastabos</w:t>
            </w:r>
          </w:p>
        </w:tc>
      </w:tr>
      <w:tr>
        <w:trPr>
          <w:trHeight w:val="255"/>
        </w:trPr>
        <w:tc>
          <w:tcPr>
            <w:tcW w:w="2119" w:type="pct"/>
            <w:vMerge/>
          </w:tcPr>
          <w:p>
            <w:pPr>
              <w:rPr>
                <w:sz w:val="18"/>
                <w:szCs w:val="18"/>
              </w:rPr>
            </w:pPr>
          </w:p>
          <w:p>
            <w:pPr>
              <w:keepNext/>
              <w:keepLines/>
              <w:outlineLvl w:val="1"/>
              <w:rPr>
                <w:b/>
                <w:bCs/>
                <w:szCs w:val="24"/>
              </w:rPr>
            </w:pPr>
          </w:p>
        </w:tc>
        <w:tc>
          <w:tcPr>
            <w:tcW w:w="701" w:type="pct"/>
            <w:vMerge/>
          </w:tcPr>
          <w:p>
            <w:pPr>
              <w:jc w:val="center"/>
              <w:rPr>
                <w:b/>
                <w:bCs/>
                <w:szCs w:val="24"/>
              </w:rPr>
            </w:pPr>
          </w:p>
        </w:tc>
        <w:tc>
          <w:tcPr>
            <w:tcW w:w="790" w:type="pct"/>
            <w:shd w:val="clear" w:color="auto" w:fill="auto"/>
          </w:tcPr>
          <w:p>
            <w:pPr>
              <w:jc w:val="center"/>
              <w:rPr>
                <w:b/>
                <w:bCs/>
                <w:sz w:val="20"/>
              </w:rPr>
            </w:pPr>
            <w:r>
              <w:rPr>
                <w:b/>
                <w:bCs/>
                <w:sz w:val="20"/>
              </w:rPr>
              <w:t>Einamųjų metų</w:t>
            </w:r>
          </w:p>
        </w:tc>
        <w:tc>
          <w:tcPr>
            <w:tcW w:w="793" w:type="pct"/>
            <w:shd w:val="clear" w:color="auto" w:fill="auto"/>
          </w:tcPr>
          <w:p>
            <w:pPr>
              <w:jc w:val="center"/>
              <w:rPr>
                <w:b/>
                <w:bCs/>
                <w:sz w:val="20"/>
              </w:rPr>
            </w:pPr>
            <w:r>
              <w:rPr>
                <w:b/>
                <w:bCs/>
                <w:sz w:val="20"/>
              </w:rPr>
              <w:t>Planuojamųjų metų</w:t>
            </w:r>
          </w:p>
        </w:tc>
        <w:tc>
          <w:tcPr>
            <w:tcW w:w="597" w:type="pct"/>
            <w:gridSpan w:val="2"/>
            <w:vMerge/>
          </w:tcPr>
          <w:p>
            <w:pPr>
              <w:jc w:val="center"/>
              <w:rPr>
                <w:b/>
                <w:bCs/>
                <w:szCs w:val="24"/>
              </w:rPr>
            </w:pPr>
          </w:p>
        </w:tc>
      </w:tr>
      <w:tr>
        <w:trPr>
          <w:gridAfter w:val="1"/>
          <w:wAfter w:w="9" w:type="pct"/>
        </w:trPr>
        <w:tc>
          <w:tcPr>
            <w:tcW w:w="2119" w:type="pct"/>
          </w:tcPr>
          <w:p>
            <w:pPr>
              <w:rPr>
                <w:szCs w:val="24"/>
              </w:rPr>
            </w:pPr>
            <w:r>
              <w:rPr>
                <w:szCs w:val="24"/>
              </w:rPr>
              <w:t>1. Pareigybių (etatų) skaičius,*</w:t>
            </w:r>
          </w:p>
        </w:tc>
        <w:tc>
          <w:tcPr>
            <w:tcW w:w="701" w:type="pct"/>
          </w:tcPr>
          <w:p>
            <w:pPr>
              <w:rPr>
                <w:szCs w:val="24"/>
              </w:rPr>
            </w:pPr>
            <w:r>
              <w:rPr>
                <w:szCs w:val="24"/>
              </w:rPr>
              <w:t xml:space="preserve">pareigybė </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rPr>
                <w:szCs w:val="24"/>
              </w:rPr>
            </w:pPr>
            <w:r>
              <w:rPr>
                <w:szCs w:val="24"/>
              </w:rPr>
              <w:t>iš jų:</w:t>
            </w:r>
          </w:p>
        </w:tc>
        <w:tc>
          <w:tcPr>
            <w:tcW w:w="701" w:type="pct"/>
          </w:tcPr>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jc w:val="both"/>
              <w:rPr>
                <w:szCs w:val="24"/>
              </w:rPr>
            </w:pPr>
            <w:r>
              <w:rPr>
                <w:szCs w:val="24"/>
              </w:rPr>
              <w:t>- valstybės tarnautojų</w:t>
            </w:r>
          </w:p>
        </w:tc>
        <w:tc>
          <w:tcPr>
            <w:tcW w:w="701" w:type="pct"/>
          </w:tcPr>
          <w:p>
            <w:pPr>
              <w:rPr>
                <w:szCs w:val="24"/>
              </w:rPr>
            </w:pPr>
            <w:r>
              <w:rPr>
                <w:szCs w:val="24"/>
              </w:rPr>
              <w:t>pareigybė</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darbuotojų, dirbančių pagal darbo sutartis</w:t>
            </w:r>
          </w:p>
        </w:tc>
        <w:tc>
          <w:tcPr>
            <w:tcW w:w="701" w:type="pct"/>
          </w:tcPr>
          <w:p>
            <w:pPr>
              <w:rPr>
                <w:szCs w:val="24"/>
              </w:rPr>
            </w:pPr>
            <w:r>
              <w:rPr>
                <w:szCs w:val="24"/>
              </w:rPr>
              <w:t>pareigybė</w:t>
            </w:r>
          </w:p>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xml:space="preserve">2. Darbo užmokesčio fondas metams, </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iš jo:</w:t>
            </w:r>
          </w:p>
        </w:tc>
        <w:tc>
          <w:tcPr>
            <w:tcW w:w="701" w:type="pct"/>
          </w:tcPr>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jc w:val="both"/>
              <w:rPr>
                <w:szCs w:val="24"/>
              </w:rPr>
            </w:pPr>
            <w:r>
              <w:rPr>
                <w:szCs w:val="24"/>
              </w:rPr>
              <w:t>- valstybės tarnautojų</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darbuotojų, dirbančių pagal darbo sutartis</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jc w:val="both"/>
              <w:rPr>
                <w:strike/>
                <w:szCs w:val="24"/>
              </w:rPr>
            </w:pPr>
            <w:r>
              <w:rPr>
                <w:szCs w:val="24"/>
              </w:rPr>
              <w:t>3. Vidutinis vieno darbuotojo mėnesinis</w:t>
            </w:r>
            <w:r>
              <w:rPr>
                <w:strike/>
                <w:szCs w:val="24"/>
              </w:rPr>
              <w:t xml:space="preserve"> </w:t>
            </w:r>
            <w:r>
              <w:rPr>
                <w:szCs w:val="24"/>
              </w:rPr>
              <w:t>darbo užmokestis</w:t>
            </w:r>
            <w:r>
              <w:rPr>
                <w:strike/>
                <w:szCs w:val="24"/>
              </w:rPr>
              <w:t xml:space="preserve"> </w:t>
            </w:r>
          </w:p>
        </w:tc>
        <w:tc>
          <w:tcPr>
            <w:tcW w:w="701" w:type="pct"/>
          </w:tcPr>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valstybės tarnautojų</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jc w:val="both"/>
              <w:rPr>
                <w:szCs w:val="24"/>
              </w:rPr>
            </w:pPr>
            <w:r>
              <w:rPr>
                <w:szCs w:val="24"/>
              </w:rPr>
              <w:t xml:space="preserve">-darbuotojų, dirbančių pagal darbo </w:t>
            </w:r>
          </w:p>
          <w:p>
            <w:pPr>
              <w:ind w:left="-108" w:firstLine="108"/>
              <w:jc w:val="both"/>
              <w:rPr>
                <w:szCs w:val="24"/>
              </w:rPr>
            </w:pPr>
            <w:r>
              <w:rPr>
                <w:szCs w:val="24"/>
              </w:rPr>
              <w:t>sutartis</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jc w:val="both"/>
              <w:rPr>
                <w:szCs w:val="24"/>
              </w:rPr>
            </w:pPr>
            <w:r>
              <w:rPr>
                <w:szCs w:val="24"/>
              </w:rPr>
              <w:t>4. Išlaidos prekėms ir paslaugoms:</w:t>
            </w:r>
          </w:p>
        </w:tc>
        <w:tc>
          <w:tcPr>
            <w:tcW w:w="701" w:type="pct"/>
          </w:tcPr>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jc w:val="both"/>
              <w:rPr>
                <w:szCs w:val="24"/>
              </w:rPr>
            </w:pPr>
            <w:r>
              <w:rPr>
                <w:szCs w:val="24"/>
              </w:rPr>
              <w:t>4.1. Patalpų eksploatacijos išlaidos:</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rPr>
                <w:szCs w:val="24"/>
              </w:rPr>
            </w:pPr>
            <w:r>
              <w:rPr>
                <w:szCs w:val="24"/>
              </w:rPr>
              <w:t>iš jų:</w:t>
            </w:r>
          </w:p>
        </w:tc>
        <w:tc>
          <w:tcPr>
            <w:tcW w:w="701" w:type="pct"/>
          </w:tcPr>
          <w:p>
            <w:pPr>
              <w:rPr>
                <w:szCs w:val="24"/>
              </w:rPr>
            </w:pP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jc w:val="both"/>
              <w:rPr>
                <w:szCs w:val="24"/>
              </w:rPr>
            </w:pPr>
            <w:r>
              <w:rPr>
                <w:szCs w:val="24"/>
              </w:rPr>
              <w:t>- šildymui</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elektros energijai</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 kita (nurodyti)</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9" w:type="pct"/>
        </w:trPr>
        <w:tc>
          <w:tcPr>
            <w:tcW w:w="2119" w:type="pct"/>
          </w:tcPr>
          <w:p>
            <w:pPr>
              <w:ind w:left="-108" w:firstLine="108"/>
              <w:rPr>
                <w:szCs w:val="24"/>
              </w:rPr>
            </w:pPr>
            <w:r>
              <w:rPr>
                <w:szCs w:val="24"/>
              </w:rPr>
              <w:t>4.2. Kitos paslaugų ir prekių išlaidos (ryšių paslaugos, kanceliarinės ir kt. prekės)</w:t>
            </w:r>
          </w:p>
        </w:tc>
        <w:tc>
          <w:tcPr>
            <w:tcW w:w="701" w:type="pct"/>
          </w:tcPr>
          <w:p>
            <w:pPr>
              <w:rPr>
                <w:szCs w:val="24"/>
              </w:rPr>
            </w:pPr>
            <w:r>
              <w:rPr>
                <w:szCs w:val="24"/>
              </w:rPr>
              <w:t>eurais</w:t>
            </w:r>
          </w:p>
        </w:tc>
        <w:tc>
          <w:tcPr>
            <w:tcW w:w="790"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bl>
    <w:p>
      <w:pPr>
        <w:ind w:firstLine="60"/>
        <w:jc w:val="both"/>
      </w:pPr>
      <w:r>
        <w:t xml:space="preserve">* Savivaldybėse, kuriose pagal likviduotų įmonių saugomų dokumentų kiekį priklauso nepilna pareigybė, o tik pareigybės dalis, pareigybės dalis nurodoma Pastabų skiltyje (pvz., 0,5; 0,3 ar kita), o darbo užmokesčio eilutėse nurodoma tos pareigybės, skirtos likviduotų įmonių dokumentams tvarkyti,  dalies darbo užmokestis. </w:t>
      </w:r>
    </w:p>
    <w:p>
      <w:pPr>
        <w:jc w:val="both"/>
      </w:pPr>
    </w:p>
    <w:p>
      <w:pPr>
        <w:rPr>
          <w:b/>
        </w:rPr>
      </w:pPr>
      <w:r>
        <w:rPr>
          <w:b/>
        </w:rPr>
        <w:t>3 lentelė. Asignavimai</w:t>
      </w:r>
    </w:p>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8"/>
        <w:gridCol w:w="1282"/>
        <w:gridCol w:w="1447"/>
        <w:gridCol w:w="1451"/>
        <w:gridCol w:w="1076"/>
        <w:gridCol w:w="13"/>
      </w:tblGrid>
      <w:tr>
        <w:trPr>
          <w:trHeight w:val="285"/>
        </w:trPr>
        <w:tc>
          <w:tcPr>
            <w:tcW w:w="2119" w:type="pct"/>
            <w:vMerge w:val="restart"/>
          </w:tcPr>
          <w:p>
            <w:pPr>
              <w:rPr>
                <w:sz w:val="18"/>
                <w:szCs w:val="18"/>
              </w:rPr>
            </w:pPr>
          </w:p>
          <w:p>
            <w:pPr>
              <w:keepNext/>
              <w:keepLines/>
              <w:outlineLvl w:val="1"/>
              <w:rPr>
                <w:b/>
                <w:bCs/>
                <w:szCs w:val="24"/>
              </w:rPr>
            </w:pPr>
            <w:r>
              <w:rPr>
                <w:b/>
                <w:bCs/>
                <w:szCs w:val="24"/>
              </w:rPr>
              <w:t>Išlaidos</w:t>
            </w:r>
          </w:p>
        </w:tc>
        <w:tc>
          <w:tcPr>
            <w:tcW w:w="701" w:type="pct"/>
            <w:vMerge w:val="restart"/>
          </w:tcPr>
          <w:p>
            <w:pPr>
              <w:jc w:val="center"/>
              <w:rPr>
                <w:b/>
                <w:bCs/>
                <w:szCs w:val="24"/>
              </w:rPr>
            </w:pPr>
            <w:r>
              <w:rPr>
                <w:b/>
                <w:bCs/>
                <w:szCs w:val="24"/>
              </w:rPr>
              <w:t>Matavimo vienetas</w:t>
            </w:r>
          </w:p>
        </w:tc>
        <w:tc>
          <w:tcPr>
            <w:tcW w:w="1583" w:type="pct"/>
            <w:gridSpan w:val="2"/>
          </w:tcPr>
          <w:p>
            <w:pPr>
              <w:jc w:val="center"/>
              <w:rPr>
                <w:b/>
                <w:bCs/>
                <w:szCs w:val="24"/>
              </w:rPr>
            </w:pPr>
            <w:r>
              <w:rPr>
                <w:b/>
                <w:bCs/>
                <w:szCs w:val="24"/>
              </w:rPr>
              <w:t>Rodiklis</w:t>
            </w:r>
          </w:p>
          <w:p>
            <w:pPr>
              <w:jc w:val="center"/>
              <w:rPr>
                <w:b/>
                <w:bCs/>
                <w:szCs w:val="24"/>
              </w:rPr>
            </w:pPr>
          </w:p>
        </w:tc>
        <w:tc>
          <w:tcPr>
            <w:tcW w:w="597" w:type="pct"/>
            <w:gridSpan w:val="2"/>
            <w:vMerge w:val="restart"/>
          </w:tcPr>
          <w:p>
            <w:pPr>
              <w:jc w:val="center"/>
              <w:rPr>
                <w:b/>
                <w:bCs/>
                <w:szCs w:val="24"/>
              </w:rPr>
            </w:pPr>
            <w:r>
              <w:rPr>
                <w:b/>
                <w:bCs/>
                <w:szCs w:val="24"/>
              </w:rPr>
              <w:t>Pastabos</w:t>
            </w:r>
          </w:p>
        </w:tc>
      </w:tr>
      <w:tr>
        <w:trPr>
          <w:trHeight w:val="255"/>
        </w:trPr>
        <w:tc>
          <w:tcPr>
            <w:tcW w:w="2119" w:type="pct"/>
            <w:vMerge/>
          </w:tcPr>
          <w:p>
            <w:pPr>
              <w:rPr>
                <w:sz w:val="18"/>
                <w:szCs w:val="18"/>
              </w:rPr>
            </w:pPr>
          </w:p>
          <w:p>
            <w:pPr>
              <w:keepNext/>
              <w:keepLines/>
              <w:outlineLvl w:val="1"/>
              <w:rPr>
                <w:b/>
                <w:bCs/>
                <w:szCs w:val="24"/>
              </w:rPr>
            </w:pPr>
          </w:p>
        </w:tc>
        <w:tc>
          <w:tcPr>
            <w:tcW w:w="701" w:type="pct"/>
            <w:vMerge/>
          </w:tcPr>
          <w:p>
            <w:pPr>
              <w:jc w:val="center"/>
              <w:rPr>
                <w:b/>
                <w:bCs/>
                <w:szCs w:val="24"/>
              </w:rPr>
            </w:pPr>
          </w:p>
        </w:tc>
        <w:tc>
          <w:tcPr>
            <w:tcW w:w="790" w:type="pct"/>
            <w:shd w:val="clear" w:color="auto" w:fill="auto"/>
          </w:tcPr>
          <w:p>
            <w:pPr>
              <w:jc w:val="center"/>
              <w:rPr>
                <w:b/>
                <w:bCs/>
                <w:sz w:val="20"/>
              </w:rPr>
            </w:pPr>
            <w:r>
              <w:rPr>
                <w:b/>
                <w:bCs/>
                <w:sz w:val="20"/>
              </w:rPr>
              <w:t>Einamųjų metų</w:t>
            </w:r>
          </w:p>
          <w:p>
            <w:pPr>
              <w:jc w:val="center"/>
              <w:rPr>
                <w:b/>
                <w:bCs/>
                <w:sz w:val="20"/>
              </w:rPr>
            </w:pPr>
            <w:r>
              <w:rPr>
                <w:b/>
                <w:bCs/>
                <w:sz w:val="20"/>
              </w:rPr>
              <w:t>suma</w:t>
            </w:r>
          </w:p>
        </w:tc>
        <w:tc>
          <w:tcPr>
            <w:tcW w:w="793" w:type="pct"/>
            <w:shd w:val="clear" w:color="auto" w:fill="auto"/>
          </w:tcPr>
          <w:p>
            <w:pPr>
              <w:jc w:val="center"/>
              <w:rPr>
                <w:b/>
                <w:bCs/>
                <w:sz w:val="20"/>
              </w:rPr>
            </w:pPr>
            <w:r>
              <w:rPr>
                <w:b/>
                <w:bCs/>
                <w:sz w:val="20"/>
              </w:rPr>
              <w:t>Planuojamųjų metų suma</w:t>
            </w:r>
          </w:p>
        </w:tc>
        <w:tc>
          <w:tcPr>
            <w:tcW w:w="597" w:type="pct"/>
            <w:gridSpan w:val="2"/>
            <w:vMerge/>
          </w:tcPr>
          <w:p>
            <w:pPr>
              <w:jc w:val="center"/>
              <w:rPr>
                <w:b/>
                <w:bCs/>
                <w:szCs w:val="24"/>
              </w:rPr>
            </w:pPr>
          </w:p>
        </w:tc>
      </w:tr>
      <w:tr>
        <w:trPr>
          <w:gridAfter w:val="1"/>
          <w:wAfter w:w="8" w:type="pct"/>
        </w:trPr>
        <w:tc>
          <w:tcPr>
            <w:tcW w:w="2120" w:type="pct"/>
          </w:tcPr>
          <w:p>
            <w:pPr>
              <w:rPr>
                <w:szCs w:val="24"/>
              </w:rPr>
            </w:pPr>
            <w:r>
              <w:rPr>
                <w:szCs w:val="24"/>
              </w:rPr>
              <w:t>1. Iš viso asignavimų</w:t>
            </w:r>
          </w:p>
        </w:tc>
        <w:tc>
          <w:tcPr>
            <w:tcW w:w="701" w:type="pct"/>
          </w:tcPr>
          <w:p>
            <w:pPr>
              <w:rPr>
                <w:szCs w:val="24"/>
              </w:rPr>
            </w:pPr>
            <w:r>
              <w:rPr>
                <w:szCs w:val="24"/>
              </w:rPr>
              <w:t>eurais</w:t>
            </w:r>
          </w:p>
        </w:tc>
        <w:tc>
          <w:tcPr>
            <w:tcW w:w="791"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8" w:type="pct"/>
        </w:trPr>
        <w:tc>
          <w:tcPr>
            <w:tcW w:w="2120" w:type="pct"/>
          </w:tcPr>
          <w:p>
            <w:pPr>
              <w:rPr>
                <w:szCs w:val="24"/>
              </w:rPr>
            </w:pPr>
            <w:r>
              <w:rPr>
                <w:szCs w:val="24"/>
              </w:rPr>
              <w:t>iš jų:</w:t>
            </w:r>
          </w:p>
        </w:tc>
        <w:tc>
          <w:tcPr>
            <w:tcW w:w="701" w:type="pct"/>
          </w:tcPr>
          <w:p>
            <w:pPr>
              <w:rPr>
                <w:szCs w:val="24"/>
              </w:rPr>
            </w:pPr>
          </w:p>
        </w:tc>
        <w:tc>
          <w:tcPr>
            <w:tcW w:w="791"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8" w:type="pct"/>
        </w:trPr>
        <w:tc>
          <w:tcPr>
            <w:tcW w:w="2120" w:type="pct"/>
          </w:tcPr>
          <w:p>
            <w:pPr>
              <w:rPr>
                <w:szCs w:val="24"/>
              </w:rPr>
            </w:pPr>
            <w:r>
              <w:rPr>
                <w:szCs w:val="24"/>
              </w:rPr>
              <w:t>- darbo užmokesčiui</w:t>
            </w:r>
          </w:p>
        </w:tc>
        <w:tc>
          <w:tcPr>
            <w:tcW w:w="701" w:type="pct"/>
          </w:tcPr>
          <w:p>
            <w:pPr>
              <w:rPr>
                <w:szCs w:val="24"/>
              </w:rPr>
            </w:pPr>
            <w:r>
              <w:rPr>
                <w:szCs w:val="24"/>
              </w:rPr>
              <w:t>eurais</w:t>
            </w:r>
          </w:p>
        </w:tc>
        <w:tc>
          <w:tcPr>
            <w:tcW w:w="791"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8" w:type="pct"/>
        </w:trPr>
        <w:tc>
          <w:tcPr>
            <w:tcW w:w="2120" w:type="pct"/>
          </w:tcPr>
          <w:p>
            <w:pPr>
              <w:rPr>
                <w:szCs w:val="24"/>
              </w:rPr>
            </w:pPr>
            <w:r>
              <w:rPr>
                <w:szCs w:val="24"/>
              </w:rPr>
              <w:t>- socialinio draudimo įmokoms</w:t>
            </w:r>
          </w:p>
        </w:tc>
        <w:tc>
          <w:tcPr>
            <w:tcW w:w="701" w:type="pct"/>
          </w:tcPr>
          <w:p>
            <w:pPr>
              <w:rPr>
                <w:szCs w:val="24"/>
              </w:rPr>
            </w:pPr>
            <w:r>
              <w:rPr>
                <w:szCs w:val="24"/>
              </w:rPr>
              <w:t>eurais</w:t>
            </w:r>
          </w:p>
        </w:tc>
        <w:tc>
          <w:tcPr>
            <w:tcW w:w="791"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r>
        <w:trPr>
          <w:gridAfter w:val="1"/>
          <w:wAfter w:w="8" w:type="pct"/>
        </w:trPr>
        <w:tc>
          <w:tcPr>
            <w:tcW w:w="2120" w:type="pct"/>
          </w:tcPr>
          <w:p>
            <w:pPr>
              <w:rPr>
                <w:szCs w:val="24"/>
              </w:rPr>
            </w:pPr>
            <w:r>
              <w:rPr>
                <w:szCs w:val="24"/>
              </w:rPr>
              <w:t>- prekėms ir paslaugoms</w:t>
            </w:r>
          </w:p>
        </w:tc>
        <w:tc>
          <w:tcPr>
            <w:tcW w:w="701" w:type="pct"/>
          </w:tcPr>
          <w:p>
            <w:pPr>
              <w:rPr>
                <w:szCs w:val="24"/>
              </w:rPr>
            </w:pPr>
            <w:r>
              <w:rPr>
                <w:szCs w:val="24"/>
              </w:rPr>
              <w:t>eurais</w:t>
            </w:r>
          </w:p>
        </w:tc>
        <w:tc>
          <w:tcPr>
            <w:tcW w:w="791" w:type="pct"/>
            <w:shd w:val="clear" w:color="auto" w:fill="auto"/>
          </w:tcPr>
          <w:p>
            <w:pPr>
              <w:rPr>
                <w:szCs w:val="24"/>
              </w:rPr>
            </w:pPr>
          </w:p>
        </w:tc>
        <w:tc>
          <w:tcPr>
            <w:tcW w:w="793" w:type="pct"/>
            <w:shd w:val="clear" w:color="auto" w:fill="auto"/>
          </w:tcPr>
          <w:p>
            <w:pPr>
              <w:rPr>
                <w:szCs w:val="24"/>
              </w:rPr>
            </w:pPr>
          </w:p>
        </w:tc>
        <w:tc>
          <w:tcPr>
            <w:tcW w:w="588" w:type="pct"/>
          </w:tcPr>
          <w:p>
            <w:pPr>
              <w:rPr>
                <w:szCs w:val="24"/>
              </w:rPr>
            </w:pPr>
          </w:p>
        </w:tc>
      </w:tr>
    </w:tbl>
    <w:p>
      <w:pPr>
        <w:rPr>
          <w:b/>
          <w:szCs w:val="24"/>
        </w:rPr>
      </w:pPr>
    </w:p>
    <w:p/>
    <w:p/>
    <w:p/>
    <w:p>
      <w:r>
        <w:t>_____________________</w:t>
        <w:tab/>
        <w:tab/>
        <w:t xml:space="preserve">   ________________</w:t>
        <w:tab/>
        <w:tab/>
        <w:t>_____________________</w:t>
      </w:r>
    </w:p>
    <w:p>
      <w:r>
        <w:t>(pareigų pavadinimas)</w:t>
        <w:tab/>
        <w:tab/>
        <w:t xml:space="preserve">          (parašas)</w:t>
        <w:tab/>
        <w:tab/>
        <w:tab/>
        <w:t xml:space="preserve">    (vardas ir pavardė) </w:t>
      </w:r>
    </w:p>
    <w:p/>
    <w:p/>
    <w:p/>
    <w:p>
      <w:r>
        <w:t>(Rengėjo nuoroda)</w:t>
      </w:r>
    </w:p>
    <w:p>
      <w:pPr>
        <w:tabs>
          <w:tab w:val="left" w:pos="7371"/>
        </w:tabs>
        <w:jc w:val="center"/>
      </w:pPr>
      <w: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cc07a0d21311e4bcd1a882e9a189f1">
        <w:r w:rsidRPr="00532B9F">
          <w:rPr>
            <w:rFonts w:ascii="Times New Roman" w:eastAsia="MS Mincho" w:hAnsi="Times New Roman"/>
            <w:sz w:val="20"/>
            <w:i/>
            <w:iCs/>
            <w:color w:val="0000FF" w:themeColor="hyperlink"/>
            <w:u w:val="single"/>
          </w:rPr>
          <w:t>(1.3 E)VE-21</w:t>
        </w:r>
      </w:fldSimple>
      <w:r>
        <w:rPr>
          <w:rFonts w:ascii="Times New Roman" w:eastAsia="MS Mincho" w:hAnsi="Times New Roman"/>
          <w:sz w:val="20"/>
          <w:i/>
          <w:iCs/>
        </w:rPr>
        <w:t>,
2015-03-24,
paskelbta TAR 2015-03-24, i. k. 2015-04202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cc07a0d21311e4bcd1a882e9a189f1">
        <w:r w:rsidRPr="00532B9F">
          <w:rPr>
            <w:rFonts w:ascii="Times New Roman" w:eastAsia="MS Mincho" w:hAnsi="Times New Roman"/>
            <w:sz w:val="20"/>
            <w:iCs/>
            <w:color w:val="0000FF" w:themeColor="hyperlink"/>
            <w:u w:val="single"/>
          </w:rPr>
          <w:t>(1.3 E)VE-21</w:t>
        </w:r>
      </w:fldSimple>
      <w:r>
        <w:rPr>
          <w:rFonts w:ascii="Times New Roman" w:eastAsia="MS Mincho" w:hAnsi="Times New Roman"/>
          <w:sz w:val="20"/>
          <w:iCs/>
        </w:rPr>
        <w:t>,
2015-03-24,
paskelbta TAR 2015-03-24, i. k. 2015-04202                </w:t>
      </w:r>
    </w:p>
    <w:p>
      <w:pPr>
        <w:jc w:val="both"/>
        <w:rPr>
          <w:rFonts w:ascii="Times New Roman" w:hAnsi="Times New Roman"/>
        </w:rPr>
      </w:pPr>
      <w:r>
        <w:rPr>
          <w:rFonts w:ascii="Times New Roman" w:hAnsi="Times New Roman"/>
          <w:sz w:val="20"/>
        </w:rPr>
        <w:t>Dėl Lietuvos vyriausiojo archyvaro 2011 m. sausio 14 d įsakymo Nr. V-56 „Dėl lėšų apskaičiavimo valstybės perduotai savivaldybėms priskirtų archyvinių dokumentų tvarkymo funkcijai atlikti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4f9510f0f011e5989ee743dd0efbb0">
        <w:r w:rsidRPr="00532B9F">
          <w:rPr>
            <w:rFonts w:ascii="Times New Roman" w:eastAsia="MS Mincho" w:hAnsi="Times New Roman"/>
            <w:sz w:val="20"/>
            <w:iCs/>
            <w:color w:val="0000FF" w:themeColor="hyperlink"/>
            <w:u w:val="single"/>
          </w:rPr>
          <w:t>(1.3 E)VE-35</w:t>
        </w:r>
      </w:fldSimple>
      <w:r>
        <w:rPr>
          <w:rFonts w:ascii="Times New Roman" w:eastAsia="MS Mincho" w:hAnsi="Times New Roman"/>
          <w:sz w:val="20"/>
          <w:iCs/>
        </w:rPr>
        <w:t>,
2016-03-23,
paskelbta TAR 2016-03-23, i. k. 2016-05774                </w:t>
      </w:r>
    </w:p>
    <w:p>
      <w:pPr>
        <w:jc w:val="both"/>
        <w:rPr>
          <w:rFonts w:ascii="Times New Roman" w:hAnsi="Times New Roman"/>
        </w:rPr>
      </w:pPr>
      <w:r>
        <w:rPr>
          <w:rFonts w:ascii="Times New Roman" w:hAnsi="Times New Roman"/>
          <w:sz w:val="20"/>
        </w:rPr>
        <w:t>Dėl Lietuvos vyriausiojo archyvaro 2011 m. sausio 14 d. įsakymo Nr. V-56 „Dėl Lėšų apskaičiavimo valstybės perduotai savivaldybėms priskirtų archyvinių dokumentų tvarkymo funkcijai atlikti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8009f0166f11ea9d279ea27696ab7b">
        <w:r w:rsidRPr="00532B9F">
          <w:rPr>
            <w:rFonts w:ascii="Times New Roman" w:eastAsia="MS Mincho" w:hAnsi="Times New Roman"/>
            <w:sz w:val="20"/>
            <w:iCs/>
            <w:color w:val="0000FF" w:themeColor="hyperlink"/>
            <w:u w:val="single"/>
          </w:rPr>
          <w:t>VE-65</w:t>
        </w:r>
      </w:fldSimple>
      <w:r>
        <w:rPr>
          <w:rFonts w:ascii="Times New Roman" w:eastAsia="MS Mincho" w:hAnsi="Times New Roman"/>
          <w:sz w:val="20"/>
          <w:iCs/>
        </w:rPr>
        <w:t>,
2019-12-04,
paskelbta TAR 2019-12-04, i. k. 2019-19515                </w:t>
      </w:r>
    </w:p>
    <w:p>
      <w:pPr>
        <w:jc w:val="both"/>
        <w:rPr>
          <w:rFonts w:ascii="Times New Roman" w:hAnsi="Times New Roman"/>
        </w:rPr>
      </w:pPr>
      <w:r>
        <w:rPr>
          <w:rFonts w:ascii="Times New Roman" w:hAnsi="Times New Roman"/>
          <w:sz w:val="20"/>
        </w:rPr>
        <w:t>Dėl Lietuvos vyriausiojo archyvaro 2011 m. sausio 14 d. įsakymo Nr. V-56 „Dėl Lėšų apskaičiavimo valstybės perduotai savivaldybėms priskirtų archyvinių dokumentų tvarkymo funkcijai atlikti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E730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1FEF229DA7C6"/>
  <Relationship Id="rId18" Type="http://schemas.openxmlformats.org/officeDocument/2006/relationships/hyperlink" TargetMode="External" Target="https://www.e-tar.lt/portal/lt/legalAct/TAR.5E8A7FF89480"/>
  <Relationship Id="rId19" Type="http://schemas.openxmlformats.org/officeDocument/2006/relationships/hyperlink" TargetMode="External" Target="https://www.e-tar.lt/portal/lt/legalAct/TAR.82027BA9C359"/>
  <Relationship Id="rId2" Type="http://schemas.openxmlformats.org/officeDocument/2006/relationships/header" Target="header8.xml"/>
  <Relationship Id="rId20" Type="http://schemas.openxmlformats.org/officeDocument/2006/relationships/hyperlink" TargetMode="External" Target="https://www.e-tar.lt/portal/lt/legalAct/TAR.D1E76AAC3743"/>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12.xml"/>
  <Relationship Id="rId26" Type="http://schemas.openxmlformats.org/officeDocument/2006/relationships/footer" Target="footer12.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5517</Words>
  <Characters>3145</Characters>
  <Application>Microsoft Office Word</Application>
  <DocSecurity>0</DocSecurity>
  <Lines>26</Lines>
  <Paragraphs>17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VYRIAUSIOJO ARCHYVARO</vt:lpstr>
    </vt:vector>
  </TitlesOfParts>
  <Company>Teisines informacijos centras</Company>
  <LinksUpToDate>false</LinksUpToDate>
  <CharactersWithSpaces>8645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2015-10-10T12:27:00Z</dcterms:created>
  <dc:creator>Sandra</dc:creator>
  <lastModifiedBy>TRAPINSKIENĖ Aušrinė</lastModifiedBy>
  <dcterms:modified xsi:type="dcterms:W3CDTF">2019-12-06T11:26:00Z</dcterms:modified>
  <revision>7</revision>
  <dc:title>LIETUVOS VYRIAUSIOJO ARCHYVARO</dc:title>
</coreProperties>
</file>