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2019-11-12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2012, Nr. </w:t>
      </w:r>
      <w:fldSimple w:instr="HYPERLINK https://www.e-tar.lt/portal/legalAct.html?documentId=TAR.4B9F2BA0608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147-7573</w:t>
        </w:r>
      </w:fldSimple>
      <w:r>
        <w:rPr>
          <w:rFonts w:ascii="Times New Roman" w:eastAsia="MS Mincho" w:hAnsi="Times New Roman"/>
          <w:sz w:val="20"/>
          <w:i/>
          <w:iCs/>
        </w:rPr>
        <w:t>, i. k. 1122050ISAK001K-422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2019-11-12: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10cf8830ff9f11e99681cd81dcdca5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1K-328</w:t>
        </w:r>
      </w:fldSimple>
      <w:r>
        <w:rPr>
          <w:rFonts w:ascii="Times New Roman" w:eastAsia="MS Mincho" w:hAnsi="Times New Roman"/>
          <w:sz w:val="20"/>
          <w:i/>
          <w:iCs/>
        </w:rPr>
        <w:t>,
2019-10-30,
paskelbta TAR 2019-11-11, i. k. 2019-18054                </w:t>
      </w:r>
    </w:p>
    <w:p>
      <w:pPr>
        <w:rPr>
          <w:rFonts w:ascii="Times New Roman" w:hAnsi="Times New Roman"/>
          <w:sz w:val="22"/>
        </w:rPr>
      </w:pPr>
    </w:p>
    <w:p>
      <w:pPr>
        <w:spacing w:line="276" w:lineRule="auto"/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LIETUVOS RESPUBLIKOS FINANSŲ MINISTRAS</w:t>
      </w:r>
    </w:p>
    <w:p>
      <w:pPr>
        <w:rPr>
          <w:sz w:val="18"/>
          <w:szCs w:val="18"/>
          <w:lang w:eastAsia="lt-LT"/>
        </w:rPr>
      </w:pPr>
    </w:p>
    <w:p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įsakymas</w:t>
      </w:r>
    </w:p>
    <w:p>
      <w:pPr>
        <w:tabs>
          <w:tab w:val="left" w:pos="1276"/>
        </w:tabs>
        <w:jc w:val="center"/>
        <w:textAlignment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lang w:eastAsia="lt-LT"/>
        </w:rPr>
        <w:t>DĖL TURTO ARBA VERSLO VERTINTOJŲ IR TURTO ARBA VERSLO VERTINIMO ĮMONIŲ VEIKLOS PATIKRINIMO TAISYKLIŲ PATVIRTINIMO</w:t>
      </w:r>
    </w:p>
    <w:p>
      <w:pPr>
        <w:tabs>
          <w:tab w:val="left" w:pos="1276"/>
        </w:tabs>
        <w:jc w:val="center"/>
        <w:textAlignment w:val="center"/>
        <w:rPr>
          <w:sz w:val="22"/>
          <w:szCs w:val="24"/>
          <w:lang w:eastAsia="lt-LT"/>
        </w:rPr>
      </w:pPr>
    </w:p>
    <w:p>
      <w:pPr>
        <w:tabs>
          <w:tab w:val="left" w:pos="1276"/>
        </w:tabs>
        <w:jc w:val="center"/>
        <w:textAlignment w:val="center"/>
        <w:rPr>
          <w:color w:val="000000"/>
        </w:rPr>
      </w:pPr>
      <w:r>
        <w:rPr>
          <w:color w:val="000000"/>
        </w:rPr>
        <w:t>2012 m. gruodžio 11 d. Nr. 1K-422</w:t>
      </w:r>
    </w:p>
    <w:p>
      <w:pPr>
        <w:tabs>
          <w:tab w:val="left" w:pos="1276"/>
        </w:tabs>
        <w:jc w:val="center"/>
        <w:textAlignment w:val="center"/>
        <w:rPr>
          <w:color w:val="000000"/>
        </w:rPr>
      </w:pPr>
      <w:r>
        <w:rPr>
          <w:color w:val="000000"/>
        </w:rPr>
        <w:t>Vilnius</w:t>
      </w:r>
    </w:p>
    <w:p>
      <w:pPr>
        <w:tabs>
          <w:tab w:val="left" w:pos="1276"/>
        </w:tabs>
        <w:jc w:val="center"/>
        <w:textAlignment w:val="center"/>
        <w:rPr>
          <w:color w:val="000000"/>
        </w:rPr>
      </w:pPr>
    </w:p>
    <w:p>
      <w:pPr>
        <w:tabs>
          <w:tab w:val="left" w:pos="1276"/>
        </w:tabs>
        <w:jc w:val="center"/>
        <w:textAlignment w:val="center"/>
        <w:rPr>
          <w:sz w:val="22"/>
          <w:szCs w:val="24"/>
          <w:lang w:eastAsia="lt-LT"/>
        </w:rPr>
      </w:pPr>
    </w:p>
    <w:p>
      <w:pPr>
        <w:spacing w:line="300" w:lineRule="exact"/>
        <w:ind w:firstLine="567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Vadovaudamasis Lietuvos Respublikos turto ir verslo vertinimo pagrindų įstatymo 26 straipsnio 2 dalies 2 punktu,</w:t>
      </w:r>
    </w:p>
    <w:p>
      <w:pPr>
        <w:ind w:firstLine="567"/>
        <w:jc w:val="both"/>
      </w:pPr>
      <w:r>
        <w:rPr>
          <w:color w:val="000000"/>
          <w:szCs w:val="24"/>
          <w:lang w:eastAsia="lt-LT"/>
        </w:rPr>
        <w:t xml:space="preserve">t v i r t i n u </w:t>
      </w:r>
      <w:r>
        <w:rPr>
          <w:color w:val="000000"/>
          <w:spacing w:val="-2"/>
          <w:szCs w:val="24"/>
          <w:lang w:eastAsia="lt-LT"/>
        </w:rPr>
        <w:t>Turto arba verslo vertintojų ir turto arba verslo vertinimo įmonių veiklos patikrinimo taisykles (pridedama).</w:t>
      </w:r>
      <w:r>
        <w:t xml:space="preserve"> </w:t>
      </w:r>
    </w:p>
    <w:p>
      <w:pPr>
        <w:widowControl w:val="0"/>
        <w:tabs>
          <w:tab w:val="right" w:pos="9071"/>
        </w:tabs>
      </w:pPr>
    </w:p>
    <w:p>
      <w:pPr>
        <w:widowControl w:val="0"/>
        <w:tabs>
          <w:tab w:val="right" w:pos="9071"/>
        </w:tabs>
      </w:pPr>
    </w:p>
    <w:p>
      <w:pPr>
        <w:widowControl w:val="0"/>
        <w:tabs>
          <w:tab w:val="right" w:pos="9071"/>
        </w:tabs>
      </w:pPr>
    </w:p>
    <w:p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LAIKINAI EINANTI FINANSŲ MINISTRO PAREIGAS</w:t>
        <w:tab/>
        <w:t>INGRIDA ŠIMONYTĖ</w:t>
      </w:r>
    </w:p>
    <w:p>
      <w:pPr>
        <w:widowControl w:val="0"/>
        <w:tabs>
          <w:tab w:val="right" w:pos="9071"/>
        </w:tabs>
        <w:rPr>
          <w:caps/>
          <w:color w:val="000000"/>
        </w:rPr>
      </w:pPr>
    </w:p>
    <w:p/>
    <w:p>
      <w:pPr>
        <w:widowControl w:val="0"/>
        <w:ind w:left="4536"/>
        <w:sectPr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701" w:right="567" w:bottom="1134" w:left="1701" w:header="560" w:footer="686" w:gutter="0"/>
          <w:pgNumType w:start="1"/>
          <w:cols w:space="1296"/>
          <w:formProt w:val="0"/>
          <w:titlePg/>
          <w:docGrid w:linePitch="326"/>
        </w:sectPr>
      </w:pPr>
    </w:p>
    <w:p>
      <w:pPr>
        <w:widowControl w:val="0"/>
        <w:ind w:left="4536"/>
        <w:rPr>
          <w:color w:val="000000"/>
          <w:lang w:eastAsia="lt-LT"/>
        </w:rPr>
      </w:pPr>
      <w:r>
        <w:rPr>
          <w:color w:val="000000"/>
          <w:lang w:eastAsia="lt-LT"/>
        </w:rPr>
        <w:t>PATVIRTINTA</w:t>
      </w:r>
    </w:p>
    <w:p>
      <w:pPr>
        <w:widowControl w:val="0"/>
        <w:ind w:left="4536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Lietuvos Respublikos finansų ministro </w:t>
      </w:r>
    </w:p>
    <w:p>
      <w:pPr>
        <w:widowControl w:val="0"/>
        <w:ind w:left="4536"/>
        <w:rPr>
          <w:lang w:eastAsia="lt-LT"/>
        </w:rPr>
      </w:pPr>
      <w:r>
        <w:rPr>
          <w:lang w:eastAsia="lt-LT"/>
        </w:rPr>
        <w:t xml:space="preserve">2012 m. gruodžio 11 d. įsakymu Nr. 1K-422 </w:t>
      </w:r>
    </w:p>
    <w:p>
      <w:pPr>
        <w:widowControl w:val="0"/>
        <w:ind w:left="4536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(Lietuvos Respublikos finansų ministro </w:t>
      </w:r>
    </w:p>
    <w:p>
      <w:pPr>
        <w:widowControl w:val="0"/>
        <w:ind w:left="4536"/>
        <w:rPr>
          <w:lang w:eastAsia="lt-LT"/>
        </w:rPr>
      </w:pPr>
      <w:r>
        <w:rPr>
          <w:lang w:eastAsia="lt-LT"/>
        </w:rPr>
        <w:t>2019 m. spalio 30 d. įsakymo Nr. 1K-328 redakcija)</w:t>
      </w:r>
    </w:p>
    <w:p>
      <w:pPr>
        <w:widowControl w:val="0"/>
        <w:ind w:firstLine="567"/>
        <w:jc w:val="both"/>
        <w:rPr>
          <w:color w:val="000000"/>
          <w:lang w:eastAsia="lt-LT"/>
        </w:rPr>
      </w:pPr>
    </w:p>
    <w:p>
      <w:pPr>
        <w:widowControl w:val="0"/>
        <w:jc w:val="center"/>
        <w:rPr>
          <w:b/>
          <w:bCs/>
          <w:caps/>
          <w:color w:val="000000"/>
          <w:lang w:eastAsia="lt-LT"/>
        </w:rPr>
      </w:pPr>
    </w:p>
    <w:p>
      <w:pPr>
        <w:widowControl w:val="0"/>
        <w:jc w:val="center"/>
        <w:rPr>
          <w:b/>
          <w:bCs/>
          <w:caps/>
          <w:color w:val="000000"/>
          <w:lang w:eastAsia="lt-LT"/>
        </w:rPr>
      </w:pPr>
    </w:p>
    <w:p>
      <w:pPr>
        <w:widowControl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lang w:eastAsia="lt-LT"/>
        </w:rPr>
        <w:t>TURTO ARBA VERSLO VERTINTOJŲ IR TURTO ARBA VERSLO VERTINIMO ĮMONIŲ VEIKLOS PATIKRINIMO TAISYKLĖS</w:t>
      </w:r>
    </w:p>
    <w:p>
      <w:pPr>
        <w:widowControl w:val="0"/>
        <w:jc w:val="center"/>
        <w:rPr>
          <w:b/>
          <w:bCs/>
          <w:caps/>
          <w:color w:val="000000"/>
          <w:lang w:eastAsia="lt-LT"/>
        </w:rPr>
      </w:pPr>
    </w:p>
    <w:p>
      <w:pPr>
        <w:widowControl w:val="0"/>
        <w:ind w:firstLine="567"/>
        <w:jc w:val="both"/>
        <w:rPr>
          <w:color w:val="000000"/>
          <w:lang w:eastAsia="lt-LT"/>
        </w:rPr>
      </w:pPr>
    </w:p>
    <w:p>
      <w:pPr>
        <w:widowControl w:val="0"/>
        <w:tabs>
          <w:tab w:val="left" w:pos="851"/>
        </w:tabs>
        <w:spacing w:line="360" w:lineRule="auto"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>.</w:t>
        <w:tab/>
        <w:t>Turto arba verslo vertintojų ir turto arba verslo vertinimo įmonių veiklos patikrinimo taisyklėse (toliau – Taisyklės):</w:t>
      </w:r>
    </w:p>
    <w:p>
      <w:pPr>
        <w:widowControl w:val="0"/>
        <w:tabs>
          <w:tab w:val="left" w:pos="993"/>
        </w:tabs>
        <w:spacing w:line="360" w:lineRule="auto"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1.1</w:t>
      </w:r>
      <w:r>
        <w:rPr>
          <w:color w:val="000000"/>
          <w:lang w:eastAsia="lt-LT"/>
        </w:rPr>
        <w:t>.</w:t>
        <w:tab/>
        <w:t>nustatomi priežiūros įstaigos – Audito, apskaitos, turto vertinimo ir nemokumo valdymo tarnybos prie Lietuvos Respublikos finansų ministerijos – atliekamų nepriklausomų turto arba verslo vertintojų (toliau – vertintojas) ar turto arba verslo vertinimo įmonių (toliau – vertinimo įmonė) turto arba verslo vertinimo veiklos patikrinimų tikslai;</w:t>
      </w:r>
    </w:p>
    <w:p>
      <w:pPr>
        <w:widowControl w:val="0"/>
        <w:tabs>
          <w:tab w:val="left" w:pos="993"/>
        </w:tabs>
        <w:spacing w:line="360" w:lineRule="auto"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1.2</w:t>
      </w:r>
      <w:r>
        <w:rPr>
          <w:color w:val="000000"/>
          <w:lang w:eastAsia="lt-LT"/>
        </w:rPr>
        <w:t>. reglamentuojamos vertintojų ir vertinimo įmonių veiklos patikrinimų rūšys;</w:t>
      </w:r>
    </w:p>
    <w:p>
      <w:pPr>
        <w:widowControl w:val="0"/>
        <w:tabs>
          <w:tab w:val="left" w:pos="993"/>
        </w:tabs>
        <w:spacing w:line="360" w:lineRule="auto"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1.3</w:t>
      </w:r>
      <w:r>
        <w:rPr>
          <w:color w:val="000000"/>
          <w:lang w:eastAsia="lt-LT"/>
        </w:rPr>
        <w:t>.</w:t>
        <w:tab/>
        <w:t>nustatomos priežiūros įstaigos atliekamų vertintojų ir vertinimo įmonių veiklos patikrinimų gairės.</w:t>
      </w:r>
    </w:p>
    <w:p>
      <w:pPr>
        <w:widowControl w:val="0"/>
        <w:tabs>
          <w:tab w:val="left" w:pos="851"/>
        </w:tabs>
        <w:spacing w:line="360" w:lineRule="auto"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>.</w:t>
        <w:tab/>
        <w:t>Priežiūros įstaigos atliekamų vertintojų ir vertinimo įmonių veiklos patikrinimų tikslai yra įvertinti:</w:t>
      </w:r>
    </w:p>
    <w:p>
      <w:pPr>
        <w:tabs>
          <w:tab w:val="left" w:pos="993"/>
        </w:tabs>
        <w:spacing w:line="360" w:lineRule="auto"/>
        <w:ind w:firstLine="567"/>
        <w:jc w:val="both"/>
        <w:rPr>
          <w:color w:val="000000"/>
          <w:lang w:eastAsia="lt-LT"/>
        </w:rPr>
      </w:pPr>
      <w:r>
        <w:rPr>
          <w:lang w:eastAsia="lt-LT"/>
        </w:rPr>
        <w:t>2.1</w:t>
      </w:r>
      <w:r>
        <w:rPr>
          <w:lang w:eastAsia="lt-LT"/>
        </w:rPr>
        <w:t>.</w:t>
        <w:tab/>
        <w:t xml:space="preserve">vertintojų ir vertinimo įmonių atitiktį Lietuvos Respublikos turto ir verslo vertinimo pagrindų įstatymo </w:t>
      </w:r>
      <w:r>
        <w:rPr>
          <w:color w:val="000000"/>
          <w:lang w:eastAsia="lt-LT"/>
        </w:rPr>
        <w:t>keliamiems reikalavimams;</w:t>
      </w:r>
    </w:p>
    <w:p>
      <w:pPr>
        <w:tabs>
          <w:tab w:val="left" w:pos="993"/>
        </w:tabs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>2.2</w:t>
      </w:r>
      <w:r>
        <w:rPr>
          <w:lang w:eastAsia="lt-LT"/>
        </w:rPr>
        <w:t>.</w:t>
        <w:tab/>
        <w:t xml:space="preserve">vertintojo veiklos ir </w:t>
      </w:r>
      <w:r>
        <w:rPr>
          <w:color w:val="000000"/>
          <w:lang w:eastAsia="lt-LT"/>
        </w:rPr>
        <w:t>kvalifikacijos kėlimo ataskaitose</w:t>
      </w:r>
      <w:r>
        <w:rPr>
          <w:lang w:eastAsia="lt-LT"/>
        </w:rPr>
        <w:t xml:space="preserve"> nurodytų duomenų atitiktį </w:t>
      </w:r>
      <w:r>
        <w:rPr>
          <w:color w:val="000000"/>
          <w:lang w:eastAsia="lt-LT"/>
        </w:rPr>
        <w:t xml:space="preserve">vertinimo įmonių veiklos ataskaitose nurodytiems duomenims ir (arba) šių duomenų </w:t>
      </w:r>
      <w:r>
        <w:rPr>
          <w:lang w:eastAsia="lt-LT"/>
        </w:rPr>
        <w:t>teisingumą;</w:t>
      </w:r>
    </w:p>
    <w:p>
      <w:pPr>
        <w:widowControl w:val="0"/>
        <w:tabs>
          <w:tab w:val="left" w:pos="993"/>
        </w:tabs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>2.3</w:t>
      </w:r>
      <w:r>
        <w:rPr>
          <w:lang w:eastAsia="lt-LT"/>
        </w:rPr>
        <w:t>.</w:t>
        <w:tab/>
        <w:t>vertintojo ar vertinimo įmonės turto arba verslo vertinimo ataskaitų, parengtų per paskutinius 3 metus, atitiktį Turto ir verslo vertinimo pagrindų įstatyme nustatytiems reikalavimams.</w:t>
      </w:r>
    </w:p>
    <w:p>
      <w:pPr>
        <w:tabs>
          <w:tab w:val="left" w:pos="851"/>
        </w:tabs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>.</w:t>
        <w:tab/>
        <w:t>Vertintojų ir vertinimo įmonių veiklos patikrinimai yra planiniai ir neplaniniai.</w:t>
      </w:r>
    </w:p>
    <w:p>
      <w:pPr>
        <w:tabs>
          <w:tab w:val="left" w:pos="851"/>
        </w:tabs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>4</w:t>
      </w:r>
      <w:r>
        <w:rPr>
          <w:lang w:eastAsia="lt-LT"/>
        </w:rPr>
        <w:t>.</w:t>
        <w:tab/>
        <w:t xml:space="preserve">Priežiūros įstaiga planinius vertintojų ir vertinimo įmonių veiklos patikrinimus atlieka pagal savo sudarytą ir priežiūros įstaigos interneto svetainėje paskelbtą metinį patikrinimų planą, kuriame turi būti pateiktas tikrinamų subjektų – vertintojų ir vertinimo įmonių – sąrašas ir tikrinimo data. Patikrinimų planas sudaromas vadovaujantis priežiūros įstaigos nustatytais </w:t>
      </w:r>
      <w:r>
        <w:rPr>
          <w:color w:val="FF0000"/>
          <w:lang w:eastAsia="lt-LT"/>
        </w:rPr>
        <w:t xml:space="preserve"> </w:t>
      </w:r>
      <w:r>
        <w:rPr>
          <w:lang w:eastAsia="lt-LT"/>
        </w:rPr>
        <w:t xml:space="preserve">viešai skelbiamais planuojamų tikrinti vertintojų ir vertinimo įmonių sąrašų sudarymo kriterijais. </w:t>
      </w:r>
    </w:p>
    <w:p>
      <w:pPr>
        <w:tabs>
          <w:tab w:val="left" w:pos="851"/>
        </w:tabs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>5</w:t>
      </w:r>
      <w:r>
        <w:rPr>
          <w:lang w:eastAsia="lt-LT"/>
        </w:rPr>
        <w:t>.</w:t>
        <w:tab/>
        <w:t>Priežiūros įstaiga, sudarydama vertintojų ir vertinimo įmonių veiklos patikrinimų planus, privalo laikytis nuostatos, kad per 6 metų laikotarpį atliekant planinius ir neplaninius patikrinimus būtų patikrinta visų įrašytų į Išorės vertintojų sąrašą vertintojų ir vertinimo įmonių veikla.</w:t>
      </w:r>
    </w:p>
    <w:p>
      <w:pPr>
        <w:widowControl w:val="0"/>
        <w:tabs>
          <w:tab w:val="left" w:pos="851"/>
        </w:tabs>
        <w:spacing w:line="360" w:lineRule="auto"/>
        <w:ind w:firstLine="567"/>
        <w:jc w:val="both"/>
        <w:rPr>
          <w:color w:val="000000"/>
          <w:lang w:eastAsia="lt-LT"/>
        </w:rPr>
      </w:pPr>
      <w:r>
        <w:rPr>
          <w:lang w:eastAsia="lt-LT"/>
        </w:rPr>
        <w:t>6</w:t>
      </w:r>
      <w:r>
        <w:rPr>
          <w:lang w:eastAsia="lt-LT"/>
        </w:rPr>
        <w:t>.</w:t>
        <w:tab/>
        <w:t xml:space="preserve">Priežiūros įstaiga vertintojų ir vertinimo įmonių veiklos neplaninius patikrinimus gali atlikti iš visuomenės, valdžios ar valdymo institucijų arba įstaigų </w:t>
      </w:r>
      <w:r>
        <w:rPr>
          <w:color w:val="000000"/>
          <w:lang w:eastAsia="lt-LT"/>
        </w:rPr>
        <w:t>ar kitos kompetentingos institucijos</w:t>
      </w:r>
      <w:r>
        <w:rPr>
          <w:lang w:eastAsia="lt-LT"/>
        </w:rPr>
        <w:t xml:space="preserve"> gavusi informacijos dėl galimų </w:t>
      </w:r>
      <w:r>
        <w:rPr>
          <w:color w:val="000000"/>
          <w:lang w:eastAsia="lt-LT"/>
        </w:rPr>
        <w:t xml:space="preserve">vertintojo </w:t>
      </w:r>
      <w:r>
        <w:rPr>
          <w:lang w:eastAsia="lt-LT"/>
        </w:rPr>
        <w:t>ir vertinimo įmonių</w:t>
      </w:r>
      <w:r>
        <w:rPr>
          <w:color w:val="000000"/>
          <w:lang w:eastAsia="lt-LT"/>
        </w:rPr>
        <w:t xml:space="preserve"> veiklos trūkumų, </w:t>
      </w:r>
      <w:r>
        <w:rPr>
          <w:lang w:eastAsia="lt-LT"/>
        </w:rPr>
        <w:t>vertintojų ir vertinimo įmonių ir jų parengtų vertinimo ataskaitų atitikties Turto ir verslo vertinimo pagrindų įstatymo</w:t>
      </w:r>
      <w:r>
        <w:rPr>
          <w:color w:val="000000"/>
          <w:lang w:eastAsia="lt-LT"/>
        </w:rPr>
        <w:t xml:space="preserve"> reikalavimams ar kilus kitų pagrįstų įtarimų dėl vertintojo ar vertinimo įmonės veiklos trūkumų, veiksmų ar neveikimo. Laikantis Taisyklių 5 punkto nuostatos </w:t>
      </w:r>
      <w:r>
        <w:rPr>
          <w:lang w:eastAsia="lt-LT"/>
        </w:rPr>
        <w:t>paklausimų dėl vertintojo ar vertinimo įmonės turto arba verslo vertinimo ataskaitų atitikties Turto ir verslo vertinimo pagrindų įstatymo 22 straipsnyje nustatytiems reikalavimams nagrinėjimas taip pat laikomas neplaniniu veiklos patikrinimu.</w:t>
      </w:r>
    </w:p>
    <w:p>
      <w:pPr>
        <w:tabs>
          <w:tab w:val="left" w:pos="851"/>
        </w:tabs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>7</w:t>
      </w:r>
      <w:r>
        <w:rPr>
          <w:lang w:eastAsia="lt-LT"/>
        </w:rPr>
        <w:t xml:space="preserve">. Apie neplaninius patikrinimus tikrinamas subjektas informuojamas pateikiant jam priežiūros įstaigos vadovo sprendimo atlikti neplaninį patikrinimą kopiją. </w:t>
      </w:r>
    </w:p>
    <w:p>
      <w:pPr>
        <w:widowControl w:val="0"/>
        <w:tabs>
          <w:tab w:val="left" w:pos="851"/>
        </w:tabs>
        <w:spacing w:line="360" w:lineRule="auto"/>
        <w:ind w:firstLine="567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</w:t>
        <w:tab/>
      </w:r>
      <w:r>
        <w:rPr>
          <w:color w:val="000000"/>
          <w:lang w:eastAsia="lt-LT"/>
        </w:rPr>
        <w:t>Priežiūros įstaiga vertintojų ar vertinimo įmonių planinių ar neplaninių patikrinimų metu teikia jiems metodinę pagalbą dėl atliekant patikrinimus nustatytų teisės aktų, reglamentuojančių vertintojų ir vertinimo įmonių veiklą, reikalavimų neatitikimų šalinimo.</w:t>
      </w:r>
    </w:p>
    <w:p>
      <w:pPr>
        <w:widowControl w:val="0"/>
        <w:tabs>
          <w:tab w:val="left" w:pos="993"/>
        </w:tabs>
        <w:spacing w:line="360" w:lineRule="auto"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9</w:t>
      </w:r>
      <w:r>
        <w:rPr>
          <w:color w:val="000000"/>
          <w:lang w:eastAsia="lt-LT"/>
        </w:rPr>
        <w:t>.</w:t>
        <w:tab/>
        <w:t>Priežiūros įstaiga planinius ir neplaninius vertintojų ir vertinimo įmonių veiklos patikrinimus atlieka nusistatyta tvarka, suderinta su Lietuvos Respublikos finansų ministerija.</w:t>
      </w:r>
    </w:p>
    <w:p>
      <w:pPr>
        <w:widowControl w:val="0"/>
        <w:tabs>
          <w:tab w:val="left" w:pos="993"/>
        </w:tabs>
        <w:spacing w:line="360" w:lineRule="auto"/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10</w:t>
      </w:r>
      <w:r>
        <w:rPr>
          <w:color w:val="000000"/>
          <w:lang w:eastAsia="lt-LT"/>
        </w:rPr>
        <w:t>.</w:t>
        <w:tab/>
        <w:t>Priežiūros įstaiga, pasibaigus kalendoriniams metams, iki gegužės 1 dienos Finansų ministerijai pateikia informaciją apie planinių ir neplaninių patikrinimų rezultatus ir pasiūlymus dėl prevencinių priemonių dažniausiai pasitaikantiems teisės aktų, reglamentuojančių vertintojų ir vertinimo įmonių veiklą, reikalavimų neatitikimams šalinti.</w:t>
      </w:r>
    </w:p>
    <w:p>
      <w:pPr>
        <w:widowControl w:val="0"/>
        <w:tabs>
          <w:tab w:val="left" w:pos="993"/>
        </w:tabs>
        <w:ind w:firstLine="629"/>
        <w:jc w:val="center"/>
        <w:rPr>
          <w:lang w:eastAsia="lt-LT"/>
        </w:rPr>
      </w:pPr>
      <w:r>
        <w:rPr>
          <w:color w:val="000000"/>
          <w:lang w:eastAsia="lt-LT"/>
        </w:rPr>
        <w:t>_____________</w:t>
      </w:r>
    </w:p>
    <w:p>
      <w:pPr>
        <w:jc w:val="center"/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finansų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69cc5050dc0d11e39a43a3f57c05722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1K-146</w:t>
        </w:r>
      </w:fldSimple>
      <w:r>
        <w:rPr>
          <w:rFonts w:ascii="Times New Roman" w:eastAsia="MS Mincho" w:hAnsi="Times New Roman"/>
          <w:sz w:val="20"/>
          <w:iCs/>
        </w:rPr>
        <w:t>,
2014-05-14,
paskelbta TAR 2014-05-21, i. k. 2014-05605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finansų ministro 2012 m. gruodžio 11 d. įsakymo Nr. 1K-422 „Dėl Turto arba verslo vertintojų ir turto arba verslo vertinimo įmonių veiklos patikrinimo taisyklių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finansų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f52809b00e4d11e4adf3c8c5d7681e7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1K-221</w:t>
        </w:r>
      </w:fldSimple>
      <w:r>
        <w:rPr>
          <w:rFonts w:ascii="Times New Roman" w:eastAsia="MS Mincho" w:hAnsi="Times New Roman"/>
          <w:sz w:val="20"/>
          <w:iCs/>
        </w:rPr>
        <w:t>,
2014-07-17,
paskelbta TAR 2014-07-18, i. k. 2014-10358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finansų ministro 2012 m. gruodžio 11 d. įsakymo Nr. 1K-422 „Dėl Turto arba verslo vertintojų ir turto arba verslo vertinimo įmonių veiklos patikrinimo taisyklių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finansų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c8f8d4d09a8411e69ad4c8713b612d0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1K-378</w:t>
        </w:r>
      </w:fldSimple>
      <w:r>
        <w:rPr>
          <w:rFonts w:ascii="Times New Roman" w:eastAsia="MS Mincho" w:hAnsi="Times New Roman"/>
          <w:sz w:val="20"/>
          <w:iCs/>
        </w:rPr>
        <w:t>,
2016-10-24,
paskelbta TAR 2016-10-26, i. k. 2016-25683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finansų ministro 2012 m. gruodžio 11 d. įsakymo Nr. 1K-422 „Dėl Turto arba verslo vertintojų ir turto arba verslo vertinimo įmonių veiklos patikrinimo taisyklių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finansų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387a5af0205211e88e8fef3b3f51dc2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1K-106</w:t>
        </w:r>
      </w:fldSimple>
      <w:r>
        <w:rPr>
          <w:rFonts w:ascii="Times New Roman" w:eastAsia="MS Mincho" w:hAnsi="Times New Roman"/>
          <w:sz w:val="20"/>
          <w:iCs/>
        </w:rPr>
        <w:t>,
2018-03-01,
paskelbta TAR 2018-03-06, i. k. 2018-03562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finansų ministro 2012 m. gruodžio 11 d. įsakymo Nr. 1K-422 „Dėl Turto arba verslo vertintojų ir turto arba verslo vertinimo įmonių veiklos patikrinimo taisyklių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finansų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10cf8830ff9f11e99681cd81dcdca5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1K-328</w:t>
        </w:r>
      </w:fldSimple>
      <w:r>
        <w:rPr>
          <w:rFonts w:ascii="Times New Roman" w:eastAsia="MS Mincho" w:hAnsi="Times New Roman"/>
          <w:sz w:val="20"/>
          <w:iCs/>
        </w:rPr>
        <w:t>,
2019-10-30,
paskelbta TAR 2019-11-11, i. k. 2019-18054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finansų ministro 2012 m. gruodžio 11 d. įsakymo Nr. 1K-422 „Dėl Turto arba verslo vertintojų ir turto arba verslo vertinimo įmonių veiklos patikrinimo taisyklių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7" w:h="16840" w:code="9"/>
      <w:pgMar w:top="1134" w:right="1134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1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ind w:right="227"/>
      <w:jc w:val="right"/>
      <w:rPr>
        <w:lang w:eastAsia="lt-LT"/>
      </w:rPr>
    </w:pPr>
  </w:p>
</w:ftr>
</file>

<file path=word/footer1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rPr>
        <w:lang w:eastAsia="lt-LT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rPr>
        <w:lang w:eastAsia="lt-LT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</w:p>
  <w:p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5</w:t>
    </w:r>
    <w: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5</w:t>
    </w:r>
    <w: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49474E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ontrol" Target="activeX/activeX1.xml"/>
  <Relationship Id="rId10" Type="http://schemas.openxmlformats.org/officeDocument/2006/relationships/header" Target="header3.xml"/>
  <Relationship Id="rId11" Type="http://schemas.openxmlformats.org/officeDocument/2006/relationships/image" Target="media/image1.wmf"/>
  <Relationship Id="rId12" Type="http://schemas.openxmlformats.org/officeDocument/2006/relationships/settings" Target="settings.xml"/>
  <Relationship Id="rId13" Type="http://schemas.openxmlformats.org/officeDocument/2006/relationships/styles" Target="styles.xml"/>
  <Relationship Id="rId14" Type="http://schemas.microsoft.com/office/2007/relationships/stylesWithEffects" Target="stylesWithEffects.xml"/>
  <Relationship Id="rId15" Type="http://schemas.openxmlformats.org/officeDocument/2006/relationships/theme" Target="theme/theme1.xml"/>
  <Relationship Id="rId16" Type="http://schemas.openxmlformats.org/officeDocument/2006/relationships/webSettings" Target="webSettings.xml"/>
  <Relationship Id="rId17" Type="http://schemas.openxmlformats.org/officeDocument/2006/relationships/header" Target="header10.xml"/>
  <Relationship Id="rId18" Type="http://schemas.openxmlformats.org/officeDocument/2006/relationships/header" Target="header11.xml"/>
  <Relationship Id="rId19" Type="http://schemas.openxmlformats.org/officeDocument/2006/relationships/footer" Target="footer10.xml"/>
  <Relationship Id="rId2" Type="http://schemas.openxmlformats.org/officeDocument/2006/relationships/endnotes" Target="endnotes.xml"/>
  <Relationship Id="rId20" Type="http://schemas.openxmlformats.org/officeDocument/2006/relationships/footer" Target="footer11.xml"/>
  <Relationship Id="rId21" Type="http://schemas.openxmlformats.org/officeDocument/2006/relationships/header" Target="header12.xml"/>
  <Relationship Id="rId22" Type="http://schemas.openxmlformats.org/officeDocument/2006/relationships/footer" Target="footer12.xml"/>
  <Relationship Id="rId3" Type="http://schemas.openxmlformats.org/officeDocument/2006/relationships/fontTable" Target="fontTable.xml"/>
  <Relationship Id="rId4" Type="http://schemas.openxmlformats.org/officeDocument/2006/relationships/footer" Target="footer1.xml"/>
  <Relationship Id="rId5" Type="http://schemas.openxmlformats.org/officeDocument/2006/relationships/footer" Target="footer2.xml"/>
  <Relationship Id="rId6" Type="http://schemas.openxmlformats.org/officeDocument/2006/relationships/footer" Target="footer3.xml"/>
  <Relationship Id="rId7" Type="http://schemas.openxmlformats.org/officeDocument/2006/relationships/footnotes" Target="foot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25</TotalTime>
  <Pages>9</Pages>
  <Words>12396</Words>
  <Characters>7066</Characters>
  <Application>Microsoft Office Word</Application>
  <DocSecurity>0</DocSecurity>
  <Lines>58</Lines>
  <Paragraphs>38</Paragraphs>
  <ScaleCrop>false</ScaleCrop>
  <Company/>
  <LinksUpToDate>false</LinksUpToDate>
  <CharactersWithSpaces>19424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2015-05-12T11:05:00Z</dcterms:created>
  <dc:creator>Rima</dc:creator>
  <lastModifiedBy>ŠAULYTĖ SKAIRIENĖ Dalia</lastModifiedBy>
  <dcterms:modified xsi:type="dcterms:W3CDTF">2019-11-13T13:04:00Z</dcterms:modified>
  <revision>13</revision>
  <dc:title>LIETUVOS RESPUBLIKOS FINANSŲ MINISTRO</dc:title>
</coreProperties>
</file>