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2011-04-03 iki 2013-04-30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2006, Nr. </w:t>
      </w:r>
      <w:fldSimple w:instr="HYPERLINK https://www.e-tar.lt/portal/legalAct.html?documentId=TAR.4D0DFCDD673A">
        <w:r w:rsidRPr="00532B9F">
          <w:rPr>
            <w:rFonts w:ascii="Times New Roman" w:eastAsia="MS Mincho" w:hAnsi="Times New Roman"/>
            <w:sz w:val="20"/>
            <w:i/>
            <w:iCs/>
            <w:color w:val="0000FF" w:themeColor="hyperlink"/>
            <w:u w:val="single"/>
          </w:rPr>
          <w:t>59-2103</w:t>
        </w:r>
      </w:fldSimple>
      <w:r>
        <w:rPr>
          <w:rFonts w:ascii="Times New Roman" w:eastAsia="MS Mincho" w:hAnsi="Times New Roman"/>
          <w:sz w:val="20"/>
          <w:i/>
          <w:iCs/>
        </w:rPr>
        <w:t>, i. k. 106301MISAK00D1-236</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w14:anchorId="07E4F12F">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rPr>
        <w:t>LIETUVOS RESPUBLIKOS APLINKOS MINISTRAS</w:t>
      </w:r>
    </w:p>
    <w:p>
      <w:pPr>
        <w:jc w:val="center"/>
      </w:pPr>
    </w:p>
    <w:p>
      <w:pPr>
        <w:jc w:val="center"/>
        <w:rPr>
          <w:b/>
        </w:rPr>
      </w:pPr>
      <w:r>
        <w:rPr>
          <w:b/>
        </w:rPr>
        <w:t>Į S A K Y M A S</w:t>
      </w:r>
    </w:p>
    <w:p>
      <w:pPr>
        <w:jc w:val="center"/>
        <w:rPr>
          <w:b/>
        </w:rPr>
      </w:pPr>
      <w:r>
        <w:rPr>
          <w:b/>
        </w:rPr>
        <w:t>DĖL NUOTEKŲ TVARKYMO REGLAMENTO PATVIRTINIMO</w:t>
      </w:r>
    </w:p>
    <w:p>
      <w:pPr>
        <w:jc w:val="center"/>
      </w:pPr>
    </w:p>
    <w:p>
      <w:pPr>
        <w:jc w:val="center"/>
      </w:pPr>
      <w:r>
        <w:t>2006 m. gegužės 17 d. Nr. D1-236</w:t>
      </w:r>
    </w:p>
    <w:p>
      <w:pPr>
        <w:jc w:val="center"/>
      </w:pPr>
      <w:r>
        <w:t>Vilnius</w:t>
      </w:r>
    </w:p>
    <w:p>
      <w:pPr>
        <w:jc w:val="center"/>
      </w:pPr>
    </w:p>
    <w:p>
      <w:pPr>
        <w:widowControl w:val="0"/>
        <w:shd w:val="clear" w:color="auto" w:fill="FFFFFF"/>
        <w:ind w:firstLine="709"/>
        <w:jc w:val="both"/>
      </w:pPr>
      <w:r>
        <w:t xml:space="preserve">Vadovaudamasis Lietuvos Respublikos aplinkos apsaugos įstatymo (Žin., 1992, Nr. </w:t>
      </w:r>
      <w:hyperlink r:id="rId17" w:tgtFrame="_blank" w:history="1">
        <w:r>
          <w:rPr>
            <w:color w:val="0000FF" w:themeColor="hyperlink"/>
            <w:u w:val="single"/>
          </w:rPr>
          <w:t>5-75</w:t>
        </w:r>
      </w:hyperlink>
      <w:r>
        <w:t xml:space="preserve">; 1996, Nr. </w:t>
      </w:r>
      <w:hyperlink r:id="rId18" w:tgtFrame="_blank" w:history="1">
        <w:r>
          <w:rPr>
            <w:color w:val="0000FF" w:themeColor="hyperlink"/>
            <w:u w:val="single"/>
          </w:rPr>
          <w:t>57-1335</w:t>
        </w:r>
      </w:hyperlink>
      <w:r>
        <w:t xml:space="preserve">; 2002, Nr. </w:t>
      </w:r>
      <w:hyperlink r:id="rId19" w:tgtFrame="_blank" w:history="1">
        <w:r>
          <w:rPr>
            <w:color w:val="0000FF" w:themeColor="hyperlink"/>
            <w:u w:val="single"/>
          </w:rPr>
          <w:t>2-49</w:t>
        </w:r>
      </w:hyperlink>
      <w:r>
        <w:t xml:space="preserve">; 2003, Nr. </w:t>
      </w:r>
      <w:hyperlink r:id="rId20" w:tgtFrame="_blank" w:history="1">
        <w:r>
          <w:rPr>
            <w:color w:val="0000FF" w:themeColor="hyperlink"/>
            <w:u w:val="single"/>
          </w:rPr>
          <w:t>61-2763</w:t>
        </w:r>
      </w:hyperlink>
      <w:r>
        <w:t xml:space="preserve">; 2004, Nr. </w:t>
      </w:r>
      <w:hyperlink r:id="rId21" w:tgtFrame="_blank" w:history="1">
        <w:r>
          <w:rPr>
            <w:color w:val="0000FF" w:themeColor="hyperlink"/>
            <w:u w:val="single"/>
          </w:rPr>
          <w:t>60-2121</w:t>
        </w:r>
      </w:hyperlink>
      <w:r>
        <w:t xml:space="preserve">; 2005, Nr. </w:t>
      </w:r>
      <w:hyperlink r:id="rId22" w:tgtFrame="_blank" w:history="1">
        <w:r>
          <w:rPr>
            <w:color w:val="0000FF" w:themeColor="hyperlink"/>
            <w:u w:val="single"/>
          </w:rPr>
          <w:t>47-1558</w:t>
        </w:r>
      </w:hyperlink>
      <w:r>
        <w:t xml:space="preserve">) 6 straipsnio 5 dalies 4 ir 8 punktais ir Lietuvos Respublikos vandens įstatymo (Žin., 1997, Nr. </w:t>
      </w:r>
      <w:hyperlink r:id="rId23" w:tgtFrame="_blank" w:history="1">
        <w:r>
          <w:rPr>
            <w:color w:val="0000FF" w:themeColor="hyperlink"/>
            <w:u w:val="single"/>
          </w:rPr>
          <w:t>104-2615</w:t>
        </w:r>
      </w:hyperlink>
      <w:r>
        <w:t>; 2003, Nr. 36-1544) 16 straipsniu:</w:t>
      </w:r>
    </w:p>
    <w:p>
      <w:pPr>
        <w:widowControl w:val="0"/>
        <w:shd w:val="clear" w:color="auto" w:fill="FFFFFF"/>
        <w:ind w:firstLine="709"/>
        <w:jc w:val="both"/>
      </w:pPr>
      <w:r>
        <w:t>1</w:t>
      </w:r>
      <w:r>
        <w:t xml:space="preserve">. </w:t>
      </w:r>
      <w:r>
        <w:rPr>
          <w:spacing w:val="60"/>
        </w:rPr>
        <w:t>Tvirtinu</w:t>
      </w:r>
      <w:r>
        <w:t xml:space="preserve"> Nuotekų tvarkymo reglamentą (pridedama).</w:t>
      </w:r>
    </w:p>
    <w:p>
      <w:pPr>
        <w:widowControl w:val="0"/>
        <w:shd w:val="clear" w:color="auto" w:fill="FFFFFF"/>
        <w:ind w:firstLine="709"/>
        <w:jc w:val="both"/>
      </w:pPr>
      <w:r>
        <w:t>2</w:t>
      </w:r>
      <w:r>
        <w:t>. Laikau netekusiais galios:</w:t>
      </w:r>
    </w:p>
    <w:p>
      <w:pPr>
        <w:widowControl w:val="0"/>
        <w:shd w:val="clear" w:color="auto" w:fill="FFFFFF"/>
        <w:ind w:firstLine="709"/>
        <w:jc w:val="both"/>
      </w:pPr>
      <w:r>
        <w:t>2.1</w:t>
      </w:r>
      <w:r>
        <w:t xml:space="preserve">. Lietuvos Respublikos aplinkos ministro 2001 m. spalio 5 d. įsakymą Nr. 495 „Dėl aplinkosaugos reikalavimų nuotekoms tvarkyti patvirtinimo“ (Žin., 2001, Nr. </w:t>
      </w:r>
      <w:hyperlink r:id="rId24" w:tgtFrame="_blank" w:history="1">
        <w:r>
          <w:rPr>
            <w:color w:val="0000FF" w:themeColor="hyperlink"/>
            <w:u w:val="single"/>
          </w:rPr>
          <w:t>87-3054</w:t>
        </w:r>
      </w:hyperlink>
      <w:r>
        <w:t>);</w:t>
      </w:r>
    </w:p>
    <w:p>
      <w:pPr>
        <w:widowControl w:val="0"/>
        <w:shd w:val="clear" w:color="auto" w:fill="FFFFFF"/>
        <w:ind w:firstLine="709"/>
        <w:jc w:val="both"/>
      </w:pPr>
      <w:r>
        <w:t>2.2</w:t>
      </w:r>
      <w:r>
        <w:t xml:space="preserve">. Lietuvos Respublikos aplinkos ministro 2001 m. gruodžio 21 d. įsakymą Nr. 624 „Dėl vandenų taršos pavojingomis medžiagomis mažinimo taisyklių patvirtinimo“ (Žin., 2002, Nr. </w:t>
      </w:r>
      <w:hyperlink r:id="rId25" w:tgtFrame="_blank" w:history="1">
        <w:r>
          <w:rPr>
            <w:color w:val="0000FF" w:themeColor="hyperlink"/>
            <w:u w:val="single"/>
          </w:rPr>
          <w:t>14-523</w:t>
        </w:r>
      </w:hyperlink>
      <w:r>
        <w:t>);</w:t>
      </w:r>
    </w:p>
    <w:p>
      <w:pPr>
        <w:widowControl w:val="0"/>
        <w:shd w:val="clear" w:color="auto" w:fill="FFFFFF"/>
        <w:ind w:firstLine="709"/>
        <w:jc w:val="both"/>
      </w:pPr>
      <w:r>
        <w:t>2.3</w:t>
      </w:r>
      <w:r>
        <w:t xml:space="preserve">. Lietuvos Respublikos aplinkos ministro 2002 m. gegužės 22 d. įsakymo Nr. 267 „Dėl kai kurių aplinkos ministro įsakymų, reglamentuojančių nuotekų tvarkymą, dalinio pakeitimo“ (Žin., 2002, Nr. </w:t>
      </w:r>
      <w:hyperlink r:id="rId26" w:tgtFrame="_blank" w:history="1">
        <w:r>
          <w:rPr>
            <w:color w:val="0000FF" w:themeColor="hyperlink"/>
            <w:u w:val="single"/>
          </w:rPr>
          <w:t>62-2533</w:t>
        </w:r>
      </w:hyperlink>
      <w:r>
        <w:t>) 2, 4 ir 5 punktus.</w:t>
      </w:r>
    </w:p>
    <w:p>
      <w:pPr>
        <w:tabs>
          <w:tab w:val="right" w:pos="9639"/>
        </w:tabs>
      </w:pPr>
    </w:p>
    <w:p>
      <w:pPr>
        <w:tabs>
          <w:tab w:val="right" w:pos="9639"/>
        </w:tabs>
      </w:pPr>
    </w:p>
    <w:p>
      <w:pPr>
        <w:tabs>
          <w:tab w:val="right" w:pos="9639"/>
        </w:tabs>
      </w:pPr>
      <w:r>
        <w:rPr>
          <w:caps/>
        </w:rPr>
        <w:t>APLINKOS MINISTRAS</w:t>
        <w:tab/>
        <w:t>ARŪNAS KUNDROTAS</w:t>
      </w:r>
    </w:p>
    <w:p>
      <w:pPr>
        <w:widowControl w:val="0"/>
        <w:ind w:left="5102"/>
      </w:pPr>
      <w:r>
        <w:br w:type="page"/>
        <w:t>PATVIRTINTA</w:t>
      </w:r>
    </w:p>
    <w:p>
      <w:pPr>
        <w:widowControl w:val="0"/>
        <w:ind w:firstLine="5102"/>
      </w:pPr>
      <w:r>
        <w:t>Lietuvos Respublikos aplinkos ministro</w:t>
      </w:r>
    </w:p>
    <w:p>
      <w:pPr>
        <w:widowControl w:val="0"/>
        <w:ind w:firstLine="5102"/>
      </w:pPr>
      <w:r>
        <w:t>2006 m. gegužės 17 d. įsakymu</w:t>
      </w:r>
    </w:p>
    <w:p>
      <w:pPr>
        <w:widowControl w:val="0"/>
        <w:ind w:firstLine="5102"/>
      </w:pPr>
      <w:r>
        <w:t>Nr. D1-236 (Lietuvos Respublikos</w:t>
      </w:r>
    </w:p>
    <w:p>
      <w:pPr>
        <w:widowControl w:val="0"/>
        <w:ind w:firstLine="5102"/>
      </w:pPr>
      <w:r>
        <w:t>aplinkos ministro 2007 m. spalio 8 d.</w:t>
      </w:r>
    </w:p>
    <w:p>
      <w:pPr>
        <w:widowControl w:val="0"/>
        <w:ind w:firstLine="5102"/>
      </w:pPr>
      <w:r>
        <w:t>įsakymo Nr. D1-515 redakcija)</w:t>
      </w:r>
    </w:p>
    <w:p>
      <w:pPr>
        <w:ind w:firstLine="709"/>
      </w:pPr>
    </w:p>
    <w:p>
      <w:pPr>
        <w:widowControl w:val="0"/>
        <w:jc w:val="center"/>
        <w:rPr>
          <w:b/>
        </w:rPr>
      </w:pPr>
      <w:r>
        <w:rPr>
          <w:b/>
        </w:rPr>
        <w:t>NUOTEKŲ TVARKYMO REGLAMENTAS</w:t>
      </w:r>
    </w:p>
    <w:p>
      <w:pPr>
        <w:widowControl w:val="0"/>
        <w:jc w:val="center"/>
      </w:pPr>
    </w:p>
    <w:p>
      <w:pPr>
        <w:widowControl w:val="0"/>
        <w:jc w:val="center"/>
        <w:rPr>
          <w:b/>
        </w:rPr>
      </w:pPr>
      <w:r>
        <w:rPr>
          <w:b/>
        </w:rPr>
        <w:t>I</w:t>
      </w:r>
      <w:r>
        <w:rPr>
          <w:b/>
        </w:rPr>
        <w:t xml:space="preserve">. </w:t>
      </w:r>
      <w:r>
        <w:rPr>
          <w:b/>
        </w:rPr>
        <w:t>BENDROSIOS NUOSTATOS</w:t>
      </w:r>
    </w:p>
    <w:p>
      <w:pPr>
        <w:ind w:firstLine="709"/>
      </w:pPr>
    </w:p>
    <w:p>
      <w:pPr>
        <w:widowControl w:val="0"/>
        <w:ind w:firstLine="709"/>
        <w:jc w:val="both"/>
      </w:pPr>
      <w:r>
        <w:t>1</w:t>
      </w:r>
      <w:r>
        <w:t>. Nuotekų tvarkymo reglamentas (toliau – Reglamentas) nustato pagrindinius aplinkosaugos reikalavimus nuotekų surinkimui, valymui ir išleidimui siekiant apsaugoti aplinką nuo taršos.</w:t>
      </w:r>
    </w:p>
    <w:p>
      <w:pPr>
        <w:widowControl w:val="0"/>
        <w:suppressAutoHyphens/>
        <w:ind w:firstLine="709"/>
        <w:jc w:val="both"/>
      </w:pPr>
      <w:r>
        <w:rPr>
          <w:color w:val="000000"/>
        </w:rPr>
        <w:t>1</w:t>
      </w:r>
      <w:r>
        <w:rPr>
          <w:color w:val="000000"/>
          <w:vertAlign w:val="superscript"/>
        </w:rPr>
        <w:t>1</w:t>
      </w:r>
      <w:r>
        <w:rPr>
          <w:color w:val="000000"/>
        </w:rPr>
        <w:t>. Siekiant geros paviršinio vandens cheminės būklės šiuo Reglamentu nustatomi aplinkos kokybės standartai prioritetinėms medžiagoms ir tam tikriems kitiems teršalams, nurodytiems šio Reglamento 1 priede ir 2 priedo A dalyje.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10FB677ADD">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2010-05-18,
Žin., 2010, Nr.
59-2938 (2010-05-22), i. k. 110301MISAK00D1-416        </w:t>
      </w:r>
    </w:p>
    <w:p/>
    <w:p>
      <w:pPr>
        <w:widowControl w:val="0"/>
        <w:ind w:firstLine="709"/>
        <w:jc w:val="both"/>
      </w:pPr>
      <w:r>
        <w:t>2</w:t>
      </w:r>
      <w:r>
        <w:t>. Šio Reglamento nuostatos taikomos visiems fiziniams ir juridiniams asmenims, planuojantiems išleisti arba išleidžiantiems nuotekas į gamtinę aplinką arba į kitiems asmenims priklausančias nuotekų tvarkymo sistemas, taip pat institucijoms, išduodančioms sąlygas objektų, susijusių su nuotekų išleidimu, projektavimui, išduodančioms leidimus nuotekų išleidimui, vertinančioms planuojamų išleisti arba išleidžiamų nuotekų poveikį aplinkai ir kitaip reguliuojančioms nuotekų išleidimą.</w:t>
      </w:r>
    </w:p>
    <w:p>
      <w:pPr>
        <w:widowControl w:val="0"/>
        <w:ind w:firstLine="709"/>
        <w:jc w:val="both"/>
      </w:pPr>
      <w:r>
        <w:t>3</w:t>
      </w:r>
      <w:r>
        <w:t>. Šis Reglamentas netaikomas atskirai renkamoms ir tvarkomoms paviršinėms nuotekoms, jeigu kitais teisės aktais nenustatyta kitaip.</w:t>
      </w:r>
    </w:p>
    <w:p>
      <w:pPr>
        <w:widowControl w:val="0"/>
        <w:ind w:firstLine="709"/>
        <w:jc w:val="both"/>
      </w:pPr>
      <w:r>
        <w:t>4</w:t>
      </w:r>
      <w:r>
        <w:t>. Reglamento nuostatos atitinka reikalavimus, nustatytus šiuose Europos Sąjungos teisės aktuose:</w:t>
      </w:r>
    </w:p>
    <w:p>
      <w:pPr>
        <w:widowControl w:val="0"/>
        <w:ind w:firstLine="709"/>
        <w:jc w:val="both"/>
      </w:pPr>
      <w:r>
        <w:t>4.1</w:t>
      </w:r>
      <w:r>
        <w:t>. 1991 m. gegužės 21 d. Tarybos direktyvoje 91/271/EEB dėl miesto nuotekų valymo (su paskutiniais pakeitimais ir papildymais, padarytais 1998 m. vasario 27 d. Komisijos direktyvoje Nr. 98/15/EB, iš dalies pakeičiančioje Tarybos direktyvą 91/271/EEB, dėl jos I priede nustatytų tam tikrų reikalavimų);</w:t>
      </w:r>
    </w:p>
    <w:p>
      <w:pPr>
        <w:widowControl w:val="0"/>
        <w:ind w:firstLine="709"/>
        <w:jc w:val="both"/>
      </w:pPr>
      <w:r>
        <w:t>4.2</w:t>
      </w:r>
      <w:r>
        <w:t xml:space="preserve">. </w:t>
      </w:r>
      <w:r>
        <w:rPr>
          <w:color w:val="000000"/>
        </w:rPr>
        <w:t>2006 m. vasario 15 d. Tarybos direktyvoje 2006/11/EB</w:t>
      </w:r>
      <w:r>
        <w:t xml:space="preserve"> dėl tam tikrų į Bendrijos vandenis išleidžiamų pavojingų medžiagų sukeltos taršos </w:t>
      </w:r>
      <w:r>
        <w:rPr>
          <w:color w:val="000000"/>
        </w:rPr>
        <w:t>(kodifikuota redakcija)</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ind w:firstLine="709"/>
        <w:jc w:val="both"/>
      </w:pPr>
      <w:r>
        <w:t>4.3</w:t>
      </w:r>
      <w:r>
        <w:t xml:space="preserve">. 1986 m. birželio 12 d. Tarybos direktyvoje 86/280/EEB dėl tam tikrų pavojingų medžiagų, įtrauktų į Direktyvos </w:t>
      </w:r>
      <w:r>
        <w:rPr>
          <w:color w:val="000000"/>
        </w:rPr>
        <w:t>2006/11/EB</w:t>
      </w:r>
      <w:r>
        <w:t xml:space="preserve"> priedo I sąrašą išleidimo ribinių verčių ir kokybės siektinų normų (su paskutiniais pakeitimais ir papildymais, padarytais 1988 m. liepos 16 d. Tarybos direktyvoje Nr. 88/347/EEB, iš dalies pakeičiančioje Direktyvos 86/280/EEB dėl tam tikrų pavojingų medžiagų, įtrauktų į Direktyvos </w:t>
      </w:r>
      <w:r>
        <w:rPr>
          <w:color w:val="000000"/>
        </w:rPr>
        <w:t>2006/11/EB</w:t>
      </w:r>
      <w:r>
        <w:t xml:space="preserve"> priedo I sąrašą išleidimo ribinių verčių ir kokybės normų, II priedą ir 1990 m. liepos 27 d. Tarybos direktyvoje Nr. 90/415/EEB, iš dalies pakeičiančioje Direktyvos 86/280/EEB dėl tam tikrų pavojingų medžiagų, įtrauktų į Direktyvos </w:t>
      </w:r>
      <w:r>
        <w:rPr>
          <w:color w:val="000000"/>
        </w:rPr>
        <w:t>2006/11/EB</w:t>
      </w:r>
      <w:r>
        <w:t xml:space="preserve"> priedo I sąrašą, išleidimo ribinių verčių ir siektinų kokybės normų, II priedą);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ind w:firstLine="709"/>
        <w:jc w:val="both"/>
      </w:pPr>
      <w:r>
        <w:t>4.4</w:t>
      </w:r>
      <w:r>
        <w:t>. 1983 m. rugsėjo 26 d. Tarybos direktyvoje 83/513/EEB dėl kadmio išleidimo ribinių verčių ir kokybės siektinų normų;</w:t>
      </w:r>
    </w:p>
    <w:p>
      <w:pPr>
        <w:widowControl w:val="0"/>
        <w:ind w:firstLine="709"/>
        <w:jc w:val="both"/>
      </w:pPr>
      <w:r>
        <w:t>4.5</w:t>
      </w:r>
      <w:r>
        <w:t>. 1982 m. kovo 22 d. Tarybos direktyvoje 82/176/EEB dėl gyvsidabrio išleidimo iš chloro šarminės elektrolizės pramonės ribinių verčių ir kokybės siektinų normų;</w:t>
      </w:r>
    </w:p>
    <w:p>
      <w:pPr>
        <w:widowControl w:val="0"/>
        <w:ind w:firstLine="709"/>
        <w:jc w:val="both"/>
      </w:pPr>
      <w:r>
        <w:t>4.6</w:t>
      </w:r>
      <w:r>
        <w:t>. 1984 m. kovo 8 d. Tarybos direktyvoje 84/156/EEB dėl pramonės sektorių, išskyrus chloro šarminės elektrolizės pramonę, gyvsidabrio teršalų išleidimo ribinių verčių ir kokybės siektinų normų;</w:t>
      </w:r>
    </w:p>
    <w:p>
      <w:pPr>
        <w:widowControl w:val="0"/>
        <w:ind w:firstLine="709"/>
        <w:jc w:val="both"/>
      </w:pPr>
      <w:r>
        <w:t>4.7</w:t>
      </w:r>
      <w:r>
        <w:t>. 1984 m. spalio 9 d. Tarybos direktyvoje 84/491/EEB dėl heksachlorcikloheksano išleidimo ribinių verčių ir kokybės siektinų normų;</w:t>
      </w:r>
    </w:p>
    <w:p>
      <w:pPr>
        <w:widowControl w:val="0"/>
        <w:ind w:firstLine="709"/>
        <w:jc w:val="both"/>
      </w:pPr>
      <w:r>
        <w:t>4.8</w:t>
      </w:r>
      <w:r>
        <w:t>. 2000 m. spalio 23 d. Europos Parlamento ir Tarybos direktyvoje 2000/60/EB, nustatančioje Bendrijos veiksmų vandens politikos srityje pagrindus;</w:t>
      </w:r>
    </w:p>
    <w:p>
      <w:pPr>
        <w:widowControl w:val="0"/>
        <w:ind w:firstLine="709"/>
        <w:jc w:val="both"/>
      </w:pPr>
      <w:r>
        <w:t>4.9</w:t>
      </w:r>
      <w:r>
        <w:t xml:space="preserve">. 2006 m. </w:t>
      </w:r>
      <w:r>
        <w:rPr>
          <w:color w:val="000000"/>
        </w:rPr>
        <w:t>balandžio</w:t>
      </w:r>
      <w:r>
        <w:t xml:space="preserve"> 11 d. Europos Komisijos rekomendacijoje 2006/283/EC dėl cheminių medžiagų dibutilftalato; 3,4-dichloranilino; diizodecilftalato; 1,2-benzendikarboksirūgšties, di-C</w:t>
      </w:r>
      <w:r>
        <w:rPr>
          <w:vertAlign w:val="subscript"/>
        </w:rPr>
        <w:t>9-11</w:t>
      </w:r>
      <w:r>
        <w:t>-šakotųjų alkilesterių, turinčių daug C</w:t>
      </w:r>
      <w:r>
        <w:rPr>
          <w:vertAlign w:val="subscript"/>
        </w:rPr>
        <w:t>10</w:t>
      </w:r>
      <w:r>
        <w:t xml:space="preserve"> angliavandenilių; diizononilftalato; 1,2-benzendikarboksirūgšties, di-C</w:t>
      </w:r>
      <w:r>
        <w:rPr>
          <w:vertAlign w:val="subscript"/>
        </w:rPr>
        <w:t>8-10</w:t>
      </w:r>
      <w:r>
        <w:t>-šakotųjų alkilesterių, turinčių daug C</w:t>
      </w:r>
      <w:r>
        <w:rPr>
          <w:vertAlign w:val="subscript"/>
        </w:rPr>
        <w:t>9</w:t>
      </w:r>
      <w:r>
        <w:t xml:space="preserve"> angliavandenilių; etilendiamintetraacetato; metilacetato; monochloracto rūgšties; pentano; tetranatrio etilendiamintetraacetato rizikos mažinimo priemonių.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suppressAutoHyphens/>
        <w:ind w:firstLine="709"/>
        <w:jc w:val="both"/>
      </w:pPr>
      <w:r>
        <w:rPr>
          <w:color w:val="000000"/>
          <w:spacing w:val="-1"/>
        </w:rPr>
        <w:t>4.10</w:t>
      </w:r>
      <w:r>
        <w:rPr>
          <w:color w:val="000000"/>
          <w:spacing w:val="-1"/>
        </w:rPr>
        <w:t>. 2008 m. gruodžio 16 d. Europos Parlamento ir Tarybos direktyvoje 2008/105/EB dėl aplinkos kokybės standartų vandens politikos srityje, iš dalies keičiančioje ir panaikinančioje Tarybos direktyvas 82/176/EEB, 83/513/EEB, 84/156/EEB</w:t>
      </w:r>
      <w:r>
        <w:rPr>
          <w:color w:val="000000"/>
        </w:rPr>
        <w:t>, 84/491/EEB, 86/280/EEB ir iš dalies keičiančioje Europos Parlamento ir Tarybos direktyvą 2000/60/EB.</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10FB677ADD">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2010-05-18,
Žin., 2010, Nr.
59-2938 (2010-05-22), i. k. 110301MISAK00D1-416        </w:t>
      </w:r>
    </w:p>
    <w:p/>
    <w:p>
      <w:pPr>
        <w:widowControl w:val="0"/>
        <w:jc w:val="center"/>
      </w:pPr>
      <w:r>
        <w:rPr>
          <w:b/>
          <w:bCs/>
        </w:rPr>
        <w:t>II</w:t>
      </w:r>
      <w:r>
        <w:rPr>
          <w:b/>
          <w:bCs/>
        </w:rPr>
        <w:t xml:space="preserve">. </w:t>
      </w:r>
      <w:r>
        <w:rPr>
          <w:b/>
          <w:bCs/>
        </w:rPr>
        <w:t>APIBRĖŽTYS</w:t>
      </w:r>
    </w:p>
    <w:p>
      <w:pPr>
        <w:ind w:firstLine="709"/>
        <w:jc w:val="both"/>
      </w:pPr>
    </w:p>
    <w:p>
      <w:pPr>
        <w:widowControl w:val="0"/>
        <w:ind w:firstLine="709"/>
        <w:jc w:val="both"/>
      </w:pPr>
      <w:r>
        <w:t>5</w:t>
      </w:r>
      <w:r>
        <w:t>. Reglamente vartojamos šios sąvokos:</w:t>
      </w:r>
    </w:p>
    <w:p>
      <w:pPr>
        <w:widowControl w:val="0"/>
        <w:ind w:firstLine="709"/>
        <w:jc w:val="both"/>
      </w:pPr>
      <w:r>
        <w:t>5.1</w:t>
      </w:r>
      <w:r>
        <w:t xml:space="preserve">. </w:t>
      </w:r>
      <w:r>
        <w:rPr>
          <w:b/>
          <w:bCs/>
        </w:rPr>
        <w:t xml:space="preserve">aglomeracija – </w:t>
      </w:r>
      <w:r>
        <w:t>tai teritorija, kuri yra gana tankiai apgyvendinta ir/arba kurioje gana sutelkta ūkinė veikla (teritorijoje yra ne mažiau kaip 25 atskiri nuotekų šaltiniai (objektai), kurių bendras dydis atitinka ne mažiau kaip 100 GE, o įrengiant centralizuotąjį nuotakyną vienam GE vidutiniškai tektų ne daugiau kaip 15 m lauko/gatvių tinklų, nevertinant įvadų, kolektorių iki valymo įrenginių ir išleidimo vietos ilgio), dėl ko nuotekas tikslinga surinkti naudojant centralizuotąjį nuotakyną, arba teritorija, kurioje nuotekas rinkti naudojant centralizuotąjį nuotakyną yra tikslinga dėl kitų priežasčių (pvz., dėl to, kad konkrečiu atveju nuotekų surinkimas naudojant centralizuotąjį nuotakyną yra priimtiniausias dėl gamtinių sąlygų; dėl to, kad centralizuotojo nuotakyno įdiegimas yra ekonomiškai priimtiniausias ar dėl kitų priežasčių). Taip pat aglomeracijai priskiriamos teritorijos, kuriose esančių objektų nuotekos surenkamos naudojant centralizuotąjį nuotakyną arba yra sudarytos tokios galimybės (išvystyta nuotekų surinkimo infrastruktūra);</w:t>
      </w:r>
    </w:p>
    <w:p>
      <w:pPr>
        <w:widowControl w:val="0"/>
        <w:ind w:firstLine="709"/>
        <w:jc w:val="both"/>
      </w:pPr>
      <w:r>
        <w:t>5.2</w:t>
      </w:r>
      <w:r>
        <w:t xml:space="preserve">. </w:t>
      </w:r>
      <w:r>
        <w:rPr>
          <w:b/>
          <w:bCs/>
        </w:rPr>
        <w:t xml:space="preserve">apkrova </w:t>
      </w:r>
      <w:r>
        <w:t>– teršalo kiekis, išleidžiamas į gamtinę aplinką per laiko vienetą. Skaičiuojant apkrovą atmetamas tas teršalo kiekis, kuris buvo iš gamtinės aplinkos paimtame vandenyje;</w:t>
      </w:r>
    </w:p>
    <w:p>
      <w:pPr>
        <w:widowControl w:val="0"/>
        <w:suppressAutoHyphens/>
        <w:ind w:firstLine="709"/>
        <w:jc w:val="both"/>
      </w:pPr>
      <w:r>
        <w:rPr>
          <w:color w:val="000000"/>
        </w:rPr>
        <w:t>5.2</w:t>
      </w:r>
      <w:r>
        <w:rPr>
          <w:color w:val="000000"/>
          <w:vertAlign w:val="superscript"/>
        </w:rPr>
        <w:t>1</w:t>
      </w:r>
      <w:r>
        <w:rPr>
          <w:color w:val="000000"/>
        </w:rPr>
        <w:t xml:space="preserve">. </w:t>
      </w:r>
      <w:r>
        <w:rPr>
          <w:b/>
          <w:color w:val="000000"/>
        </w:rPr>
        <w:t>aplinkos</w:t>
      </w:r>
      <w:r>
        <w:rPr>
          <w:color w:val="000000"/>
        </w:rPr>
        <w:t xml:space="preserve"> </w:t>
      </w:r>
      <w:r>
        <w:rPr>
          <w:b/>
          <w:color w:val="000000"/>
        </w:rPr>
        <w:t>kokybės</w:t>
      </w:r>
      <w:r>
        <w:rPr>
          <w:color w:val="000000"/>
        </w:rPr>
        <w:t xml:space="preserve"> </w:t>
      </w:r>
      <w:r>
        <w:rPr>
          <w:b/>
          <w:color w:val="000000"/>
        </w:rPr>
        <w:t>standartas</w:t>
      </w:r>
      <w:r>
        <w:rPr>
          <w:color w:val="000000"/>
        </w:rPr>
        <w:t xml:space="preserve"> (toliau – AKS) – tai teršalo ar teršalų grupės, nurodytos šio Reglamento 1 priede ir 2 priedo A dalyje, koncentracija vandenyje, nuosėdose ar biotoje, kurios negalima viršyti, norint apsaugoti žmonių sveikatą ir aplinką;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10FB677ADD">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2010-05-18,
Žin., 2010, Nr.
59-2938 (2010-05-22), i. k. 110301MISAK00D1-416        </w:t>
      </w:r>
    </w:p>
    <w:p/>
    <w:p>
      <w:pPr>
        <w:widowControl w:val="0"/>
        <w:ind w:firstLine="709"/>
        <w:jc w:val="both"/>
      </w:pPr>
      <w:r>
        <w:t>5.3</w:t>
      </w:r>
      <w:r>
        <w:t xml:space="preserve">. </w:t>
      </w:r>
      <w:r>
        <w:rPr>
          <w:b/>
          <w:bCs/>
        </w:rPr>
        <w:t xml:space="preserve">buitinės nuotekos – </w:t>
      </w:r>
      <w:r>
        <w:t>nuotekos, kurios susidaro namų ūkyje naudojant vandenį (pvz., skalbimo, indų plovimo, maisto gaminimo, prausimosi, tualetų nuotekos ir pan.). Prie buitinių nuotekų priskiriamos ir nuotekos, susidarančios naudojant vandenį įmonių, įstaigų, organizacijų darbuotojų buitiniams poreikiams, jeigu jos surenkamos ir išleidžiamos atskirai nuo kitų objekte susidarančių nuotekų;</w:t>
      </w:r>
    </w:p>
    <w:p>
      <w:pPr>
        <w:widowControl w:val="0"/>
        <w:ind w:firstLine="709"/>
        <w:jc w:val="both"/>
      </w:pPr>
      <w:r>
        <w:t>5.4</w:t>
      </w:r>
      <w:r>
        <w:t xml:space="preserve">. </w:t>
      </w:r>
      <w:r>
        <w:rPr>
          <w:b/>
          <w:bCs/>
        </w:rPr>
        <w:t xml:space="preserve">didžiausia leistina koncentracija </w:t>
      </w:r>
      <w:r>
        <w:t>(toliau – DLK) – šiame Reglamente ir/arba kituose teisės aktuose nustatyta didžiausia leidžiama tam tikro teršalo ar teršalų grupės koncentracija nuotekose, vandens telkinyje, nuosėdose ar biotoje. DLK yra bendrieji minimalūs reikalavimai nuotekų ar vandens aplinkos užterštumui ir gali būti taikomi konkrečiu atveju (DLK prilyginama leistinai koncentracijai), tik jeigu pagal šį Reglamentą ar kitus teisės aktus dėl aplinkos jautrumo, veiklos pobūdžio ar kitų specifinių aplinkybių nenustatomi griežtesni arba papildomi reikalavimai;</w:t>
      </w:r>
    </w:p>
    <w:p>
      <w:pPr>
        <w:widowControl w:val="0"/>
        <w:ind w:firstLine="709"/>
        <w:jc w:val="both"/>
      </w:pPr>
      <w:r>
        <w:t>5.5</w:t>
      </w:r>
      <w:r>
        <w:t xml:space="preserve">. </w:t>
      </w:r>
      <w:r>
        <w:rPr>
          <w:b/>
          <w:bCs/>
        </w:rPr>
        <w:t xml:space="preserve">gamybinės nuotekos – </w:t>
      </w:r>
      <w:r>
        <w:t xml:space="preserve">dėl gamybos ar kitos komercinės veiklos (viešojo maitinimo, skalbimo, valymo paslaugų teikimo, viešųjų tualetų, </w:t>
      </w:r>
      <w:r>
        <w:rPr>
          <w:color w:val="000000"/>
        </w:rPr>
        <w:t>prekybos centrų</w:t>
      </w:r>
      <w:r>
        <w:t xml:space="preserve"> ar pan.) susidarančios nuotekos. Gamybinėms nuotekoms priskiriamos ir nuotekos (išskyrus buitines nuotekas), kurių užterštumas pagal BDS</w:t>
      </w:r>
      <w:r>
        <w:rPr>
          <w:vertAlign w:val="subscript"/>
        </w:rPr>
        <w:t>7</w:t>
      </w:r>
      <w:r>
        <w:t xml:space="preserve"> viršija 500 mg/l, o užterštumas prioritetinėmis pavojingomis medžiagomis bei pavojingomis medžiagomis, nurodytomis 2 priedo A ir B1 dalyse, viršija šiame Reglamente bei kituose teisės aktuose šioms medžiagoms nustatytas DLK į gamtinę aplinką, ir/arba užterštumas pavojingomis medžiagomis, nurodytomis 2 priedo B2 dalyje, viršija DLK į nuotakyną;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ind w:firstLine="709"/>
        <w:jc w:val="both"/>
      </w:pPr>
      <w:r>
        <w:t>5.6</w:t>
      </w:r>
      <w:r>
        <w:t xml:space="preserve">. </w:t>
      </w:r>
      <w:r>
        <w:rPr>
          <w:b/>
          <w:bCs/>
        </w:rPr>
        <w:t xml:space="preserve">gamtinė aplinka – </w:t>
      </w:r>
      <w:r>
        <w:t>aplinkos dalis, apimanti paviršinius ir požeminius vandens telkinius bei gruntą (žemės paviršių ir gelmes);</w:t>
      </w:r>
    </w:p>
    <w:p>
      <w:pPr>
        <w:widowControl w:val="0"/>
        <w:ind w:firstLine="709"/>
        <w:jc w:val="both"/>
      </w:pPr>
      <w:r>
        <w:t>5.7</w:t>
      </w:r>
      <w:r>
        <w:t xml:space="preserve">. </w:t>
      </w:r>
      <w:r>
        <w:rPr>
          <w:b/>
          <w:bCs/>
        </w:rPr>
        <w:t xml:space="preserve">gyventojų ekvivalentas </w:t>
      </w:r>
      <w:r>
        <w:t>(toliau – GE) – sąlyginis vienetas nuotekų (taršos) šaltinio dydžiui išreikšti. Vienas GE reiškia nuotekų šaltinį, kuriame per parą susidarančiose nuotekose yra 70 g BDS</w:t>
      </w:r>
      <w:r>
        <w:rPr>
          <w:vertAlign w:val="subscript"/>
        </w:rPr>
        <w:t>7</w:t>
      </w:r>
      <w:r>
        <w:t xml:space="preserve"> ir/arba 12 g N ir/arba 2,7 g P (taršos šaltinio dydis nustatomas pagal tą parametrą, pagal kurį paskaičiuotas GE yra didžiausias);</w:t>
      </w:r>
    </w:p>
    <w:p>
      <w:pPr>
        <w:widowControl w:val="0"/>
        <w:ind w:firstLine="709"/>
        <w:jc w:val="both"/>
      </w:pPr>
      <w:r>
        <w:t>5.8</w:t>
      </w:r>
      <w:r>
        <w:t xml:space="preserve">. </w:t>
      </w:r>
      <w:r>
        <w:rPr>
          <w:b/>
          <w:bCs/>
        </w:rPr>
        <w:t xml:space="preserve">komunalinės nuotekos – </w:t>
      </w:r>
      <w:r>
        <w:t>aglomeracijoje nuotakynu surenkamos mišriosios (buitinės, paviršinės ir (arba) gamybinės nuotekos, infiltracinis vanduo ir pan.) nuotekos;</w:t>
      </w:r>
    </w:p>
    <w:p>
      <w:pPr>
        <w:widowControl w:val="0"/>
        <w:ind w:firstLine="709"/>
        <w:jc w:val="both"/>
      </w:pPr>
      <w:r>
        <w:t>5.9</w:t>
      </w:r>
      <w:r>
        <w:t xml:space="preserve">. </w:t>
      </w:r>
      <w:r>
        <w:rPr>
          <w:b/>
          <w:bCs/>
        </w:rPr>
        <w:t xml:space="preserve">laikinai leistina koncentracija </w:t>
      </w:r>
      <w:r>
        <w:t>(toliau – LLK) – teisės aktais numatytais išimtiniais atvejais laikinai (konkrečiam periodui) nustatoma leistina teršalo koncentracija didesnė už DLK ir/arba leistiną teršalo koncentraciją (LK), kuri, laikantis visų reikalavimų, turėtų būti nustatyta konkrečiu atveju;</w:t>
      </w:r>
    </w:p>
    <w:p>
      <w:pPr>
        <w:widowControl w:val="0"/>
        <w:ind w:firstLine="709"/>
        <w:jc w:val="both"/>
      </w:pPr>
      <w:r>
        <w:t>5.10</w:t>
      </w:r>
      <w:r>
        <w:t xml:space="preserve">. </w:t>
      </w:r>
      <w:r>
        <w:rPr>
          <w:b/>
          <w:bCs/>
        </w:rPr>
        <w:t xml:space="preserve">laikinai leistina tarša </w:t>
      </w:r>
      <w:r>
        <w:t>(toliau – LLT) – teisės aktais numatytais išimtiniais atvejais laikinai (konkrečiam periodui) nustatoma leistina tarša, didesnė už leistiną taršą, kuri, laikantis visų reikalavimų, turėtų būti nustatyta konkrečiu atveju;</w:t>
      </w:r>
    </w:p>
    <w:p>
      <w:pPr>
        <w:widowControl w:val="0"/>
        <w:ind w:firstLine="709"/>
        <w:jc w:val="both"/>
      </w:pPr>
      <w:r>
        <w:t>5.11</w:t>
      </w:r>
      <w:r>
        <w:t xml:space="preserve">. </w:t>
      </w:r>
      <w:r>
        <w:rPr>
          <w:b/>
          <w:bCs/>
        </w:rPr>
        <w:t xml:space="preserve">leidimas </w:t>
      </w:r>
      <w:r>
        <w:t>– Aplinkos ministerijos regiono aplinkos apsaugos departamento (toliau – RAAD) išduodamas taršos integruotos prevencijos ir kontrolės leidimas;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ind w:firstLine="709"/>
        <w:jc w:val="both"/>
      </w:pPr>
      <w:r>
        <w:t>5.12</w:t>
      </w:r>
      <w:r>
        <w:t xml:space="preserve">. </w:t>
      </w:r>
      <w:r>
        <w:rPr>
          <w:b/>
          <w:bCs/>
        </w:rPr>
        <w:t xml:space="preserve">leistina koncentracija </w:t>
      </w:r>
      <w:r>
        <w:t>(toliau – LK) – pagal šį Reglamentą ir/arba pagal kitus teisės aktus konkrečiam nuotekų šaltiniui/išleistuvui nustatyta leidžiama tam tikro teršalo ar teršalų grupės koncentracija išleidžiamose nuotekose. LK gali būti lygi arba mažesnė už DLK;</w:t>
      </w:r>
    </w:p>
    <w:p>
      <w:pPr>
        <w:widowControl w:val="0"/>
        <w:ind w:firstLine="709"/>
        <w:jc w:val="both"/>
      </w:pPr>
      <w:r>
        <w:t>5.13</w:t>
      </w:r>
      <w:r>
        <w:t xml:space="preserve">. </w:t>
      </w:r>
      <w:r>
        <w:rPr>
          <w:b/>
          <w:bCs/>
        </w:rPr>
        <w:t xml:space="preserve">leistina tarša </w:t>
      </w:r>
      <w:r>
        <w:t>(toliau – LT) – pagal šį Reglamentą ir/arba pagal kitus teisės aktus konkrečiam nuotekų šaltiniui/išleistuvui leidime nustatytas tam tikro teršalo kiekis, kurį per apibrėžtą laikotarpį leidžiama išleisti su nuotekomis į konkretų nuotekų priimtuvą;</w:t>
      </w:r>
    </w:p>
    <w:p>
      <w:pPr>
        <w:widowControl w:val="0"/>
        <w:ind w:firstLine="709"/>
        <w:jc w:val="both"/>
      </w:pPr>
      <w:r>
        <w:t>5.14</w:t>
      </w:r>
      <w:r>
        <w:t xml:space="preserve">. </w:t>
      </w:r>
      <w:r>
        <w:rPr>
          <w:b/>
          <w:bCs/>
        </w:rPr>
        <w:t xml:space="preserve">nuotekos </w:t>
      </w:r>
      <w:r>
        <w:t>– organizuotai (naudojant nuotekų surinkimo/šalinimo sistemas) šalinamas buityje, ūkinėje ar gamybinėje veikloje panaudotas užterštas vanduo. Prie nuotekų priskiriamas ir kitas į nuotakyną ar kitus nuotekų tvarkymo sistemos elementus patenkantis vanduo (infiltracinis, kritulių, naudojamas nuotekų tvarkymo sistemos funkcionavimui ar pan.);</w:t>
      </w:r>
    </w:p>
    <w:p>
      <w:pPr>
        <w:widowControl w:val="0"/>
        <w:ind w:firstLine="709"/>
        <w:jc w:val="both"/>
      </w:pPr>
      <w:r>
        <w:t>5.15</w:t>
      </w:r>
      <w:r>
        <w:t xml:space="preserve">. </w:t>
      </w:r>
      <w:r>
        <w:rPr>
          <w:b/>
          <w:bCs/>
        </w:rPr>
        <w:t xml:space="preserve">nuotekų priimtuvas </w:t>
      </w:r>
      <w:r>
        <w:t>– gamtinės aplinkos elementas (dalis), į kurį išleidžiamos nuotekos;</w:t>
      </w:r>
    </w:p>
    <w:p>
      <w:pPr>
        <w:widowControl w:val="0"/>
        <w:ind w:firstLine="709"/>
        <w:jc w:val="both"/>
      </w:pPr>
      <w:r>
        <w:t>5.16</w:t>
      </w:r>
      <w:r>
        <w:t xml:space="preserve">. </w:t>
      </w:r>
      <w:r>
        <w:rPr>
          <w:b/>
          <w:bCs/>
        </w:rPr>
        <w:t xml:space="preserve">nuotakynas (nuotekų surinkimo sistema) – </w:t>
      </w:r>
      <w:r>
        <w:t>vamzdynų ir kitų inžinerinių įrenginių ir statinių sistema nuotekoms surinkti ir transportuoti (nuotekų surinkimas mobiliosiomis cisternomis nepriskiriamas prie nuotekų surinkimo nuotakynu);</w:t>
      </w:r>
    </w:p>
    <w:p>
      <w:pPr>
        <w:widowControl w:val="0"/>
        <w:ind w:firstLine="709"/>
        <w:jc w:val="both"/>
      </w:pPr>
      <w:r>
        <w:t>5.17</w:t>
      </w:r>
      <w:r>
        <w:t xml:space="preserve">. </w:t>
      </w:r>
      <w:r>
        <w:rPr>
          <w:b/>
          <w:bCs/>
        </w:rPr>
        <w:t xml:space="preserve">nuotekų tvarkymas </w:t>
      </w:r>
      <w:r>
        <w:t>– veikla, susidedanti iš visų ar dalies šių priemonių: nuotekų surinkimas, kaupimas, transportavimas, valymas ir išleidimas bei valymo metu susidarančių atliekų (smėlio, šlamo, dumblo ir t. t.) pirminis tvarkymas;</w:t>
      </w:r>
    </w:p>
    <w:p>
      <w:pPr>
        <w:widowControl w:val="0"/>
        <w:suppressAutoHyphens/>
        <w:ind w:firstLine="709"/>
        <w:jc w:val="both"/>
      </w:pPr>
      <w:r>
        <w:rPr>
          <w:color w:val="000000"/>
        </w:rPr>
        <w:t>5.18</w:t>
      </w:r>
      <w:r>
        <w:rPr>
          <w:color w:val="000000"/>
        </w:rPr>
        <w:t>.</w:t>
      </w:r>
      <w:r>
        <w:rPr>
          <w:i/>
          <w:iCs/>
          <w:color w:val="000000"/>
        </w:rPr>
        <w:t xml:space="preserve"> </w:t>
      </w:r>
      <w:r>
        <w:rPr>
          <w:b/>
          <w:color w:val="000000"/>
        </w:rPr>
        <w:t>pavojingos</w:t>
      </w:r>
      <w:r>
        <w:rPr>
          <w:color w:val="000000"/>
        </w:rPr>
        <w:t xml:space="preserve"> </w:t>
      </w:r>
      <w:r>
        <w:rPr>
          <w:b/>
          <w:color w:val="000000"/>
        </w:rPr>
        <w:t>medžiagos</w:t>
      </w:r>
      <w:r>
        <w:rPr>
          <w:i/>
          <w:iCs/>
          <w:color w:val="000000"/>
        </w:rPr>
        <w:t xml:space="preserve"> – </w:t>
      </w:r>
      <w:r>
        <w:rPr>
          <w:color w:val="000000"/>
        </w:rPr>
        <w:t>toksiškos, patvarios ir linkusios biologiškai kauptis medžiagos ar medžiagų grupės, taip pat kitos panašių savybių ir/arba panašaus poveikio medžiagos ar medžiagų grupės. Pavojingoms medžiagoms priskiriamos Reglamento 1 ir 2 priede nurodytos medžiagos ar jų grupės, taip pat medžiagos ar preparatai, kurių saugos duomenų lapuose nurodomas pavojingumas (kenksmingumas) aplinkai ir žmogui;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suppressAutoHyphens/>
        <w:ind w:firstLine="709"/>
        <w:jc w:val="both"/>
      </w:pPr>
      <w:r>
        <w:rPr>
          <w:color w:val="000000"/>
        </w:rPr>
        <w:t>5.19</w:t>
      </w:r>
      <w:r>
        <w:rPr>
          <w:color w:val="000000"/>
        </w:rPr>
        <w:t xml:space="preserve">. </w:t>
      </w:r>
      <w:r>
        <w:rPr>
          <w:b/>
          <w:color w:val="000000"/>
        </w:rPr>
        <w:t>prioritetinės</w:t>
      </w:r>
      <w:r>
        <w:rPr>
          <w:color w:val="000000"/>
        </w:rPr>
        <w:t xml:space="preserve"> </w:t>
      </w:r>
      <w:r>
        <w:rPr>
          <w:b/>
          <w:color w:val="000000"/>
        </w:rPr>
        <w:t>medžiagos</w:t>
      </w:r>
      <w:r>
        <w:rPr>
          <w:color w:val="000000"/>
        </w:rPr>
        <w:t xml:space="preserve"> – 1 priede ir 2 priedo A dalyje nurodytos pavojingos medžiagos ar medžiagų grupės;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suppressAutoHyphens/>
        <w:ind w:firstLine="709"/>
        <w:jc w:val="both"/>
      </w:pPr>
      <w:r>
        <w:rPr>
          <w:color w:val="000000"/>
        </w:rPr>
        <w:t>5.20</w:t>
      </w:r>
      <w:r>
        <w:rPr>
          <w:color w:val="000000"/>
        </w:rPr>
        <w:t xml:space="preserve">. </w:t>
      </w:r>
      <w:r>
        <w:rPr>
          <w:b/>
          <w:color w:val="000000"/>
        </w:rPr>
        <w:t>prioritetinės</w:t>
      </w:r>
      <w:r>
        <w:rPr>
          <w:color w:val="000000"/>
        </w:rPr>
        <w:t xml:space="preserve"> </w:t>
      </w:r>
      <w:r>
        <w:rPr>
          <w:b/>
          <w:color w:val="000000"/>
        </w:rPr>
        <w:t>pavojingos</w:t>
      </w:r>
      <w:r>
        <w:rPr>
          <w:color w:val="000000"/>
        </w:rPr>
        <w:t xml:space="preserve"> </w:t>
      </w:r>
      <w:r>
        <w:rPr>
          <w:b/>
          <w:color w:val="000000"/>
        </w:rPr>
        <w:t>medžiagos</w:t>
      </w:r>
      <w:r>
        <w:rPr>
          <w:i/>
          <w:iCs/>
          <w:color w:val="000000"/>
        </w:rPr>
        <w:t xml:space="preserve"> – </w:t>
      </w:r>
      <w:r>
        <w:rPr>
          <w:color w:val="000000"/>
        </w:rPr>
        <w:t>Reglamento 1 priede nurodytos pavojingos medžiagos ar medžiagų grupės;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ind w:firstLine="709"/>
        <w:jc w:val="both"/>
      </w:pPr>
      <w:r>
        <w:t>5.21</w:t>
      </w:r>
      <w:r>
        <w:t xml:space="preserve">. </w:t>
      </w:r>
      <w:r>
        <w:rPr>
          <w:b/>
          <w:bCs/>
        </w:rPr>
        <w:t xml:space="preserve">veiklos vykdytojas </w:t>
      </w:r>
      <w:r>
        <w:t>– asmuo, naudojantis arba valdantis objektą (taršos/nuotekų šaltinį) ir pagal teisės aktus turintis teisę spręsti objekto eksploatavimo ir techninio funkcionavimo klausimus bei atsakantis už objekto daromą poveikį aplinkai (pvz., už iš objekto išleidžiamą taršą);</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ind w:firstLine="709"/>
        <w:jc w:val="both"/>
      </w:pPr>
      <w:r>
        <w:t>5.22</w:t>
      </w:r>
      <w:r>
        <w:t xml:space="preserve">. </w:t>
      </w:r>
      <w:r>
        <w:rPr>
          <w:b/>
          <w:bCs/>
        </w:rPr>
        <w:t xml:space="preserve">atskiroji nuotekų tvarkymo sistema – </w:t>
      </w:r>
      <w:r>
        <w:t>ne daugiau kaip dviejų gyvenamųjų namų ar kitų objektų nuotekoms tvarkyti skirta sistema, iš kurios nuotekos išleidžiamos į aplinką arba kaupiamos ir periodiškai išvežamos mobiliosiomis priemonėmis;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ind w:firstLine="709"/>
        <w:jc w:val="both"/>
      </w:pPr>
      <w:r>
        <w:t>5.23</w:t>
      </w:r>
      <w:r>
        <w:t xml:space="preserve">. </w:t>
      </w:r>
      <w:r>
        <w:rPr>
          <w:b/>
          <w:bCs/>
        </w:rPr>
        <w:t xml:space="preserve">grupinė nuotekų tvarkymo sistema – </w:t>
      </w:r>
      <w:r>
        <w:t>grupės (daugiau kaip dviejų) objektų nuotekoms tvarkyti skirta sistema, iš kurios nuotekos išleidžiamos į aplinką arba kaupiamos ir periodiškai išvežamos mobiliosiomis priemonėmis;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ind w:firstLine="709"/>
        <w:jc w:val="both"/>
      </w:pPr>
      <w:r>
        <w:t>5.24</w:t>
      </w:r>
      <w:r>
        <w:t xml:space="preserve">. </w:t>
      </w:r>
      <w:r>
        <w:rPr>
          <w:b/>
          <w:bCs/>
        </w:rPr>
        <w:t xml:space="preserve">centralizuotasis nuotakynas (centralizuotoji nuotekų surinkimo sistema) </w:t>
      </w:r>
      <w:r>
        <w:t>nuotakynas, į kurį patenkančios nuotekos nukreipiamos į aglomeracijos nuotekų valymo įrenginius arba į galutinę išleidimo vietą ir kurį naudojant teikiamos viešosios nuotekų tvarkymo paslaugos ir surenkama ne mažiau kaip 30 % aglomeracijoje susidarančių nuotekų;</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suppressAutoHyphens/>
        <w:ind w:firstLine="709"/>
        <w:jc w:val="both"/>
      </w:pPr>
      <w:r>
        <w:rPr>
          <w:color w:val="000000"/>
        </w:rPr>
        <w:t>5.25</w:t>
      </w:r>
      <w:r>
        <w:rPr>
          <w:color w:val="000000"/>
        </w:rPr>
        <w:t>. sąvokos: „</w:t>
      </w:r>
      <w:r>
        <w:rPr>
          <w:b/>
          <w:color w:val="000000"/>
        </w:rPr>
        <w:t>vandens</w:t>
      </w:r>
      <w:r>
        <w:rPr>
          <w:color w:val="000000"/>
        </w:rPr>
        <w:t xml:space="preserve"> </w:t>
      </w:r>
      <w:r>
        <w:rPr>
          <w:b/>
          <w:color w:val="000000"/>
        </w:rPr>
        <w:t>naudotojai</w:t>
      </w:r>
      <w:r>
        <w:rPr>
          <w:color w:val="000000"/>
        </w:rPr>
        <w:t>“</w:t>
      </w:r>
      <w:r>
        <w:rPr>
          <w:i/>
          <w:iCs/>
          <w:color w:val="000000"/>
        </w:rPr>
        <w:t xml:space="preserve"> </w:t>
      </w:r>
      <w:r>
        <w:rPr>
          <w:color w:val="000000"/>
        </w:rPr>
        <w:t xml:space="preserve">atitinka Lietuvos Respublikos vandens įstatymo 6 straipsnį (Žin., 1997, Nr. </w:t>
      </w:r>
      <w:hyperlink r:id="rId39" w:tgtFrame="_blank" w:history="1">
        <w:r>
          <w:rPr>
            <w:color w:val="0000FF" w:themeColor="hyperlink"/>
            <w:u w:val="single"/>
          </w:rPr>
          <w:t>104-2615</w:t>
        </w:r>
      </w:hyperlink>
      <w:r>
        <w:rPr>
          <w:color w:val="000000"/>
        </w:rPr>
        <w:t xml:space="preserve">; 2003, Nr. </w:t>
      </w:r>
      <w:hyperlink r:id="rId40" w:tgtFrame="_blank" w:history="1">
        <w:r>
          <w:rPr>
            <w:color w:val="0000FF" w:themeColor="hyperlink"/>
            <w:u w:val="single"/>
          </w:rPr>
          <w:t>36-1544</w:t>
        </w:r>
      </w:hyperlink>
      <w:r>
        <w:rPr>
          <w:color w:val="000000"/>
        </w:rPr>
        <w:t>)</w:t>
      </w:r>
      <w:r>
        <w:rPr>
          <w:i/>
          <w:iCs/>
          <w:color w:val="000000"/>
        </w:rPr>
        <w:t xml:space="preserve"> </w:t>
      </w:r>
      <w:r>
        <w:rPr>
          <w:color w:val="000000"/>
        </w:rPr>
        <w:t>ir „</w:t>
      </w:r>
      <w:r>
        <w:rPr>
          <w:b/>
          <w:color w:val="000000"/>
        </w:rPr>
        <w:t>abonentai</w:t>
      </w:r>
      <w:r>
        <w:rPr>
          <w:color w:val="000000"/>
        </w:rPr>
        <w:t>“</w:t>
      </w:r>
      <w:r>
        <w:rPr>
          <w:i/>
          <w:iCs/>
          <w:color w:val="000000"/>
        </w:rPr>
        <w:t xml:space="preserve"> </w:t>
      </w:r>
      <w:r>
        <w:rPr>
          <w:color w:val="000000"/>
        </w:rPr>
        <w:t xml:space="preserve">atitinka Lietuvos Respublikos geriamojo vandens tiekimo ir nuotekų tvarkymo įstatymo 1 straipsnyje apibrėžtą sąvoką (Žin., 2006, Nr. </w:t>
      </w:r>
      <w:hyperlink r:id="rId41" w:tgtFrame="_blank" w:history="1">
        <w:r>
          <w:rPr>
            <w:color w:val="0000FF" w:themeColor="hyperlink"/>
            <w:u w:val="single"/>
          </w:rPr>
          <w:t>82-3260</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suppressAutoHyphens/>
        <w:ind w:firstLine="709"/>
        <w:jc w:val="both"/>
      </w:pPr>
      <w:r>
        <w:rPr>
          <w:color w:val="000000"/>
        </w:rPr>
        <w:t>5.26</w:t>
      </w:r>
      <w:r>
        <w:rPr>
          <w:color w:val="000000"/>
        </w:rPr>
        <w:t xml:space="preserve">. kitos šiame įsakyme vartojamos sąvokos suprantamos taip, kaip jos apibrėžtos Lietuvos Respublikos vandens įstatyme (Žin., 1997, Nr. </w:t>
      </w:r>
      <w:hyperlink r:id="rId47" w:tgtFrame="_blank" w:history="1">
        <w:r>
          <w:rPr>
            <w:color w:val="0000FF" w:themeColor="hyperlink"/>
            <w:u w:val="single"/>
          </w:rPr>
          <w:t>104-2615</w:t>
        </w:r>
      </w:hyperlink>
      <w:r>
        <w:rPr>
          <w:color w:val="000000"/>
        </w:rPr>
        <w:t>; 2003, Nr. 36-1544).</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10FB677ADD">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2010-05-18,
Žin., 2010, Nr.
59-2938 (2010-05-22), i. k. 110301MISAK00D1-416        </w:t>
      </w:r>
    </w:p>
    <w:p/>
    <w:p>
      <w:pPr>
        <w:widowControl w:val="0"/>
        <w:jc w:val="center"/>
      </w:pPr>
      <w:r>
        <w:rPr>
          <w:b/>
          <w:bCs/>
        </w:rPr>
        <w:t>III</w:t>
      </w:r>
      <w:r>
        <w:rPr>
          <w:b/>
          <w:bCs/>
        </w:rPr>
        <w:t xml:space="preserve">. </w:t>
      </w:r>
      <w:r>
        <w:rPr>
          <w:b/>
          <w:bCs/>
        </w:rPr>
        <w:t>BENDRIEJI REIKALAVIMAI NUOTEKŲ TVARKYMUI</w:t>
      </w:r>
    </w:p>
    <w:p>
      <w:pPr>
        <w:ind w:firstLine="709"/>
        <w:jc w:val="both"/>
      </w:pPr>
    </w:p>
    <w:p>
      <w:pPr>
        <w:widowControl w:val="0"/>
        <w:suppressAutoHyphens/>
        <w:ind w:firstLine="709"/>
        <w:jc w:val="both"/>
      </w:pPr>
      <w:r>
        <w:rPr>
          <w:color w:val="000000"/>
        </w:rPr>
        <w:t>6</w:t>
      </w:r>
      <w:r>
        <w:rPr>
          <w:color w:val="000000"/>
        </w:rPr>
        <w:t>. Prieš išleidžiant į gamtinę aplinką nuotekos turi būti tvarkomos reikalavimus atitinkančiose centralizuotose, atskirose arba grupinėse nuotekų tvarkymo sistemose. Draudžiama bet kokias nuotekas tiesiogiai išleisti į požeminį vandenį ar skleisti ant žemės paviršiaus, išskyrus kituose teisės aktuose numatytas išimtis.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ind w:firstLine="709"/>
        <w:jc w:val="both"/>
      </w:pPr>
      <w:r>
        <w:t>7</w:t>
      </w:r>
      <w:r>
        <w:t>. Nuotekų surinkimo sistema turi atitikti šiuos bendruosius reikalavimus:</w:t>
      </w:r>
    </w:p>
    <w:p>
      <w:pPr>
        <w:widowControl w:val="0"/>
        <w:ind w:firstLine="709"/>
        <w:jc w:val="both"/>
      </w:pPr>
      <w:r>
        <w:t>7.1</w:t>
      </w:r>
      <w:r>
        <w:t>. turi atitikti planuojamų tvarkyti nuotekų kiekybines ir kokybines charakteristikas;</w:t>
      </w:r>
    </w:p>
    <w:p>
      <w:pPr>
        <w:widowControl w:val="0"/>
        <w:ind w:firstLine="709"/>
        <w:jc w:val="both"/>
      </w:pPr>
      <w:r>
        <w:t>7.2</w:t>
      </w:r>
      <w:r>
        <w:t>. turi būti užtikrintas reikalavimus atitinkantis sandarumas, kad nuotekos neprasiskverbtų į aplinką ir vanduo iš aplinkos nepatektų į sistemą;</w:t>
      </w:r>
    </w:p>
    <w:p>
      <w:pPr>
        <w:widowControl w:val="0"/>
        <w:ind w:firstLine="709"/>
        <w:jc w:val="both"/>
      </w:pPr>
      <w:r>
        <w:t>7.3</w:t>
      </w:r>
      <w:r>
        <w:t>. paviršinės nuotekos turi būti surenkamos, valomos, apskaitomos ir vykdoma jų užterštumo kontrolė atskirai nuo buitinių, komunalinių ir gamybinių nuotekų, išskyrus nuotekų tvarkymą mišriosiose nuotekų tvarkymo sistemose, įrengtose iki šio Reglamento įsigaliojimo. Buitinės, komunalinės ir/arba gamybinės nuotekos po valymo (iki reikalavimų nustatytų išleidimui į gamtinę aplinką), apskaitos ir taršos kontrolės gali būti nuvedamos į išleidimo į gamtinę aplinką vietą ir išleidžiamos kartu su išvalytomis (iki reikalavimų, nustatytų išleidimui į gamtinę aplinką), apskaitytomis ir taršos kontrolę (kontrolės vietą) praėjusiomis paviršinėmis nuotekomis (t. y. gali būti maišomos tik išvalytos, apskaitytos ir taršos kontrolę praėjusios nuotekos).</w:t>
      </w:r>
    </w:p>
    <w:p>
      <w:pPr>
        <w:widowControl w:val="0"/>
        <w:ind w:firstLine="709"/>
        <w:jc w:val="both"/>
      </w:pPr>
      <w:r>
        <w:t>8</w:t>
      </w:r>
      <w:r>
        <w:t>. Nustatant (projekte, leidime ar pan.) nuotekų (teršalų) išleidimo į aplinką sąlygas, turi būti vadovaujamasi šiais pagrindiniais principais:</w:t>
      </w:r>
    </w:p>
    <w:p>
      <w:pPr>
        <w:widowControl w:val="0"/>
        <w:ind w:firstLine="709"/>
        <w:jc w:val="both"/>
      </w:pPr>
      <w:r>
        <w:t>8.1</w:t>
      </w:r>
      <w:r>
        <w:t>. negali būti viršijamos šiame Reglamente bei kituose teisės aktuose arba konkrečiai veiklos rūšiai parengtame „Geriausių prieinamų gamybos būdų“ (toliau – GPGB) informaciniame dokumente (jeigu yra parengtas bei privalomas taikyti pagal kitus teisės aktus) nustatytos teršalų DLK nuotekose, išskyrus šiame Reglamente numatytas išimtis;</w:t>
      </w:r>
    </w:p>
    <w:p>
      <w:pPr>
        <w:widowControl w:val="0"/>
        <w:suppressAutoHyphens/>
        <w:ind w:firstLine="709"/>
        <w:jc w:val="both"/>
        <w:rPr>
          <w:color w:val="000000"/>
        </w:rPr>
      </w:pPr>
      <w:r>
        <w:rPr>
          <w:color w:val="000000"/>
        </w:rPr>
        <w:t>8.2</w:t>
      </w:r>
      <w:r>
        <w:rPr>
          <w:color w:val="000000"/>
        </w:rPr>
        <w:t>. negali būti viršijamas leistinas poveikis nuotekų priimtuvui:</w:t>
      </w:r>
    </w:p>
    <w:p>
      <w:pPr>
        <w:widowControl w:val="0"/>
        <w:suppressAutoHyphens/>
        <w:ind w:firstLine="709"/>
        <w:jc w:val="both"/>
        <w:rPr>
          <w:color w:val="000000"/>
        </w:rPr>
      </w:pPr>
      <w:r>
        <w:rPr>
          <w:color w:val="000000"/>
        </w:rPr>
        <w:t>8.2.1</w:t>
      </w:r>
      <w:r>
        <w:rPr>
          <w:color w:val="000000"/>
        </w:rPr>
        <w:t>. išleidžiamos nuotekos neturi paveikti paviršinio vandens telkinio tiek, kad jame būtų viršyti AKS, nurodyti 1 priede ir/arba 2 priedo A dalyje, ir/arba DLK, nurodytos 2 priedo B dalyje bei kituose teisės aktuose. AKS paviršinio vandens telkiniams taikomi laikantis 3 priede nustatytų reikalavimų;</w:t>
      </w:r>
    </w:p>
    <w:p>
      <w:pPr>
        <w:widowControl w:val="0"/>
        <w:suppressAutoHyphens/>
        <w:ind w:firstLine="709"/>
        <w:jc w:val="both"/>
        <w:rPr>
          <w:color w:val="000000"/>
        </w:rPr>
      </w:pPr>
      <w:r>
        <w:rPr>
          <w:color w:val="000000"/>
        </w:rPr>
        <w:t>8.2.2</w:t>
      </w:r>
      <w:r>
        <w:rPr>
          <w:color w:val="000000"/>
        </w:rPr>
        <w:t>. išleidžiamos nuotekos neturi paveikti priimančio vandens telkinio tiek, kad jame būtų viršyti AKS biotai, atitinkamai taikant: gyvsidabriui ir jo junginiams – 20 µg/kg; heksachlorbenzenui – 10 µg/kg ir heksachlorbutadienui – 55 µg/kg. AKS taikomi audiniams (drėgnas svoris), pasirenkant geriausią indikatorių iš žuvų, moliuskų, vėžiagyvių ir kitos biotos;</w:t>
      </w:r>
    </w:p>
    <w:p>
      <w:pPr>
        <w:widowControl w:val="0"/>
        <w:suppressAutoHyphens/>
        <w:ind w:firstLine="709"/>
        <w:jc w:val="both"/>
      </w:pPr>
      <w:r>
        <w:rPr>
          <w:color w:val="000000"/>
        </w:rPr>
        <w:t>8.2.3</w:t>
      </w:r>
      <w:r>
        <w:rPr>
          <w:color w:val="000000"/>
        </w:rPr>
        <w:t xml:space="preserve">. planuojant išleisti nuotekas būtina atsižvelgti į egzistuojančių taršos šaltinių daromą poveikį priimtuvui ir įvertinti, ar naujo taršos šaltinio atsiradimas nepaveiks priimančio paviršinio vandens telkinio tiek, kad bus neįmanoma pasiekti AKS, nurodytų 1 priede ir/arba 2 priedo A dalyje, ir/arba 8.2.2 punkte, ir/arba DLK nurodytų 2 priedo B dalyje (jeigu AKS ir/arba DLK jau viršijami), ir kitų priimtuvui nustatytų vandensaugos tikslų (jeigu jie konkrečiam priimtuvui yra nustatyti).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10FB677ADD">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2010-05-18,
Žin., 2010, Nr.
59-2938 (2010-05-22), i. k. 110301MISAK00D1-416            </w:t>
      </w:r>
    </w:p>
    <w:p/>
    <w:p>
      <w:pPr>
        <w:widowControl w:val="0"/>
        <w:ind w:firstLine="709"/>
        <w:jc w:val="both"/>
      </w:pPr>
      <w:r>
        <w:t>9</w:t>
      </w:r>
      <w:r>
        <w:t xml:space="preserve">. Veiklos vykdytojai privalo tinkamai eksploatuoti ir prižiūrėti nuotekų tvarkymo sistemas ir turi siekti, kad jų turimos išleidžiamų nuotekų poveikį aplinkai mažinančios priemonės būtų naudojamos aplinkai palankiausiu būdu. </w:t>
      </w:r>
      <w:r>
        <w:rPr>
          <w:color w:val="000000"/>
        </w:rPr>
        <w:t>Išvalytos nuotekos, jei tik įmanoma, turi būti panaudojamos pakartotinai.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ind w:firstLine="709"/>
        <w:jc w:val="both"/>
      </w:pPr>
      <w:r>
        <w:t>10</w:t>
      </w:r>
      <w:r>
        <w:t xml:space="preserve">. Nuotekų išleidimo į aplinką vietos turi būti parenkamos taip, kad jų neigiamas poveikis aplinkai būtų kiek įmanoma mažesnis (pvz., užtikrinant mažiausią geriamojo vandens šaltinių teršimo pavojų, pasirenkant mažiausiai jautrų poveikiui nuotekų priimtuvą (prioriteto tvarka: upės, kanalai, </w:t>
      </w:r>
      <w:r>
        <w:rPr>
          <w:color w:val="000000"/>
        </w:rPr>
        <w:t>infiltracija į gruntą</w:t>
      </w:r>
      <w:r>
        <w:t>, tvenkiniai, dirbtiniai nepratekami vandens telkiniai, ežerai), nuotekų išleidimą numatant kiek įmanoma toliau nuo kitų vandens išteklių naudotojų, rekreacijai skirtų bei kitų žmonių buvimo vietų ir t. 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ind w:firstLine="709"/>
        <w:jc w:val="both"/>
      </w:pPr>
      <w:r>
        <w:t>11</w:t>
      </w:r>
      <w:r>
        <w:t>. Veiklos vykdytojas, planuojantis išleisti nuotekas į paviršinį vandens telkinį, kai nuotekų kiekis išleidžiant į upę ar kanalą viršija 100 m</w:t>
      </w:r>
      <w:r>
        <w:rPr>
          <w:vertAlign w:val="superscript"/>
        </w:rPr>
        <w:t>3</w:t>
      </w:r>
      <w:r>
        <w:t>/d (vidutinis paros kiekis) ir/arba nuotekų šaltinio dydis viršija 1000 GE, o išleidžiant į ežerą, Kuršių marias, tvenkinį ar dirbtinį nepratekamą vandens telkinį nuotekų kiekis viršija 10 m</w:t>
      </w:r>
      <w:r>
        <w:rPr>
          <w:vertAlign w:val="superscript"/>
        </w:rPr>
        <w:t>3</w:t>
      </w:r>
      <w:r>
        <w:t xml:space="preserve">/d (vidutinis paros kiekis) ir/arba nuotekų šaltinio dydis viršija 100 GE, privalo įvertinti planuojamų išleisti nuotekų poveikį priimtuvui ir nustatyti priimtiną apkrovą. Veiklos vykdytojams, gavusiems/turėjusiems leidimą nuotekų išleidimui </w:t>
      </w:r>
      <w:r>
        <w:rPr>
          <w:color w:val="000000"/>
        </w:rPr>
        <w:t>arba taršos šaltinio projektavimo sąlygas</w:t>
      </w:r>
      <w:r>
        <w:t xml:space="preserve"> iki šio Reglamento įsigaliojimo ir nekeičiantiems ar neplanuojantiems keisti nuotekų išleidimo parametrų, išleidžiamų nuotekų poveikio priimtuvui vertinimas ir priimtuvui priimtinos apkrovos nustatymas nėra privalomas, iki konkrečiam vandens telkiniui (priimtuvui) bus nustatyti vandensaugos tikslai bei poreikis mažinti taršą.</w:t>
      </w:r>
    </w:p>
    <w:p>
      <w:pPr>
        <w:widowControl w:val="0"/>
        <w:ind w:firstLine="709"/>
        <w:jc w:val="both"/>
      </w:pPr>
      <w:r>
        <w:t>Poveikis paviršiniam vandens telkiniui vertinamas pagal BDS</w:t>
      </w:r>
      <w:r>
        <w:rPr>
          <w:vertAlign w:val="subscript"/>
        </w:rPr>
        <w:t>7</w:t>
      </w:r>
      <w:r>
        <w:t>, bendrą N ir bendrą P. Apskaičiuojant leistinus nuotekų išleidimo parametrus, kuriems esant nebūtų viršijamas leistinas poveikis paviršiniam vandens telkiniui, turi būti vadovaujamasi šiomis nuostatomis:</w:t>
      </w:r>
    </w:p>
    <w:p>
      <w:pPr>
        <w:widowControl w:val="0"/>
        <w:ind w:firstLine="709"/>
        <w:jc w:val="both"/>
      </w:pPr>
      <w:r>
        <w:t>11.1</w:t>
      </w:r>
      <w:r>
        <w:t>. kai nuotekos išleidžiamos į melioracijos griovius (melioracijos sistemas), išskyrus sumelioruotus upelius, leistina teršalo koncentracija (LK) ir leistina tarša (LT) nustatoma vadovaujantis prielaida, kad nuotekos išleidžiamos į tą vandens telkinį (įvardintą vandens telkinių klasifikatoriuje) ir toje vietoje, kur išteka melioracijos sistema surenkamas vanduo;</w:t>
      </w:r>
    </w:p>
    <w:p>
      <w:pPr>
        <w:widowControl w:val="0"/>
        <w:ind w:firstLine="709"/>
        <w:jc w:val="both"/>
      </w:pPr>
      <w:r>
        <w:t>11.2</w:t>
      </w:r>
      <w:r>
        <w:t>. kai nuotekos išleidžiamos (planuojama išleisti) į tekančio vandens telkinį (upę, kanalą), BDS koncentracija nuotekų vidutiniame paros mėginyje arba momentiniame nuotekų mėginyje, kuriai esant nebus viršytas leistinas poveikis priimtuvui, apskaičiuojama pagal formulę:</w:t>
      </w:r>
    </w:p>
    <w:p>
      <w:pPr>
        <w:ind w:firstLine="709"/>
        <w:jc w:val="both"/>
      </w:pPr>
    </w:p>
    <w:p>
      <w:pPr>
        <w:jc w:val="center"/>
      </w:pPr>
      <w:r>
        <w:rPr>
          <w:lang w:eastAsia="lt-LT"/>
        </w:rPr>
        <w:drawing>
          <wp:inline distT="0" distB="0" distL="0" distR="0">
            <wp:extent cx="3390265" cy="428625"/>
            <wp:effectExtent l="0" t="0" r="63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90265" cy="428625"/>
                    </a:xfrm>
                    <a:prstGeom prst="rect">
                      <a:avLst/>
                    </a:prstGeom>
                    <a:noFill/>
                  </pic:spPr>
                </pic:pic>
              </a:graphicData>
            </a:graphic>
          </wp:inline>
        </w:drawing>
      </w:r>
    </w:p>
    <w:p>
      <w:pPr>
        <w:ind w:firstLine="709"/>
        <w:jc w:val="both"/>
      </w:pPr>
    </w:p>
    <w:p>
      <w:pPr>
        <w:widowControl w:val="0"/>
        <w:ind w:firstLine="709"/>
        <w:jc w:val="both"/>
      </w:pPr>
      <w:r>
        <w:t>Šioje formulėje:</w:t>
      </w:r>
    </w:p>
    <w:p>
      <w:pPr>
        <w:widowControl w:val="0"/>
        <w:ind w:firstLine="709"/>
        <w:jc w:val="both"/>
      </w:pPr>
      <w:r>
        <w:rPr>
          <w:b/>
          <w:bCs/>
        </w:rPr>
        <w:t xml:space="preserve">C </w:t>
      </w:r>
      <w:r>
        <w:rPr>
          <w:b/>
          <w:bCs/>
          <w:vertAlign w:val="subscript"/>
        </w:rPr>
        <w:t>nuotekų</w:t>
      </w:r>
      <w:r>
        <w:t xml:space="preserve"> – didžiausia BDS7 koncentracija vidutiniame paros arba momentiniame nuotekų mėginyje,</w:t>
      </w:r>
    </w:p>
    <w:p>
      <w:pPr>
        <w:widowControl w:val="0"/>
        <w:ind w:firstLine="709"/>
        <w:jc w:val="both"/>
      </w:pPr>
      <w:r>
        <w:t>kuriai esant dar nebus viršijamas leistinas poveikis priimtuvui, mg/l;</w:t>
      </w:r>
    </w:p>
    <w:p>
      <w:pPr>
        <w:widowControl w:val="0"/>
        <w:ind w:firstLine="709"/>
        <w:jc w:val="both"/>
      </w:pPr>
      <w:r>
        <w:rPr>
          <w:b/>
          <w:bCs/>
        </w:rPr>
        <w:t xml:space="preserve">C </w:t>
      </w:r>
      <w:r>
        <w:rPr>
          <w:b/>
          <w:bCs/>
          <w:vertAlign w:val="subscript"/>
        </w:rPr>
        <w:t xml:space="preserve">upės </w:t>
      </w:r>
      <w:r>
        <w:rPr>
          <w:b/>
          <w:bCs/>
          <w:smallCaps/>
          <w:vertAlign w:val="subscript"/>
        </w:rPr>
        <w:t>(dlk)</w:t>
      </w:r>
      <w:r>
        <w:rPr>
          <w:smallCaps/>
        </w:rPr>
        <w:t xml:space="preserve"> </w:t>
      </w:r>
      <w:r>
        <w:t>– DLK pagal BDS7 priimtuve (reikalavimai gerai priimtuvo būklei), mg/l;</w:t>
      </w:r>
    </w:p>
    <w:p>
      <w:pPr>
        <w:widowControl w:val="0"/>
        <w:ind w:firstLine="709"/>
        <w:jc w:val="both"/>
      </w:pPr>
      <w:r>
        <w:rPr>
          <w:b/>
          <w:bCs/>
        </w:rPr>
        <w:t xml:space="preserve">Q </w:t>
      </w:r>
      <w:r>
        <w:rPr>
          <w:b/>
          <w:bCs/>
          <w:vertAlign w:val="subscript"/>
        </w:rPr>
        <w:t>nuotekų</w:t>
      </w:r>
      <w:r>
        <w:t xml:space="preserve"> – išleidžiamų nuotekų didžiausias Skaičiuotinas valandinis debitas (sausu metu), m</w:t>
      </w:r>
      <w:r>
        <w:rPr>
          <w:vertAlign w:val="superscript"/>
        </w:rPr>
        <w:t>3</w:t>
      </w:r>
      <w:r>
        <w:t>/h;</w:t>
      </w:r>
    </w:p>
    <w:p>
      <w:pPr>
        <w:widowControl w:val="0"/>
        <w:ind w:firstLine="709"/>
        <w:jc w:val="both"/>
      </w:pPr>
      <w:r>
        <w:rPr>
          <w:b/>
          <w:bCs/>
        </w:rPr>
        <w:t xml:space="preserve">Q </w:t>
      </w:r>
      <w:r>
        <w:rPr>
          <w:b/>
          <w:bCs/>
          <w:vertAlign w:val="subscript"/>
        </w:rPr>
        <w:t>upės</w:t>
      </w:r>
      <w:r>
        <w:t xml:space="preserve"> – minimalus vasaros-rudens nuosėkio 80 % tikimybės 30 sausiausių parų iš eilės vidutinis vandens debitas nuotekų išleidimo vietoje, m</w:t>
      </w:r>
      <w:r>
        <w:rPr>
          <w:vertAlign w:val="superscript"/>
        </w:rPr>
        <w:t>3</w:t>
      </w:r>
      <w:r>
        <w:t xml:space="preserve">/s (apskaičiuojama vadovaujantis Gamtosauginio vandens debito apskaičiavimo tvarkos aprašu, patvirtintu aplinkos ministro 2005 m. liepos 29 d. įsakymu Nr. D1-382 (Žin., 2005, Nr. </w:t>
      </w:r>
      <w:hyperlink r:id="rId43" w:tgtFrame="_blank" w:history="1">
        <w:r>
          <w:rPr>
            <w:color w:val="0000FF" w:themeColor="hyperlink"/>
            <w:u w:val="single"/>
          </w:rPr>
          <w:t>94-3508</w:t>
        </w:r>
      </w:hyperlink>
      <w:r>
        <w:t>)). Minimalų vasaros-rudens nuosėkio 80 % tikimybės 30 sausiausių parų iš eilės vidutinį vandens debitą gali nustatyti asmenys, turintys teisę projektuoti hidrotechnikos statinius ir/arba vykdyti hidrologinius matavimus/skaičiavimus.</w:t>
      </w:r>
    </w:p>
    <w:p>
      <w:pPr>
        <w:widowControl w:val="0"/>
        <w:ind w:firstLine="709"/>
        <w:jc w:val="both"/>
      </w:pPr>
      <w:r>
        <w:t>Metinė apkrova pagal N ir P, kuriai esant nebus viršytas leistinas poveikis tekančiam vandens telkiniui, apskaičiuojama pagal formulę:</w:t>
      </w:r>
    </w:p>
    <w:p>
      <w:pPr>
        <w:ind w:firstLine="709"/>
        <w:jc w:val="both"/>
      </w:pPr>
    </w:p>
    <w:p>
      <w:pPr>
        <w:jc w:val="center"/>
      </w:pPr>
      <w:r>
        <w:rPr>
          <w:lang w:eastAsia="lt-LT"/>
        </w:rPr>
        <w:drawing>
          <wp:inline distT="0" distB="0" distL="0" distR="0">
            <wp:extent cx="2990215" cy="390525"/>
            <wp:effectExtent l="0" t="0" r="63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90215" cy="390525"/>
                    </a:xfrm>
                    <a:prstGeom prst="rect">
                      <a:avLst/>
                    </a:prstGeom>
                    <a:noFill/>
                  </pic:spPr>
                </pic:pic>
              </a:graphicData>
            </a:graphic>
          </wp:inline>
        </w:drawing>
      </w:r>
    </w:p>
    <w:p>
      <w:pPr>
        <w:ind w:firstLine="709"/>
        <w:jc w:val="both"/>
      </w:pPr>
      <w:r>
        <w:rPr>
          <w:b/>
          <w:color w:val="000000"/>
        </w:rPr>
        <w:t xml:space="preserve">Q </w:t>
      </w:r>
      <w:r>
        <w:rPr>
          <w:b/>
          <w:color w:val="000000"/>
          <w:vertAlign w:val="subscript"/>
        </w:rPr>
        <w:t>upės</w:t>
      </w:r>
      <w:r>
        <w:rPr>
          <w:color w:val="000000"/>
        </w:rPr>
        <w:t xml:space="preserve"> – vidutinis daugiametis priimtuvo nuotėkis nuotekų išleidimo vietoje, tūkst. m</w:t>
      </w:r>
      <w:r>
        <w:rPr>
          <w:color w:val="000000"/>
          <w:vertAlign w:val="superscript"/>
        </w:rPr>
        <w:t>3</w:t>
      </w:r>
      <w:r>
        <w:rPr>
          <w:color w:val="000000"/>
        </w:rPr>
        <w:t>/metus. Vidutinį daugiametį priimtuvo nuotėkį gali nustatyti asmenys, turintys teisę vykdyti hidrologinius matavimus/skaičiavimus;</w:t>
      </w:r>
    </w:p>
    <w:p>
      <w:pPr>
        <w:widowControl w:val="0"/>
        <w:ind w:firstLine="709"/>
        <w:jc w:val="both"/>
      </w:pPr>
      <w:r>
        <w:rPr>
          <w:b/>
          <w:bCs/>
        </w:rPr>
        <w:t>T</w:t>
      </w:r>
      <w:r>
        <w:rPr>
          <w:b/>
          <w:bCs/>
          <w:vertAlign w:val="subscript"/>
        </w:rPr>
        <w:t>n</w:t>
      </w:r>
      <w:r>
        <w:rPr>
          <w:b/>
          <w:bCs/>
        </w:rPr>
        <w:t xml:space="preserve"> </w:t>
      </w:r>
      <w:r>
        <w:t>– metinė apkrova N arba P, kuriai esant nebus viršytas leistinas poveikis priimančiam vandens telkiniui, t/metus;</w:t>
      </w:r>
    </w:p>
    <w:p>
      <w:pPr>
        <w:widowControl w:val="0"/>
        <w:ind w:firstLine="709"/>
        <w:jc w:val="both"/>
      </w:pPr>
      <w:r>
        <w:rPr>
          <w:b/>
          <w:bCs/>
        </w:rPr>
        <w:t xml:space="preserve">C </w:t>
      </w:r>
      <w:r>
        <w:rPr>
          <w:b/>
          <w:bCs/>
          <w:vertAlign w:val="subscript"/>
        </w:rPr>
        <w:t xml:space="preserve">upės </w:t>
      </w:r>
      <w:r>
        <w:rPr>
          <w:b/>
          <w:bCs/>
          <w:smallCaps/>
          <w:vertAlign w:val="subscript"/>
        </w:rPr>
        <w:t>(dlk)</w:t>
      </w:r>
      <w:r>
        <w:rPr>
          <w:smallCaps/>
        </w:rPr>
        <w:t xml:space="preserve"> </w:t>
      </w:r>
      <w:r>
        <w:t>– N arba P DLK priimtuve (reikalavimai gerai priimtuvo būklei), mg/l;</w:t>
      </w:r>
    </w:p>
    <w:p>
      <w:pPr>
        <w:widowControl w:val="0"/>
        <w:ind w:firstLine="709"/>
        <w:jc w:val="both"/>
      </w:pPr>
      <w:r>
        <w:rPr>
          <w:b/>
          <w:bCs/>
        </w:rPr>
        <w:t xml:space="preserve">Q </w:t>
      </w:r>
      <w:r>
        <w:rPr>
          <w:b/>
          <w:bCs/>
          <w:vertAlign w:val="subscript"/>
        </w:rPr>
        <w:t>nuotekų</w:t>
      </w:r>
      <w:r>
        <w:t xml:space="preserve"> – per metus išleidžiamų (planuojamų išleisti) nuotekų kiekis, tūkst. m</w:t>
      </w:r>
      <w:r>
        <w:rPr>
          <w:vertAlign w:val="superscript"/>
        </w:rPr>
        <w:t>3</w:t>
      </w:r>
      <w:r>
        <w:t>/metus;</w:t>
      </w:r>
    </w:p>
    <w:p>
      <w:pPr>
        <w:widowControl w:val="0"/>
        <w:ind w:firstLine="709"/>
        <w:jc w:val="both"/>
      </w:pPr>
      <w:r>
        <w:t>11.3</w:t>
      </w:r>
      <w:r>
        <w:t>. kai nuotekos išleidžiamos (planuojama išleisti) į stovinčio vandens telkinį (ežerą, tvenkinį, Kuršių marias, dirbtinį nepratekamą vandens telkinį), metinė apkrova pagal BDS, N ir P, kuriai esant nebus viršijamas leistinas poveikis priimančiam vandens telkiniui, apskaičiuojama pagal formules:</w:t>
      </w:r>
    </w:p>
    <w:p>
      <w:pPr>
        <w:ind w:firstLine="709"/>
        <w:jc w:val="both"/>
      </w:pPr>
    </w:p>
    <w:p>
      <w:pPr>
        <w:widowControl w:val="0"/>
        <w:tabs>
          <w:tab w:val="left" w:pos="178"/>
        </w:tabs>
        <w:ind w:firstLine="709"/>
        <w:jc w:val="both"/>
      </w:pPr>
      <w:r>
        <w:t>1</w:t>
      </w:r>
      <w:r>
        <w:t>) kai žinomas vandens telkinio tūris:</w:t>
      </w:r>
    </w:p>
    <w:p>
      <w:pPr>
        <w:ind w:firstLine="709"/>
        <w:jc w:val="both"/>
      </w:pPr>
    </w:p>
    <w:p>
      <w:pPr>
        <w:ind w:left="1077" w:firstLine="709"/>
        <w:jc w:val="both"/>
      </w:pPr>
      <w:r>
        <w:rPr>
          <w:lang w:eastAsia="lt-LT"/>
        </w:rPr>
        <w:drawing>
          <wp:inline distT="0" distB="0" distL="0" distR="0">
            <wp:extent cx="1381125" cy="361950"/>
            <wp:effectExtent l="0" t="0" r="952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81125" cy="361950"/>
                    </a:xfrm>
                    <a:prstGeom prst="rect">
                      <a:avLst/>
                    </a:prstGeom>
                    <a:noFill/>
                  </pic:spPr>
                </pic:pic>
              </a:graphicData>
            </a:graphic>
          </wp:inline>
        </w:drawing>
      </w:r>
    </w:p>
    <w:p>
      <w:pPr>
        <w:ind w:firstLine="709"/>
        <w:jc w:val="both"/>
      </w:pPr>
    </w:p>
    <w:p>
      <w:pPr>
        <w:widowControl w:val="0"/>
        <w:tabs>
          <w:tab w:val="left" w:pos="178"/>
        </w:tabs>
        <w:ind w:firstLine="709"/>
        <w:jc w:val="both"/>
      </w:pPr>
      <w:r>
        <w:t>2</w:t>
      </w:r>
      <w:r>
        <w:t>) kai žinomas tik vandens telkinio plotas:</w:t>
      </w:r>
    </w:p>
    <w:p>
      <w:pPr>
        <w:ind w:firstLine="709"/>
        <w:jc w:val="both"/>
      </w:pPr>
    </w:p>
    <w:p>
      <w:pPr>
        <w:ind w:left="1077" w:firstLine="709"/>
        <w:jc w:val="both"/>
      </w:pPr>
      <w:r>
        <w:rPr>
          <w:lang w:eastAsia="lt-LT"/>
        </w:rPr>
        <w:drawing>
          <wp:inline distT="0" distB="0" distL="0" distR="0">
            <wp:extent cx="1352550" cy="36195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52550" cy="361950"/>
                    </a:xfrm>
                    <a:prstGeom prst="rect">
                      <a:avLst/>
                    </a:prstGeom>
                    <a:noFill/>
                  </pic:spPr>
                </pic:pic>
              </a:graphicData>
            </a:graphic>
          </wp:inline>
        </w:drawing>
      </w:r>
    </w:p>
    <w:p>
      <w:pPr>
        <w:widowControl w:val="0"/>
        <w:ind w:firstLine="709"/>
        <w:jc w:val="both"/>
      </w:pPr>
    </w:p>
    <w:p>
      <w:pPr>
        <w:widowControl w:val="0"/>
        <w:ind w:firstLine="709"/>
        <w:jc w:val="both"/>
      </w:pPr>
      <w:r>
        <w:t>Šiose formulėse:</w:t>
      </w:r>
    </w:p>
    <w:p>
      <w:pPr>
        <w:widowControl w:val="0"/>
        <w:ind w:firstLine="709"/>
        <w:jc w:val="both"/>
      </w:pPr>
      <w:r>
        <w:rPr>
          <w:b/>
          <w:bCs/>
        </w:rPr>
        <w:t>T</w:t>
      </w:r>
      <w:r>
        <w:rPr>
          <w:b/>
          <w:bCs/>
          <w:vertAlign w:val="subscript"/>
        </w:rPr>
        <w:t>n</w:t>
      </w:r>
      <w:r>
        <w:t xml:space="preserve"> – metinė apkrova BDS, N arba P, kuriai esant nebus viršytas leistinas poveikis priimančiam vandens telkiniui, t/metus;</w:t>
      </w:r>
    </w:p>
    <w:p>
      <w:pPr>
        <w:widowControl w:val="0"/>
        <w:ind w:firstLine="709"/>
        <w:jc w:val="both"/>
      </w:pPr>
      <w:r>
        <w:rPr>
          <w:b/>
          <w:bCs/>
        </w:rPr>
        <w:t xml:space="preserve">V </w:t>
      </w:r>
      <w:r>
        <w:rPr>
          <w:b/>
          <w:bCs/>
          <w:vertAlign w:val="subscript"/>
        </w:rPr>
        <w:t>telkinio</w:t>
      </w:r>
      <w:r>
        <w:t xml:space="preserve"> – telkinio tūris, tūkst. m</w:t>
      </w:r>
      <w:r>
        <w:rPr>
          <w:vertAlign w:val="superscript"/>
        </w:rPr>
        <w:t>3</w:t>
      </w:r>
      <w:r>
        <w:t xml:space="preserve"> (jeigu vandens telkinio tūris didesnis kaip 5000 tūkst. m</w:t>
      </w:r>
      <w:r>
        <w:rPr>
          <w:vertAlign w:val="superscript"/>
        </w:rPr>
        <w:t>3</w:t>
      </w:r>
      <w:r>
        <w:t>, skaičiavimui priimamas 5000 tūkst. m</w:t>
      </w:r>
      <w:r>
        <w:rPr>
          <w:vertAlign w:val="superscript"/>
        </w:rPr>
        <w:t>3</w:t>
      </w:r>
      <w:r>
        <w:t>);</w:t>
      </w:r>
    </w:p>
    <w:p>
      <w:pPr>
        <w:widowControl w:val="0"/>
        <w:ind w:firstLine="709"/>
        <w:jc w:val="both"/>
      </w:pPr>
      <w:r>
        <w:rPr>
          <w:b/>
          <w:bCs/>
        </w:rPr>
        <w:t xml:space="preserve">C </w:t>
      </w:r>
      <w:r>
        <w:rPr>
          <w:b/>
          <w:bCs/>
          <w:vertAlign w:val="subscript"/>
        </w:rPr>
        <w:t>telkinio</w:t>
      </w:r>
      <w:r>
        <w:t xml:space="preserve"> – didžiausia leistina atitinkamai BDS, N arba P koncentracija vandens telkinyje (reikalavimai gerai priimtuvo būklei), (mg/l);</w:t>
      </w:r>
    </w:p>
    <w:p>
      <w:pPr>
        <w:widowControl w:val="0"/>
        <w:ind w:firstLine="709"/>
        <w:jc w:val="both"/>
      </w:pPr>
      <w:r>
        <w:rPr>
          <w:b/>
          <w:bCs/>
        </w:rPr>
        <w:t xml:space="preserve">F </w:t>
      </w:r>
      <w:r>
        <w:rPr>
          <w:b/>
          <w:bCs/>
          <w:vertAlign w:val="subscript"/>
        </w:rPr>
        <w:t>telkinio</w:t>
      </w:r>
      <w:r>
        <w:t xml:space="preserve"> – telkinio plotas, ha (jeigu vandens telkinio plotas didesnis kaip 100 ha, skaičiavimui priimamas 100 ha).</w:t>
      </w:r>
    </w:p>
    <w:p>
      <w:pPr>
        <w:widowControl w:val="0"/>
        <w:ind w:firstLine="709"/>
        <w:jc w:val="both"/>
      </w:pPr>
      <w:r>
        <w:t>Iš visų taškinių taršos šaltinių į stovinčio vandens telkinį išleidžiamo teršalo kiekio suma neturi viršyti teršalo kiekio (apkrovos), apskaičiuoto pagal aukščiau nurodytas formules;</w:t>
      </w:r>
    </w:p>
    <w:p>
      <w:pPr>
        <w:widowControl w:val="0"/>
        <w:ind w:firstLine="709"/>
        <w:jc w:val="both"/>
      </w:pPr>
      <w:r>
        <w:t>11.4</w:t>
      </w:r>
      <w:r>
        <w:t>. pagal 11.2 arba 11.3 punktus nustatytą leistiną apkrovą (t/metus), kuriai esant nedaromas neigiamas poveikis vandens telkiniui (priimtuvui), padalijus iš planuojamo per metus išleisti nuotekų kiekio (pvz., projektinio našumo), gaunama priimtuvui priimtina vidutinė metinė teršalo koncentracija nuotekose. Didžiausia vidutinio paros mėginio arba momentinė teršalo koncentracija, kuriai esant išleidžiamos nuotekos nedarytų neleistino poveikio priimtuvui, gali būti nustatoma 1,5 karto didesnė už vidutinę metinę koncentraciją;</w:t>
      </w:r>
    </w:p>
    <w:p>
      <w:pPr>
        <w:widowControl w:val="0"/>
        <w:ind w:firstLine="709"/>
        <w:jc w:val="both"/>
      </w:pPr>
      <w:r>
        <w:t>11.5</w:t>
      </w:r>
      <w:r>
        <w:t>. leistinas poveikis priimančiam vandens telkiniui gali būti nustatomas naudojant ir kitus metodus, negu nurodyti 11.2, 11.3 punktuose (pvz., matematinį modeliavimą ar pan.), kurie detaliau įvertintų konkretaus priimančio vandens telkinio specifiką (foninį užterštumą srovės greitį, gylį, apsivalymo galimybes, vandens apykaitą stovinčio vandens telkinyje ar pan.);</w:t>
      </w:r>
    </w:p>
    <w:p>
      <w:pPr>
        <w:widowControl w:val="0"/>
        <w:ind w:firstLine="709"/>
        <w:jc w:val="both"/>
      </w:pPr>
      <w:r>
        <w:t>11.6</w:t>
      </w:r>
      <w:r>
        <w:t xml:space="preserve">. jeigu pagal 11.2, 11.3, 11.4 arba 11.5 punktus konkrečiam priimtuvui apskaičiuota priimtina teršalo koncentracija nuotekose yra mažesnė už </w:t>
      </w:r>
      <w:r>
        <w:rPr>
          <w:color w:val="000000"/>
        </w:rPr>
        <w:t>2 lentelėje nurodytą vidutinę metinę</w:t>
      </w:r>
      <w:r>
        <w:t xml:space="preserve"> DLK, turi būti taikomos (leidime, projekte ar pan. nustatant LK) pagal 11.2, 11.4 arba 11.5 punktus apskaičiuotos (konkrečiam priimtuvui priimtinos) koncentracijos. Nustatant reikalavimus buitinių arba komunalinių nuotekų išleidimui, LK negali būti griežtesnė už 2 lentelėje nustatytą didžiausią išvalymo laipsnį. Taip pat LT negali viršyti pagal 11.2, 11.3 arba 11.5 apskaičiuotos priimtinos priimtuvui apkrovos, išskyrus atvejus, kai buitinių ar komunalinių nuotekų išleidimui LK nustatyta lygi 2 lentelėje nustatytam didžiausiam išvalymo laipsniui.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ind w:firstLine="709"/>
        <w:jc w:val="both"/>
      </w:pPr>
      <w:r>
        <w:t>12</w:t>
      </w:r>
      <w:r>
        <w:t>. Planuojamų išleisti nuotekų kiekis (debitas) nėra reglamentuojamas (išskyrus atvejus, kai išleidžiamų nuotekų kiekį riboja priimtuvo hidraulinės galimybės). Leidime nuotekoms išleisti nuotekų kiekis nurodomas toks, kokio pageidauja veiklos vykdytojas, arba visai nenormuojamas (pagal faktą). Bet kokiu atveju nuotekų gali būti išleista tiek, kad nebūtų viršijama LT (tai yra kuo mažesnė teršalų koncentracija, tuo daugiau nuotekų gali būti išleista).</w:t>
      </w:r>
    </w:p>
    <w:p>
      <w:pPr>
        <w:widowControl w:val="0"/>
        <w:ind w:firstLine="709"/>
        <w:jc w:val="both"/>
      </w:pPr>
      <w:r>
        <w:t>13</w:t>
      </w:r>
      <w:r>
        <w:t>. Į gamtinę aplinką išleidžiamos nuotekos turi atitikti 1 lentelėje nurodytas sąlygas.</w:t>
      </w:r>
    </w:p>
    <w:p>
      <w:pPr>
        <w:ind w:firstLine="709"/>
        <w:jc w:val="both"/>
      </w:pPr>
    </w:p>
    <w:p>
      <w:pPr>
        <w:widowControl w:val="0"/>
        <w:ind w:firstLine="709"/>
        <w:jc w:val="both"/>
      </w:pPr>
      <w:r>
        <w:rPr>
          <w:b/>
          <w:bCs/>
        </w:rPr>
        <w:t>1 lentelė. Bendrieji reikalavimai į gamtinę aplinką išleidžiamoms nuotekoms</w:t>
      </w:r>
    </w:p>
    <w:p>
      <w:pPr>
        <w:ind w:firstLine="709"/>
      </w:pPr>
    </w:p>
    <w:tbl>
      <w:tblPr>
        <w:tblW w:w="9637" w:type="dxa"/>
        <w:tblLayout w:type="fixed"/>
        <w:tblCellMar>
          <w:left w:w="40" w:type="dxa"/>
          <w:right w:w="40" w:type="dxa"/>
        </w:tblCellMar>
        <w:tblLook w:val="0000" w:firstRow="0" w:lastRow="0" w:firstColumn="0" w:lastColumn="0" w:noHBand="0" w:noVBand="0"/>
      </w:tblPr>
      <w:tblGrid>
        <w:gridCol w:w="3429"/>
        <w:gridCol w:w="2608"/>
        <w:gridCol w:w="3600"/>
      </w:tblGrid>
      <w:tr>
        <w:trPr>
          <w:cantSplit/>
          <w:trHeight w:val="20"/>
        </w:trPr>
        <w:tc>
          <w:tcPr>
            <w:tcW w:w="325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Parametras</w:t>
            </w:r>
          </w:p>
        </w:tc>
        <w:tc>
          <w:tcPr>
            <w:tcW w:w="247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Matavimo vienetas</w:t>
            </w:r>
          </w:p>
        </w:tc>
        <w:tc>
          <w:tcPr>
            <w:tcW w:w="34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Ribinė vertė</w:t>
            </w:r>
            <w:r>
              <w:rPr>
                <w:b/>
                <w:bCs/>
                <w:sz w:val="20"/>
                <w:vertAlign w:val="superscript"/>
              </w:rPr>
              <w:t>3</w:t>
            </w:r>
          </w:p>
        </w:tc>
      </w:tr>
      <w:tr>
        <w:trPr>
          <w:cantSplit/>
          <w:trHeight w:val="20"/>
        </w:trPr>
        <w:tc>
          <w:tcPr>
            <w:tcW w:w="3256"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709"/>
              <w:rPr>
                <w:sz w:val="20"/>
              </w:rPr>
            </w:pPr>
            <w:r>
              <w:rPr>
                <w:sz w:val="20"/>
              </w:rPr>
              <w:t>Maksimali temperatūra</w:t>
            </w:r>
          </w:p>
        </w:tc>
        <w:tc>
          <w:tcPr>
            <w:tcW w:w="247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°C</w:t>
            </w:r>
          </w:p>
        </w:tc>
        <w:tc>
          <w:tcPr>
            <w:tcW w:w="34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ne didesnė kaip 30</w:t>
            </w:r>
            <w:r>
              <w:rPr>
                <w:sz w:val="20"/>
                <w:vertAlign w:val="superscript"/>
              </w:rPr>
              <w:t>1</w:t>
            </w:r>
          </w:p>
        </w:tc>
      </w:tr>
      <w:tr>
        <w:trPr>
          <w:cantSplit/>
          <w:trHeight w:val="20"/>
        </w:trPr>
        <w:tc>
          <w:tcPr>
            <w:tcW w:w="3256"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709"/>
              <w:rPr>
                <w:sz w:val="20"/>
              </w:rPr>
            </w:pPr>
            <w:r>
              <w:rPr>
                <w:sz w:val="20"/>
              </w:rPr>
              <w:t>pH</w:t>
            </w:r>
            <w:r>
              <w:rPr>
                <w:sz w:val="20"/>
                <w:vertAlign w:val="superscript"/>
              </w:rPr>
              <w:t>2</w:t>
            </w:r>
          </w:p>
        </w:tc>
        <w:tc>
          <w:tcPr>
            <w:tcW w:w="247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w:t>
            </w:r>
          </w:p>
        </w:tc>
        <w:tc>
          <w:tcPr>
            <w:tcW w:w="34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6,5–8,5</w:t>
            </w:r>
          </w:p>
        </w:tc>
      </w:tr>
      <w:tr>
        <w:trPr>
          <w:cantSplit/>
          <w:trHeight w:val="20"/>
        </w:trPr>
        <w:tc>
          <w:tcPr>
            <w:tcW w:w="3256"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709"/>
              <w:rPr>
                <w:sz w:val="20"/>
              </w:rPr>
            </w:pPr>
            <w:r>
              <w:rPr>
                <w:sz w:val="20"/>
              </w:rPr>
              <w:t>Mineralizacija</w:t>
            </w:r>
          </w:p>
        </w:tc>
        <w:tc>
          <w:tcPr>
            <w:tcW w:w="247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g/l</w:t>
            </w:r>
          </w:p>
        </w:tc>
        <w:tc>
          <w:tcPr>
            <w:tcW w:w="34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ne didesnė kaip 2</w:t>
            </w:r>
          </w:p>
        </w:tc>
      </w:tr>
      <w:tr>
        <w:trPr>
          <w:cantSplit/>
          <w:trHeight w:val="20"/>
        </w:trPr>
        <w:tc>
          <w:tcPr>
            <w:tcW w:w="9150"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ind w:firstLine="709"/>
              <w:rPr>
                <w:sz w:val="20"/>
              </w:rPr>
            </w:pPr>
            <w:r>
              <w:rPr>
                <w:sz w:val="20"/>
              </w:rPr>
              <w:t xml:space="preserve">Nuotekos negali būti toksiškos </w:t>
            </w:r>
            <w:r>
              <w:rPr>
                <w:sz w:val="20"/>
                <w:vertAlign w:val="superscript"/>
              </w:rPr>
              <w:t>4</w:t>
            </w:r>
          </w:p>
        </w:tc>
      </w:tr>
    </w:tbl>
    <w:p>
      <w:pPr>
        <w:ind w:firstLine="709"/>
      </w:pPr>
    </w:p>
    <w:p>
      <w:pPr>
        <w:widowControl w:val="0"/>
        <w:ind w:firstLine="709"/>
        <w:jc w:val="both"/>
      </w:pPr>
      <w:r>
        <w:t>Pastabos:</w:t>
      </w:r>
    </w:p>
    <w:p>
      <w:pPr>
        <w:widowControl w:val="0"/>
        <w:ind w:left="360" w:firstLine="709"/>
        <w:jc w:val="both"/>
      </w:pPr>
      <w:r>
        <w:rPr>
          <w:vertAlign w:val="superscript"/>
        </w:rPr>
        <w:t xml:space="preserve">1 </w:t>
      </w:r>
      <w:r>
        <w:t>Jeigu dėl išleidžiamų nuotekų temperatūros bus pažeidžiami kitų teisės aktų reikalavimai ir/arba nuotekose yra lakiųjų medžiagų, gali būti reikalaujama išleisti žemesnės temperatūros nuotekas.</w:t>
      </w:r>
    </w:p>
    <w:p>
      <w:pPr>
        <w:widowControl w:val="0"/>
        <w:ind w:left="360" w:firstLine="709"/>
        <w:jc w:val="both"/>
      </w:pPr>
      <w:r>
        <w:rPr>
          <w:vertAlign w:val="superscript"/>
        </w:rPr>
        <w:t xml:space="preserve">2 </w:t>
      </w:r>
      <w:r>
        <w:t>Turėtų būti stebima ilgesnį laiką pvz., 14 dienų. Momentinės pH vertės 4÷6,4 ir 8,4÷10 leistinos, jei jų trukmė per vieną valandą neviršija 6 min. (10 % laiko).</w:t>
      </w:r>
    </w:p>
    <w:p>
      <w:pPr>
        <w:widowControl w:val="0"/>
        <w:ind w:left="360" w:firstLine="709"/>
        <w:jc w:val="both"/>
      </w:pPr>
      <w:r>
        <w:rPr>
          <w:vertAlign w:val="superscript"/>
        </w:rPr>
        <w:t xml:space="preserve">3 </w:t>
      </w:r>
      <w:r>
        <w:t>Vertės, kurių reikia laikytis, jeigu kituose teisės aktuose nenustatyti griežtesni reikalavimai.</w:t>
      </w:r>
    </w:p>
    <w:p>
      <w:pPr>
        <w:widowControl w:val="0"/>
        <w:ind w:left="360" w:firstLine="709"/>
        <w:jc w:val="both"/>
      </w:pPr>
      <w:r>
        <w:rPr>
          <w:vertAlign w:val="superscript"/>
        </w:rPr>
        <w:t xml:space="preserve">4 </w:t>
      </w:r>
      <w:r>
        <w:t>Vertinamas ūminis toksinis poveikis dafnijoms (aplinkos ministro 2002 m. sausio 3 d. įsakymas Nr. 4 „Dėl aplinkos apsaugos normatyvinio dokumento LAND 45-2001 patvirtinimo“).</w:t>
      </w:r>
    </w:p>
    <w:p>
      <w:pPr>
        <w:widowControl w:val="0"/>
        <w:ind w:firstLine="709"/>
      </w:pPr>
    </w:p>
    <w:p>
      <w:pPr>
        <w:widowControl w:val="0"/>
        <w:suppressAutoHyphens/>
        <w:ind w:firstLine="709"/>
        <w:jc w:val="both"/>
      </w:pPr>
      <w:r>
        <w:rPr>
          <w:color w:val="000000"/>
        </w:rPr>
        <w:t>14</w:t>
      </w:r>
      <w:r>
        <w:rPr>
          <w:color w:val="000000"/>
        </w:rPr>
        <w:t>. Vandens naudotojai ar abonentai į gamtinę aplinką ar į nuotakyną išleidžiantys nuotekas, kuriose yra pavojingų medžiagų, privalo laikytis šio Reglamento 1 ir/ar 2 prieduose bei kituose teisės aktuose nustatytų reikalavimų šioms medžiagoms išleisti (atitinkamai DLK į aplinką arba DLK į nuotakyną) nepriklausomai nuo išleidžiamų nuotekų kiekio, išskyrus šiame Reglamente numatytas išimtis.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10FB677ADD">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2010-05-18,
Žin., 2010, Nr.
59-2938 (2010-05-22), i. k. 110301MISAK00D1-416            </w:t>
      </w:r>
    </w:p>
    <w:p/>
    <w:p>
      <w:pPr>
        <w:widowControl w:val="0"/>
        <w:suppressAutoHyphens/>
        <w:ind w:firstLine="709"/>
        <w:jc w:val="both"/>
      </w:pPr>
      <w:r>
        <w:rPr>
          <w:color w:val="000000"/>
        </w:rPr>
        <w:t>14</w:t>
      </w:r>
      <w:r>
        <w:rPr>
          <w:color w:val="000000"/>
          <w:vertAlign w:val="superscript"/>
        </w:rPr>
        <w:t>1</w:t>
      </w:r>
      <w:r>
        <w:rPr>
          <w:color w:val="000000"/>
        </w:rPr>
        <w:t>. Vandens naudotojai ar veiklos vykdytojai, išleidžiantys nuotekas į gamtinę aplinką ar į nuotakyną, privalo nustatyti, kiek ir kokių pavojingų medžiagų, nurodytų Reglamento 1 priede ir/ar 2 priedo A dalyje ir/ar B dalies B1 sąraše, išleidžiama su nuotekomis. Pavojingos medžiagos išleidžiamose nuotekose inventorizuojamos pagal jų naudojimą ir/ar vykdomos veiklos pobūdį. Veiklos vykdytojas, kuris savo veikloje naudoja Reglamento 1 priede ir/ar 2 priedo A dalyje ir/ar B dalies B1 sąraše nurodytas medžiagas, turi nustatyti tokių medžiagų patekimo į nuotekas galimybes ir kiekį skaičiavimo ir/ar matavimo būdu. Į gamtinę aplinką išleidžiamose komunalinėse nuotekose pavojingos medžiagos, nurodytos Reglamento 1 priede ir/ar 2 priedo A dalyje ir/ar B dalies B1 sąraše, inventorizuojamos pagal abonentų, išleidžiančių gamybines nuotekas, pateikiamą informaciją ir/ar abonentų veiklos pobūdį, ir/ar matavimo būdu.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10FB677ADD">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2010-05-18,
Žin., 2010, Nr.
59-2938 (2010-05-22), i. k. 110301MISAK00D1-416        </w:t>
      </w:r>
    </w:p>
    <w:p/>
    <w:p>
      <w:pPr>
        <w:widowControl w:val="0"/>
        <w:suppressAutoHyphens/>
        <w:ind w:firstLine="709"/>
        <w:jc w:val="both"/>
      </w:pPr>
      <w:r>
        <w:rPr>
          <w:color w:val="000000"/>
        </w:rPr>
        <w:t>15</w:t>
      </w:r>
      <w:r>
        <w:rPr>
          <w:color w:val="000000"/>
        </w:rPr>
        <w:t xml:space="preserve">. Išleisti nuotekas (nepriklausomai nuo nuotekų kiekio/debito), kuriose prioritetinių medžiagų koncentracija yra lygi arba didesnė už šio Reglamento 2 priedo A dalyje nurodytą „Ribinė koncentracija į gamtinę aplinką“ vertę ir/ar kuriose yra prioritetinių pavojingų medžiagų (nepriklausomai nuo išleidžiamų prioritetinių pavojingų medžiagų kiekio), leidžiama tik turint leidimą, kuriame nustatyti reikalavimai tokių medžiagų išleidimui. Siekiant geros paviršinių vandens telkinių būklės ir užtikrinant, kad prioritetinių medžiagų koncentracija nuosėdose ir (arba) atitinkamose biotose nedidėtų, draudžiama pradėti naują veiklą (arba keisti esamą), dėl kurios su nuotekomis </w:t>
      </w:r>
      <w:r>
        <w:rPr>
          <w:color w:val="000000"/>
          <w:spacing w:val="4"/>
        </w:rPr>
        <w:t xml:space="preserve">būtų išleidžiamos (į gamtinę aplinką arba nuotakyną) </w:t>
      </w:r>
      <w:r>
        <w:rPr>
          <w:color w:val="000000"/>
          <w:spacing w:val="2"/>
        </w:rPr>
        <w:t xml:space="preserve">prioritetinės medžiagos. Esamas 2 priedo A </w:t>
      </w:r>
      <w:r>
        <w:rPr>
          <w:color w:val="000000"/>
        </w:rPr>
        <w:t>dalyje nurodytų prioritetinių medžiagų išleidimas su nuotekomis turi būti mažinamas,</w:t>
      </w:r>
      <w:r>
        <w:rPr>
          <w:b/>
          <w:bCs/>
          <w:color w:val="000000"/>
        </w:rPr>
        <w:t xml:space="preserve"> </w:t>
      </w:r>
      <w:r>
        <w:rPr>
          <w:color w:val="000000"/>
        </w:rPr>
        <w:t>o 1</w:t>
      </w:r>
      <w:r>
        <w:rPr>
          <w:b/>
          <w:bCs/>
          <w:color w:val="000000"/>
        </w:rPr>
        <w:t xml:space="preserve"> </w:t>
      </w:r>
      <w:r>
        <w:rPr>
          <w:color w:val="000000"/>
        </w:rPr>
        <w:t xml:space="preserve">priede nurodytų prioritetinių pavojingų medžiagų išleidimas </w:t>
      </w:r>
      <w:r>
        <w:rPr>
          <w:b/>
          <w:bCs/>
          <w:color w:val="000000"/>
        </w:rPr>
        <w:t xml:space="preserve">– </w:t>
      </w:r>
      <w:r>
        <w:rPr>
          <w:color w:val="000000"/>
        </w:rPr>
        <w:t>palaipsniui nutrauktas.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10FB677ADD">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2010-05-18,
Žin., 2010, Nr.
59-2938 (2010-05-22), i. k. 110301MISAK00D1-416            </w:t>
      </w:r>
    </w:p>
    <w:p/>
    <w:p>
      <w:pPr>
        <w:widowControl w:val="0"/>
        <w:ind w:firstLine="709"/>
        <w:jc w:val="both"/>
      </w:pPr>
      <w:r>
        <w:t>16</w:t>
      </w:r>
      <w:r>
        <w:t xml:space="preserve">. Leidime nuotekoms išleisti ar nuotekų tvarkymo paslaugų teikimo sutartyje normatyvai (LT, LK) konkrečios pavojingos medžiagos išleidimui nustatomi (medžiagos išleidimas reglamentuojamas), jeigu 2 priede nurodytos pavojingos medžiagos koncentracija (didžiausia momentinė arba paros mėginio koncentracija) nuotekose didesnė už šio Reglamento 2 priede nustatytą ribinę koncentraciją (atitinkamai išleidimui į gamtinę aplinką arba į nuotakyną). 2 priede nenurodytų pavojingų medžiagų bei pavojingų medžiagų, kurioms nenustatytos ribinės koncentracijos, išleidimas turi būti reglamentuojamas, jeigu jų koncentracija nuotekose viršija taikomo laboratorinės kontrolės metodo aptikimo ribą. Nuotekas išleidžiančio asmens pageidavimu, pavojingos medžiagos normatyvai ir reikalavimai laboratorinei kontrolei leidime nuotekoms išleisti gali būti panaikinti (nustatyta tvarka koreguojant leidimą), jeigu per metus laiko (bet ne mažiau kaip 5 laboratoriniai tyrimai </w:t>
      </w:r>
      <w:r>
        <w:rPr>
          <w:color w:val="000000"/>
        </w:rPr>
        <w:t xml:space="preserve">(bent vienas iš jų valstybės laboratorinės kontrolės) </w:t>
      </w:r>
      <w:r>
        <w:t>iš eilės) išleidžiamose nuotekose nebuvo nustatytas pavojingos medžiagos 2 priede nustatytos ribinės koncentracijos viršijimas arba tokia medžiaga nebuvo aptikta (jeigu pavojinga medžiaga nenurodyta 2 priede arba jai nenustatyta ribinė koncentracija).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ind w:firstLine="709"/>
        <w:jc w:val="both"/>
      </w:pPr>
      <w:r>
        <w:t>17</w:t>
      </w:r>
      <w:r>
        <w:t xml:space="preserve">. Konkrečios </w:t>
      </w:r>
      <w:r>
        <w:rPr>
          <w:color w:val="000000"/>
        </w:rPr>
        <w:t>pavojingos medžiagos</w:t>
      </w:r>
      <w:r>
        <w:t xml:space="preserve"> vidutinė metinė koncentracija nuotekose, išleidžiamose į gamtinę aplinką ar į nuotakyną negali viršyti atitinkamai šio Reglamento 1 ir/ar 2 prieduose nurodytų DLK išleidimui į gamtinę aplinką arba į nuotakyną o maksimali momentinė arba vidutinio paros mėginio koncentracija negali viršyti vidutinės metinės DLK daugiau kaip 100 % (2 x DLK), jeigu tai nepažeidžia 8 punkte nustatytų reikalavimų.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ind w:firstLine="709"/>
        <w:jc w:val="both"/>
      </w:pPr>
      <w:r>
        <w:t>18</w:t>
      </w:r>
      <w:r>
        <w:t>. Regionų aplinkos apsaugos departamentai, išduodami leidimus nuotekoms išleisti į gamtinę aplinką gali laikinai (konkrečiam aplinkos apsaugos priemonių įgyvendinimo laikotarpiui) nustatyti LLT, LLK teršalams, nurodytiems šio Reglamento 2-oje lentelėje ir 2 priedo B dalyje (B1 ir B2). Šio Reglamento 1 priede ir 2 priedo A dalyje nurodytiems teršalams LLT, LLK nustatyti neleidžiama.</w:t>
      </w:r>
    </w:p>
    <w:p>
      <w:pPr>
        <w:widowControl w:val="0"/>
        <w:ind w:firstLine="709"/>
        <w:jc w:val="both"/>
      </w:pPr>
      <w:r>
        <w:t>19</w:t>
      </w:r>
      <w:r>
        <w:t xml:space="preserve">. Draudžiama į požeminius vandenis tiesiogiai ar netiesiogiai (pvz., infiltruojant į gruntą) kartu su nuotekomis išleisti </w:t>
      </w:r>
      <w:r>
        <w:rPr>
          <w:color w:val="000000"/>
        </w:rPr>
        <w:t>prioritetines medžiagas.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ind w:firstLine="709"/>
        <w:jc w:val="both"/>
      </w:pPr>
      <w:r>
        <w:t>20</w:t>
      </w:r>
      <w:r>
        <w:t>. Veiklos vykdytojas, savo veikloje naudojantis chemines medžiagas ir preparatus, kurie su nuotekomis patenka arba gali patekti į nuotakyną arba į gamtinę aplinką turi vadovautis konkrečios cheminės medžiagos ar preparato saugos duomenų lapo nuostatomis, jeigu šiame Reglamente arba kituose teisės aktuose medžiagai ar preparatui nenustatyti kitokie reikalavimai. Apie su nuotekomis išleidžiamas (planuojamas išleisti) medžiagas ir preparatus, kurių išleidimas nereglamentuotas teisės aktuose, tačiau kurių saugos duomenų lapuose nurodomas pavojingumas (kenksmingumas) aplinkai ir žmogui, būtina informuoti atitinkamai RAAD arba nuotekų tvarkymo sistemos operatorių (tais atvejais, kai nuotekos išleidžiamos į nuotakyną). RAAD arba nuotekų tvarkymo sistemos operatorius nustato sąlygas tokių medžiagų išleidimui.</w:t>
      </w:r>
    </w:p>
    <w:p>
      <w:pPr>
        <w:widowControl w:val="0"/>
        <w:ind w:firstLine="709"/>
        <w:jc w:val="both"/>
      </w:pPr>
      <w:r>
        <w:t>21</w:t>
      </w:r>
      <w:r>
        <w:t>. Leidimo dalis, kurioje nustatytos prioritetinių pavojingų ir/ar 2 priedo A ir B1 dalyse nurodytų pavojingų medžiagų ribinės vertės ir sąlygos šioms medžiagoms išleisti su nuotekomis, turi būti peržiūrima ne rečiau kaip kas ketveri metai.</w:t>
      </w:r>
    </w:p>
    <w:p>
      <w:pPr>
        <w:widowControl w:val="0"/>
        <w:ind w:firstLine="709"/>
        <w:jc w:val="both"/>
      </w:pPr>
      <w:r>
        <w:t>22</w:t>
      </w:r>
      <w:r>
        <w:t>. Nuotekos, išleidžiamos į nuotakyną ar į gamtinę aplinką bei jų poveikis gamtinei aplinkai turi būti kontroliuojami teisės aktų nustatyta tvarka (vykdomi nustatytus reikalavimus atitinkantys matavimai).</w:t>
      </w:r>
    </w:p>
    <w:p>
      <w:pPr>
        <w:widowControl w:val="0"/>
        <w:ind w:firstLine="709"/>
        <w:jc w:val="both"/>
      </w:pPr>
      <w:r>
        <w:t>23</w:t>
      </w:r>
      <w:r>
        <w:t>. Tvarkant nuotekas, būtina užtikrinti teisės aktų reikalavimus atitinkantį nuotekų valymo metu susidarančių atliekų tvarkymą.</w:t>
      </w:r>
    </w:p>
    <w:p>
      <w:pPr>
        <w:ind w:firstLine="709"/>
        <w:jc w:val="both"/>
      </w:pPr>
    </w:p>
    <w:p>
      <w:pPr>
        <w:widowControl w:val="0"/>
        <w:jc w:val="center"/>
      </w:pPr>
      <w:r>
        <w:rPr>
          <w:b/>
          <w:bCs/>
        </w:rPr>
        <w:t>IV</w:t>
      </w:r>
      <w:r>
        <w:rPr>
          <w:b/>
          <w:bCs/>
        </w:rPr>
        <w:t xml:space="preserve">. </w:t>
      </w:r>
      <w:r>
        <w:rPr>
          <w:b/>
          <w:bCs/>
        </w:rPr>
        <w:t>BUITINIŲ IR KOMUNALINIŲ NUOTEKŲ TVARKYMAS</w:t>
      </w:r>
    </w:p>
    <w:p>
      <w:pPr>
        <w:ind w:firstLine="709"/>
        <w:jc w:val="both"/>
      </w:pPr>
    </w:p>
    <w:p>
      <w:pPr>
        <w:widowControl w:val="0"/>
        <w:ind w:firstLine="709"/>
        <w:jc w:val="both"/>
      </w:pPr>
      <w:r>
        <w:t>24</w:t>
      </w:r>
      <w:r>
        <w:t>. Kiekvienoje didesnėje kaip 2000 GE aglomeracijoje ne vėliau kaip iki 2009 m. gruodžio 31 d. turi veikti centralizuotoji nuotekų surinkimo sistema, kurios pagalba būtų sudarytos galimybės, teisės aktų nustatyta tvarka ir sąlygomis, surinkti visas aglomeracijoje susidarančias nuotekas išskyrus 25 punkte nustatytas išimtis.</w:t>
      </w:r>
    </w:p>
    <w:p>
      <w:pPr>
        <w:widowControl w:val="0"/>
        <w:ind w:firstLine="709"/>
        <w:jc w:val="both"/>
      </w:pPr>
      <w:r>
        <w:t>25</w:t>
      </w:r>
      <w:r>
        <w:t>. Išimtiniais atvejais, kai centralizuotosios nuotekų surinkimo sistemos įrengimas arba išplėtimas tiek, kad būtų sudarytos sąlygos surinkti visų aglomeracijos teritorijoje esančių objektų nuotekas nėra pateisinamas ekonominiu požiūriu ir nuotekų surinkimo sistemos įrengimo poveikis taršos mažinimo ir prevencijos prasme nereikšmingas, aglomeracijų teritorijoje gali būti taikomos atskirosios arba grupinės buitinių nuotekų tvarkymo sistemos, kurios užtikrintų lygiavertį centralizuotajai nuotekų surinkimo sistemai aplinkos apsaugos lygį (nuotekos kaupiamos ir periodiškai vežamos į aglomeracijos valymo įrenginius, išvalomos iki aglomeracijai nustatytų LK ir išleidžiamos į paviršinius vandens telkinius arba laikantis galiojančių normatyvų infiltruojamos į gruntą).</w:t>
      </w:r>
    </w:p>
    <w:p>
      <w:pPr>
        <w:widowControl w:val="0"/>
        <w:ind w:firstLine="709"/>
        <w:jc w:val="both"/>
      </w:pPr>
      <w:r>
        <w:t>26</w:t>
      </w:r>
      <w:r>
        <w:t>. Atskirąsias buitinių nuotekų tvarkymo sistemas su nuotekų valymu ir valytų nuotekų išleidimu į aplinką, laikantis teisės aktais nustatytų reikalavimų, galima planuoti (įrengti):</w:t>
      </w:r>
    </w:p>
    <w:p>
      <w:pPr>
        <w:widowControl w:val="0"/>
        <w:ind w:firstLine="709"/>
        <w:jc w:val="both"/>
      </w:pPr>
      <w:r>
        <w:t>26.1</w:t>
      </w:r>
      <w:r>
        <w:t>. pavieniams objektams (objektams, nepatenkantiems į aglomeracijų teritorijas ir esantiems mažesnėse kaip dešimties objektų grupėse (sodyboms, fermoms, įmonėms ir pan.)) ir objektams, esantiems dešimties objektų ir didesnėse grupėse, kuriose objektai išsidėstę taip, kad įrengiant centralizuotąsias nuotekų surinkimo arba grupines nuotekų tvarkymo sistemas vienam GE reikėtų įrengti daugiau kaip po 15 m gatvių tinklų (neskaičiuojant įvadų) arba vienam butui reikėtų įrengti daugiau kaip po 45 m gatvių tinklų (neskaičiuojant įvadų) ir(arba) vidutinis atstumas tarp įvadų būtų didesnis kaip 45 m;</w:t>
      </w:r>
    </w:p>
    <w:p>
      <w:pPr>
        <w:widowControl w:val="0"/>
        <w:ind w:firstLine="709"/>
        <w:jc w:val="both"/>
      </w:pPr>
      <w:r>
        <w:t>26.2</w:t>
      </w:r>
      <w:r>
        <w:t>. kaip laikiną nuotekų tvarkymo sprendimą objektuose, esančiuose aglomeracijų teritorijose, didesnėse kaip dešimties objektų grupėse ar sodininkų bendrijų teritorijose, kai centralizuotosios nuotekų surinkimo arba grupinės nuotekų tvarkymo sistemos negali būti įrengtos, iki planuojama pradėti naudoti minėtus objektus. Šiuo atveju leidimai atskirųjų nuotekų tvarkymo sistemų statybai išduodami su sąlyga, kad, atsiradus galimybei, reikės jungtis prie centralizuotųjų nuotekų surinkimo arba grupinių nuotekų tvarkymo sistemų;</w:t>
      </w:r>
    </w:p>
    <w:p>
      <w:pPr>
        <w:widowControl w:val="0"/>
        <w:ind w:firstLine="709"/>
        <w:jc w:val="both"/>
      </w:pPr>
      <w:r>
        <w:t>26.3</w:t>
      </w:r>
      <w:r>
        <w:t>. aglomeracijų ir kitose viešojo vandens tiekimo teritorijose, kai atskirąsias nuotekų tvarkymo sistemas numato įrengti ir eksploatuoti viešasis vandens tiekėjas (aglomeracijų teritorijose, tik kai tenkinamos 25 punkte nustatytos sąlygos).</w:t>
      </w:r>
    </w:p>
    <w:p>
      <w:pPr>
        <w:widowControl w:val="0"/>
        <w:ind w:firstLine="709"/>
        <w:jc w:val="both"/>
      </w:pPr>
      <w:r>
        <w:t>27</w:t>
      </w:r>
      <w:r>
        <w:t>. Atskirąsias nuotekų tvarkymo sistemas su reikalavimus atitinkančiais nuotekų kaupimo rezervuarais, laikantis teisės aktais nustatytų reikalavimų, galima planuoti (įrengti):</w:t>
      </w:r>
    </w:p>
    <w:p>
      <w:pPr>
        <w:widowControl w:val="0"/>
        <w:ind w:firstLine="709"/>
        <w:jc w:val="both"/>
      </w:pPr>
      <w:r>
        <w:t>27.1</w:t>
      </w:r>
      <w:r>
        <w:t>. 26.1 ir 26.2 punktuose nurodytais atvejais, kai nėra galimybių pagal reikalavimus įrengti nuotekų valymo įrenginių ir išleisti nuotekas į aplinką (nepakanka teritorijos valymo įrenginių įrengimui, nėra tinkamo nuotekų priimtuvo, nėra galimybių užtikrinti reikiamą nuotekų išvalymo laipsnį, neišlaikomi sanitariniai atstumai);</w:t>
      </w:r>
    </w:p>
    <w:p>
      <w:pPr>
        <w:widowControl w:val="0"/>
        <w:ind w:firstLine="709"/>
        <w:jc w:val="both"/>
      </w:pPr>
      <w:r>
        <w:t>27.2</w:t>
      </w:r>
      <w:r>
        <w:t>. aglomeracijų ir kitose viešojo vandens tiekimo teritorijose, kai atskirąsias nuotekų tvarkymo sistemas numato įrengti ir eksploatuoti viešasis vandens tiekėjas (aglomeracijų teritorijose, tik kai tenkinamos 25 punkte nustatytos sąlygos).</w:t>
      </w:r>
    </w:p>
    <w:p>
      <w:pPr>
        <w:widowControl w:val="0"/>
        <w:ind w:firstLine="709"/>
        <w:jc w:val="both"/>
      </w:pPr>
      <w:r>
        <w:t>28</w:t>
      </w:r>
      <w:r>
        <w:t>. Grupinės nuotekų tvarkymo sistemos turi būti taikomos planuojant didesnes kaip dešimties objektų grupes ne aglomeracijos teritorijoje (išskyrus objektų grupes, kurios atitinka 26.1 punkte nustatytą išimtį). Aglomeracijų teritorijose esančioms/planuojamoms grupėms objektų galima planuoti grupines nuotekų tvarkymo sistemas, kai esamos aglomeracijų centralizuotosios nuotekų surinkimo sistemos nepajėgios priimti papildomų nuotekų arba nuotekų išleidimas į centralizuotąsias nuotekų surinkimo sistemas negalimas dėl kitų priežasčių taip, kaip nurodyta 25 punkte.</w:t>
      </w:r>
    </w:p>
    <w:p>
      <w:pPr>
        <w:widowControl w:val="0"/>
        <w:ind w:firstLine="709"/>
        <w:jc w:val="both"/>
      </w:pPr>
      <w:r>
        <w:t>29</w:t>
      </w:r>
      <w:r>
        <w:t>. Į gamtinę aplinką išleidžiamų buitinių ir komunalinių nuotekų užterštumas negali viršyti 2 lentelėje nurodytų DLK. Taip pat išleidžiamos komunalinės/buitinės nuotekos turi atitikti kitus III skyriuje nurodytus bendruosius reikalavimus.</w:t>
      </w:r>
    </w:p>
    <w:p>
      <w:pPr>
        <w:ind w:firstLine="709"/>
        <w:jc w:val="both"/>
      </w:pPr>
    </w:p>
    <w:p>
      <w:pPr>
        <w:keepNext/>
        <w:keepLines/>
        <w:ind w:firstLine="709"/>
        <w:jc w:val="both"/>
      </w:pPr>
      <w:r>
        <w:rPr>
          <w:b/>
          <w:bCs/>
        </w:rPr>
        <w:t>2 lentelė. Į gamtinę aplinką išleidžiamų nuotekų užterštumo normos</w:t>
      </w:r>
    </w:p>
    <w:p>
      <w:pPr>
        <w:keepNext/>
        <w:keepLines/>
        <w:ind w:firstLine="709"/>
      </w:pPr>
    </w:p>
    <w:tbl>
      <w:tblPr>
        <w:tblW w:w="9637" w:type="dxa"/>
        <w:tblLayout w:type="fixed"/>
        <w:tblCellMar>
          <w:left w:w="40" w:type="dxa"/>
          <w:right w:w="40" w:type="dxa"/>
        </w:tblCellMar>
        <w:tblLook w:val="0000" w:firstRow="0" w:lastRow="0" w:firstColumn="0" w:lastColumn="0" w:noHBand="0" w:noVBand="0"/>
      </w:tblPr>
      <w:tblGrid>
        <w:gridCol w:w="1384"/>
        <w:gridCol w:w="555"/>
        <w:gridCol w:w="952"/>
        <w:gridCol w:w="1010"/>
        <w:gridCol w:w="1433"/>
        <w:gridCol w:w="1435"/>
        <w:gridCol w:w="1433"/>
        <w:gridCol w:w="1435"/>
      </w:tblGrid>
      <w:tr>
        <w:trPr>
          <w:cantSplit/>
          <w:trHeight w:val="23"/>
        </w:trPr>
        <w:tc>
          <w:tcPr>
            <w:tcW w:w="1320" w:type="dxa"/>
            <w:tcBorders>
              <w:top w:val="single" w:sz="6" w:space="0" w:color="auto"/>
              <w:left w:val="single" w:sz="6" w:space="0" w:color="auto"/>
              <w:bottom w:val="single" w:sz="6" w:space="0" w:color="auto"/>
              <w:right w:val="single" w:sz="6" w:space="0" w:color="auto"/>
            </w:tcBorders>
            <w:shd w:val="clear" w:color="auto" w:fill="FFFFFF"/>
          </w:tcPr>
          <w:p>
            <w:pPr>
              <w:rPr>
                <w:sz w:val="20"/>
              </w:rPr>
            </w:pPr>
            <w:r>
              <w:rPr>
                <w:b/>
                <w:bCs/>
                <w:sz w:val="20"/>
              </w:rPr>
              <w:t>Parametrai</w:t>
            </w:r>
          </w:p>
        </w:tc>
        <w:tc>
          <w:tcPr>
            <w:tcW w:w="1437" w:type="dxa"/>
            <w:gridSpan w:val="2"/>
            <w:tcBorders>
              <w:top w:val="single" w:sz="6" w:space="0" w:color="auto"/>
              <w:left w:val="single" w:sz="6" w:space="0" w:color="auto"/>
              <w:bottom w:val="single" w:sz="6" w:space="0" w:color="auto"/>
              <w:right w:val="single" w:sz="6" w:space="0" w:color="auto"/>
            </w:tcBorders>
            <w:shd w:val="clear" w:color="auto" w:fill="FFFFFF"/>
          </w:tcPr>
          <w:p>
            <w:pPr>
              <w:rPr>
                <w:sz w:val="20"/>
              </w:rPr>
            </w:pPr>
            <w:r>
              <w:rPr>
                <w:b/>
                <w:bCs/>
                <w:sz w:val="20"/>
              </w:rPr>
              <w:t>Aglomeracijos (išleidžiamų nuotekų kiekis/taršos šaltinio) dydis</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rPr>
                <w:sz w:val="20"/>
              </w:rPr>
            </w:pPr>
            <w:r>
              <w:rPr>
                <w:b/>
                <w:bCs/>
                <w:sz w:val="20"/>
              </w:rPr>
              <w:t>Matavimo vienetas</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rPr>
                <w:sz w:val="20"/>
              </w:rPr>
            </w:pPr>
            <w:r>
              <w:rPr>
                <w:b/>
                <w:bCs/>
                <w:sz w:val="20"/>
              </w:rPr>
              <w:t>Vidutinio paros mėginio</w:t>
            </w:r>
            <w:r>
              <w:rPr>
                <w:b/>
                <w:bCs/>
                <w:sz w:val="20"/>
                <w:vertAlign w:val="superscript"/>
              </w:rPr>
              <w:t>1</w:t>
            </w:r>
            <w:r>
              <w:rPr>
                <w:b/>
                <w:bCs/>
                <w:sz w:val="20"/>
              </w:rPr>
              <w:t xml:space="preserve"> DLK (didžiausias išvalymo laipsnis)</w:t>
            </w:r>
            <w:r>
              <w:rPr>
                <w:b/>
                <w:bCs/>
                <w:color w:val="000000"/>
                <w:vertAlign w:val="superscript"/>
              </w:rPr>
              <w:t xml:space="preserve"> 9</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rPr>
                <w:sz w:val="20"/>
              </w:rPr>
            </w:pPr>
            <w:r>
              <w:rPr>
                <w:b/>
                <w:bCs/>
                <w:sz w:val="20"/>
              </w:rPr>
              <w:t>Momentinė DLK (didžiausias išvalymo laipsnis)</w:t>
            </w:r>
            <w:r>
              <w:rPr>
                <w:b/>
                <w:bCs/>
                <w:color w:val="000000"/>
                <w:vertAlign w:val="superscript"/>
              </w:rPr>
              <w:t xml:space="preserve"> 9</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rPr>
                <w:sz w:val="20"/>
              </w:rPr>
            </w:pPr>
            <w:r>
              <w:rPr>
                <w:b/>
                <w:bCs/>
                <w:sz w:val="20"/>
              </w:rPr>
              <w:t>Vidutinė metinė DLK (didžiausias išvalymo laipsnis)</w:t>
            </w:r>
            <w:r>
              <w:rPr>
                <w:b/>
                <w:bCs/>
                <w:color w:val="000000"/>
                <w:vertAlign w:val="superscript"/>
              </w:rPr>
              <w:t xml:space="preserve"> 9</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rPr>
                <w:sz w:val="20"/>
              </w:rPr>
            </w:pPr>
            <w:r>
              <w:rPr>
                <w:b/>
                <w:bCs/>
                <w:sz w:val="20"/>
              </w:rPr>
              <w:t xml:space="preserve">Minimalus išvalymo efektyvumas, procentais </w:t>
            </w:r>
            <w:r>
              <w:rPr>
                <w:sz w:val="20"/>
                <w:vertAlign w:val="superscript"/>
              </w:rPr>
              <w:t>2</w:t>
            </w:r>
          </w:p>
        </w:tc>
      </w:tr>
      <w:tr>
        <w:trPr>
          <w:cantSplit/>
          <w:trHeight w:val="23"/>
        </w:trPr>
        <w:tc>
          <w:tcPr>
            <w:tcW w:w="1320" w:type="dxa"/>
            <w:vMerge w:val="restart"/>
            <w:tcBorders>
              <w:top w:val="single" w:sz="6" w:space="0" w:color="auto"/>
              <w:left w:val="single" w:sz="6" w:space="0" w:color="auto"/>
              <w:right w:val="single" w:sz="6" w:space="0" w:color="auto"/>
            </w:tcBorders>
            <w:shd w:val="clear" w:color="auto" w:fill="FFFFFF"/>
          </w:tcPr>
          <w:p>
            <w:pPr>
              <w:widowControl w:val="0"/>
              <w:rPr>
                <w:sz w:val="20"/>
              </w:rPr>
            </w:pPr>
            <w:r>
              <w:rPr>
                <w:sz w:val="20"/>
              </w:rPr>
              <w:t>Biocheminis deguonies suvartojimas BDS</w:t>
            </w:r>
            <w:r>
              <w:rPr>
                <w:sz w:val="20"/>
                <w:vertAlign w:val="subscript"/>
              </w:rPr>
              <w:t>5</w:t>
            </w:r>
            <w:r>
              <w:rPr>
                <w:sz w:val="20"/>
              </w:rPr>
              <w:t>/BDS</w:t>
            </w:r>
            <w:r>
              <w:rPr>
                <w:sz w:val="20"/>
                <w:vertAlign w:val="subscript"/>
              </w:rPr>
              <w:t>7</w:t>
            </w:r>
            <w:r>
              <w:rPr>
                <w:sz w:val="20"/>
                <w:vertAlign w:val="superscript"/>
              </w:rPr>
              <w:t xml:space="preserve">3 </w:t>
            </w:r>
          </w:p>
        </w:tc>
        <w:tc>
          <w:tcPr>
            <w:tcW w:w="1437"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&lt; 5 m</w:t>
            </w:r>
            <w:r>
              <w:rPr>
                <w:sz w:val="20"/>
                <w:vertAlign w:val="superscript"/>
              </w:rPr>
              <w:t>3</w:t>
            </w:r>
            <w:r>
              <w:rPr>
                <w:sz w:val="20"/>
              </w:rPr>
              <w:t>/d</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mg/l O</w:t>
            </w:r>
            <w:r>
              <w:rPr>
                <w:sz w:val="20"/>
                <w:vertAlign w:val="subscript"/>
              </w:rPr>
              <w:t>2</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35/40</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25/29</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r>
      <w:tr>
        <w:trPr>
          <w:cantSplit/>
          <w:trHeight w:val="23"/>
        </w:trPr>
        <w:tc>
          <w:tcPr>
            <w:tcW w:w="1320" w:type="dxa"/>
            <w:vMerge/>
            <w:tcBorders>
              <w:left w:val="single" w:sz="6" w:space="0" w:color="auto"/>
              <w:right w:val="single" w:sz="6" w:space="0" w:color="auto"/>
            </w:tcBorders>
            <w:shd w:val="clear" w:color="auto" w:fill="FFFFFF"/>
          </w:tcPr>
          <w:p>
            <w:pPr>
              <w:rPr>
                <w:sz w:val="20"/>
              </w:rPr>
            </w:pPr>
          </w:p>
        </w:tc>
        <w:tc>
          <w:tcPr>
            <w:tcW w:w="529"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rPr>
            </w:pPr>
            <w:r>
              <w:rPr>
                <w:sz w:val="20"/>
              </w:rPr>
              <w:t>&gt; 5 m</w:t>
            </w:r>
            <w:r>
              <w:rPr>
                <w:sz w:val="20"/>
                <w:vertAlign w:val="superscript"/>
              </w:rPr>
              <w:t>3</w:t>
            </w:r>
            <w:r>
              <w:rPr>
                <w:sz w:val="20"/>
              </w:rPr>
              <w:t>/d</w:t>
            </w:r>
          </w:p>
        </w:tc>
        <w:tc>
          <w:tcPr>
            <w:tcW w:w="9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&lt;2000 GE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mg/l O</w:t>
            </w:r>
            <w:r>
              <w:rPr>
                <w:sz w:val="20"/>
                <w:vertAlign w:val="subscript"/>
              </w:rPr>
              <w:t>2</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30/34(15/17)</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20/23(10/12)</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r>
      <w:tr>
        <w:trPr>
          <w:cantSplit/>
          <w:trHeight w:val="23"/>
        </w:trPr>
        <w:tc>
          <w:tcPr>
            <w:tcW w:w="1320" w:type="dxa"/>
            <w:vMerge/>
            <w:tcBorders>
              <w:left w:val="single" w:sz="6" w:space="0" w:color="auto"/>
              <w:right w:val="single" w:sz="6" w:space="0" w:color="auto"/>
            </w:tcBorders>
            <w:shd w:val="clear" w:color="auto" w:fill="FFFFFF"/>
          </w:tcPr>
          <w:p>
            <w:pPr>
              <w:rPr>
                <w:sz w:val="20"/>
              </w:rPr>
            </w:pPr>
          </w:p>
        </w:tc>
        <w:tc>
          <w:tcPr>
            <w:tcW w:w="529" w:type="dxa"/>
            <w:vMerge/>
            <w:tcBorders>
              <w:left w:val="single" w:sz="6" w:space="0" w:color="auto"/>
              <w:right w:val="single" w:sz="6" w:space="0" w:color="auto"/>
            </w:tcBorders>
            <w:shd w:val="clear" w:color="auto" w:fill="FFFFFF"/>
          </w:tcPr>
          <w:p>
            <w:pPr>
              <w:widowControl w:val="0"/>
              <w:rPr>
                <w:sz w:val="20"/>
              </w:rPr>
            </w:pPr>
          </w:p>
        </w:tc>
        <w:tc>
          <w:tcPr>
            <w:tcW w:w="9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2000–10000 GE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mg/l O</w:t>
            </w:r>
            <w:r>
              <w:rPr>
                <w:sz w:val="20"/>
                <w:vertAlign w:val="subscript"/>
              </w:rPr>
              <w:t>2</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25/29(10/12)</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nustatoma individualiai</w:t>
            </w:r>
            <w:r>
              <w:rPr>
                <w:sz w:val="20"/>
                <w:vertAlign w:val="superscript"/>
              </w:rPr>
              <w:t>6</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70–90</w:t>
            </w:r>
          </w:p>
        </w:tc>
      </w:tr>
      <w:tr>
        <w:trPr>
          <w:cantSplit/>
          <w:trHeight w:val="23"/>
        </w:trPr>
        <w:tc>
          <w:tcPr>
            <w:tcW w:w="1320" w:type="dxa"/>
            <w:vMerge/>
            <w:tcBorders>
              <w:left w:val="single" w:sz="6" w:space="0" w:color="auto"/>
              <w:bottom w:val="single" w:sz="6" w:space="0" w:color="auto"/>
              <w:right w:val="single" w:sz="6" w:space="0" w:color="auto"/>
            </w:tcBorders>
            <w:shd w:val="clear" w:color="auto" w:fill="FFFFFF"/>
          </w:tcPr>
          <w:p>
            <w:pPr>
              <w:rPr>
                <w:sz w:val="20"/>
              </w:rPr>
            </w:pPr>
          </w:p>
        </w:tc>
        <w:tc>
          <w:tcPr>
            <w:tcW w:w="529" w:type="dxa"/>
            <w:vMerge/>
            <w:tcBorders>
              <w:left w:val="single" w:sz="6" w:space="0" w:color="auto"/>
              <w:bottom w:val="single" w:sz="6" w:space="0" w:color="auto"/>
              <w:right w:val="single" w:sz="6" w:space="0" w:color="auto"/>
            </w:tcBorders>
            <w:shd w:val="clear" w:color="auto" w:fill="FFFFFF"/>
          </w:tcPr>
          <w:p>
            <w:pPr>
              <w:widowControl w:val="0"/>
              <w:rPr>
                <w:sz w:val="20"/>
              </w:rPr>
            </w:pPr>
          </w:p>
        </w:tc>
        <w:tc>
          <w:tcPr>
            <w:tcW w:w="9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&gt; 1 0000 GE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mg/l O</w:t>
            </w:r>
            <w:r>
              <w:rPr>
                <w:sz w:val="20"/>
                <w:vertAlign w:val="subscript"/>
              </w:rPr>
              <w:t>2</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15/17 (8/10)</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nustatoma individualiai</w:t>
            </w:r>
            <w:r>
              <w:rPr>
                <w:sz w:val="20"/>
                <w:vertAlign w:val="superscript"/>
              </w:rPr>
              <w:t>6</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70–90</w:t>
            </w:r>
          </w:p>
        </w:tc>
      </w:tr>
      <w:tr>
        <w:trPr>
          <w:cantSplit/>
          <w:trHeight w:val="23"/>
        </w:trPr>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ChDS</w:t>
            </w:r>
          </w:p>
        </w:tc>
        <w:tc>
          <w:tcPr>
            <w:tcW w:w="1437"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daugiau kaip 2000 GE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mg/l O</w:t>
            </w:r>
            <w:r>
              <w:rPr>
                <w:sz w:val="20"/>
                <w:vertAlign w:val="subscript"/>
              </w:rPr>
              <w:t>2</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125</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75</w:t>
            </w:r>
          </w:p>
        </w:tc>
      </w:tr>
      <w:tr>
        <w:trPr>
          <w:cantSplit/>
          <w:trHeight w:val="23"/>
        </w:trPr>
        <w:tc>
          <w:tcPr>
            <w:tcW w:w="1320" w:type="dxa"/>
            <w:vMerge w:val="restart"/>
            <w:tcBorders>
              <w:top w:val="single" w:sz="6" w:space="0" w:color="auto"/>
              <w:left w:val="single" w:sz="6" w:space="0" w:color="auto"/>
              <w:right w:val="single" w:sz="6" w:space="0" w:color="auto"/>
            </w:tcBorders>
            <w:shd w:val="clear" w:color="auto" w:fill="FFFFFF"/>
          </w:tcPr>
          <w:p>
            <w:pPr>
              <w:widowControl w:val="0"/>
              <w:rPr>
                <w:sz w:val="20"/>
              </w:rPr>
            </w:pPr>
            <w:r>
              <w:rPr>
                <w:sz w:val="20"/>
              </w:rPr>
              <w:t>Bendras fosforas</w:t>
            </w:r>
          </w:p>
        </w:tc>
        <w:tc>
          <w:tcPr>
            <w:tcW w:w="529"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rPr>
            </w:pPr>
            <w:r>
              <w:rPr>
                <w:sz w:val="20"/>
              </w:rPr>
              <w:t>&gt; 5 m</w:t>
            </w:r>
            <w:r>
              <w:rPr>
                <w:sz w:val="20"/>
                <w:vertAlign w:val="superscript"/>
              </w:rPr>
              <w:t>3</w:t>
            </w:r>
            <w:r>
              <w:rPr>
                <w:sz w:val="20"/>
              </w:rPr>
              <w:t>/d</w:t>
            </w:r>
          </w:p>
        </w:tc>
        <w:tc>
          <w:tcPr>
            <w:tcW w:w="9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&lt; 1 0000 GE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mgP/l</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 xml:space="preserve">2 </w:t>
            </w:r>
            <w:r>
              <w:rPr>
                <w:sz w:val="20"/>
                <w:vertAlign w:val="superscript"/>
              </w:rPr>
              <w:t>7</w:t>
            </w:r>
          </w:p>
        </w:tc>
        <w:tc>
          <w:tcPr>
            <w:tcW w:w="1368" w:type="dxa"/>
            <w:vMerge w:val="restart"/>
            <w:tcBorders>
              <w:top w:val="single" w:sz="6" w:space="0" w:color="auto"/>
              <w:left w:val="single" w:sz="6" w:space="0" w:color="auto"/>
              <w:right w:val="single" w:sz="6" w:space="0" w:color="auto"/>
            </w:tcBorders>
            <w:shd w:val="clear" w:color="auto" w:fill="FFFFFF"/>
          </w:tcPr>
          <w:p>
            <w:pPr>
              <w:widowControl w:val="0"/>
              <w:jc w:val="center"/>
              <w:rPr>
                <w:sz w:val="20"/>
              </w:rPr>
            </w:pPr>
          </w:p>
          <w:p>
            <w:pPr>
              <w:widowControl w:val="0"/>
              <w:jc w:val="center"/>
              <w:rPr>
                <w:sz w:val="20"/>
              </w:rPr>
            </w:pPr>
            <w:r>
              <w:rPr>
                <w:sz w:val="20"/>
              </w:rPr>
              <w:t>80</w:t>
            </w:r>
          </w:p>
        </w:tc>
      </w:tr>
      <w:tr>
        <w:trPr>
          <w:cantSplit/>
          <w:trHeight w:val="23"/>
        </w:trPr>
        <w:tc>
          <w:tcPr>
            <w:tcW w:w="1320" w:type="dxa"/>
            <w:vMerge/>
            <w:tcBorders>
              <w:left w:val="single" w:sz="6" w:space="0" w:color="auto"/>
              <w:right w:val="single" w:sz="6" w:space="0" w:color="auto"/>
            </w:tcBorders>
            <w:shd w:val="clear" w:color="auto" w:fill="FFFFFF"/>
          </w:tcPr>
          <w:p>
            <w:pPr>
              <w:rPr>
                <w:sz w:val="20"/>
              </w:rPr>
            </w:pPr>
          </w:p>
        </w:tc>
        <w:tc>
          <w:tcPr>
            <w:tcW w:w="529" w:type="dxa"/>
            <w:vMerge/>
            <w:tcBorders>
              <w:left w:val="single" w:sz="6" w:space="0" w:color="auto"/>
              <w:right w:val="single" w:sz="6" w:space="0" w:color="auto"/>
            </w:tcBorders>
            <w:shd w:val="clear" w:color="auto" w:fill="FFFFFF"/>
          </w:tcPr>
          <w:p>
            <w:pPr>
              <w:widowControl w:val="0"/>
              <w:rPr>
                <w:sz w:val="20"/>
              </w:rPr>
            </w:pPr>
          </w:p>
        </w:tc>
        <w:tc>
          <w:tcPr>
            <w:tcW w:w="9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10000–100000 GE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mgP/l</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 (1)</w:t>
            </w:r>
          </w:p>
        </w:tc>
        <w:tc>
          <w:tcPr>
            <w:tcW w:w="1368" w:type="dxa"/>
            <w:vMerge/>
            <w:tcBorders>
              <w:left w:val="single" w:sz="6" w:space="0" w:color="auto"/>
              <w:right w:val="single" w:sz="6" w:space="0" w:color="auto"/>
            </w:tcBorders>
            <w:shd w:val="clear" w:color="auto" w:fill="FFFFFF"/>
          </w:tcPr>
          <w:p>
            <w:pPr>
              <w:widowControl w:val="0"/>
              <w:jc w:val="center"/>
              <w:rPr>
                <w:sz w:val="20"/>
              </w:rPr>
            </w:pPr>
          </w:p>
        </w:tc>
      </w:tr>
      <w:tr>
        <w:trPr>
          <w:cantSplit/>
          <w:trHeight w:val="23"/>
        </w:trPr>
        <w:tc>
          <w:tcPr>
            <w:tcW w:w="1320" w:type="dxa"/>
            <w:vMerge/>
            <w:tcBorders>
              <w:left w:val="single" w:sz="6" w:space="0" w:color="auto"/>
              <w:bottom w:val="single" w:sz="6" w:space="0" w:color="auto"/>
              <w:right w:val="single" w:sz="6" w:space="0" w:color="auto"/>
            </w:tcBorders>
            <w:shd w:val="clear" w:color="auto" w:fill="FFFFFF"/>
          </w:tcPr>
          <w:p>
            <w:pPr>
              <w:rPr>
                <w:sz w:val="20"/>
              </w:rPr>
            </w:pPr>
          </w:p>
        </w:tc>
        <w:tc>
          <w:tcPr>
            <w:tcW w:w="529" w:type="dxa"/>
            <w:vMerge/>
            <w:tcBorders>
              <w:left w:val="single" w:sz="6" w:space="0" w:color="auto"/>
              <w:bottom w:val="single" w:sz="6" w:space="0" w:color="auto"/>
              <w:right w:val="single" w:sz="6" w:space="0" w:color="auto"/>
            </w:tcBorders>
            <w:shd w:val="clear" w:color="auto" w:fill="FFFFFF"/>
          </w:tcPr>
          <w:p>
            <w:pPr>
              <w:widowControl w:val="0"/>
              <w:rPr>
                <w:sz w:val="20"/>
              </w:rPr>
            </w:pPr>
          </w:p>
        </w:tc>
        <w:tc>
          <w:tcPr>
            <w:tcW w:w="9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&gt;1 00000 GE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mgP/l</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 (0,5)</w:t>
            </w:r>
          </w:p>
        </w:tc>
        <w:tc>
          <w:tcPr>
            <w:tcW w:w="1368" w:type="dxa"/>
            <w:vMerge/>
            <w:tcBorders>
              <w:left w:val="single" w:sz="6" w:space="0" w:color="auto"/>
              <w:bottom w:val="single" w:sz="6" w:space="0" w:color="auto"/>
              <w:right w:val="single" w:sz="6" w:space="0" w:color="auto"/>
            </w:tcBorders>
            <w:shd w:val="clear" w:color="auto" w:fill="FFFFFF"/>
          </w:tcPr>
          <w:p>
            <w:pPr>
              <w:widowControl w:val="0"/>
              <w:jc w:val="center"/>
              <w:rPr>
                <w:sz w:val="20"/>
              </w:rPr>
            </w:pPr>
          </w:p>
        </w:tc>
      </w:tr>
      <w:tr>
        <w:trPr>
          <w:cantSplit/>
          <w:trHeight w:val="23"/>
        </w:trPr>
        <w:tc>
          <w:tcPr>
            <w:tcW w:w="1320" w:type="dxa"/>
            <w:vMerge w:val="restart"/>
            <w:tcBorders>
              <w:top w:val="single" w:sz="6" w:space="0" w:color="auto"/>
              <w:left w:val="single" w:sz="6" w:space="0" w:color="auto"/>
              <w:right w:val="single" w:sz="6" w:space="0" w:color="auto"/>
            </w:tcBorders>
            <w:shd w:val="clear" w:color="auto" w:fill="FFFFFF"/>
          </w:tcPr>
          <w:p>
            <w:pPr>
              <w:widowControl w:val="0"/>
              <w:rPr>
                <w:sz w:val="20"/>
              </w:rPr>
            </w:pPr>
            <w:r>
              <w:rPr>
                <w:sz w:val="20"/>
              </w:rPr>
              <w:t xml:space="preserve">Bendras azotas </w:t>
            </w:r>
            <w:r>
              <w:rPr>
                <w:sz w:val="20"/>
                <w:vertAlign w:val="superscript"/>
              </w:rPr>
              <w:t>4,5</w:t>
            </w:r>
          </w:p>
        </w:tc>
        <w:tc>
          <w:tcPr>
            <w:tcW w:w="529"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rPr>
            </w:pPr>
            <w:r>
              <w:rPr>
                <w:sz w:val="20"/>
              </w:rPr>
              <w:t>&gt; 5 m</w:t>
            </w:r>
            <w:r>
              <w:rPr>
                <w:sz w:val="20"/>
                <w:vertAlign w:val="superscript"/>
              </w:rPr>
              <w:t>3</w:t>
            </w:r>
            <w:r>
              <w:rPr>
                <w:sz w:val="20"/>
              </w:rPr>
              <w:t>/d</w:t>
            </w:r>
          </w:p>
        </w:tc>
        <w:tc>
          <w:tcPr>
            <w:tcW w:w="9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&lt; 1 0000 GE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mgN/l</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 xml:space="preserve">20 </w:t>
            </w:r>
            <w:r>
              <w:rPr>
                <w:sz w:val="20"/>
                <w:vertAlign w:val="superscript"/>
              </w:rPr>
              <w:t>8</w:t>
            </w:r>
          </w:p>
        </w:tc>
        <w:tc>
          <w:tcPr>
            <w:tcW w:w="1368" w:type="dxa"/>
            <w:vMerge w:val="restart"/>
            <w:tcBorders>
              <w:top w:val="single" w:sz="6" w:space="0" w:color="auto"/>
              <w:left w:val="single" w:sz="6" w:space="0" w:color="auto"/>
              <w:right w:val="single" w:sz="6" w:space="0" w:color="auto"/>
            </w:tcBorders>
            <w:shd w:val="clear" w:color="auto" w:fill="FFFFFF"/>
          </w:tcPr>
          <w:p>
            <w:pPr>
              <w:widowControl w:val="0"/>
              <w:jc w:val="center"/>
              <w:rPr>
                <w:sz w:val="20"/>
              </w:rPr>
            </w:pPr>
          </w:p>
          <w:p>
            <w:pPr>
              <w:widowControl w:val="0"/>
              <w:jc w:val="center"/>
              <w:rPr>
                <w:sz w:val="20"/>
              </w:rPr>
            </w:pPr>
            <w:r>
              <w:rPr>
                <w:sz w:val="20"/>
              </w:rPr>
              <w:t>70–80</w:t>
            </w:r>
          </w:p>
        </w:tc>
      </w:tr>
      <w:tr>
        <w:trPr>
          <w:cantSplit/>
          <w:trHeight w:val="23"/>
        </w:trPr>
        <w:tc>
          <w:tcPr>
            <w:tcW w:w="1320" w:type="dxa"/>
            <w:vMerge/>
            <w:tcBorders>
              <w:left w:val="single" w:sz="6" w:space="0" w:color="auto"/>
              <w:right w:val="single" w:sz="6" w:space="0" w:color="auto"/>
            </w:tcBorders>
            <w:shd w:val="clear" w:color="auto" w:fill="FFFFFF"/>
          </w:tcPr>
          <w:p>
            <w:pPr>
              <w:rPr>
                <w:sz w:val="20"/>
              </w:rPr>
            </w:pPr>
          </w:p>
        </w:tc>
        <w:tc>
          <w:tcPr>
            <w:tcW w:w="529" w:type="dxa"/>
            <w:vMerge/>
            <w:tcBorders>
              <w:left w:val="single" w:sz="6" w:space="0" w:color="auto"/>
              <w:right w:val="single" w:sz="6" w:space="0" w:color="auto"/>
            </w:tcBorders>
            <w:shd w:val="clear" w:color="auto" w:fill="FFFFFF"/>
          </w:tcPr>
          <w:p>
            <w:pPr>
              <w:widowControl w:val="0"/>
              <w:rPr>
                <w:sz w:val="20"/>
              </w:rPr>
            </w:pPr>
          </w:p>
        </w:tc>
        <w:tc>
          <w:tcPr>
            <w:tcW w:w="9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10000–100000 GE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mgN/l</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15 (10)</w:t>
            </w:r>
          </w:p>
        </w:tc>
        <w:tc>
          <w:tcPr>
            <w:tcW w:w="1368" w:type="dxa"/>
            <w:vMerge/>
            <w:tcBorders>
              <w:left w:val="single" w:sz="6" w:space="0" w:color="auto"/>
              <w:right w:val="single" w:sz="6" w:space="0" w:color="auto"/>
            </w:tcBorders>
            <w:shd w:val="clear" w:color="auto" w:fill="FFFFFF"/>
          </w:tcPr>
          <w:p>
            <w:pPr>
              <w:widowControl w:val="0"/>
              <w:jc w:val="center"/>
              <w:rPr>
                <w:sz w:val="20"/>
              </w:rPr>
            </w:pPr>
          </w:p>
        </w:tc>
      </w:tr>
      <w:tr>
        <w:trPr>
          <w:cantSplit/>
          <w:trHeight w:val="23"/>
        </w:trPr>
        <w:tc>
          <w:tcPr>
            <w:tcW w:w="1320" w:type="dxa"/>
            <w:vMerge/>
            <w:tcBorders>
              <w:left w:val="single" w:sz="6" w:space="0" w:color="auto"/>
              <w:bottom w:val="single" w:sz="6" w:space="0" w:color="auto"/>
              <w:right w:val="single" w:sz="6" w:space="0" w:color="auto"/>
            </w:tcBorders>
            <w:shd w:val="clear" w:color="auto" w:fill="FFFFFF"/>
          </w:tcPr>
          <w:p>
            <w:pPr>
              <w:rPr>
                <w:sz w:val="20"/>
              </w:rPr>
            </w:pPr>
          </w:p>
        </w:tc>
        <w:tc>
          <w:tcPr>
            <w:tcW w:w="529" w:type="dxa"/>
            <w:vMerge/>
            <w:tcBorders>
              <w:left w:val="single" w:sz="6" w:space="0" w:color="auto"/>
              <w:bottom w:val="single" w:sz="6" w:space="0" w:color="auto"/>
              <w:right w:val="single" w:sz="6" w:space="0" w:color="auto"/>
            </w:tcBorders>
            <w:shd w:val="clear" w:color="auto" w:fill="FFFFFF"/>
          </w:tcPr>
          <w:p>
            <w:pPr>
              <w:widowControl w:val="0"/>
              <w:rPr>
                <w:sz w:val="20"/>
              </w:rPr>
            </w:pPr>
          </w:p>
        </w:tc>
        <w:tc>
          <w:tcPr>
            <w:tcW w:w="9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&gt; 1 00000 GE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mgN/1</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10 (10)</w:t>
            </w:r>
          </w:p>
        </w:tc>
        <w:tc>
          <w:tcPr>
            <w:tcW w:w="1368" w:type="dxa"/>
            <w:vMerge/>
            <w:tcBorders>
              <w:left w:val="single" w:sz="6" w:space="0" w:color="auto"/>
              <w:bottom w:val="single" w:sz="6" w:space="0" w:color="auto"/>
              <w:right w:val="single" w:sz="6" w:space="0" w:color="auto"/>
            </w:tcBorders>
            <w:shd w:val="clear" w:color="auto" w:fill="FFFFFF"/>
          </w:tcPr>
          <w:p>
            <w:pPr>
              <w:widowControl w:val="0"/>
              <w:jc w:val="center"/>
              <w:rPr>
                <w:sz w:val="20"/>
              </w:rPr>
            </w:pPr>
          </w:p>
        </w:tc>
      </w:tr>
    </w:tbl>
    <w:p>
      <w:pPr>
        <w:ind w:firstLine="709"/>
      </w:pP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ind w:firstLine="709"/>
        <w:jc w:val="both"/>
      </w:pPr>
      <w:r>
        <w:t>Pastabos:</w:t>
      </w:r>
    </w:p>
    <w:p>
      <w:pPr>
        <w:widowControl w:val="0"/>
        <w:ind w:left="600" w:firstLine="709"/>
        <w:jc w:val="both"/>
      </w:pPr>
      <w:r>
        <w:rPr>
          <w:vertAlign w:val="superscript"/>
        </w:rPr>
        <w:t xml:space="preserve">1 </w:t>
      </w:r>
      <w:r>
        <w:t>Teršalo koncentracija vidutiniame paros (proporcingame srautui arba laikui) mėginyje.</w:t>
      </w:r>
    </w:p>
    <w:p>
      <w:pPr>
        <w:widowControl w:val="0"/>
        <w:ind w:left="600" w:firstLine="709"/>
        <w:jc w:val="both"/>
      </w:pPr>
      <w:r>
        <w:rPr>
          <w:vertAlign w:val="superscript"/>
        </w:rPr>
        <w:t xml:space="preserve">2 </w:t>
      </w:r>
      <w:r>
        <w:t>Nuotekų valymo efektyvumas = ((atitekančių teršalų kiekis – išleidžiamų teršalų kiekis) / atitekančių teršalų kiekis) * 100.</w:t>
      </w:r>
    </w:p>
    <w:p>
      <w:pPr>
        <w:widowControl w:val="0"/>
        <w:ind w:left="600" w:firstLine="709"/>
        <w:jc w:val="both"/>
      </w:pPr>
      <w:r>
        <w:t>Minimalaus išvalymo efektyvumo reikalavimai netaikomi skaičiuojant mokesčius už taršą t.y. LT per ataskaitinį laikotarpį ir vidutinė metinė LK negali būti viršijama nepriklausomai nuo to, ar buvo pasiektas minimalus išvalymo efektyvumas, tačiau vidutinio paros mėginio arba momentinės LK viršijimas nelaikomas pažeidimu, jeigu viršijimo metu išlaikomas minimalus išvalymo efektyvumas.</w:t>
      </w:r>
    </w:p>
    <w:p>
      <w:pPr>
        <w:widowControl w:val="0"/>
        <w:tabs>
          <w:tab w:val="left" w:pos="298"/>
        </w:tabs>
        <w:ind w:left="600" w:firstLine="709"/>
        <w:jc w:val="both"/>
      </w:pPr>
      <w:r>
        <w:rPr>
          <w:vertAlign w:val="superscript"/>
        </w:rPr>
        <w:t xml:space="preserve">3 </w:t>
      </w:r>
      <w:r>
        <w:t>Į leidimą, projektavimo sąlygas ar pan. turi būti įrašomas normatyvas pagal BDS</w:t>
      </w:r>
      <w:r>
        <w:rPr>
          <w:vertAlign w:val="subscript"/>
        </w:rPr>
        <w:t>7</w:t>
      </w:r>
      <w:r>
        <w:t>. Perskaičiuojant BDS</w:t>
      </w:r>
      <w:r>
        <w:rPr>
          <w:vertAlign w:val="subscript"/>
        </w:rPr>
        <w:t>5</w:t>
      </w:r>
      <w:r>
        <w:t xml:space="preserve"> į BDS</w:t>
      </w:r>
      <w:r>
        <w:rPr>
          <w:vertAlign w:val="subscript"/>
        </w:rPr>
        <w:t>7</w:t>
      </w:r>
      <w:r>
        <w:t>, taikoma formulė: BDS</w:t>
      </w:r>
      <w:r>
        <w:rPr>
          <w:vertAlign w:val="subscript"/>
        </w:rPr>
        <w:t>7</w:t>
      </w:r>
      <w:r>
        <w:t xml:space="preserve"> = 1,15 x BDS</w:t>
      </w:r>
      <w:r>
        <w:rPr>
          <w:vertAlign w:val="subscript"/>
        </w:rPr>
        <w:t>5</w:t>
      </w:r>
      <w:r>
        <w:t>.</w:t>
      </w:r>
    </w:p>
    <w:p>
      <w:pPr>
        <w:widowControl w:val="0"/>
        <w:tabs>
          <w:tab w:val="left" w:pos="235"/>
        </w:tabs>
        <w:ind w:left="600" w:firstLine="709"/>
        <w:jc w:val="both"/>
      </w:pPr>
      <w:r>
        <w:rPr>
          <w:vertAlign w:val="superscript"/>
        </w:rPr>
        <w:t xml:space="preserve">4 </w:t>
      </w:r>
      <w:r>
        <w:t>Bendras azotas – tai Kjeldalio azotas (organinis ir amoniakinis azotas), prie kurio pridedamas nitritų ir nitratų azotas.</w:t>
      </w:r>
    </w:p>
    <w:p>
      <w:pPr>
        <w:widowControl w:val="0"/>
        <w:ind w:left="600" w:firstLine="709"/>
        <w:jc w:val="both"/>
      </w:pPr>
      <w:r>
        <w:rPr>
          <w:vertAlign w:val="superscript"/>
        </w:rPr>
        <w:t xml:space="preserve">5 </w:t>
      </w:r>
      <w:r>
        <w:t>Bendrąjį azotą taip pat galima kontroliuoti pagal dienos vidurkį. Šiuo atveju dienos vidurkis negali būti didesnis kaip 20 mg/l, kai nuotekų temperatūra yra 12 °C arba aukštesnė (taikoma tik vertinant valymo įrenginių atitiktį ES reikalavimams (teikiant ataskaitas ES).</w:t>
      </w:r>
    </w:p>
    <w:p>
      <w:pPr>
        <w:widowControl w:val="0"/>
        <w:tabs>
          <w:tab w:val="left" w:pos="197"/>
        </w:tabs>
        <w:ind w:left="600" w:firstLine="709"/>
        <w:jc w:val="both"/>
      </w:pPr>
      <w:r>
        <w:rPr>
          <w:vertAlign w:val="superscript"/>
        </w:rPr>
        <w:t xml:space="preserve">6 </w:t>
      </w:r>
      <w:r>
        <w:t>Vidutinė metinė koncentracija nustatoma pagal objekto faktines galimybes, bet negali būti didesnė už vidutinio paros mėginio DLK.</w:t>
      </w:r>
    </w:p>
    <w:p>
      <w:pPr>
        <w:widowControl w:val="0"/>
        <w:tabs>
          <w:tab w:val="left" w:pos="197"/>
        </w:tabs>
        <w:ind w:left="600" w:firstLine="709"/>
        <w:jc w:val="both"/>
      </w:pPr>
      <w:r>
        <w:rPr>
          <w:vertAlign w:val="superscript"/>
        </w:rPr>
        <w:t xml:space="preserve">7 </w:t>
      </w:r>
      <w:r>
        <w:t>Taikoma tik komunalinėms/buitinėms nuotekoms ir tik tuo atveju, kai pagal 11 punkto nuostatas turi būti atliekamas poveikio priimtuvui vertinimas. Kai apskaičiuota leistina nuotekų užterštumo bendruoju fosforu vidutinė metinė koncentracija, kuriai esant nebūtų viršijamas leistinas poveikis paviršiniam vandens telkiniui, yra mažesnė kaip 2 mg/l (jeigu apskaičiuota koncentracija nuo 2 iki 10 mg/l, – LK nustatoma pagal skaičiavimo rezultatus, jeigu apskaičiuota koncentracija didesnė už 10 mg/l, – LK nenustatoma (bendras P nenormuojamas), o jeigu mažesnė arba lygi 2 mg/l, – LK nustatoma lygi 2 mg/l).</w:t>
      </w:r>
    </w:p>
    <w:p>
      <w:pPr>
        <w:widowControl w:val="0"/>
        <w:ind w:left="600" w:firstLine="709"/>
        <w:jc w:val="both"/>
      </w:pPr>
      <w:r>
        <w:rPr>
          <w:vertAlign w:val="superscript"/>
        </w:rPr>
        <w:t xml:space="preserve">8 </w:t>
      </w:r>
      <w:r>
        <w:t>Taikoma tik komunalinėms/buitinėms nuotekoms ir tik tuo atveju, kai pagal 11 punkto nuostatas turi būti atliekamas poveikio priimtuvui vertinimas. Kai apskaičiuota leistina nuotekų užterštumo bendruoju azotu vidutinė metinė koncentracija, kuriai esant nebūtų viršijamas leistinas poveikis paviršiniam vandens telkiniui, yra mažesnė kaip 20 mg/l (jeigu apskaičiuota koncentracija nuo 20 iki 40 mg/l, – LK nustatoma pagal skaičiavimo rezultatus, jeigu apskaičiuota koncentracija didesnė už 40 mg/l, – LK nenustatoma (bendras N nenormuojamas), o jeigu mažesnė arba lygi 20 mg/l, – LK nustatoma lygi 20 mg/l).</w:t>
      </w:r>
    </w:p>
    <w:p>
      <w:pPr>
        <w:widowControl w:val="0"/>
        <w:ind w:left="600" w:firstLine="709"/>
        <w:jc w:val="both"/>
      </w:pPr>
      <w:r>
        <w:rPr>
          <w:color w:val="000000"/>
          <w:vertAlign w:val="superscript"/>
        </w:rPr>
        <w:t>9</w:t>
      </w:r>
      <w:r>
        <w:rPr>
          <w:color w:val="000000"/>
        </w:rPr>
        <w:t xml:space="preserve"> Mažiausia galima LK vertė, t. y. LK buitinių/komunalinių nuotekų išleidimui negali būti griežtesnė už skliausteliuose nurodytą vertę.</w:t>
      </w:r>
    </w:p>
    <w:p>
      <w:pPr>
        <w:pStyle w:val="PlainText"/>
        <w:rPr>
          <w:rFonts w:ascii="Times New Roman" w:eastAsia="MS Mincho" w:hAnsi="Times New Roman"/>
          <w:sz w:val="20"/>
          <w:i/>
          <w:iCs/>
        </w:rPr>
      </w:pPr>
      <w:r>
        <w:rPr>
          <w:rFonts w:ascii="Times New Roman" w:eastAsia="MS Mincho" w:hAnsi="Times New Roman"/>
          <w:sz w:val="20"/>
          <w:i/>
          <w:iCs/>
        </w:rPr>
        <w:t>Pastabos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suppressAutoHyphens/>
        <w:ind w:firstLine="709"/>
        <w:jc w:val="both"/>
      </w:pPr>
      <w:r>
        <w:rPr>
          <w:color w:val="000000"/>
        </w:rPr>
        <w:t>30</w:t>
      </w:r>
      <w:r>
        <w:rPr>
          <w:color w:val="000000"/>
        </w:rPr>
        <w:t>. Aglomeracijose, didesnėse kaip 2000 GE, nuo 2009 m. gruodžio 31 d. turi būti užtikrintas 29 punkte nustatytus reikalavimus atitinkantis nuotekų valymas. Išimtiniais atvejais esamoms aglomeracijoms, kai nėra techninių galimybių užtikrinti 29 punkte nustatytų reikalavimų ir aglomeracijos nuotekų tvarkymo sistemą eksploatuojantis asmuo pateikia taršos mažinimo planą, leidimuose gali būti nustatomi faktines galimybes atitinkantys LLK ir LLT normatyvai, kurie taikomi ne ilgiau nei plane numatytas priemonių įgyvendinimo laikotarpis. Faktines galimybes atitinkantys LLK ir LLT normatyvai taip pat gali būti nustatomi nuotekų valymo įrenginių paleidimo – derinimo arba remonto darbų atlikimo laikotarpiui.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B3EBC87DC5">
        <w:r w:rsidRPr="00532B9F">
          <w:rPr>
            <w:rFonts w:ascii="Times New Roman" w:eastAsia="MS Mincho" w:hAnsi="Times New Roman"/>
            <w:sz w:val="20"/>
            <w:i/>
            <w:iCs/>
            <w:color w:val="0000FF" w:themeColor="hyperlink"/>
            <w:u w:val="single"/>
          </w:rPr>
          <w:t>D1-830</w:t>
        </w:r>
      </w:fldSimple>
      <w:r>
        <w:rPr>
          <w:rFonts w:ascii="Times New Roman" w:eastAsia="MS Mincho" w:hAnsi="Times New Roman"/>
          <w:sz w:val="20"/>
          <w:i/>
          <w:iCs/>
        </w:rPr>
        <w:t>,
2009-12-29,
Žin., 2009, Nr.
159-7267 (2009-12-31), i. k. 109301MISAK00D1-830            </w:t>
      </w:r>
    </w:p>
    <w:p/>
    <w:p>
      <w:pPr>
        <w:widowControl w:val="0"/>
        <w:jc w:val="center"/>
      </w:pPr>
      <w:r>
        <w:rPr>
          <w:b/>
          <w:bCs/>
        </w:rPr>
        <w:t>V</w:t>
      </w:r>
      <w:r>
        <w:rPr>
          <w:b/>
          <w:bCs/>
        </w:rPr>
        <w:t xml:space="preserve">. </w:t>
      </w:r>
      <w:r>
        <w:rPr>
          <w:b/>
          <w:bCs/>
        </w:rPr>
        <w:t>NUOTEKŲ IŠLEIDIMAS Į NUOTAKYNĄ</w:t>
      </w:r>
    </w:p>
    <w:p>
      <w:pPr>
        <w:ind w:firstLine="709"/>
      </w:pPr>
    </w:p>
    <w:p>
      <w:pPr>
        <w:widowControl w:val="0"/>
        <w:ind w:firstLine="709"/>
        <w:jc w:val="both"/>
      </w:pPr>
      <w:r>
        <w:t>31</w:t>
      </w:r>
      <w:r>
        <w:t>. Į nuotakyną draudžiama išleisti/šalinti:</w:t>
      </w:r>
    </w:p>
    <w:p>
      <w:pPr>
        <w:widowControl w:val="0"/>
        <w:ind w:firstLine="709"/>
        <w:jc w:val="both"/>
      </w:pPr>
      <w:r>
        <w:t>31.1</w:t>
      </w:r>
      <w:r>
        <w:t>. daiktus ir/arba medžiagas, galinčias užkimšti arba sugadinti nuotakyno ar nuotekų valymo įrenginių elementus, sutrikdyti jų veiką;</w:t>
      </w:r>
    </w:p>
    <w:p>
      <w:pPr>
        <w:widowControl w:val="0"/>
        <w:ind w:firstLine="709"/>
        <w:jc w:val="both"/>
      </w:pPr>
      <w:r>
        <w:t>31.2</w:t>
      </w:r>
      <w:r>
        <w:t>. medžiagas, galinčias sukelti gaisrą ar sprogimą;</w:t>
      </w:r>
    </w:p>
    <w:p>
      <w:pPr>
        <w:widowControl w:val="0"/>
        <w:ind w:firstLine="709"/>
        <w:jc w:val="both"/>
      </w:pPr>
      <w:r>
        <w:t>31.3</w:t>
      </w:r>
      <w:r>
        <w:t>. medžiagas, galinčias pakenkti nuotekų valymo įrenginius aptarnaujančių darbuotojų sveikatai;</w:t>
      </w:r>
    </w:p>
    <w:p>
      <w:pPr>
        <w:widowControl w:val="0"/>
        <w:ind w:firstLine="709"/>
        <w:jc w:val="both"/>
      </w:pPr>
      <w:r>
        <w:t>31.4</w:t>
      </w:r>
      <w:r>
        <w:t>. medžiagas, galinčias trikdyti normalų nuotekų valymo įrenginių darbą ar dumblo apdorojimą;</w:t>
      </w:r>
    </w:p>
    <w:p>
      <w:pPr>
        <w:widowControl w:val="0"/>
        <w:ind w:firstLine="709"/>
        <w:jc w:val="both"/>
      </w:pPr>
      <w:r>
        <w:t>31.5</w:t>
      </w:r>
      <w:r>
        <w:t>. atliekas, išskyrus atvejus, kai organinių atliekų smulkinimą ir išleidimą į nuotakyną (organinių atliekų smulkintuvų įrengimą ir pajungimą į nuotakyną) leidžia nuotakyno operatorius (tokios galimybės numatytos nuotekų tvarkymo sutartyje).</w:t>
      </w:r>
    </w:p>
    <w:p>
      <w:pPr>
        <w:widowControl w:val="0"/>
        <w:ind w:firstLine="709"/>
        <w:jc w:val="both"/>
      </w:pPr>
      <w:r>
        <w:t>32</w:t>
      </w:r>
      <w:r>
        <w:t>. Išleidžiant gamybines nuotekas į komunalinių nuotekų nuotakyną, negali būti viršijamos 3 lentelėje nurodytos ribinės vertės bei turi būti laikomasi 14, 15, 16, 17, 20 ir 22 punktuose išdėstytų nuostatų.</w:t>
      </w:r>
    </w:p>
    <w:p>
      <w:pPr>
        <w:widowControl w:val="0"/>
        <w:ind w:firstLine="709"/>
        <w:jc w:val="both"/>
      </w:pPr>
    </w:p>
    <w:p>
      <w:pPr>
        <w:widowControl w:val="0"/>
        <w:ind w:firstLine="709"/>
        <w:jc w:val="both"/>
      </w:pPr>
      <w:r>
        <w:rPr>
          <w:b/>
          <w:bCs/>
        </w:rPr>
        <w:t>3 lentelė. Bendrieji reikalavimai gamybinėms nuotekoms, išleidžiamoms į nuotakyną</w:t>
      </w:r>
    </w:p>
    <w:p>
      <w:pPr>
        <w:ind w:firstLine="709"/>
      </w:pPr>
    </w:p>
    <w:tbl>
      <w:tblPr>
        <w:tblW w:w="9637" w:type="dxa"/>
        <w:tblLayout w:type="fixed"/>
        <w:tblCellMar>
          <w:left w:w="40" w:type="dxa"/>
          <w:right w:w="40" w:type="dxa"/>
        </w:tblCellMar>
        <w:tblLook w:val="0000" w:firstRow="0" w:lastRow="0" w:firstColumn="0" w:lastColumn="0" w:noHBand="0" w:noVBand="0"/>
      </w:tblPr>
      <w:tblGrid>
        <w:gridCol w:w="3710"/>
        <w:gridCol w:w="2963"/>
        <w:gridCol w:w="2964"/>
      </w:tblGrid>
      <w:tr>
        <w:trPr>
          <w:cantSplit/>
          <w:trHeight w:val="23"/>
        </w:trPr>
        <w:tc>
          <w:tcPr>
            <w:tcW w:w="351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b/>
                <w:bCs/>
                <w:sz w:val="20"/>
              </w:rPr>
              <w:t>Parametras</w:t>
            </w:r>
          </w:p>
        </w:tc>
        <w:tc>
          <w:tcPr>
            <w:tcW w:w="280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Matavimo vienetas</w:t>
            </w:r>
          </w:p>
        </w:tc>
        <w:tc>
          <w:tcPr>
            <w:tcW w:w="28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Ribinė vertė</w:t>
            </w:r>
          </w:p>
        </w:tc>
      </w:tr>
      <w:tr>
        <w:trPr>
          <w:cantSplit/>
          <w:trHeight w:val="23"/>
        </w:trPr>
        <w:tc>
          <w:tcPr>
            <w:tcW w:w="351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Maksimali temperatūra</w:t>
            </w:r>
          </w:p>
        </w:tc>
        <w:tc>
          <w:tcPr>
            <w:tcW w:w="280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°C</w:t>
            </w:r>
          </w:p>
        </w:tc>
        <w:tc>
          <w:tcPr>
            <w:tcW w:w="28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45</w:t>
            </w:r>
            <w:r>
              <w:rPr>
                <w:sz w:val="20"/>
                <w:vertAlign w:val="superscript"/>
              </w:rPr>
              <w:t>1</w:t>
            </w:r>
          </w:p>
        </w:tc>
      </w:tr>
      <w:tr>
        <w:trPr>
          <w:cantSplit/>
          <w:trHeight w:val="23"/>
        </w:trPr>
        <w:tc>
          <w:tcPr>
            <w:tcW w:w="351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pH</w:t>
            </w:r>
            <w:r>
              <w:rPr>
                <w:sz w:val="20"/>
                <w:vertAlign w:val="superscript"/>
              </w:rPr>
              <w:t>2</w:t>
            </w:r>
          </w:p>
        </w:tc>
        <w:tc>
          <w:tcPr>
            <w:tcW w:w="280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w:t>
            </w:r>
          </w:p>
        </w:tc>
        <w:tc>
          <w:tcPr>
            <w:tcW w:w="28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6,5 -9,5</w:t>
            </w:r>
            <w:r>
              <w:rPr>
                <w:sz w:val="20"/>
                <w:vertAlign w:val="superscript"/>
              </w:rPr>
              <w:t>2</w:t>
            </w:r>
          </w:p>
        </w:tc>
      </w:tr>
      <w:tr>
        <w:trPr>
          <w:cantSplit/>
          <w:trHeight w:val="23"/>
        </w:trPr>
        <w:tc>
          <w:tcPr>
            <w:tcW w:w="351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ChDS/BDS</w:t>
            </w:r>
            <w:r>
              <w:rPr>
                <w:sz w:val="20"/>
                <w:vertAlign w:val="subscript"/>
              </w:rPr>
              <w:t>7</w:t>
            </w:r>
            <w:r>
              <w:rPr>
                <w:sz w:val="20"/>
              </w:rPr>
              <w:t xml:space="preserve"> santykis</w:t>
            </w:r>
            <w:r>
              <w:rPr>
                <w:sz w:val="20"/>
                <w:vertAlign w:val="superscript"/>
              </w:rPr>
              <w:t>3</w:t>
            </w:r>
          </w:p>
        </w:tc>
        <w:tc>
          <w:tcPr>
            <w:tcW w:w="280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w:t>
            </w:r>
          </w:p>
        </w:tc>
        <w:tc>
          <w:tcPr>
            <w:tcW w:w="28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&lt;3</w:t>
            </w:r>
          </w:p>
        </w:tc>
      </w:tr>
      <w:tr>
        <w:trPr>
          <w:cantSplit/>
          <w:trHeight w:val="23"/>
        </w:trPr>
        <w:tc>
          <w:tcPr>
            <w:tcW w:w="351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BDS</w:t>
            </w:r>
            <w:r>
              <w:rPr>
                <w:sz w:val="20"/>
                <w:vertAlign w:val="subscript"/>
              </w:rPr>
              <w:t>7</w:t>
            </w:r>
          </w:p>
        </w:tc>
        <w:tc>
          <w:tcPr>
            <w:tcW w:w="280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mg/l</w:t>
            </w:r>
          </w:p>
        </w:tc>
        <w:tc>
          <w:tcPr>
            <w:tcW w:w="28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800</w:t>
            </w:r>
            <w:r>
              <w:rPr>
                <w:sz w:val="20"/>
                <w:vertAlign w:val="superscript"/>
              </w:rPr>
              <w:t>4</w:t>
            </w:r>
          </w:p>
        </w:tc>
      </w:tr>
    </w:tbl>
    <w:p>
      <w:pPr>
        <w:ind w:firstLine="709"/>
      </w:pPr>
    </w:p>
    <w:p>
      <w:pPr>
        <w:widowControl w:val="0"/>
        <w:ind w:firstLine="709"/>
        <w:jc w:val="both"/>
      </w:pPr>
      <w:r>
        <w:t>Pastabos:</w:t>
      </w:r>
    </w:p>
    <w:p>
      <w:pPr>
        <w:widowControl w:val="0"/>
        <w:ind w:left="600" w:firstLine="709"/>
        <w:jc w:val="both"/>
      </w:pPr>
      <w:r>
        <w:rPr>
          <w:vertAlign w:val="superscript"/>
        </w:rPr>
        <w:t xml:space="preserve">1 </w:t>
      </w:r>
      <w:r>
        <w:t>Jeigu nuotekose yra lakiųjų medžiagų, gali būti reikalaujama išleisti žemesnės temperatūros nuotekas.</w:t>
      </w:r>
    </w:p>
    <w:p>
      <w:pPr>
        <w:widowControl w:val="0"/>
        <w:ind w:left="600" w:firstLine="709"/>
        <w:jc w:val="both"/>
      </w:pPr>
      <w:r>
        <w:rPr>
          <w:vertAlign w:val="superscript"/>
        </w:rPr>
        <w:t xml:space="preserve">2 </w:t>
      </w:r>
      <w:r>
        <w:t>Turėtų būti stebima ilgesnį laiką, pvz., 14 dienų. Kraštutinės momentinių verčių ribos pH 4 ir pH 10 leistinos, jeigu šios pH vertės trunka ne ilgiau kaip 6 min. (10 % valandos).</w:t>
      </w:r>
    </w:p>
    <w:p>
      <w:pPr>
        <w:widowControl w:val="0"/>
        <w:tabs>
          <w:tab w:val="left" w:pos="283"/>
        </w:tabs>
        <w:ind w:left="600" w:firstLine="709"/>
        <w:jc w:val="both"/>
      </w:pPr>
      <w:r>
        <w:rPr>
          <w:vertAlign w:val="superscript"/>
        </w:rPr>
        <w:t xml:space="preserve">3 </w:t>
      </w:r>
      <w:r>
        <w:t>Jei ChDS/BDS</w:t>
      </w:r>
      <w:r>
        <w:rPr>
          <w:vertAlign w:val="subscript"/>
        </w:rPr>
        <w:t>7</w:t>
      </w:r>
      <w:r>
        <w:t xml:space="preserve"> santykis yra ≥ 3, veiklos vykdytojas privalo įvertinti, ar išleidžiamos į nuotakyną nuotekos nėra toksiškos. Jeigu nustatoma, kad santykis yra didelis dėl mažo lengvai skaidomų organinių medžiagų kiekio (iki 150 mg/l pagal BDS</w:t>
      </w:r>
      <w:r>
        <w:rPr>
          <w:vertAlign w:val="subscript"/>
        </w:rPr>
        <w:t>7</w:t>
      </w:r>
      <w:r>
        <w:t>), o ne dėl toksinių/kenksmingų medžiagų, ribojančių biologinius procesus, šio parametro viršijimas leidžiamas.</w:t>
      </w:r>
    </w:p>
    <w:p>
      <w:pPr>
        <w:widowControl w:val="0"/>
        <w:tabs>
          <w:tab w:val="left" w:pos="283"/>
        </w:tabs>
        <w:ind w:left="600" w:firstLine="709"/>
        <w:jc w:val="both"/>
      </w:pPr>
      <w:r>
        <w:rPr>
          <w:vertAlign w:val="superscript"/>
        </w:rPr>
        <w:t xml:space="preserve">4 </w:t>
      </w:r>
      <w:r>
        <w:t>Koncentracija vidutiniame paros mėginyje.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suppressAutoHyphens/>
        <w:ind w:firstLine="709"/>
        <w:jc w:val="both"/>
      </w:pPr>
      <w:r>
        <w:rPr>
          <w:color w:val="000000"/>
        </w:rPr>
        <w:t>33</w:t>
      </w:r>
      <w:r>
        <w:rPr>
          <w:color w:val="000000"/>
        </w:rPr>
        <w:t>. Asmenys (veiklos vykdytojai), ketinantys išleisti arba išleidžiantys gamybines nuotekas į kitų asmenų valdomą nuotakyną, privalo informuoti nuotakyną eksploatuojantį asmenį, kiek ir kokių (nurodyti koncentraciją ir kiekį) prioritetinių pavojingų ir/ar pavojingų medžiagų su nuotekomis bus išleidžiama. Jei su nuotekomis išleidžiamų pavojingų medžiagų koncentracija yra lygi arba didesnė už šio Reglamento 2 priedo A ir B1 dalyse nurodytą „Ribinė koncentracija į nuotekų surinkimo sistemą“ vertę ir/ar kuriose yra 1 priede nurodytų prioritetinių pavojingų medžiagų, veiklos vykdytojai privalo užtikrinti šių medžiagų kontrolę ir apskaitą bei nustatyta tvarka teikti informaciją nuotakyno valdytojui.</w:t>
      </w:r>
      <w:r>
        <w:t xml:space="preserve"> </w:t>
      </w:r>
      <w:r>
        <w:rPr>
          <w:color w:val="000000"/>
        </w:rPr>
        <w:t>Nuotakyno valdytojas informaciją apie abonentų su gamybinėmis nuotekomis išleidžiamas pavojingas medžiagas (pagal abonentų pateiktus duomenis), nurodytas Reglamento 1 priede ir/ar 2 priedo A dalyje ir/ar B dalies B1 sąraše, privalo pateikti atitinkamam RAAD.</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10FB677ADD">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2010-05-18,
Žin., 2010, Nr.
59-2938 (2010-05-22), i. k. 110301MISAK00D1-416            </w:t>
      </w:r>
    </w:p>
    <w:p/>
    <w:p>
      <w:pPr>
        <w:widowControl w:val="0"/>
        <w:ind w:firstLine="709"/>
        <w:jc w:val="both"/>
      </w:pPr>
      <w:r>
        <w:t>34</w:t>
      </w:r>
      <w:r>
        <w:t>. Nuotakyno valdytojas turi teisę:</w:t>
      </w:r>
    </w:p>
    <w:p>
      <w:pPr>
        <w:widowControl w:val="0"/>
        <w:ind w:firstLine="709"/>
        <w:jc w:val="both"/>
      </w:pPr>
      <w:r>
        <w:t>34.1</w:t>
      </w:r>
      <w:r>
        <w:t>. nustatyti griežtesnius reikalavimus nuotekų išleidimui į komunalinių nuotekų nuotakyną už šiame Reglamente nustatytus (išskyrus reikalavimus, nustatytus 3 lentelėje ir 2 priedo B2 dalyje) tuo atveju: kai matavimai (skaičiavimai) rodo, kad priimant į nuotakyną šiame Reglamente nustatytus reikalavimus atitinkančias abonento nuotekas, nepavyksta pasiekti leidime nustatytų reikalavimų nuotekų išleidimui į gamtinę aplinką; kai vieno ar kelių abonentų išleidžiamų medžiagų/teršalų sąveikoje gali susidaryti pavojingi/kenksmingi junginiai, kurių patekimas į nuotekų tvarkymo sistemą yra draudžiamas; kai dėl tam tikrų medžiagų išleidimo nuotekų valymo metu susidarantis dumblas būtų užterštas tiek, kad tai trukdytų jį panaudoti arba utilizuoti konkrečioje vietoje taikomais metodais;</w:t>
      </w:r>
    </w:p>
    <w:p>
      <w:pPr>
        <w:widowControl w:val="0"/>
        <w:ind w:firstLine="709"/>
        <w:jc w:val="both"/>
      </w:pPr>
      <w:r>
        <w:t>34.2</w:t>
      </w:r>
      <w:r>
        <w:t>. leisti nesilaikyti 3 lentelėje pateiktų reikalavimų ir 2 priedo B dalyje nurodytoms medžiagoms nustatytų DLK į nuotekų surinkimo sistemą, jeigu yra laikomasi nustatytų reikalavimų nuotekų išleidimui į gamtinę aplinką.</w:t>
      </w:r>
    </w:p>
    <w:p>
      <w:pPr>
        <w:ind w:firstLine="709"/>
        <w:jc w:val="both"/>
      </w:pPr>
    </w:p>
    <w:p>
      <w:pPr>
        <w:widowControl w:val="0"/>
        <w:jc w:val="center"/>
      </w:pPr>
      <w:r>
        <w:rPr>
          <w:b/>
          <w:bCs/>
        </w:rPr>
        <w:t>VI</w:t>
      </w:r>
      <w:r>
        <w:rPr>
          <w:b/>
          <w:bCs/>
        </w:rPr>
        <w:t xml:space="preserve">. </w:t>
      </w:r>
      <w:r>
        <w:rPr>
          <w:b/>
          <w:bCs/>
        </w:rPr>
        <w:t>GAMYBINIŲ NUOTEKŲ IŠLEIDIMAS Į GAMTINĘ APLINKĄ</w:t>
      </w:r>
    </w:p>
    <w:p>
      <w:pPr>
        <w:ind w:firstLine="709"/>
        <w:jc w:val="both"/>
      </w:pPr>
    </w:p>
    <w:p>
      <w:pPr>
        <w:widowControl w:val="0"/>
        <w:ind w:firstLine="709"/>
        <w:jc w:val="both"/>
      </w:pPr>
      <w:r>
        <w:t>35</w:t>
      </w:r>
      <w:r>
        <w:t>. Išleidžiamoms į gamtinę aplinką gamybinėms nuotekoms taikomi III skyriuje nustatyti bendrieji reikalavimai. Taip pat išleidžiamos gamybinės nuotekos priklausomai nuo nuotekų šaltinio dydžio pagal GE turi tenkinti 2 lentelėje nurodytus reikalavimus (DLK) nuotekų užterštumui pagal BDS ir ChDS.</w:t>
      </w:r>
    </w:p>
    <w:p>
      <w:pPr>
        <w:widowControl w:val="0"/>
        <w:ind w:firstLine="709"/>
        <w:jc w:val="both"/>
      </w:pPr>
      <w:r>
        <w:t>36</w:t>
      </w:r>
      <w:r>
        <w:t xml:space="preserve">. Išleidžiant į gamtinę aplinką gamybines nuotekas, užterštas </w:t>
      </w:r>
      <w:r>
        <w:rPr>
          <w:color w:val="000000"/>
        </w:rPr>
        <w:t>prioritetinėmis medžiagomis (</w:t>
      </w:r>
      <w:r>
        <w:t>prioritetinėmis pavojingomis medžiagomis, nurodytomis šio Reglamento 1 priede, ir/ar pavojingomis medžiagomis, nurodytomis šio Reglamento 2 priedo A dalyje, kai pavojingų medžiagų koncentracija yra lygi arba didesnė už šio Reglamento 2 priedo A dalyje nurodytą „Ribinė koncentracija į gamtinę aplinką“ vertę), turi būti gaunamas TIPK leidimas, vykdoma užterštumo kontrolė ir rengiamos bei įgyvendinamos vandenų taršos šiomis medžiagomis mažinimo programos.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ind w:firstLine="709"/>
        <w:jc w:val="both"/>
      </w:pPr>
      <w:r>
        <w:t>37</w:t>
      </w:r>
      <w:r>
        <w:t>. Vandenų taršos mažinimo programoje turi būti:</w:t>
      </w:r>
    </w:p>
    <w:p>
      <w:pPr>
        <w:widowControl w:val="0"/>
        <w:ind w:firstLine="709"/>
        <w:jc w:val="both"/>
      </w:pPr>
      <w:r>
        <w:t>37.1</w:t>
      </w:r>
      <w:r>
        <w:t xml:space="preserve">. ūkinėje veikloje naudojamų ir/arba gamybos procese susidarančių </w:t>
      </w:r>
      <w:r>
        <w:rPr>
          <w:color w:val="000000"/>
        </w:rPr>
        <w:t>prioritetinių medžiagų</w:t>
      </w:r>
      <w:r>
        <w:t xml:space="preserve"> sąrašas ir kiekis bei masių balansas;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ind w:firstLine="709"/>
        <w:jc w:val="both"/>
      </w:pPr>
      <w:r>
        <w:t>37.2</w:t>
      </w:r>
      <w:r>
        <w:t xml:space="preserve">. </w:t>
      </w:r>
      <w:r>
        <w:rPr>
          <w:color w:val="000000"/>
        </w:rPr>
        <w:t>prioritetinių medžiagų</w:t>
      </w:r>
      <w:r>
        <w:t xml:space="preserve"> išleidimo su nuotekomis kontrolės priemonės ir programa;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ind w:firstLine="709"/>
        <w:jc w:val="both"/>
      </w:pPr>
      <w:r>
        <w:t>37.3</w:t>
      </w:r>
      <w:r>
        <w:t xml:space="preserve">. numatytos priemonės vandens taršai </w:t>
      </w:r>
      <w:r>
        <w:rPr>
          <w:color w:val="000000"/>
        </w:rPr>
        <w:t>prioritetinėmis medžiagomis</w:t>
      </w:r>
      <w:r>
        <w:t xml:space="preserve"> mažinti. Jeigu įmanoma, turi būti numatytas taršos </w:t>
      </w:r>
      <w:r>
        <w:rPr>
          <w:color w:val="000000"/>
        </w:rPr>
        <w:t>prioritetinėmis medžiagomis</w:t>
      </w:r>
      <w:r>
        <w:t xml:space="preserve"> laipsniškas nutraukimas ar pakeitimas mažiau pavojingomis medžiagomis (pavojingų medžiagų išleidimas su nuotekomis ar kitoks jų patekimas į gamtinę aplinką turi būti mažinamas; vandenų tarša prioritetinėmis pavojingomis medžiagomis ne vėliau kaip iki 2010 m. gruodžio 31 d. turi būti nutraukta).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ind w:firstLine="709"/>
        <w:jc w:val="both"/>
      </w:pPr>
      <w:r>
        <w:t>38</w:t>
      </w:r>
      <w:r>
        <w:t>. Veiklos vykdytojas, išleidžiantis gamybines nuotekas į gamtinę aplinką, teisės aktų nustatyta tvarka turi vykdyti teršalų bei kitų parametrų, kurių išleidimas reglamentuotas leidime, matavimus. Taip pat priklausomai nuo taršos šaltinių tipų (pramonės šakų) turi būti vykdoma 4 priede pateiktų parametrų kontrolė. Kontroliuotini parametrai gali būti koreguojami priklausomai nuo naudojamų gamybos technologijų, žaliavų, įmonės dydžio, priimtuvo jautrumo.</w:t>
      </w:r>
    </w:p>
    <w:p>
      <w:pPr>
        <w:ind w:firstLine="709"/>
        <w:jc w:val="both"/>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10FB677ADD">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2010-05-18,
Žin., 2010, Nr.
59-2938 (2010-05-22), i. k. 110301MISAK00D1-416            </w:t>
      </w:r>
    </w:p>
    <w:p/>
    <w:p>
      <w:pPr>
        <w:widowControl w:val="0"/>
        <w:jc w:val="center"/>
      </w:pPr>
      <w:r>
        <w:rPr>
          <w:b/>
          <w:bCs/>
        </w:rPr>
        <w:t>VII</w:t>
      </w:r>
      <w:r>
        <w:rPr>
          <w:b/>
          <w:bCs/>
        </w:rPr>
        <w:t xml:space="preserve">. </w:t>
      </w:r>
      <w:r>
        <w:rPr>
          <w:b/>
          <w:bCs/>
        </w:rPr>
        <w:t>BAIGIAMOSIOS NUOSTATOS</w:t>
      </w:r>
    </w:p>
    <w:p>
      <w:pPr>
        <w:ind w:firstLine="709"/>
        <w:jc w:val="both"/>
      </w:pPr>
    </w:p>
    <w:p>
      <w:pPr>
        <w:widowControl w:val="0"/>
        <w:ind w:firstLine="709"/>
        <w:jc w:val="both"/>
      </w:pPr>
      <w:r>
        <w:t>39</w:t>
      </w:r>
      <w:r>
        <w:t>. Valstybinė išleidžiamų į gamtinę aplinką nuotekų, kuriose yra prioritetinių pavojingų ir/ar 2 priedo A dalyje nurodytų pavojingų medžiagų, kontrolė turi būti atliekama ne rečiau kaip vieną kartą per metus.</w:t>
      </w:r>
    </w:p>
    <w:p>
      <w:pPr>
        <w:widowControl w:val="0"/>
        <w:ind w:firstLine="709"/>
        <w:jc w:val="both"/>
      </w:pPr>
      <w:r>
        <w:t>40</w:t>
      </w:r>
      <w:r>
        <w:t>. Į komunalinių nuotekų nuotakyną arba į gamtinę aplinką išleidžiamų nuotekų mėginiai turi būti imami pagal LST EN ISO 5667-1:2007 „Vandens kokybė. Mėginių ėmimas. 1 dalis. Mėginių ėmimo programų ir būdų sudarymo vadovas“ (ISO 5667-1:2006) ir LST EN ISO 5667-3:2006 „Vandens kokybė. Mėginių ėmimas. 3 dalis. Nurodymai, kaip konservuoti ir tvarkyti vandens mėginius“ (ISO 5667-3:2003) reikalavimus.</w:t>
      </w:r>
    </w:p>
    <w:p>
      <w:pPr>
        <w:ind w:firstLine="709"/>
        <w:jc w:val="both"/>
      </w:pPr>
    </w:p>
    <w:p>
      <w:pPr>
        <w:widowControl w:val="0"/>
        <w:jc w:val="center"/>
      </w:pPr>
      <w:r>
        <w:rPr>
          <w:b/>
          <w:bCs/>
        </w:rPr>
        <w:t>VIII</w:t>
      </w:r>
      <w:r>
        <w:rPr>
          <w:b/>
          <w:bCs/>
        </w:rPr>
        <w:t xml:space="preserve">. </w:t>
      </w:r>
      <w:r>
        <w:rPr>
          <w:b/>
          <w:bCs/>
        </w:rPr>
        <w:t>ATSAKOMYBĖ</w:t>
      </w:r>
    </w:p>
    <w:p>
      <w:pPr>
        <w:ind w:firstLine="709"/>
        <w:jc w:val="both"/>
      </w:pPr>
    </w:p>
    <w:p>
      <w:pPr>
        <w:widowControl w:val="0"/>
        <w:ind w:firstLine="709"/>
        <w:jc w:val="both"/>
      </w:pPr>
      <w:r>
        <w:t>41</w:t>
      </w:r>
      <w:r>
        <w:t>. Asmenys už šio Reglamento pažeidimus atsako pagal Lietuvos Respublikos įstatymus.</w:t>
      </w:r>
    </w:p>
    <w:p>
      <w:pPr>
        <w:widowControl w:val="0"/>
        <w:ind w:firstLine="3969"/>
        <w:jc w:val="both"/>
      </w:pPr>
      <w:r>
        <w:t>______________</w:t>
      </w:r>
    </w:p>
    <w:p>
      <w:pPr/>
    </w:p>
    <w:p>
      <w:pPr>
        <w:sectPr>
          <w:headerReference w:type="even" r:id="rId27"/>
          <w:headerReference w:type="default" r:id="rId28"/>
          <w:footerReference w:type="even" r:id="rId29"/>
          <w:footerReference w:type="default" r:id="rId30"/>
          <w:headerReference w:type="first" r:id="rId31"/>
          <w:footerReference w:type="first" r:id="rId32"/>
          <w:pgSz w:w="11907" w:h="16840" w:code="9"/>
          <w:pgMar w:top="1134" w:right="1134" w:bottom="1134" w:left="1701" w:header="567" w:footer="284" w:gutter="0"/>
          <w:cols w:space="1296"/>
          <w:docGrid w:linePitch="360"/>
        </w:sectPr>
      </w:pPr>
    </w:p>
    <w:p>
      <w:pPr>
        <w:ind w:left="9120"/>
        <w:rPr>
          <w:bCs/>
        </w:rPr>
      </w:pPr>
      <w:r>
        <w:rPr>
          <w:bCs/>
        </w:rPr>
        <w:t>Nuotekų tvarkymo reglamento</w:t>
      </w:r>
    </w:p>
    <w:p>
      <w:pPr>
        <w:ind w:left="9120"/>
      </w:pPr>
      <w:r>
        <w:t>1 priedas</w:t>
      </w:r>
    </w:p>
    <w:p>
      <w:pPr/>
    </w:p>
    <w:p>
      <w:pPr>
        <w:jc w:val="center"/>
        <w:rPr>
          <w:b/>
          <w:bCs/>
          <w:caps/>
        </w:rPr>
      </w:pPr>
      <w:r>
        <w:rPr>
          <w:b/>
          <w:bCs/>
          <w:caps/>
        </w:rPr>
        <w:t xml:space="preserve">Prioritetinių pavojingų medžiagų didžiausiA leidžiamA  koncentracijA (DLK) Nuotekose IR APLINKOS KOKYBĖS STANDARTAI (AKS)</w:t>
      </w:r>
    </w:p>
    <w:p>
      <w:pPr>
        <w:ind w:firstLine="567"/>
        <w:jc w:val="both"/>
        <w:rPr>
          <w:bCs/>
          <w:caps/>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pPr>
      <w:r>
        <w:rPr>
          <w:rFonts w:eastAsia="Courier New"/>
        </w:rPr>
        <w:t>Matavimo vienetai µ</w:t>
      </w:r>
      <w:r>
        <w:rPr>
          <w:bCs/>
          <w:spacing w:val="10"/>
        </w:rPr>
        <w:t>g/l</w:t>
      </w: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3495"/>
        <w:gridCol w:w="1627"/>
        <w:gridCol w:w="1521"/>
        <w:gridCol w:w="1476"/>
        <w:gridCol w:w="1612"/>
        <w:gridCol w:w="1536"/>
        <w:gridCol w:w="1792"/>
        <w:gridCol w:w="1681"/>
      </w:tblGrid>
      <w:tr>
        <w:trPr>
          <w:trHeight w:hRule="exact" w:val="307"/>
        </w:trPr>
        <w:tc>
          <w:tcPr>
            <w:tcW w:w="3495" w:type="dxa"/>
            <w:vMerge w:val="restart"/>
          </w:tcPr>
          <w:p>
            <w:pPr>
              <w:widowControl w:val="0"/>
              <w:tabs>
                <w:tab w:val="center" w:pos="4153"/>
                <w:tab w:val="right" w:pos="9100"/>
              </w:tabs>
              <w:suppressAutoHyphens/>
              <w:snapToGrid w:val="0"/>
              <w:jc w:val="center"/>
              <w:rPr>
                <w:rFonts w:eastAsia="Lucida Sans Unicode"/>
                <w:bCs/>
                <w:sz w:val="18"/>
                <w:szCs w:val="18"/>
              </w:rPr>
            </w:pPr>
            <w:r>
              <w:rPr>
                <w:rFonts w:eastAsia="Lucida Sans Unicode"/>
                <w:bCs/>
                <w:sz w:val="18"/>
                <w:szCs w:val="18"/>
              </w:rPr>
              <w:t>Medžiagos pavadinimas</w:t>
            </w:r>
          </w:p>
        </w:tc>
        <w:tc>
          <w:tcPr>
            <w:tcW w:w="1627" w:type="dxa"/>
            <w:vMerge w:val="restart"/>
          </w:tcPr>
          <w:p>
            <w:pPr>
              <w:widowControl w:val="0"/>
              <w:tabs>
                <w:tab w:val="center" w:pos="4153"/>
                <w:tab w:val="right" w:pos="9100"/>
              </w:tabs>
              <w:suppressAutoHyphens/>
              <w:snapToGrid w:val="0"/>
              <w:jc w:val="center"/>
              <w:rPr>
                <w:rFonts w:eastAsia="Lucida Sans Unicode"/>
                <w:bCs/>
                <w:sz w:val="18"/>
                <w:szCs w:val="18"/>
                <w:vertAlign w:val="superscript"/>
              </w:rPr>
            </w:pPr>
            <w:r>
              <w:rPr>
                <w:rFonts w:eastAsia="Lucida Sans Unicode"/>
                <w:bCs/>
                <w:sz w:val="18"/>
                <w:szCs w:val="18"/>
              </w:rPr>
              <w:t>CAS Nr.</w:t>
            </w:r>
            <w:r>
              <w:rPr>
                <w:rFonts w:eastAsia="Lucida Sans Unicode"/>
                <w:bCs/>
                <w:sz w:val="18"/>
                <w:szCs w:val="18"/>
                <w:vertAlign w:val="superscript"/>
              </w:rPr>
              <w:t>1</w:t>
            </w:r>
          </w:p>
        </w:tc>
        <w:tc>
          <w:tcPr>
            <w:tcW w:w="1521" w:type="dxa"/>
            <w:vMerge w:val="restart"/>
          </w:tcPr>
          <w:p>
            <w:pPr>
              <w:widowControl w:val="0"/>
              <w:tabs>
                <w:tab w:val="center" w:pos="4153"/>
                <w:tab w:val="right" w:pos="9100"/>
              </w:tabs>
              <w:suppressAutoHyphens/>
              <w:snapToGrid w:val="0"/>
              <w:jc w:val="center"/>
              <w:rPr>
                <w:rFonts w:eastAsia="Lucida Sans Unicode"/>
                <w:bCs/>
                <w:sz w:val="18"/>
                <w:szCs w:val="18"/>
              </w:rPr>
            </w:pPr>
            <w:r>
              <w:rPr>
                <w:rFonts w:eastAsia="Lucida Sans Unicode"/>
                <w:bCs/>
                <w:sz w:val="18"/>
                <w:szCs w:val="18"/>
              </w:rPr>
              <w:t xml:space="preserve">DLK  į nuotekų surinkimo sistemą</w:t>
            </w:r>
          </w:p>
        </w:tc>
        <w:tc>
          <w:tcPr>
            <w:tcW w:w="1476" w:type="dxa"/>
            <w:vMerge w:val="restart"/>
          </w:tcPr>
          <w:p>
            <w:pPr>
              <w:widowControl w:val="0"/>
              <w:tabs>
                <w:tab w:val="center" w:pos="4153"/>
                <w:tab w:val="right" w:pos="9100"/>
              </w:tabs>
              <w:suppressAutoHyphens/>
              <w:snapToGrid w:val="0"/>
              <w:jc w:val="center"/>
              <w:rPr>
                <w:rFonts w:eastAsia="Lucida Sans Unicode"/>
                <w:bCs/>
                <w:sz w:val="18"/>
                <w:szCs w:val="18"/>
              </w:rPr>
            </w:pPr>
            <w:r>
              <w:rPr>
                <w:rFonts w:eastAsia="Lucida Sans Unicode"/>
                <w:bCs/>
                <w:sz w:val="18"/>
                <w:szCs w:val="18"/>
              </w:rPr>
              <w:t xml:space="preserve">DLK  į gamtinę aplinką</w:t>
            </w:r>
          </w:p>
        </w:tc>
        <w:tc>
          <w:tcPr>
            <w:tcW w:w="3148" w:type="dxa"/>
            <w:gridSpan w:val="2"/>
          </w:tcPr>
          <w:p>
            <w:pPr>
              <w:widowControl w:val="0"/>
              <w:tabs>
                <w:tab w:val="center" w:pos="4153"/>
                <w:tab w:val="right" w:pos="9100"/>
              </w:tabs>
              <w:suppressAutoHyphens/>
              <w:snapToGrid w:val="0"/>
              <w:jc w:val="center"/>
              <w:rPr>
                <w:bCs/>
                <w:sz w:val="18"/>
                <w:szCs w:val="18"/>
              </w:rPr>
            </w:pPr>
            <w:r>
              <w:rPr>
                <w:bCs/>
                <w:sz w:val="18"/>
                <w:szCs w:val="18"/>
              </w:rPr>
              <w:t>MV-AKS</w:t>
            </w:r>
            <w:r>
              <w:rPr>
                <w:bCs/>
                <w:sz w:val="18"/>
                <w:szCs w:val="18"/>
                <w:vertAlign w:val="superscript"/>
              </w:rPr>
              <w:t>2</w:t>
            </w:r>
          </w:p>
        </w:tc>
        <w:tc>
          <w:tcPr>
            <w:tcW w:w="3473" w:type="dxa"/>
            <w:gridSpan w:val="2"/>
          </w:tcPr>
          <w:p>
            <w:pPr>
              <w:widowControl w:val="0"/>
              <w:tabs>
                <w:tab w:val="center" w:pos="4153"/>
                <w:tab w:val="right" w:pos="9100"/>
              </w:tabs>
              <w:suppressAutoHyphens/>
              <w:snapToGrid w:val="0"/>
              <w:jc w:val="center"/>
              <w:rPr>
                <w:bCs/>
                <w:sz w:val="18"/>
                <w:szCs w:val="18"/>
              </w:rPr>
            </w:pPr>
            <w:r>
              <w:rPr>
                <w:bCs/>
                <w:sz w:val="18"/>
                <w:szCs w:val="18"/>
              </w:rPr>
              <w:t>DLK-AKS</w:t>
            </w:r>
            <w:r>
              <w:rPr>
                <w:bCs/>
                <w:sz w:val="18"/>
                <w:szCs w:val="18"/>
                <w:vertAlign w:val="superscript"/>
              </w:rPr>
              <w:t>3</w:t>
            </w:r>
          </w:p>
        </w:tc>
      </w:tr>
      <w:tr>
        <w:tc>
          <w:tcPr>
            <w:tcW w:w="3495" w:type="dxa"/>
            <w:vMerge/>
          </w:tcPr>
          <w:p>
            <w:pPr>
              <w:jc w:val="center"/>
              <w:rPr>
                <w:sz w:val="18"/>
                <w:szCs w:val="18"/>
              </w:rPr>
            </w:pPr>
          </w:p>
        </w:tc>
        <w:tc>
          <w:tcPr>
            <w:tcW w:w="1627" w:type="dxa"/>
            <w:vMerge/>
          </w:tcPr>
          <w:p>
            <w:pPr>
              <w:jc w:val="center"/>
              <w:rPr>
                <w:sz w:val="18"/>
                <w:szCs w:val="18"/>
              </w:rPr>
            </w:pPr>
          </w:p>
        </w:tc>
        <w:tc>
          <w:tcPr>
            <w:tcW w:w="1521" w:type="dxa"/>
            <w:vMerge/>
          </w:tcPr>
          <w:p>
            <w:pPr>
              <w:jc w:val="center"/>
              <w:rPr>
                <w:sz w:val="18"/>
                <w:szCs w:val="18"/>
              </w:rPr>
            </w:pPr>
          </w:p>
        </w:tc>
        <w:tc>
          <w:tcPr>
            <w:tcW w:w="1476" w:type="dxa"/>
            <w:vMerge/>
          </w:tcPr>
          <w:p>
            <w:pPr>
              <w:jc w:val="center"/>
              <w:rPr>
                <w:sz w:val="18"/>
                <w:szCs w:val="18"/>
              </w:rPr>
            </w:pPr>
          </w:p>
        </w:tc>
        <w:tc>
          <w:tcPr>
            <w:tcW w:w="1612" w:type="dxa"/>
          </w:tcPr>
          <w:p>
            <w:pPr>
              <w:widowControl w:val="0"/>
              <w:tabs>
                <w:tab w:val="center" w:pos="4153"/>
                <w:tab w:val="right" w:pos="9100"/>
              </w:tabs>
              <w:suppressAutoHyphens/>
              <w:snapToGrid w:val="0"/>
              <w:jc w:val="center"/>
              <w:rPr>
                <w:sz w:val="18"/>
                <w:szCs w:val="18"/>
                <w:vertAlign w:val="superscript"/>
              </w:rPr>
            </w:pPr>
            <w:r>
              <w:rPr>
                <w:sz w:val="18"/>
                <w:szCs w:val="18"/>
              </w:rPr>
              <w:t>vidaus paviršiniuose vandenyse</w:t>
            </w:r>
            <w:r>
              <w:rPr>
                <w:sz w:val="18"/>
                <w:szCs w:val="18"/>
                <w:vertAlign w:val="superscript"/>
              </w:rPr>
              <w:t>4</w:t>
            </w:r>
          </w:p>
        </w:tc>
        <w:tc>
          <w:tcPr>
            <w:tcW w:w="1536" w:type="dxa"/>
          </w:tcPr>
          <w:p>
            <w:pPr>
              <w:widowControl w:val="0"/>
              <w:tabs>
                <w:tab w:val="center" w:pos="4153"/>
                <w:tab w:val="right" w:pos="9100"/>
              </w:tabs>
              <w:suppressAutoHyphens/>
              <w:snapToGrid w:val="0"/>
              <w:jc w:val="center"/>
              <w:rPr>
                <w:sz w:val="18"/>
                <w:szCs w:val="18"/>
              </w:rPr>
            </w:pPr>
            <w:r>
              <w:rPr>
                <w:sz w:val="18"/>
                <w:szCs w:val="18"/>
              </w:rPr>
              <w:t>kituose paviršiniuose vandenyse</w:t>
            </w:r>
          </w:p>
        </w:tc>
        <w:tc>
          <w:tcPr>
            <w:tcW w:w="1792" w:type="dxa"/>
          </w:tcPr>
          <w:p>
            <w:pPr>
              <w:widowControl w:val="0"/>
              <w:tabs>
                <w:tab w:val="center" w:pos="4153"/>
                <w:tab w:val="right" w:pos="9100"/>
              </w:tabs>
              <w:suppressAutoHyphens/>
              <w:snapToGrid w:val="0"/>
              <w:jc w:val="center"/>
              <w:rPr>
                <w:sz w:val="18"/>
                <w:szCs w:val="18"/>
                <w:vertAlign w:val="superscript"/>
              </w:rPr>
            </w:pPr>
            <w:r>
              <w:rPr>
                <w:sz w:val="18"/>
                <w:szCs w:val="18"/>
              </w:rPr>
              <w:t>vidaus paviršiniuose vandenyse</w:t>
            </w:r>
            <w:r>
              <w:rPr>
                <w:sz w:val="18"/>
                <w:szCs w:val="18"/>
                <w:vertAlign w:val="superscript"/>
              </w:rPr>
              <w:t>4</w:t>
            </w:r>
          </w:p>
        </w:tc>
        <w:tc>
          <w:tcPr>
            <w:tcW w:w="1681" w:type="dxa"/>
          </w:tcPr>
          <w:p>
            <w:pPr>
              <w:widowControl w:val="0"/>
              <w:tabs>
                <w:tab w:val="center" w:pos="4153"/>
                <w:tab w:val="right" w:pos="9100"/>
              </w:tabs>
              <w:suppressAutoHyphens/>
              <w:snapToGrid w:val="0"/>
              <w:jc w:val="center"/>
              <w:rPr>
                <w:sz w:val="18"/>
                <w:szCs w:val="18"/>
              </w:rPr>
            </w:pPr>
            <w:r>
              <w:rPr>
                <w:sz w:val="18"/>
                <w:szCs w:val="18"/>
              </w:rPr>
              <w:t>kituose paviršiniuose vandenyse</w:t>
            </w:r>
          </w:p>
        </w:tc>
      </w:tr>
      <w:tr>
        <w:tc>
          <w:tcPr>
            <w:tcW w:w="3495" w:type="dxa"/>
          </w:tcPr>
          <w:p>
            <w:pPr>
              <w:widowControl w:val="0"/>
              <w:tabs>
                <w:tab w:val="center" w:pos="4153"/>
                <w:tab w:val="right" w:pos="9100"/>
              </w:tabs>
              <w:suppressAutoHyphens/>
              <w:snapToGrid w:val="0"/>
              <w:rPr>
                <w:rFonts w:eastAsia="Lucida Sans Unicode"/>
                <w:sz w:val="18"/>
                <w:szCs w:val="18"/>
              </w:rPr>
            </w:pPr>
            <w:r>
              <w:rPr>
                <w:rFonts w:eastAsia="Lucida Sans Unicode"/>
                <w:sz w:val="18"/>
                <w:szCs w:val="18"/>
              </w:rPr>
              <w:t>Gyvsidabris ir jo junginiai</w:t>
            </w:r>
          </w:p>
        </w:tc>
        <w:tc>
          <w:tcPr>
            <w:tcW w:w="1627" w:type="dxa"/>
          </w:tcPr>
          <w:p>
            <w:pPr>
              <w:snapToGrid w:val="0"/>
              <w:jc w:val="center"/>
              <w:rPr>
                <w:sz w:val="18"/>
                <w:szCs w:val="18"/>
              </w:rPr>
            </w:pPr>
            <w:r>
              <w:rPr>
                <w:sz w:val="18"/>
                <w:szCs w:val="18"/>
              </w:rPr>
              <w:t>CAS 7439-97-6</w:t>
            </w:r>
          </w:p>
        </w:tc>
        <w:tc>
          <w:tcPr>
            <w:tcW w:w="1521" w:type="dxa"/>
          </w:tcPr>
          <w:p>
            <w:pPr>
              <w:snapToGrid w:val="0"/>
              <w:jc w:val="center"/>
              <w:rPr>
                <w:sz w:val="18"/>
                <w:szCs w:val="18"/>
              </w:rPr>
            </w:pPr>
            <w:r>
              <w:rPr>
                <w:sz w:val="18"/>
                <w:szCs w:val="18"/>
              </w:rPr>
              <w:t>10</w:t>
            </w:r>
          </w:p>
        </w:tc>
        <w:tc>
          <w:tcPr>
            <w:tcW w:w="1476" w:type="dxa"/>
          </w:tcPr>
          <w:p>
            <w:pPr>
              <w:snapToGrid w:val="0"/>
              <w:jc w:val="center"/>
              <w:rPr>
                <w:sz w:val="18"/>
                <w:szCs w:val="18"/>
              </w:rPr>
            </w:pPr>
            <w:r>
              <w:rPr>
                <w:sz w:val="18"/>
                <w:szCs w:val="18"/>
              </w:rPr>
              <w:t>2</w:t>
            </w:r>
          </w:p>
        </w:tc>
        <w:tc>
          <w:tcPr>
            <w:tcW w:w="1612" w:type="dxa"/>
          </w:tcPr>
          <w:p>
            <w:pPr>
              <w:snapToGrid w:val="0"/>
              <w:jc w:val="center"/>
              <w:rPr>
                <w:sz w:val="18"/>
                <w:szCs w:val="18"/>
                <w:vertAlign w:val="superscript"/>
              </w:rPr>
            </w:pPr>
            <w:r>
              <w:rPr>
                <w:sz w:val="18"/>
                <w:szCs w:val="18"/>
              </w:rPr>
              <w:t>0,05</w:t>
            </w:r>
          </w:p>
        </w:tc>
        <w:tc>
          <w:tcPr>
            <w:tcW w:w="1536" w:type="dxa"/>
          </w:tcPr>
          <w:p>
            <w:pPr>
              <w:snapToGrid w:val="0"/>
              <w:jc w:val="center"/>
              <w:rPr>
                <w:sz w:val="18"/>
                <w:szCs w:val="18"/>
                <w:vertAlign w:val="superscript"/>
              </w:rPr>
            </w:pPr>
            <w:r>
              <w:rPr>
                <w:sz w:val="18"/>
                <w:szCs w:val="18"/>
              </w:rPr>
              <w:t>0,05</w:t>
            </w:r>
          </w:p>
        </w:tc>
        <w:tc>
          <w:tcPr>
            <w:tcW w:w="1792" w:type="dxa"/>
          </w:tcPr>
          <w:p>
            <w:pPr>
              <w:snapToGrid w:val="0"/>
              <w:jc w:val="center"/>
              <w:rPr>
                <w:sz w:val="18"/>
                <w:szCs w:val="18"/>
              </w:rPr>
            </w:pPr>
            <w:r>
              <w:rPr>
                <w:sz w:val="18"/>
                <w:szCs w:val="18"/>
              </w:rPr>
              <w:t>0,07</w:t>
            </w:r>
          </w:p>
        </w:tc>
        <w:tc>
          <w:tcPr>
            <w:tcW w:w="1681" w:type="dxa"/>
          </w:tcPr>
          <w:p>
            <w:pPr>
              <w:snapToGrid w:val="0"/>
              <w:jc w:val="center"/>
              <w:rPr>
                <w:sz w:val="18"/>
                <w:szCs w:val="18"/>
              </w:rPr>
            </w:pPr>
            <w:r>
              <w:rPr>
                <w:sz w:val="18"/>
                <w:szCs w:val="18"/>
              </w:rPr>
              <w:t>0,07</w:t>
            </w:r>
          </w:p>
        </w:tc>
      </w:tr>
      <w:tr>
        <w:tc>
          <w:tcPr>
            <w:tcW w:w="3495" w:type="dxa"/>
          </w:tcPr>
          <w:p>
            <w:pPr>
              <w:widowControl w:val="0"/>
              <w:tabs>
                <w:tab w:val="center" w:pos="4153"/>
                <w:tab w:val="right" w:pos="9100"/>
              </w:tabs>
              <w:suppressAutoHyphens/>
              <w:snapToGrid w:val="0"/>
              <w:rPr>
                <w:rFonts w:eastAsia="Lucida Sans Unicode"/>
                <w:sz w:val="18"/>
                <w:szCs w:val="18"/>
                <w:vertAlign w:val="superscript"/>
              </w:rPr>
            </w:pPr>
            <w:r>
              <w:rPr>
                <w:rFonts w:eastAsia="Lucida Sans Unicode"/>
                <w:sz w:val="18"/>
                <w:szCs w:val="18"/>
              </w:rPr>
              <w:t>Kadmis ir jo junginiai</w:t>
            </w:r>
            <w:r>
              <w:rPr>
                <w:rFonts w:eastAsia="Lucida Sans Unicode"/>
                <w:sz w:val="18"/>
                <w:szCs w:val="18"/>
                <w:vertAlign w:val="superscript"/>
              </w:rPr>
              <w:t>5</w:t>
            </w:r>
          </w:p>
        </w:tc>
        <w:tc>
          <w:tcPr>
            <w:tcW w:w="1627" w:type="dxa"/>
          </w:tcPr>
          <w:p>
            <w:pPr>
              <w:snapToGrid w:val="0"/>
              <w:jc w:val="center"/>
              <w:rPr>
                <w:sz w:val="18"/>
                <w:szCs w:val="18"/>
              </w:rPr>
            </w:pPr>
            <w:r>
              <w:rPr>
                <w:sz w:val="18"/>
                <w:szCs w:val="18"/>
              </w:rPr>
              <w:t>CAS 7440-43-9</w:t>
            </w:r>
          </w:p>
        </w:tc>
        <w:tc>
          <w:tcPr>
            <w:tcW w:w="1521" w:type="dxa"/>
          </w:tcPr>
          <w:p>
            <w:pPr>
              <w:snapToGrid w:val="0"/>
              <w:jc w:val="center"/>
              <w:rPr>
                <w:sz w:val="18"/>
                <w:szCs w:val="18"/>
              </w:rPr>
            </w:pPr>
            <w:r>
              <w:rPr>
                <w:sz w:val="18"/>
                <w:szCs w:val="18"/>
              </w:rPr>
              <w:t>100</w:t>
            </w:r>
          </w:p>
        </w:tc>
        <w:tc>
          <w:tcPr>
            <w:tcW w:w="1476" w:type="dxa"/>
          </w:tcPr>
          <w:p>
            <w:pPr>
              <w:snapToGrid w:val="0"/>
              <w:jc w:val="center"/>
              <w:rPr>
                <w:sz w:val="18"/>
                <w:szCs w:val="18"/>
              </w:rPr>
            </w:pPr>
            <w:r>
              <w:rPr>
                <w:sz w:val="18"/>
                <w:szCs w:val="18"/>
              </w:rPr>
              <w:t>40</w:t>
            </w:r>
          </w:p>
        </w:tc>
        <w:tc>
          <w:tcPr>
            <w:tcW w:w="1612" w:type="dxa"/>
          </w:tcPr>
          <w:p>
            <w:pPr>
              <w:snapToGrid w:val="0"/>
              <w:jc w:val="center"/>
              <w:rPr>
                <w:rFonts w:eastAsia="EUAlbertina"/>
                <w:sz w:val="18"/>
                <w:szCs w:val="18"/>
              </w:rPr>
            </w:pPr>
            <w:r>
              <w:rPr>
                <w:rFonts w:eastAsia="EUAlbertina+22"/>
                <w:sz w:val="18"/>
                <w:szCs w:val="18"/>
              </w:rPr>
              <w:t xml:space="preserve">&lt;= </w:t>
            </w:r>
            <w:r>
              <w:rPr>
                <w:rFonts w:eastAsia="EUAlbertina"/>
                <w:sz w:val="18"/>
                <w:szCs w:val="18"/>
              </w:rPr>
              <w:t>0,08 (1 klas</w:t>
            </w:r>
            <w:r>
              <w:rPr>
                <w:rFonts w:eastAsia="EUAlbertina+01"/>
                <w:sz w:val="18"/>
                <w:szCs w:val="18"/>
              </w:rPr>
              <w:t>ė</w:t>
            </w:r>
            <w:r>
              <w:rPr>
                <w:rFonts w:eastAsia="EUAlbertina"/>
                <w:sz w:val="18"/>
                <w:szCs w:val="18"/>
              </w:rPr>
              <w:t>)</w:t>
            </w:r>
          </w:p>
          <w:p>
            <w:pPr>
              <w:snapToGrid w:val="0"/>
              <w:jc w:val="center"/>
              <w:rPr>
                <w:rFonts w:eastAsia="EUAlbertina"/>
                <w:sz w:val="18"/>
                <w:szCs w:val="18"/>
              </w:rPr>
            </w:pPr>
            <w:r>
              <w:rPr>
                <w:rFonts w:eastAsia="EUAlbertina"/>
                <w:sz w:val="18"/>
                <w:szCs w:val="18"/>
              </w:rPr>
              <w:t>0,08 (2 klas</w:t>
            </w:r>
            <w:r>
              <w:rPr>
                <w:rFonts w:eastAsia="EUAlbertina+01"/>
                <w:sz w:val="18"/>
                <w:szCs w:val="18"/>
              </w:rPr>
              <w:t>ė</w:t>
            </w:r>
            <w:r>
              <w:rPr>
                <w:rFonts w:eastAsia="EUAlbertina"/>
                <w:sz w:val="18"/>
                <w:szCs w:val="18"/>
              </w:rPr>
              <w:t>)</w:t>
            </w:r>
          </w:p>
          <w:p>
            <w:pPr>
              <w:snapToGrid w:val="0"/>
              <w:jc w:val="center"/>
              <w:rPr>
                <w:rFonts w:eastAsia="EUAlbertina"/>
                <w:sz w:val="18"/>
                <w:szCs w:val="18"/>
              </w:rPr>
            </w:pPr>
            <w:r>
              <w:rPr>
                <w:rFonts w:eastAsia="EUAlbertina"/>
                <w:sz w:val="18"/>
                <w:szCs w:val="18"/>
              </w:rPr>
              <w:t>0,09 (3 klas</w:t>
            </w:r>
            <w:r>
              <w:rPr>
                <w:rFonts w:eastAsia="EUAlbertina+01"/>
                <w:sz w:val="18"/>
                <w:szCs w:val="18"/>
              </w:rPr>
              <w:t>ė</w:t>
            </w:r>
            <w:r>
              <w:rPr>
                <w:rFonts w:eastAsia="EUAlbertina"/>
                <w:sz w:val="18"/>
                <w:szCs w:val="18"/>
              </w:rPr>
              <w:t>)</w:t>
            </w:r>
          </w:p>
          <w:p>
            <w:pPr>
              <w:snapToGrid w:val="0"/>
              <w:jc w:val="center"/>
              <w:rPr>
                <w:rFonts w:eastAsia="EUAlbertina"/>
                <w:sz w:val="18"/>
                <w:szCs w:val="18"/>
              </w:rPr>
            </w:pPr>
            <w:r>
              <w:rPr>
                <w:rFonts w:eastAsia="EUAlbertina"/>
                <w:sz w:val="18"/>
                <w:szCs w:val="18"/>
              </w:rPr>
              <w:t>0,15 (4 klas</w:t>
            </w:r>
            <w:r>
              <w:rPr>
                <w:rFonts w:eastAsia="EUAlbertina+01"/>
                <w:sz w:val="18"/>
                <w:szCs w:val="18"/>
              </w:rPr>
              <w:t>ė</w:t>
            </w:r>
            <w:r>
              <w:rPr>
                <w:rFonts w:eastAsia="EUAlbertina"/>
                <w:sz w:val="18"/>
                <w:szCs w:val="18"/>
              </w:rPr>
              <w:t>)</w:t>
            </w:r>
          </w:p>
          <w:p>
            <w:pPr>
              <w:snapToGrid w:val="0"/>
              <w:jc w:val="center"/>
              <w:rPr>
                <w:rFonts w:eastAsia="EUAlbertina"/>
                <w:sz w:val="18"/>
                <w:szCs w:val="18"/>
              </w:rPr>
            </w:pPr>
            <w:r>
              <w:rPr>
                <w:rFonts w:eastAsia="EUAlbertina"/>
                <w:sz w:val="18"/>
                <w:szCs w:val="18"/>
              </w:rPr>
              <w:t>0,25 (5 klas</w:t>
            </w:r>
            <w:r>
              <w:rPr>
                <w:rFonts w:eastAsia="EUAlbertina+01"/>
                <w:sz w:val="18"/>
                <w:szCs w:val="18"/>
              </w:rPr>
              <w:t>ė</w:t>
            </w:r>
            <w:r>
              <w:rPr>
                <w:rFonts w:eastAsia="EUAlbertina"/>
                <w:sz w:val="18"/>
                <w:szCs w:val="18"/>
              </w:rPr>
              <w:t>)</w:t>
            </w:r>
          </w:p>
        </w:tc>
        <w:tc>
          <w:tcPr>
            <w:tcW w:w="1536" w:type="dxa"/>
          </w:tcPr>
          <w:p>
            <w:pPr>
              <w:snapToGrid w:val="0"/>
              <w:jc w:val="center"/>
              <w:rPr>
                <w:rFonts w:eastAsia="EUAlbertina"/>
                <w:sz w:val="18"/>
                <w:szCs w:val="18"/>
              </w:rPr>
            </w:pPr>
            <w:r>
              <w:rPr>
                <w:rFonts w:eastAsia="EUAlbertina"/>
                <w:sz w:val="18"/>
                <w:szCs w:val="18"/>
              </w:rPr>
              <w:t>0,2</w:t>
            </w:r>
          </w:p>
        </w:tc>
        <w:tc>
          <w:tcPr>
            <w:tcW w:w="1792" w:type="dxa"/>
          </w:tcPr>
          <w:p>
            <w:pPr>
              <w:snapToGrid w:val="0"/>
              <w:jc w:val="center"/>
              <w:rPr>
                <w:rFonts w:eastAsia="EUAlbertina"/>
                <w:sz w:val="18"/>
                <w:szCs w:val="18"/>
              </w:rPr>
            </w:pPr>
            <w:r>
              <w:rPr>
                <w:rFonts w:eastAsia="EUAlbertina+22"/>
                <w:sz w:val="18"/>
                <w:szCs w:val="18"/>
              </w:rPr>
              <w:t xml:space="preserve">&lt;= </w:t>
            </w:r>
            <w:r>
              <w:rPr>
                <w:rFonts w:eastAsia="EUAlbertina"/>
                <w:sz w:val="18"/>
                <w:szCs w:val="18"/>
              </w:rPr>
              <w:t>0,45 (1 klas</w:t>
            </w:r>
            <w:r>
              <w:rPr>
                <w:rFonts w:eastAsia="EUAlbertina+01"/>
                <w:sz w:val="18"/>
                <w:szCs w:val="18"/>
              </w:rPr>
              <w:t>ė</w:t>
            </w:r>
            <w:r>
              <w:rPr>
                <w:rFonts w:eastAsia="EUAlbertina"/>
                <w:sz w:val="18"/>
                <w:szCs w:val="18"/>
              </w:rPr>
              <w:t>)</w:t>
            </w:r>
          </w:p>
          <w:p>
            <w:pPr>
              <w:snapToGrid w:val="0"/>
              <w:jc w:val="center"/>
              <w:rPr>
                <w:rFonts w:eastAsia="EUAlbertina"/>
                <w:sz w:val="18"/>
                <w:szCs w:val="18"/>
              </w:rPr>
            </w:pPr>
            <w:r>
              <w:rPr>
                <w:rFonts w:eastAsia="EUAlbertina"/>
                <w:sz w:val="18"/>
                <w:szCs w:val="18"/>
              </w:rPr>
              <w:t>0,45 (2 klas</w:t>
            </w:r>
            <w:r>
              <w:rPr>
                <w:rFonts w:eastAsia="EUAlbertina+01"/>
                <w:sz w:val="18"/>
                <w:szCs w:val="18"/>
              </w:rPr>
              <w:t>ė</w:t>
            </w:r>
            <w:r>
              <w:rPr>
                <w:rFonts w:eastAsia="EUAlbertina"/>
                <w:sz w:val="18"/>
                <w:szCs w:val="18"/>
              </w:rPr>
              <w:t>)</w:t>
            </w:r>
          </w:p>
          <w:p>
            <w:pPr>
              <w:snapToGrid w:val="0"/>
              <w:jc w:val="center"/>
              <w:rPr>
                <w:rFonts w:eastAsia="EUAlbertina"/>
                <w:sz w:val="18"/>
                <w:szCs w:val="18"/>
              </w:rPr>
            </w:pPr>
            <w:r>
              <w:rPr>
                <w:rFonts w:eastAsia="EUAlbertina"/>
                <w:sz w:val="18"/>
                <w:szCs w:val="18"/>
              </w:rPr>
              <w:t>0,6 (3 klas</w:t>
            </w:r>
            <w:r>
              <w:rPr>
                <w:rFonts w:eastAsia="EUAlbertina+01"/>
                <w:sz w:val="18"/>
                <w:szCs w:val="18"/>
              </w:rPr>
              <w:t>ė</w:t>
            </w:r>
            <w:r>
              <w:rPr>
                <w:rFonts w:eastAsia="EUAlbertina"/>
                <w:sz w:val="18"/>
                <w:szCs w:val="18"/>
              </w:rPr>
              <w:t>)</w:t>
            </w:r>
          </w:p>
          <w:p>
            <w:pPr>
              <w:snapToGrid w:val="0"/>
              <w:jc w:val="center"/>
              <w:rPr>
                <w:rFonts w:eastAsia="EUAlbertina"/>
                <w:sz w:val="18"/>
                <w:szCs w:val="18"/>
              </w:rPr>
            </w:pPr>
            <w:r>
              <w:rPr>
                <w:rFonts w:eastAsia="EUAlbertina"/>
                <w:sz w:val="18"/>
                <w:szCs w:val="18"/>
              </w:rPr>
              <w:t>0,9 (4 klas</w:t>
            </w:r>
            <w:r>
              <w:rPr>
                <w:rFonts w:eastAsia="EUAlbertina+01"/>
                <w:sz w:val="18"/>
                <w:szCs w:val="18"/>
              </w:rPr>
              <w:t>ė</w:t>
            </w:r>
            <w:r>
              <w:rPr>
                <w:rFonts w:eastAsia="EUAlbertina"/>
                <w:sz w:val="18"/>
                <w:szCs w:val="18"/>
              </w:rPr>
              <w:t>)</w:t>
            </w:r>
          </w:p>
          <w:p>
            <w:pPr>
              <w:snapToGrid w:val="0"/>
              <w:jc w:val="center"/>
              <w:rPr>
                <w:rFonts w:eastAsia="EUAlbertina"/>
                <w:sz w:val="18"/>
                <w:szCs w:val="18"/>
              </w:rPr>
            </w:pPr>
            <w:r>
              <w:rPr>
                <w:rFonts w:eastAsia="EUAlbertina"/>
                <w:sz w:val="18"/>
                <w:szCs w:val="18"/>
              </w:rPr>
              <w:t>1,5 (5 klas</w:t>
            </w:r>
            <w:r>
              <w:rPr>
                <w:rFonts w:eastAsia="EUAlbertina+01"/>
                <w:sz w:val="18"/>
                <w:szCs w:val="18"/>
              </w:rPr>
              <w:t>ė</w:t>
            </w:r>
            <w:r>
              <w:rPr>
                <w:rFonts w:eastAsia="EUAlbertina"/>
                <w:sz w:val="18"/>
                <w:szCs w:val="18"/>
              </w:rPr>
              <w:t>)</w:t>
            </w:r>
          </w:p>
        </w:tc>
        <w:tc>
          <w:tcPr>
            <w:tcW w:w="1681" w:type="dxa"/>
          </w:tcPr>
          <w:p>
            <w:pPr>
              <w:snapToGrid w:val="0"/>
              <w:jc w:val="center"/>
              <w:rPr>
                <w:rFonts w:eastAsia="EUAlbertina"/>
                <w:sz w:val="18"/>
                <w:szCs w:val="18"/>
              </w:rPr>
            </w:pPr>
            <w:r>
              <w:rPr>
                <w:rFonts w:eastAsia="EUAlbertina+22"/>
                <w:sz w:val="18"/>
                <w:szCs w:val="18"/>
              </w:rPr>
              <w:t xml:space="preserve">&lt;= </w:t>
            </w:r>
            <w:r>
              <w:rPr>
                <w:rFonts w:eastAsia="EUAlbertina"/>
                <w:sz w:val="18"/>
                <w:szCs w:val="18"/>
              </w:rPr>
              <w:t>0,45 (1 klas</w:t>
            </w:r>
            <w:r>
              <w:rPr>
                <w:rFonts w:eastAsia="EUAlbertina+01"/>
                <w:sz w:val="18"/>
                <w:szCs w:val="18"/>
              </w:rPr>
              <w:t>ė</w:t>
            </w:r>
            <w:r>
              <w:rPr>
                <w:rFonts w:eastAsia="EUAlbertina"/>
                <w:sz w:val="18"/>
                <w:szCs w:val="18"/>
              </w:rPr>
              <w:t>)</w:t>
            </w:r>
          </w:p>
          <w:p>
            <w:pPr>
              <w:snapToGrid w:val="0"/>
              <w:jc w:val="center"/>
              <w:rPr>
                <w:rFonts w:eastAsia="EUAlbertina"/>
                <w:sz w:val="18"/>
                <w:szCs w:val="18"/>
              </w:rPr>
            </w:pPr>
            <w:r>
              <w:rPr>
                <w:rFonts w:eastAsia="EUAlbertina"/>
                <w:sz w:val="18"/>
                <w:szCs w:val="18"/>
              </w:rPr>
              <w:t>0,45 (2 klas</w:t>
            </w:r>
            <w:r>
              <w:rPr>
                <w:rFonts w:eastAsia="EUAlbertina+01"/>
                <w:sz w:val="18"/>
                <w:szCs w:val="18"/>
              </w:rPr>
              <w:t>ė</w:t>
            </w:r>
            <w:r>
              <w:rPr>
                <w:rFonts w:eastAsia="EUAlbertina"/>
                <w:sz w:val="18"/>
                <w:szCs w:val="18"/>
              </w:rPr>
              <w:t>)</w:t>
            </w:r>
          </w:p>
          <w:p>
            <w:pPr>
              <w:snapToGrid w:val="0"/>
              <w:jc w:val="center"/>
              <w:rPr>
                <w:rFonts w:eastAsia="EUAlbertina"/>
                <w:sz w:val="18"/>
                <w:szCs w:val="18"/>
              </w:rPr>
            </w:pPr>
            <w:r>
              <w:rPr>
                <w:rFonts w:eastAsia="EUAlbertina"/>
                <w:sz w:val="18"/>
                <w:szCs w:val="18"/>
              </w:rPr>
              <w:t>0,6 (3 klas</w:t>
            </w:r>
            <w:r>
              <w:rPr>
                <w:rFonts w:eastAsia="EUAlbertina+01"/>
                <w:sz w:val="18"/>
                <w:szCs w:val="18"/>
              </w:rPr>
              <w:t>ė</w:t>
            </w:r>
            <w:r>
              <w:rPr>
                <w:rFonts w:eastAsia="EUAlbertina"/>
                <w:sz w:val="18"/>
                <w:szCs w:val="18"/>
              </w:rPr>
              <w:t>)</w:t>
            </w:r>
          </w:p>
          <w:p>
            <w:pPr>
              <w:snapToGrid w:val="0"/>
              <w:jc w:val="center"/>
              <w:rPr>
                <w:rFonts w:eastAsia="EUAlbertina"/>
                <w:sz w:val="18"/>
                <w:szCs w:val="18"/>
              </w:rPr>
            </w:pPr>
            <w:r>
              <w:rPr>
                <w:rFonts w:eastAsia="EUAlbertina"/>
                <w:sz w:val="18"/>
                <w:szCs w:val="18"/>
              </w:rPr>
              <w:t>0,9 (4 klas</w:t>
            </w:r>
            <w:r>
              <w:rPr>
                <w:rFonts w:eastAsia="EUAlbertina+01"/>
                <w:sz w:val="18"/>
                <w:szCs w:val="18"/>
              </w:rPr>
              <w:t>ė</w:t>
            </w:r>
            <w:r>
              <w:rPr>
                <w:rFonts w:eastAsia="EUAlbertina"/>
                <w:sz w:val="18"/>
                <w:szCs w:val="18"/>
              </w:rPr>
              <w:t>)</w:t>
            </w:r>
          </w:p>
          <w:p>
            <w:pPr>
              <w:snapToGrid w:val="0"/>
              <w:jc w:val="center"/>
              <w:rPr>
                <w:rFonts w:eastAsia="EUAlbertina"/>
                <w:sz w:val="18"/>
                <w:szCs w:val="18"/>
              </w:rPr>
            </w:pPr>
            <w:r>
              <w:rPr>
                <w:rFonts w:eastAsia="EUAlbertina"/>
                <w:sz w:val="18"/>
                <w:szCs w:val="18"/>
              </w:rPr>
              <w:t>1,5 (5 klas</w:t>
            </w:r>
            <w:r>
              <w:rPr>
                <w:rFonts w:eastAsia="EUAlbertina+01"/>
                <w:sz w:val="18"/>
                <w:szCs w:val="18"/>
              </w:rPr>
              <w:t>ė</w:t>
            </w:r>
            <w:r>
              <w:rPr>
                <w:rFonts w:eastAsia="EUAlbertina"/>
                <w:sz w:val="18"/>
                <w:szCs w:val="18"/>
              </w:rPr>
              <w:t>)</w:t>
            </w:r>
          </w:p>
        </w:tc>
      </w:tr>
      <w:tr>
        <w:tc>
          <w:tcPr>
            <w:tcW w:w="3495" w:type="dxa"/>
          </w:tcPr>
          <w:p>
            <w:pPr>
              <w:snapToGrid w:val="0"/>
              <w:rPr>
                <w:sz w:val="18"/>
                <w:szCs w:val="18"/>
              </w:rPr>
            </w:pPr>
            <w:r>
              <w:rPr>
                <w:sz w:val="18"/>
                <w:szCs w:val="18"/>
              </w:rPr>
              <w:t>Heksachlorcikloheksanas (HCH)</w:t>
            </w:r>
          </w:p>
        </w:tc>
        <w:tc>
          <w:tcPr>
            <w:tcW w:w="1627" w:type="dxa"/>
          </w:tcPr>
          <w:p>
            <w:pPr>
              <w:widowControl w:val="0"/>
              <w:suppressAutoHyphens/>
              <w:snapToGrid w:val="0"/>
              <w:jc w:val="center"/>
              <w:rPr>
                <w:rFonts w:eastAsia="Lucida Sans Unicode"/>
                <w:sz w:val="18"/>
                <w:szCs w:val="18"/>
              </w:rPr>
            </w:pPr>
            <w:r>
              <w:rPr>
                <w:rFonts w:eastAsia="Lucida Sans Unicode"/>
                <w:sz w:val="18"/>
                <w:szCs w:val="18"/>
              </w:rPr>
              <w:t>CAS 608-73-1</w:t>
            </w:r>
          </w:p>
        </w:tc>
        <w:tc>
          <w:tcPr>
            <w:tcW w:w="1521" w:type="dxa"/>
          </w:tcPr>
          <w:p>
            <w:pPr>
              <w:snapToGrid w:val="0"/>
              <w:jc w:val="center"/>
              <w:rPr>
                <w:sz w:val="18"/>
                <w:szCs w:val="18"/>
              </w:rPr>
            </w:pPr>
            <w:r>
              <w:rPr>
                <w:sz w:val="18"/>
                <w:szCs w:val="18"/>
              </w:rPr>
              <w:t>40</w:t>
            </w:r>
          </w:p>
        </w:tc>
        <w:tc>
          <w:tcPr>
            <w:tcW w:w="1476" w:type="dxa"/>
          </w:tcPr>
          <w:p>
            <w:pPr>
              <w:snapToGrid w:val="0"/>
              <w:jc w:val="center"/>
              <w:rPr>
                <w:sz w:val="18"/>
                <w:szCs w:val="18"/>
              </w:rPr>
            </w:pPr>
            <w:r>
              <w:rPr>
                <w:sz w:val="18"/>
                <w:szCs w:val="18"/>
              </w:rPr>
              <w:t>2</w:t>
            </w:r>
          </w:p>
        </w:tc>
        <w:tc>
          <w:tcPr>
            <w:tcW w:w="1612" w:type="dxa"/>
          </w:tcPr>
          <w:p>
            <w:pPr>
              <w:snapToGrid w:val="0"/>
              <w:jc w:val="center"/>
              <w:rPr>
                <w:sz w:val="18"/>
                <w:szCs w:val="18"/>
              </w:rPr>
            </w:pPr>
            <w:r>
              <w:rPr>
                <w:sz w:val="18"/>
                <w:szCs w:val="18"/>
              </w:rPr>
              <w:t>0,02</w:t>
            </w:r>
          </w:p>
        </w:tc>
        <w:tc>
          <w:tcPr>
            <w:tcW w:w="1536" w:type="dxa"/>
          </w:tcPr>
          <w:p>
            <w:pPr>
              <w:snapToGrid w:val="0"/>
              <w:jc w:val="center"/>
              <w:rPr>
                <w:sz w:val="18"/>
                <w:szCs w:val="18"/>
              </w:rPr>
            </w:pPr>
            <w:r>
              <w:rPr>
                <w:sz w:val="18"/>
                <w:szCs w:val="18"/>
              </w:rPr>
              <w:t>0,002</w:t>
            </w:r>
          </w:p>
        </w:tc>
        <w:tc>
          <w:tcPr>
            <w:tcW w:w="1792" w:type="dxa"/>
          </w:tcPr>
          <w:p>
            <w:pPr>
              <w:snapToGrid w:val="0"/>
              <w:jc w:val="center"/>
              <w:rPr>
                <w:sz w:val="18"/>
                <w:szCs w:val="18"/>
              </w:rPr>
            </w:pPr>
            <w:r>
              <w:rPr>
                <w:sz w:val="18"/>
                <w:szCs w:val="18"/>
              </w:rPr>
              <w:t>0,04</w:t>
            </w:r>
          </w:p>
        </w:tc>
        <w:tc>
          <w:tcPr>
            <w:tcW w:w="1681" w:type="dxa"/>
          </w:tcPr>
          <w:p>
            <w:pPr>
              <w:snapToGrid w:val="0"/>
              <w:jc w:val="center"/>
              <w:rPr>
                <w:sz w:val="18"/>
                <w:szCs w:val="18"/>
              </w:rPr>
            </w:pPr>
            <w:r>
              <w:rPr>
                <w:sz w:val="18"/>
                <w:szCs w:val="18"/>
              </w:rPr>
              <w:t>0,02</w:t>
            </w:r>
          </w:p>
        </w:tc>
      </w:tr>
      <w:tr>
        <w:tc>
          <w:tcPr>
            <w:tcW w:w="3495" w:type="dxa"/>
          </w:tcPr>
          <w:p>
            <w:pPr>
              <w:snapToGrid w:val="0"/>
              <w:rPr>
                <w:sz w:val="18"/>
                <w:szCs w:val="18"/>
              </w:rPr>
            </w:pPr>
            <w:r>
              <w:rPr>
                <w:sz w:val="18"/>
                <w:szCs w:val="18"/>
              </w:rPr>
              <w:t>Heksachlorbenzenas (HCB)</w:t>
            </w:r>
          </w:p>
        </w:tc>
        <w:tc>
          <w:tcPr>
            <w:tcW w:w="1627" w:type="dxa"/>
          </w:tcPr>
          <w:p>
            <w:pPr>
              <w:snapToGrid w:val="0"/>
              <w:jc w:val="center"/>
              <w:rPr>
                <w:sz w:val="18"/>
                <w:szCs w:val="18"/>
              </w:rPr>
            </w:pPr>
            <w:r>
              <w:rPr>
                <w:sz w:val="18"/>
                <w:szCs w:val="18"/>
              </w:rPr>
              <w:t>CAS 118-74-1</w:t>
            </w:r>
          </w:p>
        </w:tc>
        <w:tc>
          <w:tcPr>
            <w:tcW w:w="1521" w:type="dxa"/>
          </w:tcPr>
          <w:p>
            <w:pPr>
              <w:snapToGrid w:val="0"/>
              <w:jc w:val="center"/>
              <w:rPr>
                <w:sz w:val="18"/>
                <w:szCs w:val="18"/>
              </w:rPr>
            </w:pPr>
            <w:r>
              <w:rPr>
                <w:sz w:val="18"/>
                <w:szCs w:val="18"/>
              </w:rPr>
              <w:t>12</w:t>
            </w:r>
          </w:p>
        </w:tc>
        <w:tc>
          <w:tcPr>
            <w:tcW w:w="1476" w:type="dxa"/>
          </w:tcPr>
          <w:p>
            <w:pPr>
              <w:snapToGrid w:val="0"/>
              <w:jc w:val="center"/>
              <w:rPr>
                <w:sz w:val="18"/>
                <w:szCs w:val="18"/>
              </w:rPr>
            </w:pPr>
            <w:r>
              <w:rPr>
                <w:sz w:val="18"/>
                <w:szCs w:val="18"/>
              </w:rPr>
              <w:t>0,6</w:t>
            </w:r>
          </w:p>
        </w:tc>
        <w:tc>
          <w:tcPr>
            <w:tcW w:w="1612" w:type="dxa"/>
          </w:tcPr>
          <w:p>
            <w:pPr>
              <w:snapToGrid w:val="0"/>
              <w:jc w:val="center"/>
              <w:rPr>
                <w:sz w:val="18"/>
                <w:szCs w:val="18"/>
              </w:rPr>
            </w:pPr>
            <w:r>
              <w:rPr>
                <w:sz w:val="18"/>
                <w:szCs w:val="18"/>
              </w:rPr>
              <w:t>0,01</w:t>
            </w:r>
          </w:p>
        </w:tc>
        <w:tc>
          <w:tcPr>
            <w:tcW w:w="1536" w:type="dxa"/>
          </w:tcPr>
          <w:p>
            <w:pPr>
              <w:snapToGrid w:val="0"/>
              <w:jc w:val="center"/>
              <w:rPr>
                <w:sz w:val="18"/>
                <w:szCs w:val="18"/>
              </w:rPr>
            </w:pPr>
            <w:r>
              <w:rPr>
                <w:sz w:val="18"/>
                <w:szCs w:val="18"/>
              </w:rPr>
              <w:t>0,01</w:t>
            </w:r>
          </w:p>
        </w:tc>
        <w:tc>
          <w:tcPr>
            <w:tcW w:w="1792" w:type="dxa"/>
          </w:tcPr>
          <w:p>
            <w:pPr>
              <w:snapToGrid w:val="0"/>
              <w:jc w:val="center"/>
              <w:rPr>
                <w:sz w:val="18"/>
                <w:szCs w:val="18"/>
              </w:rPr>
            </w:pPr>
            <w:r>
              <w:rPr>
                <w:sz w:val="18"/>
                <w:szCs w:val="18"/>
              </w:rPr>
              <w:t>0,05</w:t>
            </w:r>
          </w:p>
        </w:tc>
        <w:tc>
          <w:tcPr>
            <w:tcW w:w="1681" w:type="dxa"/>
          </w:tcPr>
          <w:p>
            <w:pPr>
              <w:snapToGrid w:val="0"/>
              <w:jc w:val="center"/>
              <w:rPr>
                <w:sz w:val="18"/>
                <w:szCs w:val="18"/>
              </w:rPr>
            </w:pPr>
            <w:r>
              <w:rPr>
                <w:sz w:val="18"/>
                <w:szCs w:val="18"/>
              </w:rPr>
              <w:t>0,05</w:t>
            </w:r>
          </w:p>
        </w:tc>
      </w:tr>
      <w:tr>
        <w:tc>
          <w:tcPr>
            <w:tcW w:w="3495" w:type="dxa"/>
          </w:tcPr>
          <w:p>
            <w:pPr>
              <w:snapToGrid w:val="0"/>
              <w:rPr>
                <w:sz w:val="18"/>
                <w:szCs w:val="18"/>
              </w:rPr>
            </w:pPr>
            <w:r>
              <w:rPr>
                <w:sz w:val="18"/>
                <w:szCs w:val="18"/>
              </w:rPr>
              <w:t>Heksachlorbutadienas (HCBD)</w:t>
            </w:r>
          </w:p>
        </w:tc>
        <w:tc>
          <w:tcPr>
            <w:tcW w:w="1627" w:type="dxa"/>
          </w:tcPr>
          <w:p>
            <w:pPr>
              <w:snapToGrid w:val="0"/>
              <w:jc w:val="center"/>
              <w:rPr>
                <w:sz w:val="18"/>
                <w:szCs w:val="18"/>
              </w:rPr>
            </w:pPr>
            <w:r>
              <w:rPr>
                <w:sz w:val="18"/>
                <w:szCs w:val="18"/>
              </w:rPr>
              <w:t>CAS 87-68-3</w:t>
            </w:r>
          </w:p>
        </w:tc>
        <w:tc>
          <w:tcPr>
            <w:tcW w:w="1521" w:type="dxa"/>
          </w:tcPr>
          <w:p>
            <w:pPr>
              <w:snapToGrid w:val="0"/>
              <w:jc w:val="center"/>
              <w:rPr>
                <w:sz w:val="18"/>
                <w:szCs w:val="18"/>
              </w:rPr>
            </w:pPr>
            <w:r>
              <w:rPr>
                <w:sz w:val="18"/>
                <w:szCs w:val="18"/>
              </w:rPr>
              <w:t>40</w:t>
            </w:r>
          </w:p>
        </w:tc>
        <w:tc>
          <w:tcPr>
            <w:tcW w:w="1476" w:type="dxa"/>
          </w:tcPr>
          <w:p>
            <w:pPr>
              <w:snapToGrid w:val="0"/>
              <w:jc w:val="center"/>
              <w:rPr>
                <w:sz w:val="18"/>
                <w:szCs w:val="18"/>
              </w:rPr>
            </w:pPr>
            <w:r>
              <w:rPr>
                <w:sz w:val="18"/>
                <w:szCs w:val="18"/>
              </w:rPr>
              <w:t>2</w:t>
            </w:r>
          </w:p>
        </w:tc>
        <w:tc>
          <w:tcPr>
            <w:tcW w:w="1612" w:type="dxa"/>
          </w:tcPr>
          <w:p>
            <w:pPr>
              <w:suppressAutoHyphens/>
              <w:snapToGrid w:val="0"/>
              <w:jc w:val="center"/>
              <w:rPr>
                <w:sz w:val="18"/>
                <w:szCs w:val="18"/>
                <w:lang w:eastAsia="ar-SA"/>
              </w:rPr>
            </w:pPr>
            <w:r>
              <w:rPr>
                <w:sz w:val="18"/>
                <w:szCs w:val="18"/>
                <w:lang w:eastAsia="ar-SA"/>
              </w:rPr>
              <w:t>0,1</w:t>
            </w:r>
          </w:p>
        </w:tc>
        <w:tc>
          <w:tcPr>
            <w:tcW w:w="1536" w:type="dxa"/>
          </w:tcPr>
          <w:p>
            <w:pPr>
              <w:suppressAutoHyphens/>
              <w:snapToGrid w:val="0"/>
              <w:jc w:val="center"/>
              <w:rPr>
                <w:sz w:val="18"/>
                <w:szCs w:val="18"/>
                <w:lang w:eastAsia="ar-SA"/>
              </w:rPr>
            </w:pPr>
            <w:r>
              <w:rPr>
                <w:sz w:val="18"/>
                <w:szCs w:val="18"/>
                <w:lang w:eastAsia="ar-SA"/>
              </w:rPr>
              <w:t>0,1</w:t>
            </w:r>
          </w:p>
        </w:tc>
        <w:tc>
          <w:tcPr>
            <w:tcW w:w="1792" w:type="dxa"/>
          </w:tcPr>
          <w:p>
            <w:pPr>
              <w:suppressAutoHyphens/>
              <w:snapToGrid w:val="0"/>
              <w:jc w:val="center"/>
              <w:rPr>
                <w:sz w:val="18"/>
                <w:szCs w:val="18"/>
                <w:lang w:eastAsia="ar-SA"/>
              </w:rPr>
            </w:pPr>
            <w:r>
              <w:rPr>
                <w:sz w:val="18"/>
                <w:szCs w:val="18"/>
                <w:lang w:eastAsia="ar-SA"/>
              </w:rPr>
              <w:t>0,6</w:t>
            </w:r>
          </w:p>
        </w:tc>
        <w:tc>
          <w:tcPr>
            <w:tcW w:w="1681" w:type="dxa"/>
          </w:tcPr>
          <w:p>
            <w:pPr>
              <w:suppressAutoHyphens/>
              <w:snapToGrid w:val="0"/>
              <w:jc w:val="center"/>
              <w:rPr>
                <w:sz w:val="18"/>
                <w:szCs w:val="18"/>
                <w:lang w:eastAsia="ar-SA"/>
              </w:rPr>
            </w:pPr>
            <w:r>
              <w:rPr>
                <w:sz w:val="18"/>
                <w:szCs w:val="18"/>
                <w:lang w:eastAsia="ar-SA"/>
              </w:rPr>
              <w:t>0,6</w:t>
            </w:r>
          </w:p>
        </w:tc>
      </w:tr>
      <w:tr>
        <w:tc>
          <w:tcPr>
            <w:tcW w:w="3495" w:type="dxa"/>
          </w:tcPr>
          <w:p>
            <w:pPr>
              <w:snapToGrid w:val="0"/>
              <w:rPr>
                <w:sz w:val="18"/>
                <w:szCs w:val="18"/>
                <w:vertAlign w:val="superscript"/>
                <w:lang w:eastAsia="ar-SA"/>
              </w:rPr>
            </w:pPr>
            <w:r>
              <w:rPr>
                <w:sz w:val="18"/>
                <w:szCs w:val="18"/>
                <w:lang w:eastAsia="ar-SA"/>
              </w:rPr>
              <w:t>Bromintas difenileteris</w:t>
            </w:r>
            <w:r>
              <w:rPr>
                <w:sz w:val="18"/>
                <w:szCs w:val="18"/>
                <w:vertAlign w:val="superscript"/>
                <w:lang w:eastAsia="ar-SA"/>
              </w:rPr>
              <w:t>6</w:t>
            </w:r>
          </w:p>
          <w:p>
            <w:pPr>
              <w:snapToGrid w:val="0"/>
              <w:rPr>
                <w:sz w:val="18"/>
                <w:szCs w:val="18"/>
                <w:lang w:eastAsia="ar-SA"/>
              </w:rPr>
            </w:pPr>
            <w:r>
              <w:rPr>
                <w:sz w:val="18"/>
                <w:szCs w:val="18"/>
                <w:lang w:eastAsia="ar-SA"/>
              </w:rPr>
              <w:t>Pentabromdifenileteris</w:t>
            </w:r>
          </w:p>
        </w:tc>
        <w:tc>
          <w:tcPr>
            <w:tcW w:w="1627" w:type="dxa"/>
          </w:tcPr>
          <w:p>
            <w:pPr>
              <w:snapToGrid w:val="0"/>
              <w:jc w:val="center"/>
              <w:rPr>
                <w:sz w:val="18"/>
                <w:szCs w:val="18"/>
              </w:rPr>
            </w:pPr>
            <w:r>
              <w:rPr>
                <w:sz w:val="18"/>
                <w:szCs w:val="18"/>
              </w:rPr>
              <w:t>CAS 32534-81-9</w:t>
            </w:r>
          </w:p>
        </w:tc>
        <w:tc>
          <w:tcPr>
            <w:tcW w:w="1521" w:type="dxa"/>
          </w:tcPr>
          <w:p>
            <w:pPr>
              <w:snapToGrid w:val="0"/>
              <w:jc w:val="center"/>
              <w:rPr>
                <w:sz w:val="18"/>
                <w:szCs w:val="18"/>
              </w:rPr>
            </w:pPr>
            <w:r>
              <w:rPr>
                <w:sz w:val="18"/>
                <w:szCs w:val="18"/>
              </w:rPr>
              <w:t>-</w:t>
            </w:r>
          </w:p>
        </w:tc>
        <w:tc>
          <w:tcPr>
            <w:tcW w:w="1476" w:type="dxa"/>
          </w:tcPr>
          <w:p>
            <w:pPr>
              <w:snapToGrid w:val="0"/>
              <w:jc w:val="center"/>
              <w:rPr>
                <w:sz w:val="18"/>
                <w:szCs w:val="18"/>
              </w:rPr>
            </w:pPr>
            <w:r>
              <w:rPr>
                <w:sz w:val="18"/>
                <w:szCs w:val="18"/>
              </w:rPr>
              <w:t>-</w:t>
            </w:r>
          </w:p>
        </w:tc>
        <w:tc>
          <w:tcPr>
            <w:tcW w:w="1612" w:type="dxa"/>
          </w:tcPr>
          <w:p>
            <w:pPr>
              <w:suppressAutoHyphens/>
              <w:snapToGrid w:val="0"/>
              <w:jc w:val="center"/>
              <w:rPr>
                <w:sz w:val="18"/>
                <w:szCs w:val="18"/>
                <w:lang w:eastAsia="ar-SA"/>
              </w:rPr>
            </w:pPr>
            <w:r>
              <w:rPr>
                <w:sz w:val="18"/>
                <w:szCs w:val="18"/>
                <w:lang w:eastAsia="ar-SA"/>
              </w:rPr>
              <w:t>0,0005</w:t>
            </w:r>
          </w:p>
        </w:tc>
        <w:tc>
          <w:tcPr>
            <w:tcW w:w="1536" w:type="dxa"/>
          </w:tcPr>
          <w:p>
            <w:pPr>
              <w:suppressAutoHyphens/>
              <w:snapToGrid w:val="0"/>
              <w:jc w:val="center"/>
              <w:rPr>
                <w:sz w:val="18"/>
                <w:szCs w:val="18"/>
                <w:lang w:eastAsia="ar-SA"/>
              </w:rPr>
            </w:pPr>
            <w:r>
              <w:rPr>
                <w:sz w:val="18"/>
                <w:szCs w:val="18"/>
                <w:lang w:eastAsia="ar-SA"/>
              </w:rPr>
              <w:t>0,0002</w:t>
            </w:r>
          </w:p>
        </w:tc>
        <w:tc>
          <w:tcPr>
            <w:tcW w:w="1792" w:type="dxa"/>
          </w:tcPr>
          <w:p>
            <w:pPr>
              <w:suppressAutoHyphens/>
              <w:snapToGrid w:val="0"/>
              <w:jc w:val="center"/>
              <w:rPr>
                <w:sz w:val="18"/>
                <w:szCs w:val="18"/>
                <w:lang w:eastAsia="ar-SA"/>
              </w:rPr>
            </w:pPr>
            <w:r>
              <w:rPr>
                <w:sz w:val="18"/>
                <w:szCs w:val="18"/>
                <w:lang w:eastAsia="ar-SA"/>
              </w:rPr>
              <w:t>-</w:t>
            </w:r>
          </w:p>
        </w:tc>
        <w:tc>
          <w:tcPr>
            <w:tcW w:w="1681" w:type="dxa"/>
          </w:tcPr>
          <w:p>
            <w:pPr>
              <w:suppressAutoHyphens/>
              <w:snapToGrid w:val="0"/>
              <w:jc w:val="center"/>
              <w:rPr>
                <w:sz w:val="18"/>
                <w:szCs w:val="18"/>
                <w:lang w:eastAsia="ar-SA"/>
              </w:rPr>
            </w:pPr>
            <w:r>
              <w:rPr>
                <w:sz w:val="18"/>
                <w:szCs w:val="18"/>
                <w:lang w:eastAsia="ar-SA"/>
              </w:rPr>
              <w:t>-</w:t>
            </w:r>
          </w:p>
        </w:tc>
      </w:tr>
      <w:tr>
        <w:tc>
          <w:tcPr>
            <w:tcW w:w="3495" w:type="dxa"/>
            <w:tcBorders>
              <w:bottom w:val="single" w:sz="4" w:space="0" w:color="auto"/>
            </w:tcBorders>
          </w:tcPr>
          <w:p>
            <w:pPr>
              <w:snapToGrid w:val="0"/>
              <w:rPr>
                <w:sz w:val="18"/>
                <w:szCs w:val="18"/>
                <w:lang w:eastAsia="ar-SA"/>
              </w:rPr>
            </w:pPr>
            <w:r>
              <w:rPr>
                <w:sz w:val="18"/>
                <w:szCs w:val="18"/>
                <w:lang w:eastAsia="ar-SA"/>
              </w:rPr>
              <w:t>Tributilalavo junginiai (Tributilalavo katijonai)</w:t>
            </w:r>
          </w:p>
        </w:tc>
        <w:tc>
          <w:tcPr>
            <w:tcW w:w="1627" w:type="dxa"/>
          </w:tcPr>
          <w:p>
            <w:pPr>
              <w:snapToGrid w:val="0"/>
              <w:jc w:val="center"/>
              <w:rPr>
                <w:strike/>
                <w:sz w:val="18"/>
                <w:szCs w:val="18"/>
              </w:rPr>
            </w:pPr>
            <w:r>
              <w:rPr>
                <w:sz w:val="18"/>
                <w:szCs w:val="18"/>
              </w:rPr>
              <w:t>(CAS 36643-28-4)</w:t>
            </w:r>
          </w:p>
        </w:tc>
        <w:tc>
          <w:tcPr>
            <w:tcW w:w="1521" w:type="dxa"/>
          </w:tcPr>
          <w:p>
            <w:pPr>
              <w:snapToGrid w:val="0"/>
              <w:jc w:val="center"/>
              <w:rPr>
                <w:sz w:val="18"/>
                <w:szCs w:val="18"/>
              </w:rPr>
            </w:pPr>
            <w:r>
              <w:rPr>
                <w:sz w:val="18"/>
                <w:szCs w:val="18"/>
              </w:rPr>
              <w:t>0,4</w:t>
            </w:r>
          </w:p>
        </w:tc>
        <w:tc>
          <w:tcPr>
            <w:tcW w:w="1476" w:type="dxa"/>
          </w:tcPr>
          <w:p>
            <w:pPr>
              <w:snapToGrid w:val="0"/>
              <w:jc w:val="center"/>
              <w:rPr>
                <w:sz w:val="18"/>
                <w:szCs w:val="18"/>
              </w:rPr>
            </w:pPr>
            <w:r>
              <w:rPr>
                <w:sz w:val="18"/>
                <w:szCs w:val="18"/>
              </w:rPr>
              <w:t>0,02</w:t>
            </w:r>
          </w:p>
        </w:tc>
        <w:tc>
          <w:tcPr>
            <w:tcW w:w="1612" w:type="dxa"/>
          </w:tcPr>
          <w:p>
            <w:pPr>
              <w:suppressAutoHyphens/>
              <w:snapToGrid w:val="0"/>
              <w:jc w:val="center"/>
              <w:rPr>
                <w:sz w:val="18"/>
                <w:szCs w:val="18"/>
                <w:lang w:eastAsia="ar-SA"/>
              </w:rPr>
            </w:pPr>
            <w:r>
              <w:rPr>
                <w:sz w:val="18"/>
                <w:szCs w:val="18"/>
                <w:lang w:eastAsia="ar-SA"/>
              </w:rPr>
              <w:t>0,0002</w:t>
            </w:r>
          </w:p>
        </w:tc>
        <w:tc>
          <w:tcPr>
            <w:tcW w:w="1536" w:type="dxa"/>
          </w:tcPr>
          <w:p>
            <w:pPr>
              <w:suppressAutoHyphens/>
              <w:snapToGrid w:val="0"/>
              <w:jc w:val="center"/>
              <w:rPr>
                <w:sz w:val="18"/>
                <w:szCs w:val="18"/>
                <w:lang w:eastAsia="ar-SA"/>
              </w:rPr>
            </w:pPr>
            <w:r>
              <w:rPr>
                <w:sz w:val="18"/>
                <w:szCs w:val="18"/>
                <w:lang w:eastAsia="ar-SA"/>
              </w:rPr>
              <w:t>0,0002</w:t>
            </w:r>
          </w:p>
        </w:tc>
        <w:tc>
          <w:tcPr>
            <w:tcW w:w="1792" w:type="dxa"/>
          </w:tcPr>
          <w:p>
            <w:pPr>
              <w:suppressAutoHyphens/>
              <w:snapToGrid w:val="0"/>
              <w:jc w:val="center"/>
              <w:rPr>
                <w:sz w:val="18"/>
                <w:szCs w:val="18"/>
                <w:lang w:eastAsia="ar-SA"/>
              </w:rPr>
            </w:pPr>
            <w:r>
              <w:rPr>
                <w:sz w:val="18"/>
                <w:szCs w:val="18"/>
                <w:lang w:eastAsia="ar-SA"/>
              </w:rPr>
              <w:t>0,0015</w:t>
            </w:r>
          </w:p>
        </w:tc>
        <w:tc>
          <w:tcPr>
            <w:tcW w:w="1681" w:type="dxa"/>
          </w:tcPr>
          <w:p>
            <w:pPr>
              <w:suppressAutoHyphens/>
              <w:snapToGrid w:val="0"/>
              <w:jc w:val="center"/>
              <w:rPr>
                <w:sz w:val="18"/>
                <w:szCs w:val="18"/>
                <w:lang w:eastAsia="ar-SA"/>
              </w:rPr>
            </w:pPr>
            <w:r>
              <w:rPr>
                <w:sz w:val="18"/>
                <w:szCs w:val="18"/>
                <w:lang w:eastAsia="ar-SA"/>
              </w:rPr>
              <w:t>0,0015</w:t>
            </w:r>
          </w:p>
        </w:tc>
      </w:tr>
      <w:tr>
        <w:tc>
          <w:tcPr>
            <w:tcW w:w="3495" w:type="dxa"/>
            <w:tcBorders>
              <w:bottom w:val="nil"/>
            </w:tcBorders>
          </w:tcPr>
          <w:p>
            <w:pPr>
              <w:snapToGrid w:val="0"/>
              <w:rPr>
                <w:sz w:val="18"/>
                <w:szCs w:val="18"/>
                <w:lang w:eastAsia="ar-SA"/>
              </w:rPr>
            </w:pPr>
            <w:r>
              <w:rPr>
                <w:sz w:val="18"/>
                <w:szCs w:val="18"/>
                <w:lang w:eastAsia="ar-SA"/>
              </w:rPr>
              <w:t>Poliaromatiniai angliavandeniliai (PAH)</w:t>
            </w:r>
            <w:r>
              <w:rPr>
                <w:sz w:val="18"/>
                <w:szCs w:val="18"/>
                <w:vertAlign w:val="superscript"/>
                <w:lang w:eastAsia="ar-SA"/>
              </w:rPr>
              <w:t xml:space="preserve">7 </w:t>
            </w:r>
          </w:p>
        </w:tc>
        <w:tc>
          <w:tcPr>
            <w:tcW w:w="1627" w:type="dxa"/>
          </w:tcPr>
          <w:p>
            <w:pPr>
              <w:snapToGrid w:val="0"/>
              <w:jc w:val="center"/>
              <w:rPr>
                <w:strike/>
                <w:sz w:val="18"/>
                <w:szCs w:val="18"/>
              </w:rPr>
            </w:pPr>
          </w:p>
        </w:tc>
        <w:tc>
          <w:tcPr>
            <w:tcW w:w="1521" w:type="dxa"/>
          </w:tcPr>
          <w:p>
            <w:pPr>
              <w:snapToGrid w:val="0"/>
              <w:jc w:val="center"/>
              <w:rPr>
                <w:sz w:val="18"/>
                <w:szCs w:val="18"/>
              </w:rPr>
            </w:pPr>
          </w:p>
        </w:tc>
        <w:tc>
          <w:tcPr>
            <w:tcW w:w="1476" w:type="dxa"/>
          </w:tcPr>
          <w:p>
            <w:pPr>
              <w:snapToGrid w:val="0"/>
              <w:jc w:val="center"/>
              <w:rPr>
                <w:sz w:val="18"/>
                <w:szCs w:val="18"/>
              </w:rPr>
            </w:pPr>
          </w:p>
        </w:tc>
        <w:tc>
          <w:tcPr>
            <w:tcW w:w="1612" w:type="dxa"/>
          </w:tcPr>
          <w:p>
            <w:pPr>
              <w:suppressAutoHyphens/>
              <w:snapToGrid w:val="0"/>
              <w:jc w:val="center"/>
              <w:rPr>
                <w:sz w:val="18"/>
                <w:szCs w:val="18"/>
                <w:lang w:eastAsia="ar-SA"/>
              </w:rPr>
            </w:pPr>
          </w:p>
        </w:tc>
        <w:tc>
          <w:tcPr>
            <w:tcW w:w="1536" w:type="dxa"/>
          </w:tcPr>
          <w:p>
            <w:pPr>
              <w:suppressAutoHyphens/>
              <w:snapToGrid w:val="0"/>
              <w:jc w:val="center"/>
              <w:rPr>
                <w:sz w:val="18"/>
                <w:szCs w:val="18"/>
                <w:lang w:eastAsia="ar-SA"/>
              </w:rPr>
            </w:pPr>
          </w:p>
        </w:tc>
        <w:tc>
          <w:tcPr>
            <w:tcW w:w="1792" w:type="dxa"/>
          </w:tcPr>
          <w:p>
            <w:pPr>
              <w:suppressAutoHyphens/>
              <w:snapToGrid w:val="0"/>
              <w:jc w:val="center"/>
              <w:rPr>
                <w:sz w:val="18"/>
                <w:szCs w:val="18"/>
                <w:lang w:eastAsia="ar-SA"/>
              </w:rPr>
            </w:pPr>
          </w:p>
        </w:tc>
        <w:tc>
          <w:tcPr>
            <w:tcW w:w="1681" w:type="dxa"/>
          </w:tcPr>
          <w:p>
            <w:pPr>
              <w:suppressAutoHyphens/>
              <w:snapToGrid w:val="0"/>
              <w:jc w:val="center"/>
              <w:rPr>
                <w:sz w:val="18"/>
                <w:szCs w:val="18"/>
                <w:lang w:eastAsia="ar-SA"/>
              </w:rPr>
            </w:pPr>
          </w:p>
        </w:tc>
      </w:tr>
      <w:tr>
        <w:trPr>
          <w:trHeight w:val="20"/>
        </w:trPr>
        <w:tc>
          <w:tcPr>
            <w:tcW w:w="3495" w:type="dxa"/>
            <w:tcBorders>
              <w:top w:val="nil"/>
              <w:bottom w:val="nil"/>
            </w:tcBorders>
          </w:tcPr>
          <w:p>
            <w:pPr>
              <w:snapToGrid w:val="0"/>
              <w:rPr>
                <w:sz w:val="18"/>
                <w:szCs w:val="18"/>
              </w:rPr>
            </w:pPr>
            <w:r>
              <w:rPr>
                <w:sz w:val="18"/>
                <w:szCs w:val="18"/>
                <w:lang w:eastAsia="ar-SA"/>
              </w:rPr>
              <w:t xml:space="preserve">Benzo(a)pirenas </w:t>
            </w:r>
          </w:p>
        </w:tc>
        <w:tc>
          <w:tcPr>
            <w:tcW w:w="1627" w:type="dxa"/>
          </w:tcPr>
          <w:p>
            <w:pPr>
              <w:snapToGrid w:val="0"/>
              <w:jc w:val="center"/>
              <w:rPr>
                <w:sz w:val="18"/>
                <w:szCs w:val="18"/>
              </w:rPr>
            </w:pPr>
            <w:r>
              <w:rPr>
                <w:sz w:val="18"/>
                <w:szCs w:val="18"/>
              </w:rPr>
              <w:t>CAS 50-32-8</w:t>
            </w:r>
          </w:p>
        </w:tc>
        <w:tc>
          <w:tcPr>
            <w:tcW w:w="1521" w:type="dxa"/>
          </w:tcPr>
          <w:p>
            <w:pPr>
              <w:snapToGrid w:val="0"/>
              <w:jc w:val="center"/>
              <w:rPr>
                <w:sz w:val="18"/>
                <w:szCs w:val="18"/>
              </w:rPr>
            </w:pPr>
            <w:r>
              <w:rPr>
                <w:sz w:val="18"/>
                <w:szCs w:val="18"/>
              </w:rPr>
              <w:t>20</w:t>
            </w:r>
          </w:p>
        </w:tc>
        <w:tc>
          <w:tcPr>
            <w:tcW w:w="1476" w:type="dxa"/>
          </w:tcPr>
          <w:p>
            <w:pPr>
              <w:snapToGrid w:val="0"/>
              <w:jc w:val="center"/>
              <w:rPr>
                <w:sz w:val="18"/>
                <w:szCs w:val="18"/>
              </w:rPr>
            </w:pPr>
            <w:r>
              <w:rPr>
                <w:sz w:val="18"/>
                <w:szCs w:val="18"/>
              </w:rPr>
              <w:t>1</w:t>
            </w:r>
          </w:p>
        </w:tc>
        <w:tc>
          <w:tcPr>
            <w:tcW w:w="1612" w:type="dxa"/>
          </w:tcPr>
          <w:p>
            <w:pPr>
              <w:suppressAutoHyphens/>
              <w:snapToGrid w:val="0"/>
              <w:jc w:val="center"/>
              <w:rPr>
                <w:sz w:val="18"/>
                <w:szCs w:val="18"/>
                <w:lang w:eastAsia="ar-SA"/>
              </w:rPr>
            </w:pPr>
            <w:r>
              <w:rPr>
                <w:sz w:val="18"/>
                <w:szCs w:val="18"/>
                <w:lang w:eastAsia="ar-SA"/>
              </w:rPr>
              <w:t>0,05</w:t>
            </w:r>
          </w:p>
        </w:tc>
        <w:tc>
          <w:tcPr>
            <w:tcW w:w="1536" w:type="dxa"/>
          </w:tcPr>
          <w:p>
            <w:pPr>
              <w:suppressAutoHyphens/>
              <w:snapToGrid w:val="0"/>
              <w:jc w:val="center"/>
              <w:rPr>
                <w:sz w:val="18"/>
                <w:szCs w:val="18"/>
                <w:lang w:eastAsia="ar-SA"/>
              </w:rPr>
            </w:pPr>
            <w:r>
              <w:rPr>
                <w:sz w:val="18"/>
                <w:szCs w:val="18"/>
                <w:lang w:eastAsia="ar-SA"/>
              </w:rPr>
              <w:t>0,05</w:t>
            </w:r>
          </w:p>
        </w:tc>
        <w:tc>
          <w:tcPr>
            <w:tcW w:w="1792" w:type="dxa"/>
          </w:tcPr>
          <w:p>
            <w:pPr>
              <w:suppressAutoHyphens/>
              <w:snapToGrid w:val="0"/>
              <w:jc w:val="center"/>
              <w:rPr>
                <w:sz w:val="18"/>
                <w:szCs w:val="18"/>
                <w:lang w:eastAsia="ar-SA"/>
              </w:rPr>
            </w:pPr>
            <w:r>
              <w:rPr>
                <w:sz w:val="18"/>
                <w:szCs w:val="18"/>
                <w:lang w:eastAsia="ar-SA"/>
              </w:rPr>
              <w:t>0,1</w:t>
            </w:r>
          </w:p>
        </w:tc>
        <w:tc>
          <w:tcPr>
            <w:tcW w:w="1681" w:type="dxa"/>
          </w:tcPr>
          <w:p>
            <w:pPr>
              <w:suppressAutoHyphens/>
              <w:snapToGrid w:val="0"/>
              <w:jc w:val="center"/>
              <w:rPr>
                <w:sz w:val="18"/>
                <w:szCs w:val="18"/>
                <w:lang w:eastAsia="ar-SA"/>
              </w:rPr>
            </w:pPr>
            <w:r>
              <w:rPr>
                <w:sz w:val="18"/>
                <w:szCs w:val="18"/>
                <w:lang w:eastAsia="ar-SA"/>
              </w:rPr>
              <w:t>0,1</w:t>
            </w:r>
          </w:p>
        </w:tc>
      </w:tr>
      <w:tr>
        <w:trPr>
          <w:trHeight w:val="20"/>
        </w:trPr>
        <w:tc>
          <w:tcPr>
            <w:tcW w:w="3495" w:type="dxa"/>
            <w:tcBorders>
              <w:top w:val="nil"/>
              <w:bottom w:val="nil"/>
            </w:tcBorders>
            <w:shd w:val="clear" w:color="auto" w:fill="auto"/>
          </w:tcPr>
          <w:p>
            <w:pPr>
              <w:snapToGrid w:val="0"/>
              <w:rPr>
                <w:sz w:val="18"/>
                <w:szCs w:val="18"/>
              </w:rPr>
            </w:pPr>
            <w:r>
              <w:rPr>
                <w:sz w:val="18"/>
                <w:szCs w:val="18"/>
                <w:lang w:eastAsia="ar-SA"/>
              </w:rPr>
              <w:t>Benzo(b)fluoroantenas</w:t>
            </w:r>
          </w:p>
        </w:tc>
        <w:tc>
          <w:tcPr>
            <w:tcW w:w="1627" w:type="dxa"/>
          </w:tcPr>
          <w:p>
            <w:pPr>
              <w:snapToGrid w:val="0"/>
              <w:jc w:val="center"/>
              <w:rPr>
                <w:sz w:val="18"/>
                <w:szCs w:val="18"/>
              </w:rPr>
            </w:pPr>
            <w:r>
              <w:rPr>
                <w:sz w:val="18"/>
                <w:szCs w:val="18"/>
              </w:rPr>
              <w:t xml:space="preserve">CAS  205-99-2</w:t>
            </w:r>
          </w:p>
        </w:tc>
        <w:tc>
          <w:tcPr>
            <w:tcW w:w="1521" w:type="dxa"/>
          </w:tcPr>
          <w:p>
            <w:pPr>
              <w:snapToGrid w:val="0"/>
              <w:jc w:val="center"/>
              <w:rPr>
                <w:sz w:val="18"/>
                <w:szCs w:val="18"/>
              </w:rPr>
            </w:pPr>
            <w:r>
              <w:rPr>
                <w:sz w:val="18"/>
                <w:szCs w:val="18"/>
              </w:rPr>
              <w:t>16</w:t>
            </w:r>
          </w:p>
        </w:tc>
        <w:tc>
          <w:tcPr>
            <w:tcW w:w="1476" w:type="dxa"/>
          </w:tcPr>
          <w:p>
            <w:pPr>
              <w:snapToGrid w:val="0"/>
              <w:jc w:val="center"/>
              <w:rPr>
                <w:sz w:val="18"/>
                <w:szCs w:val="18"/>
              </w:rPr>
            </w:pPr>
            <w:r>
              <w:rPr>
                <w:sz w:val="18"/>
                <w:szCs w:val="18"/>
              </w:rPr>
              <w:t>0,8</w:t>
            </w:r>
          </w:p>
        </w:tc>
        <w:tc>
          <w:tcPr>
            <w:tcW w:w="1612" w:type="dxa"/>
            <w:vMerge w:val="restart"/>
          </w:tcPr>
          <w:p>
            <w:pPr>
              <w:suppressAutoHyphens/>
              <w:snapToGrid w:val="0"/>
              <w:jc w:val="center"/>
              <w:rPr>
                <w:sz w:val="18"/>
                <w:szCs w:val="18"/>
                <w:lang w:eastAsia="ar-SA"/>
              </w:rPr>
            </w:pPr>
            <w:r>
              <w:rPr>
                <w:vanish/>
                <w:sz w:val="18"/>
                <w:szCs w:val="18"/>
                <w:lang w:eastAsia="ar-SA"/>
              </w:rPr>
              <w:t>SUMA</w:t>
            </w:r>
            <w:r>
              <w:rPr>
                <w:sz w:val="18"/>
                <w:szCs w:val="18"/>
                <w:lang w:eastAsia="ar-SA"/>
              </w:rPr>
              <w:t>?=0,03</w:t>
            </w:r>
          </w:p>
        </w:tc>
        <w:tc>
          <w:tcPr>
            <w:tcW w:w="1536" w:type="dxa"/>
            <w:vMerge w:val="restart"/>
          </w:tcPr>
          <w:p>
            <w:pPr>
              <w:suppressAutoHyphens/>
              <w:snapToGrid w:val="0"/>
              <w:jc w:val="center"/>
              <w:rPr>
                <w:sz w:val="18"/>
                <w:szCs w:val="18"/>
                <w:lang w:eastAsia="ar-SA"/>
              </w:rPr>
            </w:pPr>
            <w:r>
              <w:rPr>
                <w:vanish/>
                <w:sz w:val="18"/>
                <w:szCs w:val="18"/>
                <w:lang w:eastAsia="ar-SA"/>
              </w:rPr>
              <w:t>SUMA</w:t>
            </w:r>
            <w:r>
              <w:rPr>
                <w:sz w:val="18"/>
                <w:szCs w:val="18"/>
                <w:lang w:eastAsia="ar-SA"/>
              </w:rPr>
              <w:t>?=0,03</w:t>
            </w:r>
          </w:p>
        </w:tc>
        <w:tc>
          <w:tcPr>
            <w:tcW w:w="1792" w:type="dxa"/>
            <w:vMerge w:val="restart"/>
          </w:tcPr>
          <w:p>
            <w:pPr>
              <w:suppressAutoHyphens/>
              <w:snapToGrid w:val="0"/>
              <w:jc w:val="center"/>
              <w:rPr>
                <w:sz w:val="18"/>
                <w:szCs w:val="18"/>
                <w:lang w:eastAsia="ar-SA"/>
              </w:rPr>
            </w:pPr>
            <w:r>
              <w:rPr>
                <w:sz w:val="18"/>
                <w:szCs w:val="18"/>
                <w:lang w:eastAsia="ar-SA"/>
              </w:rPr>
              <w:t>-</w:t>
            </w:r>
          </w:p>
        </w:tc>
        <w:tc>
          <w:tcPr>
            <w:tcW w:w="1681" w:type="dxa"/>
            <w:vMerge w:val="restart"/>
          </w:tcPr>
          <w:p>
            <w:pPr>
              <w:suppressAutoHyphens/>
              <w:snapToGrid w:val="0"/>
              <w:jc w:val="center"/>
              <w:rPr>
                <w:sz w:val="18"/>
                <w:szCs w:val="18"/>
                <w:lang w:eastAsia="ar-SA"/>
              </w:rPr>
            </w:pPr>
            <w:r>
              <w:rPr>
                <w:sz w:val="18"/>
                <w:szCs w:val="18"/>
                <w:lang w:eastAsia="ar-SA"/>
              </w:rPr>
              <w:t>-</w:t>
            </w:r>
          </w:p>
        </w:tc>
      </w:tr>
      <w:tr>
        <w:trPr>
          <w:trHeight w:val="20"/>
        </w:trPr>
        <w:tc>
          <w:tcPr>
            <w:tcW w:w="3495" w:type="dxa"/>
            <w:tcBorders>
              <w:top w:val="nil"/>
              <w:bottom w:val="nil"/>
            </w:tcBorders>
            <w:shd w:val="clear" w:color="auto" w:fill="auto"/>
          </w:tcPr>
          <w:p>
            <w:pPr>
              <w:rPr>
                <w:sz w:val="18"/>
                <w:szCs w:val="18"/>
              </w:rPr>
            </w:pPr>
            <w:r>
              <w:rPr>
                <w:sz w:val="18"/>
                <w:szCs w:val="18"/>
                <w:lang w:eastAsia="ar-SA"/>
              </w:rPr>
              <w:t>Benzo(k)fluorantenas</w:t>
            </w:r>
          </w:p>
        </w:tc>
        <w:tc>
          <w:tcPr>
            <w:tcW w:w="1627" w:type="dxa"/>
          </w:tcPr>
          <w:p>
            <w:pPr>
              <w:snapToGrid w:val="0"/>
              <w:jc w:val="center"/>
              <w:rPr>
                <w:sz w:val="18"/>
                <w:szCs w:val="18"/>
              </w:rPr>
            </w:pPr>
            <w:r>
              <w:rPr>
                <w:sz w:val="18"/>
                <w:szCs w:val="18"/>
              </w:rPr>
              <w:t>CAS 207-08-9</w:t>
            </w:r>
          </w:p>
        </w:tc>
        <w:tc>
          <w:tcPr>
            <w:tcW w:w="1521" w:type="dxa"/>
          </w:tcPr>
          <w:p>
            <w:pPr>
              <w:snapToGrid w:val="0"/>
              <w:jc w:val="center"/>
              <w:rPr>
                <w:sz w:val="18"/>
                <w:szCs w:val="18"/>
              </w:rPr>
            </w:pPr>
            <w:r>
              <w:rPr>
                <w:sz w:val="18"/>
                <w:szCs w:val="18"/>
              </w:rPr>
              <w:t>16</w:t>
            </w:r>
          </w:p>
        </w:tc>
        <w:tc>
          <w:tcPr>
            <w:tcW w:w="1476" w:type="dxa"/>
          </w:tcPr>
          <w:p>
            <w:pPr>
              <w:snapToGrid w:val="0"/>
              <w:jc w:val="center"/>
              <w:rPr>
                <w:sz w:val="18"/>
                <w:szCs w:val="18"/>
              </w:rPr>
            </w:pPr>
            <w:r>
              <w:rPr>
                <w:sz w:val="18"/>
                <w:szCs w:val="18"/>
              </w:rPr>
              <w:t>0,8</w:t>
            </w:r>
          </w:p>
        </w:tc>
        <w:tc>
          <w:tcPr>
            <w:tcW w:w="1612" w:type="dxa"/>
            <w:vMerge/>
          </w:tcPr>
          <w:p>
            <w:pPr>
              <w:jc w:val="center"/>
              <w:rPr>
                <w:sz w:val="18"/>
                <w:szCs w:val="18"/>
              </w:rPr>
            </w:pPr>
          </w:p>
        </w:tc>
        <w:tc>
          <w:tcPr>
            <w:tcW w:w="1536" w:type="dxa"/>
            <w:vMerge/>
          </w:tcPr>
          <w:p>
            <w:pPr>
              <w:jc w:val="center"/>
              <w:rPr>
                <w:sz w:val="18"/>
                <w:szCs w:val="18"/>
              </w:rPr>
            </w:pPr>
          </w:p>
        </w:tc>
        <w:tc>
          <w:tcPr>
            <w:tcW w:w="1792" w:type="dxa"/>
            <w:vMerge/>
          </w:tcPr>
          <w:p>
            <w:pPr>
              <w:jc w:val="center"/>
              <w:rPr>
                <w:sz w:val="18"/>
                <w:szCs w:val="18"/>
              </w:rPr>
            </w:pPr>
          </w:p>
        </w:tc>
        <w:tc>
          <w:tcPr>
            <w:tcW w:w="1681" w:type="dxa"/>
            <w:vMerge/>
          </w:tcPr>
          <w:p>
            <w:pPr>
              <w:jc w:val="center"/>
              <w:rPr>
                <w:sz w:val="18"/>
                <w:szCs w:val="18"/>
              </w:rPr>
            </w:pPr>
          </w:p>
        </w:tc>
      </w:tr>
      <w:tr>
        <w:trPr>
          <w:trHeight w:val="20"/>
        </w:trPr>
        <w:tc>
          <w:tcPr>
            <w:tcW w:w="3495" w:type="dxa"/>
            <w:tcBorders>
              <w:top w:val="nil"/>
              <w:bottom w:val="nil"/>
            </w:tcBorders>
            <w:shd w:val="clear" w:color="auto" w:fill="auto"/>
          </w:tcPr>
          <w:p>
            <w:pPr>
              <w:snapToGrid w:val="0"/>
              <w:rPr>
                <w:sz w:val="18"/>
                <w:szCs w:val="18"/>
              </w:rPr>
            </w:pPr>
            <w:r>
              <w:rPr>
                <w:sz w:val="18"/>
                <w:szCs w:val="18"/>
                <w:lang w:eastAsia="ar-SA"/>
              </w:rPr>
              <w:t>Benzo(g, h, i) perilinas</w:t>
            </w:r>
          </w:p>
        </w:tc>
        <w:tc>
          <w:tcPr>
            <w:tcW w:w="1627" w:type="dxa"/>
          </w:tcPr>
          <w:p>
            <w:pPr>
              <w:snapToGrid w:val="0"/>
              <w:jc w:val="center"/>
              <w:rPr>
                <w:sz w:val="18"/>
                <w:szCs w:val="18"/>
              </w:rPr>
            </w:pPr>
            <w:r>
              <w:rPr>
                <w:sz w:val="18"/>
                <w:szCs w:val="18"/>
              </w:rPr>
              <w:t>CAS 191-24-2</w:t>
            </w:r>
          </w:p>
        </w:tc>
        <w:tc>
          <w:tcPr>
            <w:tcW w:w="1521" w:type="dxa"/>
          </w:tcPr>
          <w:p>
            <w:pPr>
              <w:snapToGrid w:val="0"/>
              <w:jc w:val="center"/>
              <w:rPr>
                <w:sz w:val="18"/>
                <w:szCs w:val="18"/>
              </w:rPr>
            </w:pPr>
            <w:r>
              <w:rPr>
                <w:sz w:val="18"/>
                <w:szCs w:val="18"/>
              </w:rPr>
              <w:t>12</w:t>
            </w:r>
          </w:p>
        </w:tc>
        <w:tc>
          <w:tcPr>
            <w:tcW w:w="1476" w:type="dxa"/>
          </w:tcPr>
          <w:p>
            <w:pPr>
              <w:snapToGrid w:val="0"/>
              <w:jc w:val="center"/>
              <w:rPr>
                <w:sz w:val="18"/>
                <w:szCs w:val="18"/>
              </w:rPr>
            </w:pPr>
            <w:r>
              <w:rPr>
                <w:sz w:val="18"/>
                <w:szCs w:val="18"/>
              </w:rPr>
              <w:t>0,6</w:t>
            </w:r>
          </w:p>
        </w:tc>
        <w:tc>
          <w:tcPr>
            <w:tcW w:w="1612" w:type="dxa"/>
            <w:vMerge w:val="restart"/>
          </w:tcPr>
          <w:p>
            <w:pPr>
              <w:suppressAutoHyphens/>
              <w:snapToGrid w:val="0"/>
              <w:jc w:val="center"/>
              <w:rPr>
                <w:sz w:val="18"/>
                <w:szCs w:val="18"/>
                <w:lang w:eastAsia="ar-SA"/>
              </w:rPr>
            </w:pPr>
            <w:r>
              <w:rPr>
                <w:vanish/>
                <w:sz w:val="18"/>
                <w:szCs w:val="18"/>
                <w:lang w:eastAsia="ar-SA"/>
              </w:rPr>
              <w:t>SUMA</w:t>
            </w:r>
            <w:r>
              <w:rPr>
                <w:sz w:val="18"/>
                <w:szCs w:val="18"/>
                <w:lang w:eastAsia="ar-SA"/>
              </w:rPr>
              <w:t>?=0,002</w:t>
            </w:r>
          </w:p>
        </w:tc>
        <w:tc>
          <w:tcPr>
            <w:tcW w:w="1536" w:type="dxa"/>
            <w:vMerge w:val="restart"/>
          </w:tcPr>
          <w:p>
            <w:pPr>
              <w:suppressAutoHyphens/>
              <w:snapToGrid w:val="0"/>
              <w:jc w:val="center"/>
              <w:rPr>
                <w:sz w:val="18"/>
                <w:szCs w:val="18"/>
                <w:lang w:eastAsia="ar-SA"/>
              </w:rPr>
            </w:pPr>
            <w:r>
              <w:rPr>
                <w:vanish/>
                <w:sz w:val="18"/>
                <w:szCs w:val="18"/>
                <w:lang w:eastAsia="ar-SA"/>
              </w:rPr>
              <w:t>SUMA</w:t>
            </w:r>
            <w:r>
              <w:rPr>
                <w:sz w:val="18"/>
                <w:szCs w:val="18"/>
                <w:lang w:eastAsia="ar-SA"/>
              </w:rPr>
              <w:t>?=0,002</w:t>
            </w:r>
          </w:p>
        </w:tc>
        <w:tc>
          <w:tcPr>
            <w:tcW w:w="1792" w:type="dxa"/>
            <w:vMerge w:val="restart"/>
          </w:tcPr>
          <w:p>
            <w:pPr>
              <w:suppressAutoHyphens/>
              <w:snapToGrid w:val="0"/>
              <w:jc w:val="center"/>
              <w:rPr>
                <w:sz w:val="18"/>
                <w:szCs w:val="18"/>
                <w:lang w:eastAsia="ar-SA"/>
              </w:rPr>
            </w:pPr>
            <w:r>
              <w:rPr>
                <w:sz w:val="18"/>
                <w:szCs w:val="18"/>
                <w:lang w:eastAsia="ar-SA"/>
              </w:rPr>
              <w:t>-</w:t>
            </w:r>
          </w:p>
        </w:tc>
        <w:tc>
          <w:tcPr>
            <w:tcW w:w="1681" w:type="dxa"/>
            <w:vMerge w:val="restart"/>
          </w:tcPr>
          <w:p>
            <w:pPr>
              <w:suppressAutoHyphens/>
              <w:snapToGrid w:val="0"/>
              <w:jc w:val="center"/>
              <w:rPr>
                <w:sz w:val="18"/>
                <w:szCs w:val="18"/>
                <w:lang w:eastAsia="ar-SA"/>
              </w:rPr>
            </w:pPr>
            <w:r>
              <w:rPr>
                <w:sz w:val="18"/>
                <w:szCs w:val="18"/>
                <w:lang w:eastAsia="ar-SA"/>
              </w:rPr>
              <w:t>-</w:t>
            </w:r>
          </w:p>
        </w:tc>
      </w:tr>
      <w:tr>
        <w:trPr>
          <w:trHeight w:val="20"/>
        </w:trPr>
        <w:tc>
          <w:tcPr>
            <w:tcW w:w="3495" w:type="dxa"/>
            <w:tcBorders>
              <w:top w:val="nil"/>
              <w:bottom w:val="single" w:sz="4" w:space="0" w:color="auto"/>
            </w:tcBorders>
            <w:shd w:val="clear" w:color="auto" w:fill="auto"/>
          </w:tcPr>
          <w:p>
            <w:pPr>
              <w:rPr>
                <w:sz w:val="18"/>
                <w:szCs w:val="18"/>
              </w:rPr>
            </w:pPr>
            <w:r>
              <w:rPr>
                <w:sz w:val="18"/>
                <w:szCs w:val="18"/>
                <w:lang w:eastAsia="ar-SA"/>
              </w:rPr>
              <w:t>Indeno(1,2,3-cd) pirenas</w:t>
            </w:r>
          </w:p>
        </w:tc>
        <w:tc>
          <w:tcPr>
            <w:tcW w:w="1627" w:type="dxa"/>
            <w:tcBorders>
              <w:bottom w:val="single" w:sz="4" w:space="0" w:color="auto"/>
            </w:tcBorders>
          </w:tcPr>
          <w:p>
            <w:pPr>
              <w:snapToGrid w:val="0"/>
              <w:jc w:val="center"/>
              <w:rPr>
                <w:sz w:val="18"/>
                <w:szCs w:val="18"/>
              </w:rPr>
            </w:pPr>
            <w:r>
              <w:rPr>
                <w:sz w:val="18"/>
                <w:szCs w:val="18"/>
              </w:rPr>
              <w:t>CAS 193-39-5</w:t>
            </w:r>
          </w:p>
        </w:tc>
        <w:tc>
          <w:tcPr>
            <w:tcW w:w="1521" w:type="dxa"/>
          </w:tcPr>
          <w:p>
            <w:pPr>
              <w:snapToGrid w:val="0"/>
              <w:jc w:val="center"/>
              <w:rPr>
                <w:sz w:val="18"/>
                <w:szCs w:val="18"/>
              </w:rPr>
            </w:pPr>
            <w:r>
              <w:rPr>
                <w:sz w:val="18"/>
                <w:szCs w:val="18"/>
              </w:rPr>
              <w:t>16</w:t>
            </w:r>
          </w:p>
        </w:tc>
        <w:tc>
          <w:tcPr>
            <w:tcW w:w="1476" w:type="dxa"/>
          </w:tcPr>
          <w:p>
            <w:pPr>
              <w:snapToGrid w:val="0"/>
              <w:jc w:val="center"/>
              <w:rPr>
                <w:sz w:val="18"/>
                <w:szCs w:val="18"/>
              </w:rPr>
            </w:pPr>
            <w:r>
              <w:rPr>
                <w:sz w:val="18"/>
                <w:szCs w:val="18"/>
              </w:rPr>
              <w:t>0,8</w:t>
            </w:r>
          </w:p>
        </w:tc>
        <w:tc>
          <w:tcPr>
            <w:tcW w:w="1612" w:type="dxa"/>
            <w:vMerge/>
          </w:tcPr>
          <w:p>
            <w:pPr>
              <w:jc w:val="center"/>
              <w:rPr>
                <w:sz w:val="18"/>
                <w:szCs w:val="18"/>
              </w:rPr>
            </w:pPr>
          </w:p>
        </w:tc>
        <w:tc>
          <w:tcPr>
            <w:tcW w:w="1536" w:type="dxa"/>
            <w:vMerge/>
          </w:tcPr>
          <w:p>
            <w:pPr>
              <w:jc w:val="center"/>
              <w:rPr>
                <w:sz w:val="18"/>
                <w:szCs w:val="18"/>
              </w:rPr>
            </w:pPr>
          </w:p>
        </w:tc>
        <w:tc>
          <w:tcPr>
            <w:tcW w:w="1792" w:type="dxa"/>
            <w:vMerge/>
          </w:tcPr>
          <w:p>
            <w:pPr>
              <w:jc w:val="center"/>
              <w:rPr>
                <w:sz w:val="18"/>
                <w:szCs w:val="18"/>
              </w:rPr>
            </w:pPr>
          </w:p>
        </w:tc>
        <w:tc>
          <w:tcPr>
            <w:tcW w:w="1681" w:type="dxa"/>
            <w:vMerge/>
          </w:tcPr>
          <w:p>
            <w:pPr>
              <w:jc w:val="center"/>
              <w:rPr>
                <w:sz w:val="18"/>
                <w:szCs w:val="18"/>
              </w:rPr>
            </w:pPr>
          </w:p>
        </w:tc>
      </w:tr>
      <w:tr>
        <w:trPr>
          <w:trHeight w:val="135"/>
        </w:trPr>
        <w:tc>
          <w:tcPr>
            <w:tcW w:w="3495" w:type="dxa"/>
            <w:tcBorders>
              <w:bottom w:val="nil"/>
            </w:tcBorders>
          </w:tcPr>
          <w:p>
            <w:pPr>
              <w:snapToGrid w:val="0"/>
              <w:rPr>
                <w:sz w:val="18"/>
                <w:szCs w:val="18"/>
                <w:lang w:eastAsia="ar-SA"/>
              </w:rPr>
            </w:pPr>
            <w:r>
              <w:rPr>
                <w:sz w:val="18"/>
                <w:szCs w:val="18"/>
                <w:lang w:eastAsia="ar-SA"/>
              </w:rPr>
              <w:t>Nonilfenoliai</w:t>
            </w:r>
          </w:p>
        </w:tc>
        <w:tc>
          <w:tcPr>
            <w:tcW w:w="1627" w:type="dxa"/>
            <w:tcBorders>
              <w:bottom w:val="nil"/>
            </w:tcBorders>
          </w:tcPr>
          <w:p>
            <w:pPr>
              <w:snapToGrid w:val="0"/>
              <w:jc w:val="center"/>
              <w:rPr>
                <w:sz w:val="18"/>
                <w:szCs w:val="18"/>
              </w:rPr>
            </w:pPr>
            <w:r>
              <w:rPr>
                <w:sz w:val="18"/>
                <w:szCs w:val="18"/>
              </w:rPr>
              <w:t>CAS 25154-52-3</w:t>
            </w:r>
          </w:p>
        </w:tc>
        <w:tc>
          <w:tcPr>
            <w:tcW w:w="1521" w:type="dxa"/>
            <w:vMerge w:val="restart"/>
          </w:tcPr>
          <w:p>
            <w:pPr>
              <w:snapToGrid w:val="0"/>
              <w:jc w:val="center"/>
              <w:rPr>
                <w:sz w:val="18"/>
                <w:szCs w:val="18"/>
              </w:rPr>
            </w:pPr>
            <w:r>
              <w:rPr>
                <w:sz w:val="18"/>
                <w:szCs w:val="18"/>
              </w:rPr>
              <w:t>400</w:t>
            </w:r>
          </w:p>
        </w:tc>
        <w:tc>
          <w:tcPr>
            <w:tcW w:w="1476" w:type="dxa"/>
            <w:vMerge w:val="restart"/>
          </w:tcPr>
          <w:p>
            <w:pPr>
              <w:snapToGrid w:val="0"/>
              <w:jc w:val="center"/>
              <w:rPr>
                <w:sz w:val="18"/>
                <w:szCs w:val="18"/>
              </w:rPr>
            </w:pPr>
            <w:r>
              <w:rPr>
                <w:sz w:val="18"/>
                <w:szCs w:val="18"/>
              </w:rPr>
              <w:t>20</w:t>
            </w:r>
          </w:p>
        </w:tc>
        <w:tc>
          <w:tcPr>
            <w:tcW w:w="1612" w:type="dxa"/>
            <w:vMerge w:val="restart"/>
          </w:tcPr>
          <w:p>
            <w:pPr>
              <w:suppressAutoHyphens/>
              <w:snapToGrid w:val="0"/>
              <w:jc w:val="center"/>
              <w:rPr>
                <w:sz w:val="18"/>
                <w:szCs w:val="18"/>
                <w:lang w:eastAsia="ar-SA"/>
              </w:rPr>
            </w:pPr>
            <w:r>
              <w:rPr>
                <w:sz w:val="18"/>
                <w:szCs w:val="18"/>
                <w:lang w:eastAsia="ar-SA"/>
              </w:rPr>
              <w:t>0,3</w:t>
            </w:r>
          </w:p>
        </w:tc>
        <w:tc>
          <w:tcPr>
            <w:tcW w:w="1536" w:type="dxa"/>
            <w:vMerge w:val="restart"/>
          </w:tcPr>
          <w:p>
            <w:pPr>
              <w:suppressAutoHyphens/>
              <w:snapToGrid w:val="0"/>
              <w:jc w:val="center"/>
              <w:rPr>
                <w:sz w:val="18"/>
                <w:szCs w:val="18"/>
                <w:lang w:eastAsia="ar-SA"/>
              </w:rPr>
            </w:pPr>
            <w:r>
              <w:rPr>
                <w:sz w:val="18"/>
                <w:szCs w:val="18"/>
                <w:lang w:eastAsia="ar-SA"/>
              </w:rPr>
              <w:t>0,3</w:t>
            </w:r>
          </w:p>
        </w:tc>
        <w:tc>
          <w:tcPr>
            <w:tcW w:w="1792" w:type="dxa"/>
            <w:vMerge w:val="restart"/>
          </w:tcPr>
          <w:p>
            <w:pPr>
              <w:suppressAutoHyphens/>
              <w:snapToGrid w:val="0"/>
              <w:jc w:val="center"/>
              <w:rPr>
                <w:sz w:val="18"/>
                <w:szCs w:val="18"/>
                <w:lang w:eastAsia="ar-SA"/>
              </w:rPr>
            </w:pPr>
            <w:r>
              <w:rPr>
                <w:sz w:val="18"/>
                <w:szCs w:val="18"/>
                <w:lang w:eastAsia="ar-SA"/>
              </w:rPr>
              <w:t>2,0</w:t>
            </w:r>
          </w:p>
        </w:tc>
        <w:tc>
          <w:tcPr>
            <w:tcW w:w="1681" w:type="dxa"/>
            <w:vMerge w:val="restart"/>
          </w:tcPr>
          <w:p>
            <w:pPr>
              <w:suppressAutoHyphens/>
              <w:snapToGrid w:val="0"/>
              <w:jc w:val="center"/>
              <w:rPr>
                <w:sz w:val="18"/>
                <w:szCs w:val="18"/>
                <w:lang w:eastAsia="ar-SA"/>
              </w:rPr>
            </w:pPr>
            <w:r>
              <w:rPr>
                <w:sz w:val="18"/>
                <w:szCs w:val="18"/>
                <w:lang w:eastAsia="ar-SA"/>
              </w:rPr>
              <w:t>2,0</w:t>
            </w:r>
          </w:p>
        </w:tc>
      </w:tr>
      <w:tr>
        <w:trPr>
          <w:trHeight w:val="70"/>
        </w:trPr>
        <w:tc>
          <w:tcPr>
            <w:tcW w:w="3495" w:type="dxa"/>
            <w:tcBorders>
              <w:top w:val="nil"/>
            </w:tcBorders>
          </w:tcPr>
          <w:p>
            <w:pPr>
              <w:snapToGrid w:val="0"/>
              <w:rPr>
                <w:sz w:val="18"/>
                <w:szCs w:val="18"/>
                <w:lang w:eastAsia="ar-SA"/>
              </w:rPr>
            </w:pPr>
            <w:r>
              <w:rPr>
                <w:sz w:val="18"/>
                <w:szCs w:val="18"/>
                <w:lang w:eastAsia="ar-SA"/>
              </w:rPr>
              <w:t>(4-(para)-nonilfenolis)</w:t>
            </w:r>
          </w:p>
        </w:tc>
        <w:tc>
          <w:tcPr>
            <w:tcW w:w="1627" w:type="dxa"/>
            <w:tcBorders>
              <w:top w:val="nil"/>
            </w:tcBorders>
          </w:tcPr>
          <w:p>
            <w:pPr>
              <w:snapToGrid w:val="0"/>
              <w:jc w:val="center"/>
              <w:rPr>
                <w:sz w:val="18"/>
                <w:szCs w:val="18"/>
              </w:rPr>
            </w:pPr>
            <w:r>
              <w:rPr>
                <w:sz w:val="18"/>
                <w:szCs w:val="18"/>
              </w:rPr>
              <w:t>(CAS 104-40-5)</w:t>
            </w:r>
          </w:p>
        </w:tc>
        <w:tc>
          <w:tcPr>
            <w:tcW w:w="1521" w:type="dxa"/>
            <w:vMerge/>
          </w:tcPr>
          <w:p>
            <w:pPr>
              <w:snapToGrid w:val="0"/>
              <w:jc w:val="center"/>
              <w:rPr>
                <w:sz w:val="18"/>
                <w:szCs w:val="18"/>
              </w:rPr>
            </w:pPr>
          </w:p>
        </w:tc>
        <w:tc>
          <w:tcPr>
            <w:tcW w:w="1476" w:type="dxa"/>
            <w:vMerge/>
          </w:tcPr>
          <w:p>
            <w:pPr>
              <w:snapToGrid w:val="0"/>
              <w:jc w:val="center"/>
              <w:rPr>
                <w:sz w:val="18"/>
                <w:szCs w:val="18"/>
              </w:rPr>
            </w:pPr>
          </w:p>
        </w:tc>
        <w:tc>
          <w:tcPr>
            <w:tcW w:w="1612" w:type="dxa"/>
            <w:vMerge/>
          </w:tcPr>
          <w:p>
            <w:pPr>
              <w:suppressAutoHyphens/>
              <w:snapToGrid w:val="0"/>
              <w:jc w:val="center"/>
              <w:rPr>
                <w:sz w:val="18"/>
                <w:szCs w:val="18"/>
                <w:lang w:eastAsia="ar-SA"/>
              </w:rPr>
            </w:pPr>
          </w:p>
        </w:tc>
        <w:tc>
          <w:tcPr>
            <w:tcW w:w="1536" w:type="dxa"/>
            <w:vMerge/>
          </w:tcPr>
          <w:p>
            <w:pPr>
              <w:suppressAutoHyphens/>
              <w:snapToGrid w:val="0"/>
              <w:jc w:val="center"/>
              <w:rPr>
                <w:sz w:val="18"/>
                <w:szCs w:val="18"/>
                <w:lang w:eastAsia="ar-SA"/>
              </w:rPr>
            </w:pPr>
          </w:p>
        </w:tc>
        <w:tc>
          <w:tcPr>
            <w:tcW w:w="1792" w:type="dxa"/>
            <w:vMerge/>
          </w:tcPr>
          <w:p>
            <w:pPr>
              <w:suppressAutoHyphens/>
              <w:snapToGrid w:val="0"/>
              <w:jc w:val="center"/>
              <w:rPr>
                <w:sz w:val="18"/>
                <w:szCs w:val="18"/>
                <w:lang w:eastAsia="ar-SA"/>
              </w:rPr>
            </w:pPr>
          </w:p>
        </w:tc>
        <w:tc>
          <w:tcPr>
            <w:tcW w:w="1681" w:type="dxa"/>
            <w:vMerge/>
          </w:tcPr>
          <w:p>
            <w:pPr>
              <w:suppressAutoHyphens/>
              <w:snapToGrid w:val="0"/>
              <w:jc w:val="center"/>
              <w:rPr>
                <w:sz w:val="18"/>
                <w:szCs w:val="18"/>
                <w:lang w:eastAsia="ar-SA"/>
              </w:rPr>
            </w:pPr>
          </w:p>
        </w:tc>
      </w:tr>
      <w:tr>
        <w:trPr>
          <w:trHeight w:val="20"/>
        </w:trPr>
        <w:tc>
          <w:tcPr>
            <w:tcW w:w="3495" w:type="dxa"/>
          </w:tcPr>
          <w:p>
            <w:pPr>
              <w:snapToGrid w:val="0"/>
              <w:rPr>
                <w:sz w:val="18"/>
                <w:szCs w:val="18"/>
              </w:rPr>
            </w:pPr>
            <w:r>
              <w:rPr>
                <w:sz w:val="18"/>
                <w:szCs w:val="18"/>
              </w:rPr>
              <w:t>Antracenas</w:t>
            </w:r>
          </w:p>
        </w:tc>
        <w:tc>
          <w:tcPr>
            <w:tcW w:w="1627" w:type="dxa"/>
          </w:tcPr>
          <w:p>
            <w:pPr>
              <w:snapToGrid w:val="0"/>
              <w:jc w:val="center"/>
              <w:rPr>
                <w:sz w:val="18"/>
                <w:szCs w:val="18"/>
              </w:rPr>
            </w:pPr>
            <w:r>
              <w:rPr>
                <w:sz w:val="18"/>
                <w:szCs w:val="18"/>
              </w:rPr>
              <w:t>CAS 120-12-7</w:t>
            </w:r>
          </w:p>
        </w:tc>
        <w:tc>
          <w:tcPr>
            <w:tcW w:w="1521" w:type="dxa"/>
          </w:tcPr>
          <w:p>
            <w:pPr>
              <w:snapToGrid w:val="0"/>
              <w:jc w:val="center"/>
              <w:rPr>
                <w:sz w:val="18"/>
                <w:szCs w:val="18"/>
              </w:rPr>
            </w:pPr>
            <w:r>
              <w:rPr>
                <w:sz w:val="18"/>
                <w:szCs w:val="18"/>
              </w:rPr>
              <w:t>4</w:t>
            </w:r>
          </w:p>
        </w:tc>
        <w:tc>
          <w:tcPr>
            <w:tcW w:w="1476" w:type="dxa"/>
          </w:tcPr>
          <w:p>
            <w:pPr>
              <w:snapToGrid w:val="0"/>
              <w:jc w:val="center"/>
              <w:rPr>
                <w:sz w:val="18"/>
                <w:szCs w:val="18"/>
              </w:rPr>
            </w:pPr>
            <w:r>
              <w:rPr>
                <w:sz w:val="18"/>
                <w:szCs w:val="18"/>
              </w:rPr>
              <w:t>0,2</w:t>
            </w:r>
          </w:p>
        </w:tc>
        <w:tc>
          <w:tcPr>
            <w:tcW w:w="1612" w:type="dxa"/>
          </w:tcPr>
          <w:p>
            <w:pPr>
              <w:suppressAutoHyphens/>
              <w:snapToGrid w:val="0"/>
              <w:jc w:val="center"/>
              <w:rPr>
                <w:sz w:val="18"/>
                <w:szCs w:val="18"/>
                <w:lang w:eastAsia="ar-SA"/>
              </w:rPr>
            </w:pPr>
            <w:r>
              <w:rPr>
                <w:sz w:val="18"/>
                <w:szCs w:val="18"/>
                <w:lang w:eastAsia="ar-SA"/>
              </w:rPr>
              <w:t>0,1</w:t>
            </w:r>
          </w:p>
        </w:tc>
        <w:tc>
          <w:tcPr>
            <w:tcW w:w="1536" w:type="dxa"/>
          </w:tcPr>
          <w:p>
            <w:pPr>
              <w:suppressAutoHyphens/>
              <w:snapToGrid w:val="0"/>
              <w:jc w:val="center"/>
              <w:rPr>
                <w:sz w:val="18"/>
                <w:szCs w:val="18"/>
                <w:lang w:eastAsia="ar-SA"/>
              </w:rPr>
            </w:pPr>
            <w:r>
              <w:rPr>
                <w:sz w:val="18"/>
                <w:szCs w:val="18"/>
                <w:lang w:eastAsia="ar-SA"/>
              </w:rPr>
              <w:t>0,1</w:t>
            </w:r>
          </w:p>
        </w:tc>
        <w:tc>
          <w:tcPr>
            <w:tcW w:w="1792" w:type="dxa"/>
          </w:tcPr>
          <w:p>
            <w:pPr>
              <w:suppressAutoHyphens/>
              <w:snapToGrid w:val="0"/>
              <w:jc w:val="center"/>
              <w:rPr>
                <w:sz w:val="18"/>
                <w:szCs w:val="18"/>
                <w:lang w:eastAsia="ar-SA"/>
              </w:rPr>
            </w:pPr>
            <w:r>
              <w:rPr>
                <w:sz w:val="18"/>
                <w:szCs w:val="18"/>
                <w:lang w:eastAsia="ar-SA"/>
              </w:rPr>
              <w:t>0,4</w:t>
            </w:r>
          </w:p>
        </w:tc>
        <w:tc>
          <w:tcPr>
            <w:tcW w:w="1681" w:type="dxa"/>
          </w:tcPr>
          <w:p>
            <w:pPr>
              <w:suppressAutoHyphens/>
              <w:snapToGrid w:val="0"/>
              <w:jc w:val="center"/>
              <w:rPr>
                <w:sz w:val="18"/>
                <w:szCs w:val="18"/>
                <w:lang w:eastAsia="ar-SA"/>
              </w:rPr>
            </w:pPr>
            <w:r>
              <w:rPr>
                <w:sz w:val="18"/>
                <w:szCs w:val="18"/>
                <w:lang w:eastAsia="ar-SA"/>
              </w:rPr>
              <w:t>0,4</w:t>
            </w:r>
          </w:p>
        </w:tc>
      </w:tr>
      <w:tr>
        <w:trPr>
          <w:trHeight w:val="20"/>
        </w:trPr>
        <w:tc>
          <w:tcPr>
            <w:tcW w:w="3495" w:type="dxa"/>
          </w:tcPr>
          <w:p>
            <w:pPr>
              <w:widowControl w:val="0"/>
              <w:suppressAutoHyphens/>
              <w:rPr>
                <w:color w:val="000000"/>
                <w:sz w:val="18"/>
                <w:szCs w:val="18"/>
              </w:rPr>
            </w:pPr>
            <w:r>
              <w:rPr>
                <w:color w:val="000000"/>
                <w:sz w:val="18"/>
                <w:szCs w:val="18"/>
              </w:rPr>
              <w:t>C10-13-chloralkanai</w:t>
            </w:r>
            <w:r>
              <w:rPr>
                <w:color w:val="000000"/>
                <w:sz w:val="18"/>
                <w:szCs w:val="18"/>
                <w:vertAlign w:val="superscript"/>
              </w:rPr>
              <w:t xml:space="preserve"> </w:t>
            </w:r>
          </w:p>
        </w:tc>
        <w:tc>
          <w:tcPr>
            <w:tcW w:w="1627" w:type="dxa"/>
          </w:tcPr>
          <w:p>
            <w:pPr>
              <w:widowControl w:val="0"/>
              <w:suppressAutoHyphens/>
              <w:jc w:val="center"/>
              <w:rPr>
                <w:color w:val="000000"/>
                <w:sz w:val="18"/>
                <w:szCs w:val="18"/>
              </w:rPr>
            </w:pPr>
            <w:r>
              <w:rPr>
                <w:color w:val="000000"/>
                <w:sz w:val="18"/>
                <w:szCs w:val="18"/>
              </w:rPr>
              <w:t>CAS 85535-84-8</w:t>
            </w:r>
          </w:p>
        </w:tc>
        <w:tc>
          <w:tcPr>
            <w:tcW w:w="1521" w:type="dxa"/>
          </w:tcPr>
          <w:p>
            <w:pPr>
              <w:widowControl w:val="0"/>
              <w:suppressAutoHyphens/>
              <w:jc w:val="center"/>
              <w:rPr>
                <w:color w:val="000000"/>
                <w:sz w:val="18"/>
                <w:szCs w:val="18"/>
              </w:rPr>
            </w:pPr>
            <w:r>
              <w:rPr>
                <w:color w:val="000000"/>
                <w:sz w:val="18"/>
                <w:szCs w:val="18"/>
              </w:rPr>
              <w:t>40</w:t>
            </w:r>
          </w:p>
        </w:tc>
        <w:tc>
          <w:tcPr>
            <w:tcW w:w="1476" w:type="dxa"/>
          </w:tcPr>
          <w:p>
            <w:pPr>
              <w:widowControl w:val="0"/>
              <w:suppressAutoHyphens/>
              <w:jc w:val="center"/>
              <w:rPr>
                <w:color w:val="000000"/>
                <w:sz w:val="18"/>
                <w:szCs w:val="18"/>
              </w:rPr>
            </w:pPr>
            <w:r>
              <w:rPr>
                <w:color w:val="000000"/>
                <w:sz w:val="18"/>
                <w:szCs w:val="18"/>
              </w:rPr>
              <w:t>2</w:t>
            </w:r>
          </w:p>
        </w:tc>
        <w:tc>
          <w:tcPr>
            <w:tcW w:w="1612" w:type="dxa"/>
          </w:tcPr>
          <w:p>
            <w:pPr>
              <w:keepLines/>
              <w:widowControl w:val="0"/>
              <w:suppressAutoHyphens/>
              <w:jc w:val="center"/>
              <w:rPr>
                <w:color w:val="000000"/>
                <w:sz w:val="18"/>
                <w:szCs w:val="18"/>
              </w:rPr>
            </w:pPr>
            <w:r>
              <w:rPr>
                <w:color w:val="000000"/>
                <w:sz w:val="18"/>
                <w:szCs w:val="18"/>
              </w:rPr>
              <w:t>0,4</w:t>
            </w:r>
          </w:p>
        </w:tc>
        <w:tc>
          <w:tcPr>
            <w:tcW w:w="1536" w:type="dxa"/>
          </w:tcPr>
          <w:p>
            <w:pPr>
              <w:keepLines/>
              <w:widowControl w:val="0"/>
              <w:suppressAutoHyphens/>
              <w:jc w:val="center"/>
              <w:rPr>
                <w:color w:val="000000"/>
                <w:sz w:val="18"/>
                <w:szCs w:val="18"/>
              </w:rPr>
            </w:pPr>
            <w:r>
              <w:rPr>
                <w:color w:val="000000"/>
                <w:sz w:val="18"/>
                <w:szCs w:val="18"/>
              </w:rPr>
              <w:t>0,4</w:t>
            </w:r>
          </w:p>
        </w:tc>
        <w:tc>
          <w:tcPr>
            <w:tcW w:w="1792" w:type="dxa"/>
          </w:tcPr>
          <w:p>
            <w:pPr>
              <w:suppressAutoHyphens/>
              <w:snapToGrid w:val="0"/>
              <w:jc w:val="center"/>
              <w:rPr>
                <w:sz w:val="18"/>
                <w:szCs w:val="18"/>
                <w:lang w:eastAsia="ar-SA"/>
              </w:rPr>
            </w:pPr>
            <w:r>
              <w:rPr>
                <w:sz w:val="18"/>
                <w:szCs w:val="18"/>
                <w:lang w:eastAsia="ar-SA"/>
              </w:rPr>
              <w:t>1,4</w:t>
            </w:r>
          </w:p>
        </w:tc>
        <w:tc>
          <w:tcPr>
            <w:tcW w:w="1681" w:type="dxa"/>
          </w:tcPr>
          <w:p>
            <w:pPr>
              <w:suppressAutoHyphens/>
              <w:snapToGrid w:val="0"/>
              <w:jc w:val="center"/>
              <w:rPr>
                <w:sz w:val="18"/>
                <w:szCs w:val="18"/>
                <w:lang w:eastAsia="ar-SA"/>
              </w:rPr>
            </w:pPr>
            <w:r>
              <w:rPr>
                <w:sz w:val="18"/>
                <w:szCs w:val="18"/>
                <w:lang w:eastAsia="ar-SA"/>
              </w:rPr>
              <w:t>1,4</w:t>
            </w:r>
          </w:p>
        </w:tc>
      </w:tr>
      <w:tr>
        <w:trPr>
          <w:trHeight w:val="20"/>
        </w:trPr>
        <w:tc>
          <w:tcPr>
            <w:tcW w:w="3495" w:type="dxa"/>
          </w:tcPr>
          <w:p>
            <w:pPr>
              <w:snapToGrid w:val="0"/>
              <w:rPr>
                <w:sz w:val="18"/>
                <w:szCs w:val="18"/>
              </w:rPr>
            </w:pPr>
            <w:r>
              <w:rPr>
                <w:sz w:val="18"/>
                <w:szCs w:val="18"/>
              </w:rPr>
              <w:t>Endosulfanas</w:t>
            </w:r>
          </w:p>
        </w:tc>
        <w:tc>
          <w:tcPr>
            <w:tcW w:w="1627" w:type="dxa"/>
          </w:tcPr>
          <w:p>
            <w:pPr>
              <w:snapToGrid w:val="0"/>
              <w:jc w:val="center"/>
              <w:rPr>
                <w:sz w:val="18"/>
                <w:szCs w:val="18"/>
              </w:rPr>
            </w:pPr>
            <w:r>
              <w:rPr>
                <w:sz w:val="18"/>
                <w:szCs w:val="18"/>
              </w:rPr>
              <w:t>CAS 115-29-7</w:t>
            </w:r>
          </w:p>
        </w:tc>
        <w:tc>
          <w:tcPr>
            <w:tcW w:w="1521" w:type="dxa"/>
          </w:tcPr>
          <w:p>
            <w:pPr>
              <w:snapToGrid w:val="0"/>
              <w:jc w:val="center"/>
              <w:rPr>
                <w:sz w:val="18"/>
                <w:szCs w:val="18"/>
              </w:rPr>
            </w:pPr>
            <w:r>
              <w:rPr>
                <w:sz w:val="18"/>
                <w:szCs w:val="18"/>
              </w:rPr>
              <w:t>-</w:t>
            </w:r>
          </w:p>
        </w:tc>
        <w:tc>
          <w:tcPr>
            <w:tcW w:w="1476" w:type="dxa"/>
          </w:tcPr>
          <w:p>
            <w:pPr>
              <w:snapToGrid w:val="0"/>
              <w:jc w:val="center"/>
              <w:rPr>
                <w:sz w:val="18"/>
                <w:szCs w:val="18"/>
              </w:rPr>
            </w:pPr>
            <w:r>
              <w:rPr>
                <w:sz w:val="18"/>
                <w:szCs w:val="18"/>
              </w:rPr>
              <w:t>-</w:t>
            </w:r>
          </w:p>
        </w:tc>
        <w:tc>
          <w:tcPr>
            <w:tcW w:w="1612" w:type="dxa"/>
          </w:tcPr>
          <w:p>
            <w:pPr>
              <w:suppressAutoHyphens/>
              <w:snapToGrid w:val="0"/>
              <w:jc w:val="center"/>
              <w:rPr>
                <w:sz w:val="18"/>
                <w:szCs w:val="18"/>
                <w:lang w:eastAsia="ar-SA"/>
              </w:rPr>
            </w:pPr>
            <w:r>
              <w:rPr>
                <w:sz w:val="18"/>
                <w:szCs w:val="18"/>
                <w:lang w:eastAsia="ar-SA"/>
              </w:rPr>
              <w:t>0,005</w:t>
            </w:r>
          </w:p>
        </w:tc>
        <w:tc>
          <w:tcPr>
            <w:tcW w:w="1536" w:type="dxa"/>
          </w:tcPr>
          <w:p>
            <w:pPr>
              <w:suppressAutoHyphens/>
              <w:snapToGrid w:val="0"/>
              <w:jc w:val="center"/>
              <w:rPr>
                <w:sz w:val="18"/>
                <w:szCs w:val="18"/>
                <w:lang w:eastAsia="ar-SA"/>
              </w:rPr>
            </w:pPr>
            <w:r>
              <w:rPr>
                <w:sz w:val="18"/>
                <w:szCs w:val="18"/>
                <w:lang w:eastAsia="ar-SA"/>
              </w:rPr>
              <w:t>0,0005</w:t>
            </w:r>
          </w:p>
        </w:tc>
        <w:tc>
          <w:tcPr>
            <w:tcW w:w="1792" w:type="dxa"/>
          </w:tcPr>
          <w:p>
            <w:pPr>
              <w:suppressAutoHyphens/>
              <w:snapToGrid w:val="0"/>
              <w:jc w:val="center"/>
              <w:rPr>
                <w:sz w:val="18"/>
                <w:szCs w:val="18"/>
                <w:lang w:eastAsia="ar-SA"/>
              </w:rPr>
            </w:pPr>
            <w:r>
              <w:rPr>
                <w:sz w:val="18"/>
                <w:szCs w:val="18"/>
                <w:lang w:eastAsia="ar-SA"/>
              </w:rPr>
              <w:t>0,01</w:t>
            </w:r>
          </w:p>
        </w:tc>
        <w:tc>
          <w:tcPr>
            <w:tcW w:w="1681" w:type="dxa"/>
          </w:tcPr>
          <w:p>
            <w:pPr>
              <w:suppressAutoHyphens/>
              <w:snapToGrid w:val="0"/>
              <w:jc w:val="center"/>
              <w:rPr>
                <w:sz w:val="18"/>
                <w:szCs w:val="18"/>
                <w:lang w:eastAsia="ar-SA"/>
              </w:rPr>
            </w:pPr>
            <w:r>
              <w:rPr>
                <w:sz w:val="18"/>
                <w:szCs w:val="18"/>
                <w:lang w:eastAsia="ar-SA"/>
              </w:rPr>
              <w:t>0,004</w:t>
            </w:r>
          </w:p>
        </w:tc>
      </w:tr>
      <w:tr>
        <w:trPr>
          <w:trHeight w:val="20"/>
        </w:trPr>
        <w:tc>
          <w:tcPr>
            <w:tcW w:w="3495" w:type="dxa"/>
          </w:tcPr>
          <w:p>
            <w:pPr>
              <w:widowControl w:val="0"/>
              <w:suppressAutoHyphens/>
              <w:snapToGrid w:val="0"/>
              <w:rPr>
                <w:rFonts w:eastAsia="Lucida Sans Unicode"/>
                <w:sz w:val="18"/>
                <w:szCs w:val="18"/>
              </w:rPr>
            </w:pPr>
            <w:r>
              <w:rPr>
                <w:rFonts w:eastAsia="Lucida Sans Unicode"/>
                <w:sz w:val="18"/>
                <w:szCs w:val="18"/>
              </w:rPr>
              <w:t>Pentachlorbenzenas</w:t>
            </w:r>
          </w:p>
        </w:tc>
        <w:tc>
          <w:tcPr>
            <w:tcW w:w="1627" w:type="dxa"/>
          </w:tcPr>
          <w:p>
            <w:pPr>
              <w:snapToGrid w:val="0"/>
              <w:jc w:val="center"/>
              <w:rPr>
                <w:sz w:val="18"/>
                <w:szCs w:val="18"/>
              </w:rPr>
            </w:pPr>
            <w:r>
              <w:rPr>
                <w:sz w:val="18"/>
                <w:szCs w:val="18"/>
              </w:rPr>
              <w:t>CAS 608-93-5</w:t>
            </w:r>
          </w:p>
        </w:tc>
        <w:tc>
          <w:tcPr>
            <w:tcW w:w="1521" w:type="dxa"/>
          </w:tcPr>
          <w:p>
            <w:pPr>
              <w:snapToGrid w:val="0"/>
              <w:jc w:val="center"/>
              <w:rPr>
                <w:sz w:val="18"/>
                <w:szCs w:val="18"/>
              </w:rPr>
            </w:pPr>
            <w:r>
              <w:rPr>
                <w:sz w:val="18"/>
                <w:szCs w:val="18"/>
              </w:rPr>
              <w:t>12</w:t>
            </w:r>
          </w:p>
        </w:tc>
        <w:tc>
          <w:tcPr>
            <w:tcW w:w="1476" w:type="dxa"/>
          </w:tcPr>
          <w:p>
            <w:pPr>
              <w:snapToGrid w:val="0"/>
              <w:jc w:val="center"/>
              <w:rPr>
                <w:sz w:val="18"/>
                <w:szCs w:val="18"/>
              </w:rPr>
            </w:pPr>
            <w:r>
              <w:rPr>
                <w:sz w:val="18"/>
                <w:szCs w:val="18"/>
              </w:rPr>
              <w:t>0,6</w:t>
            </w:r>
          </w:p>
        </w:tc>
        <w:tc>
          <w:tcPr>
            <w:tcW w:w="1612" w:type="dxa"/>
          </w:tcPr>
          <w:p>
            <w:pPr>
              <w:suppressAutoHyphens/>
              <w:snapToGrid w:val="0"/>
              <w:jc w:val="center"/>
              <w:rPr>
                <w:sz w:val="18"/>
                <w:szCs w:val="18"/>
                <w:lang w:eastAsia="ar-SA"/>
              </w:rPr>
            </w:pPr>
            <w:r>
              <w:rPr>
                <w:sz w:val="18"/>
                <w:szCs w:val="18"/>
                <w:lang w:eastAsia="ar-SA"/>
              </w:rPr>
              <w:t>0,007</w:t>
            </w:r>
          </w:p>
        </w:tc>
        <w:tc>
          <w:tcPr>
            <w:tcW w:w="1536" w:type="dxa"/>
          </w:tcPr>
          <w:p>
            <w:pPr>
              <w:suppressAutoHyphens/>
              <w:snapToGrid w:val="0"/>
              <w:jc w:val="center"/>
              <w:rPr>
                <w:sz w:val="18"/>
                <w:szCs w:val="18"/>
                <w:lang w:eastAsia="ar-SA"/>
              </w:rPr>
            </w:pPr>
            <w:r>
              <w:rPr>
                <w:sz w:val="18"/>
                <w:szCs w:val="18"/>
                <w:lang w:eastAsia="ar-SA"/>
              </w:rPr>
              <w:t>0,0007</w:t>
            </w:r>
          </w:p>
        </w:tc>
        <w:tc>
          <w:tcPr>
            <w:tcW w:w="1792" w:type="dxa"/>
          </w:tcPr>
          <w:p>
            <w:pPr>
              <w:suppressAutoHyphens/>
              <w:snapToGrid w:val="0"/>
              <w:jc w:val="center"/>
              <w:rPr>
                <w:sz w:val="18"/>
                <w:szCs w:val="18"/>
                <w:lang w:eastAsia="ar-SA"/>
              </w:rPr>
            </w:pPr>
            <w:r>
              <w:rPr>
                <w:sz w:val="18"/>
                <w:szCs w:val="18"/>
                <w:lang w:eastAsia="ar-SA"/>
              </w:rPr>
              <w:t>-</w:t>
            </w:r>
          </w:p>
        </w:tc>
        <w:tc>
          <w:tcPr>
            <w:tcW w:w="1681" w:type="dxa"/>
          </w:tcPr>
          <w:p>
            <w:pPr>
              <w:suppressAutoHyphens/>
              <w:snapToGrid w:val="0"/>
              <w:jc w:val="center"/>
              <w:rPr>
                <w:sz w:val="18"/>
                <w:szCs w:val="18"/>
                <w:lang w:eastAsia="ar-SA"/>
              </w:rPr>
            </w:pPr>
            <w:r>
              <w:rPr>
                <w:sz w:val="18"/>
                <w:szCs w:val="18"/>
                <w:lang w:eastAsia="ar-SA"/>
              </w:rPr>
              <w:t>-</w:t>
            </w:r>
          </w:p>
        </w:tc>
      </w:tr>
    </w:tbl>
    <w:p>
      <w:pPr>
        <w:tabs>
          <w:tab w:val="left" w:pos="825"/>
        </w:tabs>
        <w:suppressAutoHyphens/>
        <w:ind w:firstLine="567"/>
        <w:jc w:val="both"/>
        <w:rPr>
          <w:lang w:eastAsia="ar-SA"/>
        </w:rPr>
      </w:pPr>
    </w:p>
    <w:p>
      <w:pPr>
        <w:tabs>
          <w:tab w:val="left" w:pos="825"/>
        </w:tabs>
        <w:suppressAutoHyphens/>
        <w:ind w:firstLine="567"/>
        <w:jc w:val="both"/>
        <w:rPr>
          <w:lang w:eastAsia="ar-SA"/>
        </w:rPr>
      </w:pPr>
    </w:p>
    <w:p>
      <w:pPr>
        <w:tabs>
          <w:tab w:val="left" w:pos="825"/>
        </w:tabs>
        <w:suppressAutoHyphens/>
        <w:ind w:firstLine="567"/>
        <w:jc w:val="both"/>
        <w:rPr>
          <w:lang w:eastAsia="ar-SA"/>
        </w:rPr>
      </w:pPr>
      <w:r>
        <w:rPr>
          <w:lang w:eastAsia="ar-SA"/>
        </w:rPr>
        <w:t xml:space="preserve">Pastabos: </w:t>
      </w:r>
    </w:p>
    <w:p>
      <w:pPr>
        <w:tabs>
          <w:tab w:val="left" w:pos="825"/>
        </w:tabs>
        <w:suppressAutoHyphens/>
        <w:ind w:firstLine="567"/>
        <w:jc w:val="both"/>
        <w:rPr>
          <w:lang w:eastAsia="ar-SA"/>
        </w:rPr>
      </w:pPr>
      <w:r>
        <w:rPr>
          <w:vertAlign w:val="superscript"/>
          <w:lang w:eastAsia="ar-SA"/>
        </w:rPr>
        <w:t xml:space="preserve">1 </w:t>
      </w:r>
      <w:r>
        <w:rPr>
          <w:lang w:eastAsia="ar-SA"/>
        </w:rPr>
        <w:t>CAS – Cheminių medžiagų santrumpų tarnybos registracijos numeris.</w:t>
      </w:r>
    </w:p>
    <w:p>
      <w:pPr>
        <w:tabs>
          <w:tab w:val="left" w:pos="825"/>
        </w:tabs>
        <w:ind w:firstLine="567"/>
        <w:jc w:val="both"/>
        <w:rPr>
          <w:rFonts w:eastAsia="EUAlbertina"/>
          <w:lang w:eastAsia="ar-SA"/>
        </w:rPr>
      </w:pPr>
      <w:r>
        <w:rPr>
          <w:vertAlign w:val="superscript"/>
          <w:lang w:eastAsia="ar-SA"/>
        </w:rPr>
        <w:t>2</w:t>
      </w:r>
      <w:r>
        <w:rPr>
          <w:lang w:eastAsia="ar-SA"/>
        </w:rPr>
        <w:t xml:space="preserve"> </w:t>
      </w:r>
      <w:r>
        <w:rPr>
          <w:rFonts w:eastAsia="EUAlbertina+01"/>
          <w:lang w:eastAsia="ar-SA"/>
        </w:rPr>
        <w:t>Š</w:t>
      </w:r>
      <w:r>
        <w:rPr>
          <w:rFonts w:eastAsia="EUAlbertina"/>
          <w:lang w:eastAsia="ar-SA"/>
        </w:rPr>
        <w:t>is parametras yra AKS, i</w:t>
      </w:r>
      <w:r>
        <w:rPr>
          <w:rFonts w:eastAsia="EUAlbertina+01"/>
          <w:lang w:eastAsia="ar-SA"/>
        </w:rPr>
        <w:t>š</w:t>
      </w:r>
      <w:r>
        <w:rPr>
          <w:rFonts w:eastAsia="EUAlbertina"/>
          <w:lang w:eastAsia="ar-SA"/>
        </w:rPr>
        <w:t>reik</w:t>
      </w:r>
      <w:r>
        <w:rPr>
          <w:rFonts w:eastAsia="EUAlbertina+01"/>
          <w:lang w:eastAsia="ar-SA"/>
        </w:rPr>
        <w:t>š</w:t>
      </w:r>
      <w:r>
        <w:rPr>
          <w:rFonts w:eastAsia="EUAlbertina"/>
          <w:lang w:eastAsia="ar-SA"/>
        </w:rPr>
        <w:t>tas kaip metinio vidurkio vert</w:t>
      </w:r>
      <w:r>
        <w:rPr>
          <w:rFonts w:eastAsia="EUAlbertina+01"/>
          <w:lang w:eastAsia="ar-SA"/>
        </w:rPr>
        <w:t xml:space="preserve">ė </w:t>
      </w:r>
      <w:r>
        <w:rPr>
          <w:rFonts w:eastAsia="EUAlbertina"/>
          <w:lang w:eastAsia="ar-SA"/>
        </w:rPr>
        <w:t>(MV-AKS). Jei nenurodyta kitaip, jis taikomas vis</w:t>
      </w:r>
      <w:r>
        <w:rPr>
          <w:rFonts w:eastAsia="EUAlbertina+01"/>
          <w:lang w:eastAsia="ar-SA"/>
        </w:rPr>
        <w:t xml:space="preserve">ų </w:t>
      </w:r>
      <w:r>
        <w:rPr>
          <w:rFonts w:eastAsia="EUAlbertina"/>
          <w:lang w:eastAsia="ar-SA"/>
        </w:rPr>
        <w:t>izomer</w:t>
      </w:r>
      <w:r>
        <w:rPr>
          <w:rFonts w:eastAsia="EUAlbertina+01"/>
          <w:lang w:eastAsia="ar-SA"/>
        </w:rPr>
        <w:t xml:space="preserve">ų </w:t>
      </w:r>
      <w:r>
        <w:rPr>
          <w:rFonts w:eastAsia="EUAlbertina"/>
          <w:lang w:eastAsia="ar-SA"/>
        </w:rPr>
        <w:t>bendrai koncentracijai.</w:t>
      </w:r>
    </w:p>
    <w:p>
      <w:pPr>
        <w:ind w:firstLine="567"/>
        <w:jc w:val="both"/>
        <w:rPr>
          <w:rFonts w:eastAsia="EUAlbertina"/>
        </w:rPr>
      </w:pPr>
      <w:r>
        <w:rPr>
          <w:rFonts w:eastAsia="EUAlbertina"/>
          <w:vertAlign w:val="superscript"/>
        </w:rPr>
        <w:t xml:space="preserve">3 </w:t>
      </w:r>
      <w:r>
        <w:rPr>
          <w:rFonts w:eastAsia="EUAlbertina+01"/>
        </w:rPr>
        <w:t>Š</w:t>
      </w:r>
      <w:r>
        <w:rPr>
          <w:rFonts w:eastAsia="EUAlbertina"/>
        </w:rPr>
        <w:t>is parametras yra aplinkos kokyb</w:t>
      </w:r>
      <w:r>
        <w:rPr>
          <w:rFonts w:eastAsia="EUAlbertina+01"/>
        </w:rPr>
        <w:t>ė</w:t>
      </w:r>
      <w:r>
        <w:rPr>
          <w:rFonts w:eastAsia="EUAlbertina"/>
        </w:rPr>
        <w:t>s standartas, i</w:t>
      </w:r>
      <w:r>
        <w:rPr>
          <w:rFonts w:eastAsia="EUAlbertina+01"/>
        </w:rPr>
        <w:t>š</w:t>
      </w:r>
      <w:r>
        <w:rPr>
          <w:rFonts w:eastAsia="EUAlbertina"/>
        </w:rPr>
        <w:t>reik</w:t>
      </w:r>
      <w:r>
        <w:rPr>
          <w:rFonts w:eastAsia="EUAlbertina+01"/>
        </w:rPr>
        <w:t>š</w:t>
      </w:r>
      <w:r>
        <w:rPr>
          <w:rFonts w:eastAsia="EUAlbertina"/>
        </w:rPr>
        <w:t>tas kaip did</w:t>
      </w:r>
      <w:r>
        <w:rPr>
          <w:rFonts w:eastAsia="EUAlbertina+01"/>
        </w:rPr>
        <w:t>ž</w:t>
      </w:r>
      <w:r>
        <w:rPr>
          <w:rFonts w:eastAsia="EUAlbertina"/>
        </w:rPr>
        <w:t>iausia leistina koncentracija (DLK-AKS). Jeigu DLK-AKS netaikytina, MV-AKS vert</w:t>
      </w:r>
      <w:r>
        <w:rPr>
          <w:rFonts w:eastAsia="EUAlbertina+01"/>
        </w:rPr>
        <w:t>ė</w:t>
      </w:r>
      <w:r>
        <w:rPr>
          <w:rFonts w:eastAsia="EUAlbertina"/>
        </w:rPr>
        <w:t>s yra laikomos apsaugan</w:t>
      </w:r>
      <w:r>
        <w:rPr>
          <w:rFonts w:eastAsia="EUAlbertina+01"/>
        </w:rPr>
        <w:t>č</w:t>
      </w:r>
      <w:r>
        <w:rPr>
          <w:rFonts w:eastAsia="EUAlbertina"/>
        </w:rPr>
        <w:t>iomis did</w:t>
      </w:r>
      <w:r>
        <w:rPr>
          <w:rFonts w:eastAsia="EUAlbertina+01"/>
        </w:rPr>
        <w:t>ž</w:t>
      </w:r>
      <w:r>
        <w:rPr>
          <w:rFonts w:eastAsia="EUAlbertina"/>
        </w:rPr>
        <w:t>iausios trumpalaik</w:t>
      </w:r>
      <w:r>
        <w:rPr>
          <w:rFonts w:eastAsia="EUAlbertina+01"/>
        </w:rPr>
        <w:t>ė</w:t>
      </w:r>
      <w:r>
        <w:rPr>
          <w:rFonts w:eastAsia="EUAlbertina"/>
        </w:rPr>
        <w:t>s tar</w:t>
      </w:r>
      <w:r>
        <w:rPr>
          <w:rFonts w:eastAsia="EUAlbertina+01"/>
        </w:rPr>
        <w:t>š</w:t>
      </w:r>
      <w:r>
        <w:rPr>
          <w:rFonts w:eastAsia="EUAlbertina"/>
        </w:rPr>
        <w:t>os laikotarpiais vykstant nuolatiniams i</w:t>
      </w:r>
      <w:r>
        <w:rPr>
          <w:rFonts w:eastAsia="EUAlbertina+01"/>
        </w:rPr>
        <w:t>š</w:t>
      </w:r>
      <w:r>
        <w:rPr>
          <w:rFonts w:eastAsia="EUAlbertina"/>
        </w:rPr>
        <w:t xml:space="preserve">leidimams, nes jos yra </w:t>
      </w:r>
      <w:r>
        <w:rPr>
          <w:rFonts w:eastAsia="EUAlbertina+01"/>
        </w:rPr>
        <w:t>daug</w:t>
      </w:r>
      <w:r>
        <w:rPr>
          <w:rFonts w:eastAsia="EUAlbertina"/>
        </w:rPr>
        <w:t xml:space="preserve"> ma</w:t>
      </w:r>
      <w:r>
        <w:rPr>
          <w:rFonts w:eastAsia="EUAlbertina+01"/>
        </w:rPr>
        <w:t>ž</w:t>
      </w:r>
      <w:r>
        <w:rPr>
          <w:rFonts w:eastAsia="EUAlbertina"/>
        </w:rPr>
        <w:t>esn</w:t>
      </w:r>
      <w:r>
        <w:rPr>
          <w:rFonts w:eastAsia="EUAlbertina+01"/>
        </w:rPr>
        <w:t>ė</w:t>
      </w:r>
      <w:r>
        <w:rPr>
          <w:rFonts w:eastAsia="EUAlbertina"/>
        </w:rPr>
        <w:t xml:space="preserve">s už </w:t>
      </w:r>
      <w:r>
        <w:rPr>
          <w:rFonts w:eastAsia="EUAlbertina+01"/>
        </w:rPr>
        <w:t>ū</w:t>
      </w:r>
      <w:r>
        <w:rPr>
          <w:rFonts w:eastAsia="EUAlbertina"/>
        </w:rPr>
        <w:t>minio toksi</w:t>
      </w:r>
      <w:r>
        <w:rPr>
          <w:rFonts w:eastAsia="EUAlbertina+01"/>
        </w:rPr>
        <w:t>š</w:t>
      </w:r>
      <w:r>
        <w:rPr>
          <w:rFonts w:eastAsia="EUAlbertina"/>
        </w:rPr>
        <w:t>kumo vertes.</w:t>
      </w:r>
    </w:p>
    <w:p>
      <w:pPr>
        <w:ind w:firstLine="567"/>
        <w:jc w:val="both"/>
        <w:rPr>
          <w:rFonts w:eastAsia="EUAlbertina"/>
        </w:rPr>
      </w:pPr>
      <w:r>
        <w:rPr>
          <w:rFonts w:eastAsia="EUAlbertina"/>
          <w:vertAlign w:val="superscript"/>
        </w:rPr>
        <w:t>4</w:t>
      </w:r>
      <w:r>
        <w:rPr>
          <w:rFonts w:eastAsia="EUAlbertina"/>
        </w:rPr>
        <w:t xml:space="preserve"> Vidaus pavir</w:t>
      </w:r>
      <w:r>
        <w:rPr>
          <w:rFonts w:eastAsia="EUAlbertina+01"/>
        </w:rPr>
        <w:t>š</w:t>
      </w:r>
      <w:r>
        <w:rPr>
          <w:rFonts w:eastAsia="EUAlbertina"/>
        </w:rPr>
        <w:t>iniai vandenys apima upes bei e</w:t>
      </w:r>
      <w:r>
        <w:rPr>
          <w:rFonts w:eastAsia="EUAlbertina+01"/>
        </w:rPr>
        <w:t>ž</w:t>
      </w:r>
      <w:r>
        <w:rPr>
          <w:rFonts w:eastAsia="EUAlbertina"/>
        </w:rPr>
        <w:t>erus ir yra susij</w:t>
      </w:r>
      <w:r>
        <w:rPr>
          <w:rFonts w:eastAsia="EUAlbertina+01"/>
        </w:rPr>
        <w:t>ę su</w:t>
      </w:r>
      <w:r>
        <w:rPr>
          <w:rFonts w:eastAsia="EUAlbertina"/>
        </w:rPr>
        <w:t xml:space="preserve"> dirbtiniais arba labai pakeistais vandens telkiniais.</w:t>
      </w:r>
    </w:p>
    <w:p>
      <w:pPr>
        <w:tabs>
          <w:tab w:val="left" w:pos="825"/>
        </w:tabs>
        <w:suppressAutoHyphens/>
        <w:ind w:firstLine="567"/>
        <w:jc w:val="both"/>
        <w:rPr>
          <w:rFonts w:eastAsia="EUAlbertina"/>
          <w:lang w:eastAsia="ar-SA"/>
        </w:rPr>
      </w:pPr>
      <w:r>
        <w:rPr>
          <w:vertAlign w:val="superscript"/>
          <w:lang w:eastAsia="ar-SA"/>
        </w:rPr>
        <w:t>5</w:t>
      </w:r>
      <w:r>
        <w:rPr>
          <w:rFonts w:eastAsia="EUAlbertina"/>
          <w:lang w:eastAsia="ar-SA"/>
        </w:rPr>
        <w:t xml:space="preserve"> Kadmio ir jo jungini</w:t>
      </w:r>
      <w:r>
        <w:rPr>
          <w:rFonts w:eastAsia="EUAlbertina+01"/>
          <w:lang w:eastAsia="ar-SA"/>
        </w:rPr>
        <w:t>ų</w:t>
      </w:r>
      <w:r>
        <w:rPr>
          <w:rFonts w:eastAsia="EUAlbertina"/>
          <w:lang w:eastAsia="ar-SA"/>
        </w:rPr>
        <w:t xml:space="preserve"> AKS vert</w:t>
      </w:r>
      <w:r>
        <w:rPr>
          <w:rFonts w:eastAsia="EUAlbertina+01"/>
          <w:lang w:eastAsia="ar-SA"/>
        </w:rPr>
        <w:t>ė</w:t>
      </w:r>
      <w:r>
        <w:rPr>
          <w:rFonts w:eastAsia="EUAlbertina"/>
          <w:lang w:eastAsia="ar-SA"/>
        </w:rPr>
        <w:t>s priklauso nuo vandens kietumo, kaip apibr</w:t>
      </w:r>
      <w:r>
        <w:rPr>
          <w:rFonts w:eastAsia="EUAlbertina+01"/>
          <w:lang w:eastAsia="ar-SA"/>
        </w:rPr>
        <w:t>ėž</w:t>
      </w:r>
      <w:r>
        <w:rPr>
          <w:rFonts w:eastAsia="EUAlbertina"/>
          <w:lang w:eastAsia="ar-SA"/>
        </w:rPr>
        <w:t>ta penkiose klasi</w:t>
      </w:r>
      <w:r>
        <w:rPr>
          <w:rFonts w:eastAsia="EUAlbertina+01"/>
          <w:lang w:eastAsia="ar-SA"/>
        </w:rPr>
        <w:t xml:space="preserve">ų </w:t>
      </w:r>
      <w:r>
        <w:rPr>
          <w:rFonts w:eastAsia="EUAlbertina"/>
          <w:lang w:eastAsia="ar-SA"/>
        </w:rPr>
        <w:t>kategorijose (1 klas</w:t>
      </w:r>
      <w:r>
        <w:rPr>
          <w:rFonts w:eastAsia="EUAlbertina+01"/>
          <w:lang w:eastAsia="ar-SA"/>
        </w:rPr>
        <w:t>ė</w:t>
      </w:r>
      <w:r>
        <w:rPr>
          <w:rFonts w:eastAsia="EUAlbertina"/>
          <w:lang w:eastAsia="ar-SA"/>
        </w:rPr>
        <w:t>: &lt; 40 mg CaCO3/l, 2 klas</w:t>
      </w:r>
      <w:r>
        <w:rPr>
          <w:rFonts w:eastAsia="EUAlbertina+01"/>
          <w:lang w:eastAsia="ar-SA"/>
        </w:rPr>
        <w:t>ė</w:t>
      </w:r>
      <w:r>
        <w:rPr>
          <w:rFonts w:eastAsia="EUAlbertina"/>
          <w:lang w:eastAsia="ar-SA"/>
        </w:rPr>
        <w:t>: nuo 40 iki &lt; 50 mg CaCO3/l, 3 klas</w:t>
      </w:r>
      <w:r>
        <w:rPr>
          <w:rFonts w:eastAsia="EUAlbertina+01"/>
          <w:lang w:eastAsia="ar-SA"/>
        </w:rPr>
        <w:t>ė</w:t>
      </w:r>
      <w:r>
        <w:rPr>
          <w:rFonts w:eastAsia="EUAlbertina"/>
          <w:lang w:eastAsia="ar-SA"/>
        </w:rPr>
        <w:t>: nuo 50 iki &lt; 100 mg CaCO3/l, 4 klas</w:t>
      </w:r>
      <w:r>
        <w:rPr>
          <w:rFonts w:eastAsia="EUAlbertina+01"/>
          <w:lang w:eastAsia="ar-SA"/>
        </w:rPr>
        <w:t>ė</w:t>
      </w:r>
      <w:r>
        <w:rPr>
          <w:rFonts w:eastAsia="EUAlbertina"/>
          <w:lang w:eastAsia="ar-SA"/>
        </w:rPr>
        <w:t>: nuo 100 iki &lt; 200 mg CaCO3/l ir 5 klas</w:t>
      </w:r>
      <w:r>
        <w:rPr>
          <w:rFonts w:eastAsia="EUAlbertina+01"/>
          <w:lang w:eastAsia="ar-SA"/>
        </w:rPr>
        <w:t>ė</w:t>
      </w:r>
      <w:r>
        <w:rPr>
          <w:rFonts w:eastAsia="EUAlbertina"/>
          <w:lang w:eastAsia="ar-SA"/>
        </w:rPr>
        <w:t xml:space="preserve">: </w:t>
      </w:r>
      <w:r>
        <w:rPr>
          <w:rFonts w:eastAsia="EUAlbertina+22"/>
          <w:lang w:eastAsia="ar-SA"/>
        </w:rPr>
        <w:t xml:space="preserve">&gt;= </w:t>
      </w:r>
      <w:r>
        <w:rPr>
          <w:rFonts w:eastAsia="EUAlbertina"/>
          <w:lang w:eastAsia="ar-SA"/>
        </w:rPr>
        <w:t>200 mg CaCO3/l).</w:t>
      </w:r>
    </w:p>
    <w:p>
      <w:pPr>
        <w:ind w:firstLine="567"/>
        <w:jc w:val="both"/>
        <w:rPr>
          <w:rFonts w:eastAsia="EUAlbertina"/>
        </w:rPr>
      </w:pPr>
      <w:r>
        <w:rPr>
          <w:vertAlign w:val="superscript"/>
          <w:lang w:eastAsia="ar-SA"/>
        </w:rPr>
        <w:t>6</w:t>
      </w:r>
      <w:r>
        <w:rPr>
          <w:lang w:eastAsia="ar-SA"/>
        </w:rPr>
        <w:t xml:space="preserve"> </w:t>
      </w:r>
      <w:r>
        <w:rPr>
          <w:rFonts w:eastAsia="EUAlbertina+01"/>
          <w:lang w:eastAsia="ar-SA"/>
        </w:rPr>
        <w:t>Š</w:t>
      </w:r>
      <w:r>
        <w:rPr>
          <w:rFonts w:eastAsia="EUAlbertina"/>
          <w:lang w:eastAsia="ar-SA"/>
        </w:rPr>
        <w:t>i med</w:t>
      </w:r>
      <w:r>
        <w:rPr>
          <w:rFonts w:eastAsia="EUAlbertina+01"/>
          <w:lang w:eastAsia="ar-SA"/>
        </w:rPr>
        <w:t>ž</w:t>
      </w:r>
      <w:r>
        <w:rPr>
          <w:rFonts w:eastAsia="EUAlbertina"/>
          <w:lang w:eastAsia="ar-SA"/>
        </w:rPr>
        <w:t>iag</w:t>
      </w:r>
      <w:r>
        <w:rPr>
          <w:rFonts w:eastAsia="EUAlbertina+01"/>
          <w:lang w:eastAsia="ar-SA"/>
        </w:rPr>
        <w:t xml:space="preserve">ų </w:t>
      </w:r>
      <w:r>
        <w:rPr>
          <w:rFonts w:eastAsia="EUAlbertina"/>
          <w:lang w:eastAsia="ar-SA"/>
        </w:rPr>
        <w:t>grup</w:t>
      </w:r>
      <w:r>
        <w:rPr>
          <w:rFonts w:eastAsia="EUAlbertina+01"/>
          <w:lang w:eastAsia="ar-SA"/>
        </w:rPr>
        <w:t>ė</w:t>
      </w:r>
      <w:r>
        <w:rPr>
          <w:rFonts w:eastAsia="EUAlbertina"/>
          <w:lang w:eastAsia="ar-SA"/>
        </w:rPr>
        <w:t xml:space="preserve"> apima daug atskir</w:t>
      </w:r>
      <w:r>
        <w:rPr>
          <w:rFonts w:eastAsia="EUAlbertina+01"/>
          <w:lang w:eastAsia="ar-SA"/>
        </w:rPr>
        <w:t xml:space="preserve">ų </w:t>
      </w:r>
      <w:r>
        <w:rPr>
          <w:rFonts w:eastAsia="EUAlbertina"/>
          <w:lang w:eastAsia="ar-SA"/>
        </w:rPr>
        <w:t>jungini</w:t>
      </w:r>
      <w:r>
        <w:rPr>
          <w:rFonts w:eastAsia="EUAlbertina+01"/>
          <w:lang w:eastAsia="ar-SA"/>
        </w:rPr>
        <w:t>ų</w:t>
      </w:r>
      <w:r>
        <w:rPr>
          <w:rFonts w:eastAsia="EUAlbertina"/>
          <w:lang w:eastAsia="ar-SA"/>
        </w:rPr>
        <w:t xml:space="preserve">. Kaip prioritetinė pavojinga medžiaga nustatytas tik </w:t>
      </w:r>
      <w:r>
        <w:rPr>
          <w:rFonts w:eastAsia="EUAlbertina"/>
        </w:rPr>
        <w:t>pentabromdifenileteris (CAS numeris 32534-81-9). Prioritetini</w:t>
      </w:r>
      <w:r>
        <w:rPr>
          <w:rFonts w:eastAsia="EUAlbertina+01"/>
        </w:rPr>
        <w:t xml:space="preserve">ų </w:t>
      </w:r>
      <w:r>
        <w:rPr>
          <w:rFonts w:eastAsia="EUAlbertina"/>
        </w:rPr>
        <w:t>med</w:t>
      </w:r>
      <w:r>
        <w:rPr>
          <w:rFonts w:eastAsia="EUAlbertina+01"/>
        </w:rPr>
        <w:t>ž</w:t>
      </w:r>
      <w:r>
        <w:rPr>
          <w:rFonts w:eastAsia="EUAlbertina"/>
        </w:rPr>
        <w:t>iag</w:t>
      </w:r>
      <w:r>
        <w:rPr>
          <w:rFonts w:eastAsia="EUAlbertina+01"/>
        </w:rPr>
        <w:t xml:space="preserve">ų </w:t>
      </w:r>
      <w:r>
        <w:rPr>
          <w:rFonts w:eastAsia="EUAlbertina"/>
        </w:rPr>
        <w:t>grupei, kuri</w:t>
      </w:r>
      <w:r>
        <w:rPr>
          <w:rFonts w:eastAsia="EUAlbertina+01"/>
        </w:rPr>
        <w:t xml:space="preserve">ą </w:t>
      </w:r>
      <w:r>
        <w:rPr>
          <w:rFonts w:eastAsia="EUAlbertina"/>
        </w:rPr>
        <w:t>sudaro brominti difenileteriai (Nr. 5), i</w:t>
      </w:r>
      <w:r>
        <w:rPr>
          <w:rFonts w:eastAsia="EUAlbertina+01"/>
        </w:rPr>
        <w:t>š</w:t>
      </w:r>
      <w:r>
        <w:rPr>
          <w:rFonts w:eastAsia="EUAlbertina"/>
        </w:rPr>
        <w:t>vardyti Sprendime Nr. 2455/2001/EB, AKS yra nustatomas tik giminingoms med</w:t>
      </w:r>
      <w:r>
        <w:rPr>
          <w:rFonts w:eastAsia="EUAlbertina+01"/>
        </w:rPr>
        <w:t>ž</w:t>
      </w:r>
      <w:r>
        <w:rPr>
          <w:rFonts w:eastAsia="EUAlbertina"/>
        </w:rPr>
        <w:t>iagoms Nr. 28, 47, 99, 100, 153 ir 154.</w:t>
      </w:r>
    </w:p>
    <w:p>
      <w:pPr>
        <w:ind w:firstLine="567"/>
        <w:jc w:val="both"/>
        <w:rPr>
          <w:rFonts w:eastAsia="EUAlbertina"/>
        </w:rPr>
      </w:pPr>
      <w:r>
        <w:rPr>
          <w:rFonts w:eastAsia="EUAlbertina"/>
          <w:vertAlign w:val="superscript"/>
        </w:rPr>
        <w:t>7</w:t>
      </w:r>
      <w:r>
        <w:rPr>
          <w:rFonts w:eastAsia="EUAlbertina"/>
        </w:rPr>
        <w:t xml:space="preserve"> Poliaromatini</w:t>
      </w:r>
      <w:r>
        <w:rPr>
          <w:rFonts w:eastAsia="EUAlbertina+01"/>
        </w:rPr>
        <w:t xml:space="preserve">ų </w:t>
      </w:r>
      <w:r>
        <w:rPr>
          <w:rFonts w:eastAsia="EUAlbertina"/>
        </w:rPr>
        <w:t>angliavandenili</w:t>
      </w:r>
      <w:r>
        <w:rPr>
          <w:rFonts w:eastAsia="EUAlbertina+01"/>
        </w:rPr>
        <w:t xml:space="preserve">ų </w:t>
      </w:r>
      <w:r>
        <w:rPr>
          <w:rFonts w:eastAsia="EUAlbertina"/>
        </w:rPr>
        <w:t>prioritetini</w:t>
      </w:r>
      <w:r>
        <w:rPr>
          <w:rFonts w:eastAsia="EUAlbertina+01"/>
        </w:rPr>
        <w:t xml:space="preserve">ų </w:t>
      </w:r>
      <w:r>
        <w:rPr>
          <w:rFonts w:eastAsia="EUAlbertina"/>
        </w:rPr>
        <w:t>med</w:t>
      </w:r>
      <w:r>
        <w:rPr>
          <w:rFonts w:eastAsia="EUAlbertina+01"/>
        </w:rPr>
        <w:t>ž</w:t>
      </w:r>
      <w:r>
        <w:rPr>
          <w:rFonts w:eastAsia="EUAlbertina"/>
        </w:rPr>
        <w:t>iag</w:t>
      </w:r>
      <w:r>
        <w:rPr>
          <w:rFonts w:eastAsia="EUAlbertina+01"/>
        </w:rPr>
        <w:t xml:space="preserve">ų </w:t>
      </w:r>
      <w:r>
        <w:rPr>
          <w:rFonts w:eastAsia="EUAlbertina"/>
        </w:rPr>
        <w:t>grupei (PAH) yra taikomas kiekvienas atskiras AKS, t. y. turi b</w:t>
      </w:r>
      <w:r>
        <w:rPr>
          <w:rFonts w:eastAsia="EUAlbertina+01"/>
        </w:rPr>
        <w:t>ū</w:t>
      </w:r>
      <w:r>
        <w:rPr>
          <w:rFonts w:eastAsia="EUAlbertina"/>
        </w:rPr>
        <w:t>ti laikomasi AKS benzo(a)pirenui, AKS benzo(b)fluoranteno ir benzo(k)fluoranteno sumai bei AKS benzo(g,h,i)perileno ir indeno(1,2,3-cd)pireno sumai.</w:t>
      </w:r>
    </w:p>
    <w:p>
      <w:pPr>
        <w:ind w:firstLine="567"/>
        <w:jc w:val="both"/>
        <w:rPr>
          <w:rFonts w:eastAsia="EUAlbertina"/>
        </w:rPr>
      </w:pPr>
    </w:p>
    <w:p>
      <w:pPr>
        <w:jc w:val="center"/>
      </w:pPr>
      <w:r>
        <w:rPr>
          <w:rFonts w:eastAsia="EUAlbertina"/>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10FB677ADD">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2010-05-18,
Žin., 2010, Nr.
59-2938 (2010-05-22), i. k. 110301MISAK00D1-416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DF02D007A33">
        <w:r w:rsidRPr="00532B9F">
          <w:rPr>
            <w:rFonts w:ascii="Times New Roman" w:eastAsia="MS Mincho" w:hAnsi="Times New Roman"/>
            <w:sz w:val="20"/>
            <w:i/>
            <w:iCs/>
            <w:color w:val="0000FF" w:themeColor="hyperlink"/>
            <w:u w:val="single"/>
          </w:rPr>
          <w:t>D1-261</w:t>
        </w:r>
      </w:fldSimple>
      <w:r>
        <w:rPr>
          <w:rFonts w:ascii="Times New Roman" w:eastAsia="MS Mincho" w:hAnsi="Times New Roman"/>
          <w:sz w:val="20"/>
          <w:i/>
          <w:iCs/>
        </w:rPr>
        <w:t>,
2011-03-30,
Žin., 2011, Nr.
39-1888 (2011-04-02), i. k. 111301MISAK00D1-261            </w:t>
      </w:r>
    </w:p>
    <w:p/>
    <w:p>
      <w:pPr>
        <w:ind w:left="9000"/>
      </w:pPr>
      <w:r>
        <w:br w:type="page"/>
        <w:t>Nuotekų tvarkymo reglamento</w:t>
      </w:r>
    </w:p>
    <w:p>
      <w:pPr>
        <w:ind w:left="9000"/>
        <w:rPr>
          <w:iCs/>
        </w:rPr>
      </w:pPr>
      <w:r>
        <w:rPr>
          <w:iCs/>
        </w:rPr>
        <w:t>2</w:t>
      </w:r>
      <w:r>
        <w:rPr>
          <w:iCs/>
        </w:rPr>
        <w:t xml:space="preserve"> priedas</w:t>
      </w:r>
    </w:p>
    <w:p>
      <w:pPr>
        <w:suppressAutoHyphens/>
        <w:jc w:val="center"/>
        <w:rPr>
          <w:b/>
          <w:caps/>
          <w:lang w:eastAsia="ar-SA"/>
        </w:rPr>
      </w:pPr>
    </w:p>
    <w:p>
      <w:pPr>
        <w:suppressAutoHyphens/>
        <w:jc w:val="center"/>
        <w:rPr>
          <w:b/>
          <w:caps/>
          <w:lang w:eastAsia="ar-SA"/>
        </w:rPr>
      </w:pPr>
      <w:r>
        <w:rPr>
          <w:b/>
          <w:caps/>
          <w:lang w:eastAsia="ar-SA"/>
        </w:rPr>
        <w:t>PAVOJINGŲ medžiagų didžiausiA leidžiamA koncentracijA (DLK)</w:t>
      </w:r>
    </w:p>
    <w:p>
      <w:pPr>
        <w:suppressAutoHyphens/>
        <w:jc w:val="center"/>
        <w:rPr>
          <w:b/>
          <w:caps/>
          <w:lang w:eastAsia="ar-SA"/>
        </w:rPr>
      </w:pPr>
    </w:p>
    <w:p>
      <w:pPr>
        <w:suppressAutoHyphens/>
        <w:jc w:val="center"/>
        <w:rPr>
          <w:caps/>
          <w:lang w:eastAsia="ar-SA"/>
        </w:rPr>
      </w:pPr>
      <w:r>
        <w:rPr>
          <w:caps/>
          <w:lang w:eastAsia="ar-SA"/>
        </w:rPr>
        <w:t>A DALIS. PRIORITETINIŲ medžiagų IR KAI KURIŲ KITŲ TERŠALŲ didžiausiA leidžiamA koncentracijA (DLK) Nuotekose IR APLINKOS KOKYBĖS STANDARTAI (AKS)</w:t>
      </w:r>
    </w:p>
    <w:p>
      <w:pPr>
        <w:suppressAutoHyphens/>
        <w:ind w:firstLine="567"/>
        <w:jc w:val="both"/>
        <w:rPr>
          <w:b/>
          <w:lang w:eastAsia="ar-SA"/>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pPr>
      <w:r>
        <w:t xml:space="preserve">Šio priedo A dalyje pateikiamas sąrašas prioritetinių medžiagų  (išskyrus prioritetines pavojingas medžiagas, pateiktas Reglamento 1 priede) ir kai kurių kitų teršalų.</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pPr>
      <w:r>
        <w:rPr>
          <w:rFonts w:eastAsia="Courier New"/>
        </w:rPr>
        <w:t>Matavimo vienetai µ</w:t>
      </w:r>
      <w:r>
        <w:rPr>
          <w:bCs/>
        </w:rPr>
        <w:t>g/l</w:t>
      </w: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2300"/>
        <w:gridCol w:w="1623"/>
        <w:gridCol w:w="1098"/>
        <w:gridCol w:w="1081"/>
        <w:gridCol w:w="1425"/>
        <w:gridCol w:w="1442"/>
        <w:gridCol w:w="1426"/>
        <w:gridCol w:w="1433"/>
        <w:gridCol w:w="1550"/>
        <w:gridCol w:w="1362"/>
      </w:tblGrid>
      <w:tr>
        <w:trPr>
          <w:trHeight w:val="20"/>
          <w:tblHeader/>
        </w:trPr>
        <w:tc>
          <w:tcPr>
            <w:tcW w:w="2300" w:type="dxa"/>
            <w:vMerge w:val="restart"/>
          </w:tcPr>
          <w:p>
            <w:pPr>
              <w:rPr>
                <w:sz w:val="18"/>
                <w:szCs w:val="18"/>
              </w:rPr>
            </w:pPr>
            <w:r>
              <w:rPr>
                <w:sz w:val="18"/>
                <w:szCs w:val="18"/>
              </w:rPr>
              <w:t>Medžiagos pavadinimas</w:t>
            </w:r>
          </w:p>
        </w:tc>
        <w:tc>
          <w:tcPr>
            <w:tcW w:w="1623" w:type="dxa"/>
            <w:vMerge w:val="restart"/>
          </w:tcPr>
          <w:p>
            <w:pPr>
              <w:snapToGrid w:val="0"/>
              <w:jc w:val="center"/>
              <w:rPr>
                <w:sz w:val="18"/>
                <w:szCs w:val="18"/>
              </w:rPr>
            </w:pPr>
            <w:r>
              <w:rPr>
                <w:sz w:val="18"/>
                <w:szCs w:val="18"/>
              </w:rPr>
              <w:t>CAS Nr.</w:t>
            </w:r>
            <w:r>
              <w:rPr>
                <w:sz w:val="18"/>
                <w:szCs w:val="18"/>
                <w:vertAlign w:val="superscript"/>
              </w:rPr>
              <w:t>1</w:t>
            </w:r>
          </w:p>
        </w:tc>
        <w:tc>
          <w:tcPr>
            <w:tcW w:w="1098" w:type="dxa"/>
            <w:vMerge w:val="restart"/>
          </w:tcPr>
          <w:p>
            <w:pPr>
              <w:snapToGrid w:val="0"/>
              <w:jc w:val="center"/>
              <w:rPr>
                <w:sz w:val="18"/>
                <w:szCs w:val="18"/>
              </w:rPr>
            </w:pPr>
            <w:r>
              <w:rPr>
                <w:sz w:val="18"/>
                <w:szCs w:val="18"/>
              </w:rPr>
              <w:t>DLK į nuotekų surinkimo sistemą</w:t>
            </w:r>
          </w:p>
        </w:tc>
        <w:tc>
          <w:tcPr>
            <w:tcW w:w="1081" w:type="dxa"/>
            <w:vMerge w:val="restart"/>
          </w:tcPr>
          <w:p>
            <w:pPr>
              <w:snapToGrid w:val="0"/>
              <w:jc w:val="center"/>
              <w:rPr>
                <w:sz w:val="18"/>
                <w:szCs w:val="18"/>
              </w:rPr>
            </w:pPr>
            <w:r>
              <w:rPr>
                <w:sz w:val="18"/>
                <w:szCs w:val="18"/>
              </w:rPr>
              <w:t>DLK į gamtinę aplinką</w:t>
            </w:r>
          </w:p>
        </w:tc>
        <w:tc>
          <w:tcPr>
            <w:tcW w:w="2867" w:type="dxa"/>
            <w:gridSpan w:val="2"/>
          </w:tcPr>
          <w:p>
            <w:pPr>
              <w:snapToGrid w:val="0"/>
              <w:jc w:val="center"/>
              <w:rPr>
                <w:sz w:val="18"/>
                <w:szCs w:val="18"/>
              </w:rPr>
            </w:pPr>
            <w:r>
              <w:rPr>
                <w:bCs/>
                <w:spacing w:val="10"/>
                <w:sz w:val="18"/>
                <w:szCs w:val="18"/>
              </w:rPr>
              <w:t>MV-AKS</w:t>
            </w:r>
            <w:r>
              <w:rPr>
                <w:bCs/>
                <w:spacing w:val="10"/>
                <w:sz w:val="18"/>
                <w:szCs w:val="18"/>
                <w:vertAlign w:val="superscript"/>
              </w:rPr>
              <w:t>3</w:t>
            </w:r>
          </w:p>
        </w:tc>
        <w:tc>
          <w:tcPr>
            <w:tcW w:w="2859" w:type="dxa"/>
            <w:gridSpan w:val="2"/>
          </w:tcPr>
          <w:p>
            <w:pPr>
              <w:snapToGrid w:val="0"/>
              <w:jc w:val="center"/>
              <w:rPr>
                <w:sz w:val="18"/>
                <w:szCs w:val="18"/>
              </w:rPr>
            </w:pPr>
            <w:r>
              <w:rPr>
                <w:bCs/>
                <w:spacing w:val="10"/>
                <w:sz w:val="18"/>
                <w:szCs w:val="18"/>
              </w:rPr>
              <w:t>DLK-AKS</w:t>
            </w:r>
            <w:r>
              <w:rPr>
                <w:bCs/>
                <w:spacing w:val="10"/>
                <w:sz w:val="18"/>
                <w:szCs w:val="18"/>
                <w:vertAlign w:val="superscript"/>
              </w:rPr>
              <w:t>4</w:t>
            </w:r>
            <w:r>
              <w:rPr>
                <w:bCs/>
                <w:spacing w:val="10"/>
                <w:sz w:val="18"/>
                <w:szCs w:val="18"/>
              </w:rPr>
              <w:t xml:space="preserve"> </w:t>
            </w:r>
          </w:p>
        </w:tc>
        <w:tc>
          <w:tcPr>
            <w:tcW w:w="1550" w:type="dxa"/>
            <w:vMerge w:val="restart"/>
          </w:tcPr>
          <w:p>
            <w:pPr>
              <w:snapToGrid w:val="0"/>
              <w:jc w:val="center"/>
              <w:rPr>
                <w:rFonts w:eastAsia="Arial Unicode MS"/>
                <w:sz w:val="18"/>
                <w:szCs w:val="18"/>
              </w:rPr>
            </w:pPr>
            <w:r>
              <w:rPr>
                <w:iCs/>
                <w:sz w:val="18"/>
                <w:szCs w:val="18"/>
              </w:rPr>
              <w:t>Ribinė koncentracija</w:t>
            </w:r>
            <w:r>
              <w:rPr>
                <w:iCs/>
                <w:sz w:val="18"/>
                <w:szCs w:val="18"/>
                <w:vertAlign w:val="superscript"/>
              </w:rPr>
              <w:t>2</w:t>
            </w:r>
            <w:r>
              <w:rPr>
                <w:sz w:val="18"/>
                <w:szCs w:val="18"/>
              </w:rPr>
              <w:t xml:space="preserve"> į nuotekų surinkimo sistemą</w:t>
            </w:r>
          </w:p>
        </w:tc>
        <w:tc>
          <w:tcPr>
            <w:tcW w:w="1362" w:type="dxa"/>
            <w:vMerge w:val="restart"/>
          </w:tcPr>
          <w:p>
            <w:pPr>
              <w:snapToGrid w:val="0"/>
              <w:jc w:val="center"/>
              <w:rPr>
                <w:rFonts w:eastAsia="Arial Unicode MS"/>
                <w:sz w:val="18"/>
                <w:szCs w:val="18"/>
              </w:rPr>
            </w:pPr>
            <w:r>
              <w:rPr>
                <w:iCs/>
                <w:sz w:val="18"/>
                <w:szCs w:val="18"/>
              </w:rPr>
              <w:t>Ribinė koncentracija</w:t>
            </w:r>
            <w:r>
              <w:rPr>
                <w:iCs/>
                <w:sz w:val="18"/>
                <w:szCs w:val="18"/>
                <w:vertAlign w:val="superscript"/>
              </w:rPr>
              <w:t>2</w:t>
            </w:r>
            <w:r>
              <w:rPr>
                <w:sz w:val="18"/>
                <w:szCs w:val="18"/>
              </w:rPr>
              <w:t xml:space="preserve"> į gamtinę aplinką</w:t>
            </w:r>
          </w:p>
        </w:tc>
      </w:tr>
      <w:tr>
        <w:trPr>
          <w:trHeight w:val="20"/>
          <w:tblHeader/>
        </w:trPr>
        <w:tc>
          <w:tcPr>
            <w:tcW w:w="2300" w:type="dxa"/>
            <w:vMerge/>
          </w:tcPr>
          <w:p>
            <w:pPr>
              <w:suppressAutoHyphens/>
              <w:snapToGrid w:val="0"/>
              <w:rPr>
                <w:sz w:val="18"/>
                <w:szCs w:val="18"/>
                <w:lang w:eastAsia="ar-SA"/>
              </w:rPr>
            </w:pPr>
          </w:p>
        </w:tc>
        <w:tc>
          <w:tcPr>
            <w:tcW w:w="1623" w:type="dxa"/>
            <w:vMerge/>
          </w:tcPr>
          <w:p>
            <w:pPr>
              <w:snapToGrid w:val="0"/>
              <w:jc w:val="center"/>
              <w:rPr>
                <w:sz w:val="18"/>
                <w:szCs w:val="18"/>
              </w:rPr>
            </w:pPr>
          </w:p>
        </w:tc>
        <w:tc>
          <w:tcPr>
            <w:tcW w:w="1098" w:type="dxa"/>
            <w:vMerge/>
          </w:tcPr>
          <w:p>
            <w:pPr>
              <w:snapToGrid w:val="0"/>
              <w:jc w:val="center"/>
              <w:rPr>
                <w:sz w:val="18"/>
                <w:szCs w:val="18"/>
              </w:rPr>
            </w:pPr>
          </w:p>
        </w:tc>
        <w:tc>
          <w:tcPr>
            <w:tcW w:w="1081" w:type="dxa"/>
            <w:vMerge/>
          </w:tcPr>
          <w:p>
            <w:pPr>
              <w:snapToGrid w:val="0"/>
              <w:jc w:val="center"/>
              <w:rPr>
                <w:sz w:val="18"/>
                <w:szCs w:val="18"/>
              </w:rPr>
            </w:pPr>
          </w:p>
        </w:tc>
        <w:tc>
          <w:tcPr>
            <w:tcW w:w="1425" w:type="dxa"/>
          </w:tcPr>
          <w:p>
            <w:pPr>
              <w:snapToGrid w:val="0"/>
              <w:jc w:val="center"/>
              <w:rPr>
                <w:sz w:val="18"/>
                <w:szCs w:val="18"/>
              </w:rPr>
            </w:pPr>
            <w:r>
              <w:rPr>
                <w:spacing w:val="10"/>
                <w:sz w:val="18"/>
                <w:szCs w:val="18"/>
              </w:rPr>
              <w:t>vidaus paviršiniuose vandenyse</w:t>
            </w:r>
            <w:r>
              <w:rPr>
                <w:spacing w:val="10"/>
                <w:sz w:val="18"/>
                <w:szCs w:val="18"/>
                <w:vertAlign w:val="superscript"/>
              </w:rPr>
              <w:t>5</w:t>
            </w:r>
          </w:p>
        </w:tc>
        <w:tc>
          <w:tcPr>
            <w:tcW w:w="1442" w:type="dxa"/>
          </w:tcPr>
          <w:p>
            <w:pPr>
              <w:snapToGrid w:val="0"/>
              <w:jc w:val="center"/>
              <w:rPr>
                <w:sz w:val="18"/>
                <w:szCs w:val="18"/>
              </w:rPr>
            </w:pPr>
            <w:r>
              <w:rPr>
                <w:sz w:val="18"/>
                <w:szCs w:val="18"/>
              </w:rPr>
              <w:t xml:space="preserve">kituose </w:t>
            </w:r>
            <w:r>
              <w:rPr>
                <w:spacing w:val="10"/>
                <w:sz w:val="18"/>
                <w:szCs w:val="18"/>
              </w:rPr>
              <w:t>paviršiniuose vandenyse</w:t>
            </w:r>
          </w:p>
        </w:tc>
        <w:tc>
          <w:tcPr>
            <w:tcW w:w="1426" w:type="dxa"/>
          </w:tcPr>
          <w:p>
            <w:pPr>
              <w:snapToGrid w:val="0"/>
              <w:jc w:val="center"/>
              <w:rPr>
                <w:sz w:val="18"/>
                <w:szCs w:val="18"/>
              </w:rPr>
            </w:pPr>
            <w:r>
              <w:rPr>
                <w:spacing w:val="10"/>
                <w:sz w:val="18"/>
                <w:szCs w:val="18"/>
              </w:rPr>
              <w:t>vidaus paviršiniuose vandenyse</w:t>
            </w:r>
            <w:r>
              <w:rPr>
                <w:spacing w:val="10"/>
                <w:sz w:val="18"/>
                <w:szCs w:val="18"/>
                <w:vertAlign w:val="superscript"/>
              </w:rPr>
              <w:t>5</w:t>
            </w:r>
          </w:p>
        </w:tc>
        <w:tc>
          <w:tcPr>
            <w:tcW w:w="1433" w:type="dxa"/>
          </w:tcPr>
          <w:p>
            <w:pPr>
              <w:snapToGrid w:val="0"/>
              <w:jc w:val="center"/>
              <w:rPr>
                <w:sz w:val="18"/>
                <w:szCs w:val="18"/>
              </w:rPr>
            </w:pPr>
            <w:r>
              <w:rPr>
                <w:sz w:val="18"/>
                <w:szCs w:val="18"/>
              </w:rPr>
              <w:t xml:space="preserve">kituose </w:t>
            </w:r>
            <w:r>
              <w:rPr>
                <w:spacing w:val="10"/>
                <w:sz w:val="18"/>
                <w:szCs w:val="18"/>
              </w:rPr>
              <w:t>paviršiniuose vandenyse</w:t>
            </w:r>
          </w:p>
        </w:tc>
        <w:tc>
          <w:tcPr>
            <w:tcW w:w="1550" w:type="dxa"/>
            <w:vMerge/>
          </w:tcPr>
          <w:p>
            <w:pPr>
              <w:snapToGrid w:val="0"/>
              <w:jc w:val="center"/>
              <w:rPr>
                <w:rFonts w:eastAsia="Arial Unicode MS"/>
                <w:sz w:val="18"/>
                <w:szCs w:val="18"/>
              </w:rPr>
            </w:pPr>
          </w:p>
        </w:tc>
        <w:tc>
          <w:tcPr>
            <w:tcW w:w="1362" w:type="dxa"/>
            <w:vMerge/>
          </w:tcPr>
          <w:p>
            <w:pPr>
              <w:snapToGrid w:val="0"/>
              <w:jc w:val="center"/>
              <w:rPr>
                <w:rFonts w:eastAsia="Arial Unicode MS"/>
                <w:sz w:val="18"/>
                <w:szCs w:val="18"/>
              </w:rPr>
            </w:pPr>
          </w:p>
        </w:tc>
      </w:tr>
      <w:tr>
        <w:trPr>
          <w:trHeight w:val="20"/>
        </w:trPr>
        <w:tc>
          <w:tcPr>
            <w:tcW w:w="2300" w:type="dxa"/>
          </w:tcPr>
          <w:p>
            <w:pPr>
              <w:suppressAutoHyphens/>
              <w:snapToGrid w:val="0"/>
              <w:rPr>
                <w:sz w:val="18"/>
                <w:szCs w:val="18"/>
                <w:vertAlign w:val="superscript"/>
                <w:lang w:eastAsia="ar-SA"/>
              </w:rPr>
            </w:pPr>
            <w:r>
              <w:rPr>
                <w:sz w:val="18"/>
                <w:szCs w:val="18"/>
                <w:lang w:eastAsia="ar-SA"/>
              </w:rPr>
              <w:t>Alachloras</w:t>
            </w:r>
            <w:r>
              <w:rPr>
                <w:sz w:val="18"/>
                <w:szCs w:val="18"/>
                <w:vertAlign w:val="superscript"/>
                <w:lang w:eastAsia="ar-SA"/>
              </w:rPr>
              <w:t>8</w:t>
            </w:r>
          </w:p>
        </w:tc>
        <w:tc>
          <w:tcPr>
            <w:tcW w:w="1623" w:type="dxa"/>
          </w:tcPr>
          <w:p>
            <w:pPr>
              <w:snapToGrid w:val="0"/>
              <w:rPr>
                <w:sz w:val="18"/>
                <w:szCs w:val="18"/>
              </w:rPr>
            </w:pPr>
            <w:r>
              <w:rPr>
                <w:sz w:val="18"/>
                <w:szCs w:val="18"/>
              </w:rPr>
              <w:t>CAS 15972-60-8</w:t>
            </w:r>
          </w:p>
        </w:tc>
        <w:tc>
          <w:tcPr>
            <w:tcW w:w="1098" w:type="dxa"/>
          </w:tcPr>
          <w:p>
            <w:pPr>
              <w:snapToGrid w:val="0"/>
              <w:jc w:val="center"/>
              <w:rPr>
                <w:sz w:val="18"/>
                <w:szCs w:val="18"/>
              </w:rPr>
            </w:pPr>
            <w:r>
              <w:rPr>
                <w:sz w:val="18"/>
                <w:szCs w:val="18"/>
              </w:rPr>
              <w:t>-</w:t>
            </w:r>
          </w:p>
        </w:tc>
        <w:tc>
          <w:tcPr>
            <w:tcW w:w="1081" w:type="dxa"/>
          </w:tcPr>
          <w:p>
            <w:pPr>
              <w:snapToGrid w:val="0"/>
              <w:jc w:val="center"/>
              <w:rPr>
                <w:sz w:val="18"/>
                <w:szCs w:val="18"/>
              </w:rPr>
            </w:pPr>
            <w:r>
              <w:rPr>
                <w:sz w:val="18"/>
                <w:szCs w:val="18"/>
              </w:rPr>
              <w:t>-</w:t>
            </w:r>
          </w:p>
        </w:tc>
        <w:tc>
          <w:tcPr>
            <w:tcW w:w="1425" w:type="dxa"/>
          </w:tcPr>
          <w:p>
            <w:pPr>
              <w:snapToGrid w:val="0"/>
              <w:jc w:val="center"/>
              <w:rPr>
                <w:sz w:val="18"/>
                <w:szCs w:val="18"/>
              </w:rPr>
            </w:pPr>
            <w:r>
              <w:rPr>
                <w:sz w:val="18"/>
                <w:szCs w:val="18"/>
              </w:rPr>
              <w:t>0,3</w:t>
            </w:r>
          </w:p>
        </w:tc>
        <w:tc>
          <w:tcPr>
            <w:tcW w:w="1442" w:type="dxa"/>
          </w:tcPr>
          <w:p>
            <w:pPr>
              <w:snapToGrid w:val="0"/>
              <w:jc w:val="center"/>
              <w:rPr>
                <w:sz w:val="18"/>
                <w:szCs w:val="18"/>
              </w:rPr>
            </w:pPr>
            <w:r>
              <w:rPr>
                <w:sz w:val="18"/>
                <w:szCs w:val="18"/>
              </w:rPr>
              <w:t>0,3</w:t>
            </w:r>
          </w:p>
        </w:tc>
        <w:tc>
          <w:tcPr>
            <w:tcW w:w="1426" w:type="dxa"/>
          </w:tcPr>
          <w:p>
            <w:pPr>
              <w:snapToGrid w:val="0"/>
              <w:jc w:val="center"/>
              <w:rPr>
                <w:sz w:val="18"/>
                <w:szCs w:val="18"/>
              </w:rPr>
            </w:pPr>
            <w:r>
              <w:rPr>
                <w:sz w:val="18"/>
                <w:szCs w:val="18"/>
              </w:rPr>
              <w:t>0,7</w:t>
            </w:r>
          </w:p>
        </w:tc>
        <w:tc>
          <w:tcPr>
            <w:tcW w:w="1433" w:type="dxa"/>
          </w:tcPr>
          <w:p>
            <w:pPr>
              <w:snapToGrid w:val="0"/>
              <w:jc w:val="center"/>
              <w:rPr>
                <w:sz w:val="18"/>
                <w:szCs w:val="18"/>
              </w:rPr>
            </w:pPr>
            <w:r>
              <w:rPr>
                <w:sz w:val="18"/>
                <w:szCs w:val="18"/>
              </w:rPr>
              <w:t>0,7</w:t>
            </w:r>
          </w:p>
        </w:tc>
        <w:tc>
          <w:tcPr>
            <w:tcW w:w="1550" w:type="dxa"/>
          </w:tcPr>
          <w:p>
            <w:pPr>
              <w:snapToGrid w:val="0"/>
              <w:jc w:val="center"/>
              <w:rPr>
                <w:rFonts w:eastAsia="Arial Unicode MS"/>
                <w:sz w:val="18"/>
                <w:szCs w:val="18"/>
              </w:rPr>
            </w:pPr>
            <w:r>
              <w:rPr>
                <w:rFonts w:eastAsia="Arial Unicode MS"/>
                <w:sz w:val="18"/>
                <w:szCs w:val="18"/>
              </w:rPr>
              <w:t>-</w:t>
            </w:r>
          </w:p>
        </w:tc>
        <w:tc>
          <w:tcPr>
            <w:tcW w:w="1362" w:type="dxa"/>
          </w:tcPr>
          <w:p>
            <w:pPr>
              <w:snapToGrid w:val="0"/>
              <w:jc w:val="center"/>
              <w:rPr>
                <w:rFonts w:eastAsia="Arial Unicode MS"/>
                <w:sz w:val="18"/>
                <w:szCs w:val="18"/>
              </w:rPr>
            </w:pPr>
            <w:r>
              <w:rPr>
                <w:rFonts w:eastAsia="Arial Unicode MS"/>
                <w:sz w:val="18"/>
                <w:szCs w:val="18"/>
              </w:rPr>
              <w:t>-</w:t>
            </w:r>
          </w:p>
        </w:tc>
      </w:tr>
      <w:tr>
        <w:trPr>
          <w:trHeight w:val="20"/>
        </w:trPr>
        <w:tc>
          <w:tcPr>
            <w:tcW w:w="2300" w:type="dxa"/>
          </w:tcPr>
          <w:p>
            <w:pPr>
              <w:snapToGrid w:val="0"/>
              <w:rPr>
                <w:sz w:val="18"/>
                <w:szCs w:val="18"/>
                <w:vertAlign w:val="superscript"/>
              </w:rPr>
            </w:pPr>
            <w:r>
              <w:rPr>
                <w:sz w:val="18"/>
                <w:szCs w:val="18"/>
              </w:rPr>
              <w:t>Atrazinas</w:t>
            </w:r>
            <w:r>
              <w:rPr>
                <w:sz w:val="18"/>
                <w:szCs w:val="18"/>
                <w:vertAlign w:val="superscript"/>
              </w:rPr>
              <w:t xml:space="preserve">8 </w:t>
            </w:r>
          </w:p>
        </w:tc>
        <w:tc>
          <w:tcPr>
            <w:tcW w:w="1623" w:type="dxa"/>
          </w:tcPr>
          <w:p>
            <w:pPr>
              <w:snapToGrid w:val="0"/>
              <w:rPr>
                <w:sz w:val="18"/>
                <w:szCs w:val="18"/>
              </w:rPr>
            </w:pPr>
            <w:r>
              <w:rPr>
                <w:sz w:val="18"/>
                <w:szCs w:val="18"/>
              </w:rPr>
              <w:t>CAS 1912-24-9</w:t>
            </w:r>
          </w:p>
        </w:tc>
        <w:tc>
          <w:tcPr>
            <w:tcW w:w="1098" w:type="dxa"/>
          </w:tcPr>
          <w:p>
            <w:pPr>
              <w:snapToGrid w:val="0"/>
              <w:jc w:val="center"/>
              <w:rPr>
                <w:sz w:val="18"/>
                <w:szCs w:val="18"/>
              </w:rPr>
            </w:pPr>
            <w:r>
              <w:rPr>
                <w:sz w:val="18"/>
                <w:szCs w:val="18"/>
              </w:rPr>
              <w:t>-</w:t>
            </w:r>
          </w:p>
        </w:tc>
        <w:tc>
          <w:tcPr>
            <w:tcW w:w="1081" w:type="dxa"/>
          </w:tcPr>
          <w:p>
            <w:pPr>
              <w:snapToGrid w:val="0"/>
              <w:jc w:val="center"/>
              <w:rPr>
                <w:sz w:val="18"/>
                <w:szCs w:val="18"/>
              </w:rPr>
            </w:pPr>
            <w:r>
              <w:rPr>
                <w:sz w:val="18"/>
                <w:szCs w:val="18"/>
              </w:rPr>
              <w:t>-</w:t>
            </w:r>
          </w:p>
        </w:tc>
        <w:tc>
          <w:tcPr>
            <w:tcW w:w="1425" w:type="dxa"/>
          </w:tcPr>
          <w:p>
            <w:pPr>
              <w:snapToGrid w:val="0"/>
              <w:jc w:val="center"/>
              <w:rPr>
                <w:sz w:val="18"/>
                <w:szCs w:val="18"/>
              </w:rPr>
            </w:pPr>
            <w:r>
              <w:rPr>
                <w:sz w:val="18"/>
                <w:szCs w:val="18"/>
              </w:rPr>
              <w:t>0,6</w:t>
            </w:r>
          </w:p>
        </w:tc>
        <w:tc>
          <w:tcPr>
            <w:tcW w:w="1442" w:type="dxa"/>
          </w:tcPr>
          <w:p>
            <w:pPr>
              <w:snapToGrid w:val="0"/>
              <w:jc w:val="center"/>
              <w:rPr>
                <w:sz w:val="18"/>
                <w:szCs w:val="18"/>
              </w:rPr>
            </w:pPr>
            <w:r>
              <w:rPr>
                <w:sz w:val="18"/>
                <w:szCs w:val="18"/>
              </w:rPr>
              <w:t>0,6</w:t>
            </w:r>
          </w:p>
        </w:tc>
        <w:tc>
          <w:tcPr>
            <w:tcW w:w="1426" w:type="dxa"/>
          </w:tcPr>
          <w:p>
            <w:pPr>
              <w:snapToGrid w:val="0"/>
              <w:jc w:val="center"/>
              <w:rPr>
                <w:sz w:val="18"/>
                <w:szCs w:val="18"/>
              </w:rPr>
            </w:pPr>
            <w:r>
              <w:rPr>
                <w:sz w:val="18"/>
                <w:szCs w:val="18"/>
              </w:rPr>
              <w:t>2,0</w:t>
            </w:r>
          </w:p>
        </w:tc>
        <w:tc>
          <w:tcPr>
            <w:tcW w:w="1433" w:type="dxa"/>
          </w:tcPr>
          <w:p>
            <w:pPr>
              <w:snapToGrid w:val="0"/>
              <w:jc w:val="center"/>
              <w:rPr>
                <w:sz w:val="18"/>
                <w:szCs w:val="18"/>
              </w:rPr>
            </w:pPr>
            <w:r>
              <w:rPr>
                <w:sz w:val="18"/>
                <w:szCs w:val="18"/>
              </w:rPr>
              <w:t>2,0</w:t>
            </w:r>
          </w:p>
        </w:tc>
        <w:tc>
          <w:tcPr>
            <w:tcW w:w="1550" w:type="dxa"/>
          </w:tcPr>
          <w:p>
            <w:pPr>
              <w:snapToGrid w:val="0"/>
              <w:jc w:val="center"/>
              <w:rPr>
                <w:rFonts w:eastAsia="Arial Unicode MS"/>
                <w:sz w:val="18"/>
                <w:szCs w:val="18"/>
              </w:rPr>
            </w:pPr>
            <w:r>
              <w:rPr>
                <w:rFonts w:eastAsia="Arial Unicode MS"/>
                <w:sz w:val="18"/>
                <w:szCs w:val="18"/>
              </w:rPr>
              <w:t>-</w:t>
            </w:r>
          </w:p>
        </w:tc>
        <w:tc>
          <w:tcPr>
            <w:tcW w:w="1362" w:type="dxa"/>
          </w:tcPr>
          <w:p>
            <w:pPr>
              <w:snapToGrid w:val="0"/>
              <w:jc w:val="center"/>
              <w:rPr>
                <w:rFonts w:eastAsia="Arial Unicode MS"/>
                <w:sz w:val="18"/>
                <w:szCs w:val="18"/>
              </w:rPr>
            </w:pPr>
            <w:r>
              <w:rPr>
                <w:rFonts w:eastAsia="Arial Unicode MS"/>
                <w:sz w:val="18"/>
                <w:szCs w:val="18"/>
              </w:rPr>
              <w:t>-</w:t>
            </w:r>
          </w:p>
        </w:tc>
      </w:tr>
      <w:tr>
        <w:trPr>
          <w:trHeight w:val="20"/>
        </w:trPr>
        <w:tc>
          <w:tcPr>
            <w:tcW w:w="2300" w:type="dxa"/>
          </w:tcPr>
          <w:p>
            <w:pPr>
              <w:snapToGrid w:val="0"/>
              <w:rPr>
                <w:sz w:val="18"/>
                <w:szCs w:val="18"/>
              </w:rPr>
            </w:pPr>
            <w:r>
              <w:rPr>
                <w:sz w:val="18"/>
                <w:szCs w:val="18"/>
              </w:rPr>
              <w:t>Benzenas</w:t>
            </w:r>
          </w:p>
        </w:tc>
        <w:tc>
          <w:tcPr>
            <w:tcW w:w="1623" w:type="dxa"/>
          </w:tcPr>
          <w:p>
            <w:pPr>
              <w:snapToGrid w:val="0"/>
              <w:rPr>
                <w:sz w:val="18"/>
                <w:szCs w:val="18"/>
              </w:rPr>
            </w:pPr>
            <w:r>
              <w:rPr>
                <w:sz w:val="18"/>
                <w:szCs w:val="18"/>
              </w:rPr>
              <w:t>CAS 71-43-2</w:t>
            </w:r>
          </w:p>
        </w:tc>
        <w:tc>
          <w:tcPr>
            <w:tcW w:w="1098" w:type="dxa"/>
          </w:tcPr>
          <w:p>
            <w:pPr>
              <w:snapToGrid w:val="0"/>
              <w:jc w:val="center"/>
              <w:rPr>
                <w:sz w:val="18"/>
                <w:szCs w:val="18"/>
              </w:rPr>
            </w:pPr>
            <w:r>
              <w:rPr>
                <w:sz w:val="18"/>
                <w:szCs w:val="18"/>
              </w:rPr>
              <w:t>800</w:t>
            </w:r>
          </w:p>
        </w:tc>
        <w:tc>
          <w:tcPr>
            <w:tcW w:w="1081" w:type="dxa"/>
          </w:tcPr>
          <w:p>
            <w:pPr>
              <w:snapToGrid w:val="0"/>
              <w:jc w:val="center"/>
              <w:rPr>
                <w:sz w:val="18"/>
                <w:szCs w:val="18"/>
              </w:rPr>
            </w:pPr>
            <w:r>
              <w:rPr>
                <w:sz w:val="18"/>
                <w:szCs w:val="18"/>
              </w:rPr>
              <w:t>40</w:t>
            </w:r>
          </w:p>
        </w:tc>
        <w:tc>
          <w:tcPr>
            <w:tcW w:w="1425" w:type="dxa"/>
          </w:tcPr>
          <w:p>
            <w:pPr>
              <w:snapToGrid w:val="0"/>
              <w:jc w:val="center"/>
              <w:rPr>
                <w:sz w:val="18"/>
                <w:szCs w:val="18"/>
              </w:rPr>
            </w:pPr>
            <w:r>
              <w:rPr>
                <w:sz w:val="18"/>
                <w:szCs w:val="18"/>
              </w:rPr>
              <w:t>10</w:t>
            </w:r>
          </w:p>
        </w:tc>
        <w:tc>
          <w:tcPr>
            <w:tcW w:w="1442" w:type="dxa"/>
          </w:tcPr>
          <w:p>
            <w:pPr>
              <w:snapToGrid w:val="0"/>
              <w:jc w:val="center"/>
              <w:rPr>
                <w:sz w:val="18"/>
                <w:szCs w:val="18"/>
              </w:rPr>
            </w:pPr>
            <w:r>
              <w:rPr>
                <w:sz w:val="18"/>
                <w:szCs w:val="18"/>
              </w:rPr>
              <w:t>8</w:t>
            </w:r>
          </w:p>
        </w:tc>
        <w:tc>
          <w:tcPr>
            <w:tcW w:w="1426" w:type="dxa"/>
          </w:tcPr>
          <w:p>
            <w:pPr>
              <w:snapToGrid w:val="0"/>
              <w:jc w:val="center"/>
              <w:rPr>
                <w:sz w:val="18"/>
                <w:szCs w:val="18"/>
              </w:rPr>
            </w:pPr>
            <w:r>
              <w:rPr>
                <w:sz w:val="18"/>
                <w:szCs w:val="18"/>
              </w:rPr>
              <w:t>50</w:t>
            </w:r>
          </w:p>
        </w:tc>
        <w:tc>
          <w:tcPr>
            <w:tcW w:w="1433" w:type="dxa"/>
          </w:tcPr>
          <w:p>
            <w:pPr>
              <w:snapToGrid w:val="0"/>
              <w:jc w:val="center"/>
              <w:rPr>
                <w:sz w:val="18"/>
                <w:szCs w:val="18"/>
              </w:rPr>
            </w:pPr>
            <w:r>
              <w:rPr>
                <w:sz w:val="18"/>
                <w:szCs w:val="18"/>
              </w:rPr>
              <w:t>50</w:t>
            </w:r>
          </w:p>
        </w:tc>
        <w:tc>
          <w:tcPr>
            <w:tcW w:w="1550" w:type="dxa"/>
          </w:tcPr>
          <w:p>
            <w:pPr>
              <w:snapToGrid w:val="0"/>
              <w:jc w:val="center"/>
              <w:rPr>
                <w:sz w:val="18"/>
                <w:szCs w:val="18"/>
              </w:rPr>
            </w:pPr>
            <w:r>
              <w:rPr>
                <w:sz w:val="18"/>
                <w:szCs w:val="18"/>
              </w:rPr>
              <w:t>160</w:t>
            </w:r>
          </w:p>
        </w:tc>
        <w:tc>
          <w:tcPr>
            <w:tcW w:w="1362" w:type="dxa"/>
          </w:tcPr>
          <w:p>
            <w:pPr>
              <w:snapToGrid w:val="0"/>
              <w:jc w:val="center"/>
              <w:rPr>
                <w:sz w:val="18"/>
                <w:szCs w:val="18"/>
              </w:rPr>
            </w:pPr>
            <w:r>
              <w:rPr>
                <w:sz w:val="18"/>
                <w:szCs w:val="18"/>
              </w:rPr>
              <w:t>8</w:t>
            </w:r>
          </w:p>
        </w:tc>
      </w:tr>
      <w:tr>
        <w:trPr>
          <w:trHeight w:val="20"/>
        </w:trPr>
        <w:tc>
          <w:tcPr>
            <w:tcW w:w="2300" w:type="dxa"/>
          </w:tcPr>
          <w:p>
            <w:pPr>
              <w:snapToGrid w:val="0"/>
              <w:rPr>
                <w:sz w:val="18"/>
                <w:szCs w:val="18"/>
                <w:vertAlign w:val="superscript"/>
              </w:rPr>
            </w:pPr>
            <w:r>
              <w:rPr>
                <w:sz w:val="18"/>
                <w:szCs w:val="18"/>
              </w:rPr>
              <w:t>Tetrachlormetanas (CCl</w:t>
            </w:r>
            <w:r>
              <w:rPr>
                <w:sz w:val="18"/>
                <w:szCs w:val="18"/>
                <w:vertAlign w:val="subscript"/>
              </w:rPr>
              <w:t>4</w:t>
            </w:r>
            <w:r>
              <w:rPr>
                <w:sz w:val="18"/>
                <w:szCs w:val="18"/>
              </w:rPr>
              <w:t>, anglies tetrachloridas)</w:t>
            </w:r>
            <w:r>
              <w:rPr>
                <w:sz w:val="18"/>
                <w:szCs w:val="18"/>
                <w:vertAlign w:val="superscript"/>
              </w:rPr>
              <w:t>6</w:t>
            </w:r>
          </w:p>
        </w:tc>
        <w:tc>
          <w:tcPr>
            <w:tcW w:w="1623" w:type="dxa"/>
          </w:tcPr>
          <w:p>
            <w:pPr>
              <w:snapToGrid w:val="0"/>
              <w:rPr>
                <w:sz w:val="18"/>
                <w:szCs w:val="18"/>
              </w:rPr>
            </w:pPr>
            <w:r>
              <w:rPr>
                <w:sz w:val="18"/>
                <w:szCs w:val="18"/>
              </w:rPr>
              <w:t>CAS 56-23-5</w:t>
            </w:r>
          </w:p>
        </w:tc>
        <w:tc>
          <w:tcPr>
            <w:tcW w:w="1098" w:type="dxa"/>
          </w:tcPr>
          <w:p>
            <w:pPr>
              <w:snapToGrid w:val="0"/>
              <w:jc w:val="center"/>
              <w:rPr>
                <w:sz w:val="18"/>
                <w:szCs w:val="18"/>
              </w:rPr>
            </w:pPr>
            <w:r>
              <w:rPr>
                <w:sz w:val="18"/>
                <w:szCs w:val="18"/>
              </w:rPr>
              <w:t>1500</w:t>
            </w:r>
          </w:p>
        </w:tc>
        <w:tc>
          <w:tcPr>
            <w:tcW w:w="1081" w:type="dxa"/>
          </w:tcPr>
          <w:p>
            <w:pPr>
              <w:snapToGrid w:val="0"/>
              <w:jc w:val="center"/>
              <w:rPr>
                <w:sz w:val="18"/>
                <w:szCs w:val="18"/>
              </w:rPr>
            </w:pPr>
            <w:r>
              <w:rPr>
                <w:sz w:val="18"/>
                <w:szCs w:val="18"/>
              </w:rPr>
              <w:t>240</w:t>
            </w:r>
          </w:p>
        </w:tc>
        <w:tc>
          <w:tcPr>
            <w:tcW w:w="1425" w:type="dxa"/>
          </w:tcPr>
          <w:p>
            <w:pPr>
              <w:snapToGrid w:val="0"/>
              <w:jc w:val="center"/>
              <w:rPr>
                <w:sz w:val="18"/>
                <w:szCs w:val="18"/>
              </w:rPr>
            </w:pPr>
            <w:r>
              <w:rPr>
                <w:sz w:val="18"/>
                <w:szCs w:val="18"/>
              </w:rPr>
              <w:t>12</w:t>
            </w:r>
          </w:p>
        </w:tc>
        <w:tc>
          <w:tcPr>
            <w:tcW w:w="1442" w:type="dxa"/>
          </w:tcPr>
          <w:p>
            <w:pPr>
              <w:snapToGrid w:val="0"/>
              <w:jc w:val="center"/>
              <w:rPr>
                <w:sz w:val="18"/>
                <w:szCs w:val="18"/>
              </w:rPr>
            </w:pPr>
            <w:r>
              <w:rPr>
                <w:sz w:val="18"/>
                <w:szCs w:val="18"/>
              </w:rPr>
              <w:t>12</w:t>
            </w:r>
          </w:p>
        </w:tc>
        <w:tc>
          <w:tcPr>
            <w:tcW w:w="1426" w:type="dxa"/>
          </w:tcPr>
          <w:p>
            <w:pPr>
              <w:snapToGrid w:val="0"/>
              <w:jc w:val="center"/>
              <w:rPr>
                <w:sz w:val="18"/>
                <w:szCs w:val="18"/>
              </w:rPr>
            </w:pPr>
            <w:r>
              <w:rPr>
                <w:sz w:val="18"/>
                <w:szCs w:val="18"/>
              </w:rPr>
              <w:t>-</w:t>
            </w:r>
          </w:p>
        </w:tc>
        <w:tc>
          <w:tcPr>
            <w:tcW w:w="1433" w:type="dxa"/>
          </w:tcPr>
          <w:p>
            <w:pPr>
              <w:snapToGrid w:val="0"/>
              <w:jc w:val="center"/>
              <w:rPr>
                <w:sz w:val="18"/>
                <w:szCs w:val="18"/>
              </w:rPr>
            </w:pPr>
            <w:r>
              <w:rPr>
                <w:sz w:val="18"/>
                <w:szCs w:val="18"/>
              </w:rPr>
              <w:t>-</w:t>
            </w:r>
          </w:p>
        </w:tc>
        <w:tc>
          <w:tcPr>
            <w:tcW w:w="1550" w:type="dxa"/>
          </w:tcPr>
          <w:p>
            <w:pPr>
              <w:snapToGrid w:val="0"/>
              <w:jc w:val="center"/>
              <w:rPr>
                <w:sz w:val="18"/>
                <w:szCs w:val="18"/>
              </w:rPr>
            </w:pPr>
            <w:r>
              <w:rPr>
                <w:sz w:val="18"/>
                <w:szCs w:val="18"/>
              </w:rPr>
              <w:t>300</w:t>
            </w:r>
          </w:p>
        </w:tc>
        <w:tc>
          <w:tcPr>
            <w:tcW w:w="1362" w:type="dxa"/>
          </w:tcPr>
          <w:p>
            <w:pPr>
              <w:snapToGrid w:val="0"/>
              <w:jc w:val="center"/>
              <w:rPr>
                <w:sz w:val="18"/>
                <w:szCs w:val="18"/>
              </w:rPr>
            </w:pPr>
            <w:r>
              <w:rPr>
                <w:sz w:val="18"/>
                <w:szCs w:val="18"/>
              </w:rPr>
              <w:t>48</w:t>
            </w:r>
          </w:p>
        </w:tc>
      </w:tr>
      <w:tr>
        <w:trPr>
          <w:trHeight w:val="20"/>
        </w:trPr>
        <w:tc>
          <w:tcPr>
            <w:tcW w:w="2300" w:type="dxa"/>
          </w:tcPr>
          <w:p>
            <w:pPr>
              <w:snapToGrid w:val="0"/>
              <w:rPr>
                <w:sz w:val="18"/>
                <w:szCs w:val="18"/>
                <w:vertAlign w:val="superscript"/>
              </w:rPr>
            </w:pPr>
            <w:r>
              <w:rPr>
                <w:sz w:val="18"/>
                <w:szCs w:val="18"/>
              </w:rPr>
              <w:t>Chlorfenvinfosas</w:t>
            </w:r>
            <w:r>
              <w:rPr>
                <w:sz w:val="18"/>
                <w:szCs w:val="18"/>
                <w:vertAlign w:val="superscript"/>
              </w:rPr>
              <w:t>8</w:t>
            </w:r>
          </w:p>
        </w:tc>
        <w:tc>
          <w:tcPr>
            <w:tcW w:w="1623" w:type="dxa"/>
          </w:tcPr>
          <w:p>
            <w:pPr>
              <w:snapToGrid w:val="0"/>
              <w:rPr>
                <w:sz w:val="18"/>
                <w:szCs w:val="18"/>
              </w:rPr>
            </w:pPr>
            <w:r>
              <w:rPr>
                <w:sz w:val="18"/>
                <w:szCs w:val="18"/>
              </w:rPr>
              <w:t>CAS 470-90-6</w:t>
            </w:r>
          </w:p>
        </w:tc>
        <w:tc>
          <w:tcPr>
            <w:tcW w:w="1098" w:type="dxa"/>
          </w:tcPr>
          <w:p>
            <w:pPr>
              <w:snapToGrid w:val="0"/>
              <w:jc w:val="center"/>
              <w:rPr>
                <w:sz w:val="18"/>
                <w:szCs w:val="18"/>
              </w:rPr>
            </w:pPr>
            <w:r>
              <w:rPr>
                <w:sz w:val="18"/>
                <w:szCs w:val="18"/>
              </w:rPr>
              <w:t>-</w:t>
            </w:r>
          </w:p>
        </w:tc>
        <w:tc>
          <w:tcPr>
            <w:tcW w:w="1081" w:type="dxa"/>
          </w:tcPr>
          <w:p>
            <w:pPr>
              <w:snapToGrid w:val="0"/>
              <w:jc w:val="center"/>
              <w:rPr>
                <w:sz w:val="18"/>
                <w:szCs w:val="18"/>
              </w:rPr>
            </w:pPr>
            <w:r>
              <w:rPr>
                <w:sz w:val="18"/>
                <w:szCs w:val="18"/>
              </w:rPr>
              <w:t>-</w:t>
            </w:r>
          </w:p>
        </w:tc>
        <w:tc>
          <w:tcPr>
            <w:tcW w:w="1425" w:type="dxa"/>
          </w:tcPr>
          <w:p>
            <w:pPr>
              <w:snapToGrid w:val="0"/>
              <w:jc w:val="center"/>
              <w:rPr>
                <w:sz w:val="18"/>
                <w:szCs w:val="18"/>
              </w:rPr>
            </w:pPr>
            <w:r>
              <w:rPr>
                <w:sz w:val="18"/>
                <w:szCs w:val="18"/>
              </w:rPr>
              <w:t>0,1</w:t>
            </w:r>
          </w:p>
        </w:tc>
        <w:tc>
          <w:tcPr>
            <w:tcW w:w="1442" w:type="dxa"/>
          </w:tcPr>
          <w:p>
            <w:pPr>
              <w:snapToGrid w:val="0"/>
              <w:jc w:val="center"/>
              <w:rPr>
                <w:sz w:val="18"/>
                <w:szCs w:val="18"/>
              </w:rPr>
            </w:pPr>
            <w:r>
              <w:rPr>
                <w:sz w:val="18"/>
                <w:szCs w:val="18"/>
              </w:rPr>
              <w:t>0,1</w:t>
            </w:r>
          </w:p>
        </w:tc>
        <w:tc>
          <w:tcPr>
            <w:tcW w:w="1426" w:type="dxa"/>
          </w:tcPr>
          <w:p>
            <w:pPr>
              <w:snapToGrid w:val="0"/>
              <w:jc w:val="center"/>
              <w:rPr>
                <w:sz w:val="18"/>
                <w:szCs w:val="18"/>
              </w:rPr>
            </w:pPr>
            <w:r>
              <w:rPr>
                <w:sz w:val="18"/>
                <w:szCs w:val="18"/>
              </w:rPr>
              <w:t>0,3</w:t>
            </w:r>
          </w:p>
        </w:tc>
        <w:tc>
          <w:tcPr>
            <w:tcW w:w="1433" w:type="dxa"/>
          </w:tcPr>
          <w:p>
            <w:pPr>
              <w:snapToGrid w:val="0"/>
              <w:jc w:val="center"/>
              <w:rPr>
                <w:sz w:val="18"/>
                <w:szCs w:val="18"/>
              </w:rPr>
            </w:pPr>
            <w:r>
              <w:rPr>
                <w:sz w:val="18"/>
                <w:szCs w:val="18"/>
              </w:rPr>
              <w:t>0,3</w:t>
            </w:r>
          </w:p>
        </w:tc>
        <w:tc>
          <w:tcPr>
            <w:tcW w:w="1550" w:type="dxa"/>
          </w:tcPr>
          <w:p>
            <w:pPr>
              <w:snapToGrid w:val="0"/>
              <w:jc w:val="center"/>
              <w:rPr>
                <w:rFonts w:eastAsia="Arial Unicode MS"/>
                <w:sz w:val="18"/>
                <w:szCs w:val="18"/>
              </w:rPr>
            </w:pPr>
            <w:r>
              <w:rPr>
                <w:rFonts w:eastAsia="Arial Unicode MS"/>
                <w:sz w:val="18"/>
                <w:szCs w:val="18"/>
              </w:rPr>
              <w:t>-</w:t>
            </w:r>
          </w:p>
        </w:tc>
        <w:tc>
          <w:tcPr>
            <w:tcW w:w="1362" w:type="dxa"/>
          </w:tcPr>
          <w:p>
            <w:pPr>
              <w:snapToGrid w:val="0"/>
              <w:jc w:val="center"/>
              <w:rPr>
                <w:rFonts w:eastAsia="Arial Unicode MS"/>
                <w:sz w:val="18"/>
                <w:szCs w:val="18"/>
              </w:rPr>
            </w:pPr>
            <w:r>
              <w:rPr>
                <w:rFonts w:eastAsia="Arial Unicode MS"/>
                <w:sz w:val="18"/>
                <w:szCs w:val="18"/>
              </w:rPr>
              <w:t>-</w:t>
            </w:r>
          </w:p>
        </w:tc>
      </w:tr>
      <w:tr>
        <w:trPr>
          <w:trHeight w:val="20"/>
        </w:trPr>
        <w:tc>
          <w:tcPr>
            <w:tcW w:w="2300" w:type="dxa"/>
            <w:tcBorders>
              <w:bottom w:val="single" w:sz="4" w:space="0" w:color="auto"/>
            </w:tcBorders>
          </w:tcPr>
          <w:p>
            <w:pPr>
              <w:snapToGrid w:val="0"/>
              <w:rPr>
                <w:sz w:val="18"/>
                <w:szCs w:val="18"/>
                <w:vertAlign w:val="superscript"/>
              </w:rPr>
            </w:pPr>
            <w:r>
              <w:rPr>
                <w:sz w:val="18"/>
                <w:szCs w:val="18"/>
              </w:rPr>
              <w:t>Chlorpyrifosas</w:t>
            </w:r>
            <w:r>
              <w:rPr>
                <w:sz w:val="18"/>
                <w:szCs w:val="18"/>
                <w:vertAlign w:val="superscript"/>
              </w:rPr>
              <w:t xml:space="preserve">8 </w:t>
            </w:r>
          </w:p>
        </w:tc>
        <w:tc>
          <w:tcPr>
            <w:tcW w:w="1623" w:type="dxa"/>
            <w:tcBorders>
              <w:bottom w:val="single" w:sz="4" w:space="0" w:color="auto"/>
            </w:tcBorders>
          </w:tcPr>
          <w:p>
            <w:pPr>
              <w:snapToGrid w:val="0"/>
              <w:rPr>
                <w:sz w:val="18"/>
                <w:szCs w:val="18"/>
              </w:rPr>
            </w:pPr>
            <w:r>
              <w:rPr>
                <w:sz w:val="18"/>
                <w:szCs w:val="18"/>
              </w:rPr>
              <w:t>CAS 2921-88-2</w:t>
            </w:r>
          </w:p>
        </w:tc>
        <w:tc>
          <w:tcPr>
            <w:tcW w:w="1098" w:type="dxa"/>
          </w:tcPr>
          <w:p>
            <w:pPr>
              <w:snapToGrid w:val="0"/>
              <w:jc w:val="center"/>
              <w:rPr>
                <w:sz w:val="18"/>
                <w:szCs w:val="18"/>
              </w:rPr>
            </w:pPr>
            <w:r>
              <w:rPr>
                <w:sz w:val="18"/>
                <w:szCs w:val="18"/>
              </w:rPr>
              <w:t>-</w:t>
            </w:r>
          </w:p>
        </w:tc>
        <w:tc>
          <w:tcPr>
            <w:tcW w:w="1081" w:type="dxa"/>
          </w:tcPr>
          <w:p>
            <w:pPr>
              <w:snapToGrid w:val="0"/>
              <w:jc w:val="center"/>
              <w:rPr>
                <w:sz w:val="18"/>
                <w:szCs w:val="18"/>
              </w:rPr>
            </w:pPr>
            <w:r>
              <w:rPr>
                <w:sz w:val="18"/>
                <w:szCs w:val="18"/>
              </w:rPr>
              <w:t>-</w:t>
            </w:r>
          </w:p>
        </w:tc>
        <w:tc>
          <w:tcPr>
            <w:tcW w:w="1425" w:type="dxa"/>
          </w:tcPr>
          <w:p>
            <w:pPr>
              <w:snapToGrid w:val="0"/>
              <w:jc w:val="center"/>
              <w:rPr>
                <w:sz w:val="18"/>
                <w:szCs w:val="18"/>
              </w:rPr>
            </w:pPr>
            <w:r>
              <w:rPr>
                <w:sz w:val="18"/>
                <w:szCs w:val="18"/>
              </w:rPr>
              <w:t>0,03</w:t>
            </w:r>
          </w:p>
        </w:tc>
        <w:tc>
          <w:tcPr>
            <w:tcW w:w="1442" w:type="dxa"/>
          </w:tcPr>
          <w:p>
            <w:pPr>
              <w:snapToGrid w:val="0"/>
              <w:jc w:val="center"/>
              <w:rPr>
                <w:sz w:val="18"/>
                <w:szCs w:val="18"/>
              </w:rPr>
            </w:pPr>
            <w:r>
              <w:rPr>
                <w:sz w:val="18"/>
                <w:szCs w:val="18"/>
              </w:rPr>
              <w:t>0,03</w:t>
            </w:r>
          </w:p>
        </w:tc>
        <w:tc>
          <w:tcPr>
            <w:tcW w:w="1426" w:type="dxa"/>
          </w:tcPr>
          <w:p>
            <w:pPr>
              <w:snapToGrid w:val="0"/>
              <w:jc w:val="center"/>
              <w:rPr>
                <w:sz w:val="18"/>
                <w:szCs w:val="18"/>
              </w:rPr>
            </w:pPr>
            <w:r>
              <w:rPr>
                <w:sz w:val="18"/>
                <w:szCs w:val="18"/>
              </w:rPr>
              <w:t>0,1</w:t>
            </w:r>
          </w:p>
        </w:tc>
        <w:tc>
          <w:tcPr>
            <w:tcW w:w="1433" w:type="dxa"/>
          </w:tcPr>
          <w:p>
            <w:pPr>
              <w:snapToGrid w:val="0"/>
              <w:jc w:val="center"/>
              <w:rPr>
                <w:sz w:val="18"/>
                <w:szCs w:val="18"/>
              </w:rPr>
            </w:pPr>
            <w:r>
              <w:rPr>
                <w:sz w:val="18"/>
                <w:szCs w:val="18"/>
              </w:rPr>
              <w:t>0,1</w:t>
            </w:r>
          </w:p>
        </w:tc>
        <w:tc>
          <w:tcPr>
            <w:tcW w:w="1550" w:type="dxa"/>
          </w:tcPr>
          <w:p>
            <w:pPr>
              <w:snapToGrid w:val="0"/>
              <w:jc w:val="center"/>
              <w:rPr>
                <w:rFonts w:eastAsia="Arial Unicode MS"/>
                <w:sz w:val="18"/>
                <w:szCs w:val="18"/>
              </w:rPr>
            </w:pPr>
            <w:r>
              <w:rPr>
                <w:rFonts w:eastAsia="Arial Unicode MS"/>
                <w:sz w:val="18"/>
                <w:szCs w:val="18"/>
              </w:rPr>
              <w:t>-</w:t>
            </w:r>
          </w:p>
        </w:tc>
        <w:tc>
          <w:tcPr>
            <w:tcW w:w="1362" w:type="dxa"/>
          </w:tcPr>
          <w:p>
            <w:pPr>
              <w:snapToGrid w:val="0"/>
              <w:jc w:val="center"/>
              <w:rPr>
                <w:rFonts w:eastAsia="Arial Unicode MS"/>
                <w:sz w:val="18"/>
                <w:szCs w:val="18"/>
              </w:rPr>
            </w:pPr>
            <w:r>
              <w:rPr>
                <w:rFonts w:eastAsia="Arial Unicode MS"/>
                <w:sz w:val="18"/>
                <w:szCs w:val="18"/>
              </w:rPr>
              <w:t>-</w:t>
            </w:r>
          </w:p>
        </w:tc>
      </w:tr>
      <w:tr>
        <w:trPr>
          <w:trHeight w:val="150"/>
        </w:trPr>
        <w:tc>
          <w:tcPr>
            <w:tcW w:w="2300" w:type="dxa"/>
            <w:tcBorders>
              <w:bottom w:val="nil"/>
            </w:tcBorders>
          </w:tcPr>
          <w:p>
            <w:pPr>
              <w:snapToGrid w:val="0"/>
              <w:rPr>
                <w:sz w:val="18"/>
                <w:szCs w:val="18"/>
                <w:vertAlign w:val="superscript"/>
              </w:rPr>
            </w:pPr>
            <w:r>
              <w:rPr>
                <w:sz w:val="18"/>
                <w:szCs w:val="18"/>
              </w:rPr>
              <w:t>Ciklodieno pesticidai</w:t>
            </w:r>
            <w:r>
              <w:rPr>
                <w:sz w:val="18"/>
                <w:szCs w:val="18"/>
                <w:vertAlign w:val="superscript"/>
              </w:rPr>
              <w:t>8</w:t>
            </w:r>
            <w:r>
              <w:rPr>
                <w:sz w:val="18"/>
                <w:szCs w:val="18"/>
              </w:rPr>
              <w:t>:</w:t>
            </w:r>
          </w:p>
        </w:tc>
        <w:tc>
          <w:tcPr>
            <w:tcW w:w="1623" w:type="dxa"/>
            <w:tcBorders>
              <w:bottom w:val="nil"/>
            </w:tcBorders>
          </w:tcPr>
          <w:p>
            <w:pPr>
              <w:snapToGrid w:val="0"/>
              <w:rPr>
                <w:sz w:val="18"/>
                <w:szCs w:val="18"/>
              </w:rPr>
            </w:pPr>
          </w:p>
        </w:tc>
        <w:tc>
          <w:tcPr>
            <w:tcW w:w="1098" w:type="dxa"/>
            <w:vMerge w:val="restart"/>
          </w:tcPr>
          <w:p>
            <w:pPr>
              <w:snapToGrid w:val="0"/>
              <w:jc w:val="center"/>
              <w:rPr>
                <w:sz w:val="18"/>
                <w:szCs w:val="18"/>
              </w:rPr>
            </w:pPr>
            <w:r>
              <w:rPr>
                <w:sz w:val="18"/>
                <w:szCs w:val="18"/>
              </w:rPr>
              <w:t>-</w:t>
            </w:r>
          </w:p>
        </w:tc>
        <w:tc>
          <w:tcPr>
            <w:tcW w:w="1081" w:type="dxa"/>
            <w:vMerge w:val="restart"/>
          </w:tcPr>
          <w:p>
            <w:pPr>
              <w:snapToGrid w:val="0"/>
              <w:jc w:val="center"/>
              <w:rPr>
                <w:sz w:val="18"/>
                <w:szCs w:val="18"/>
              </w:rPr>
            </w:pPr>
            <w:r>
              <w:rPr>
                <w:sz w:val="18"/>
                <w:szCs w:val="18"/>
              </w:rPr>
              <w:t>-</w:t>
            </w:r>
          </w:p>
        </w:tc>
        <w:tc>
          <w:tcPr>
            <w:tcW w:w="1425" w:type="dxa"/>
            <w:vMerge w:val="restart"/>
          </w:tcPr>
          <w:p>
            <w:pPr>
              <w:snapToGrid w:val="0"/>
              <w:jc w:val="center"/>
              <w:rPr>
                <w:sz w:val="18"/>
                <w:szCs w:val="18"/>
              </w:rPr>
            </w:pPr>
            <w:r>
              <w:rPr>
                <w:vanish/>
                <w:sz w:val="18"/>
                <w:szCs w:val="18"/>
              </w:rPr>
              <w:t>SUMA</w:t>
            </w:r>
            <w:r>
              <w:rPr>
                <w:sz w:val="18"/>
                <w:szCs w:val="18"/>
              </w:rPr>
              <w:t>? = 0,01</w:t>
            </w:r>
          </w:p>
        </w:tc>
        <w:tc>
          <w:tcPr>
            <w:tcW w:w="1442" w:type="dxa"/>
            <w:vMerge w:val="restart"/>
          </w:tcPr>
          <w:p>
            <w:pPr>
              <w:snapToGrid w:val="0"/>
              <w:jc w:val="center"/>
              <w:rPr>
                <w:sz w:val="18"/>
                <w:szCs w:val="18"/>
              </w:rPr>
            </w:pPr>
            <w:r>
              <w:rPr>
                <w:vanish/>
                <w:sz w:val="18"/>
                <w:szCs w:val="18"/>
              </w:rPr>
              <w:t>SUMA</w:t>
            </w:r>
            <w:r>
              <w:rPr>
                <w:sz w:val="18"/>
                <w:szCs w:val="18"/>
              </w:rPr>
              <w:t>? = 0,005</w:t>
            </w:r>
          </w:p>
        </w:tc>
        <w:tc>
          <w:tcPr>
            <w:tcW w:w="1426" w:type="dxa"/>
            <w:vMerge w:val="restart"/>
          </w:tcPr>
          <w:p>
            <w:pPr>
              <w:snapToGrid w:val="0"/>
              <w:jc w:val="center"/>
              <w:rPr>
                <w:sz w:val="18"/>
                <w:szCs w:val="18"/>
              </w:rPr>
            </w:pPr>
            <w:r>
              <w:rPr>
                <w:sz w:val="18"/>
                <w:szCs w:val="18"/>
              </w:rPr>
              <w:t>-</w:t>
            </w:r>
          </w:p>
        </w:tc>
        <w:tc>
          <w:tcPr>
            <w:tcW w:w="1433" w:type="dxa"/>
            <w:vMerge w:val="restart"/>
          </w:tcPr>
          <w:p>
            <w:pPr>
              <w:snapToGrid w:val="0"/>
              <w:jc w:val="center"/>
              <w:rPr>
                <w:sz w:val="18"/>
                <w:szCs w:val="18"/>
              </w:rPr>
            </w:pPr>
            <w:r>
              <w:rPr>
                <w:sz w:val="18"/>
                <w:szCs w:val="18"/>
              </w:rPr>
              <w:t>-</w:t>
            </w:r>
          </w:p>
        </w:tc>
        <w:tc>
          <w:tcPr>
            <w:tcW w:w="1550" w:type="dxa"/>
            <w:vMerge w:val="restart"/>
          </w:tcPr>
          <w:p>
            <w:pPr>
              <w:snapToGrid w:val="0"/>
              <w:jc w:val="center"/>
              <w:rPr>
                <w:sz w:val="18"/>
                <w:szCs w:val="18"/>
              </w:rPr>
            </w:pPr>
            <w:r>
              <w:rPr>
                <w:sz w:val="18"/>
                <w:szCs w:val="18"/>
              </w:rPr>
              <w:t>-</w:t>
            </w:r>
          </w:p>
        </w:tc>
        <w:tc>
          <w:tcPr>
            <w:tcW w:w="1362" w:type="dxa"/>
            <w:vMerge w:val="restart"/>
          </w:tcPr>
          <w:p>
            <w:pPr>
              <w:snapToGrid w:val="0"/>
              <w:jc w:val="center"/>
              <w:rPr>
                <w:sz w:val="18"/>
                <w:szCs w:val="18"/>
              </w:rPr>
            </w:pPr>
            <w:r>
              <w:rPr>
                <w:sz w:val="18"/>
                <w:szCs w:val="18"/>
              </w:rPr>
              <w:t>-</w:t>
            </w:r>
          </w:p>
        </w:tc>
      </w:tr>
      <w:tr>
        <w:trPr>
          <w:trHeight w:val="112"/>
        </w:trPr>
        <w:tc>
          <w:tcPr>
            <w:tcW w:w="2300" w:type="dxa"/>
            <w:tcBorders>
              <w:top w:val="nil"/>
              <w:bottom w:val="nil"/>
            </w:tcBorders>
          </w:tcPr>
          <w:p>
            <w:pPr>
              <w:snapToGrid w:val="0"/>
              <w:rPr>
                <w:sz w:val="18"/>
                <w:szCs w:val="18"/>
              </w:rPr>
            </w:pPr>
            <w:r>
              <w:rPr>
                <w:sz w:val="18"/>
                <w:szCs w:val="18"/>
              </w:rPr>
              <w:t>Aldrinas</w:t>
            </w:r>
            <w:r>
              <w:rPr>
                <w:sz w:val="18"/>
                <w:szCs w:val="18"/>
                <w:vertAlign w:val="superscript"/>
              </w:rPr>
              <w:t>6</w:t>
            </w:r>
            <w:r>
              <w:rPr>
                <w:sz w:val="18"/>
                <w:szCs w:val="18"/>
              </w:rPr>
              <w:t xml:space="preserve"> </w:t>
            </w:r>
          </w:p>
        </w:tc>
        <w:tc>
          <w:tcPr>
            <w:tcW w:w="1623" w:type="dxa"/>
            <w:tcBorders>
              <w:top w:val="nil"/>
              <w:bottom w:val="nil"/>
            </w:tcBorders>
          </w:tcPr>
          <w:p>
            <w:pPr>
              <w:snapToGrid w:val="0"/>
              <w:rPr>
                <w:sz w:val="18"/>
                <w:szCs w:val="18"/>
              </w:rPr>
            </w:pPr>
            <w:r>
              <w:rPr>
                <w:sz w:val="18"/>
                <w:szCs w:val="18"/>
              </w:rPr>
              <w:t xml:space="preserve">CAS 309-00-2 </w:t>
            </w:r>
          </w:p>
        </w:tc>
        <w:tc>
          <w:tcPr>
            <w:tcW w:w="1098" w:type="dxa"/>
            <w:vMerge/>
          </w:tcPr>
          <w:p>
            <w:pPr>
              <w:snapToGrid w:val="0"/>
              <w:jc w:val="center"/>
              <w:rPr>
                <w:sz w:val="18"/>
                <w:szCs w:val="18"/>
              </w:rPr>
            </w:pPr>
          </w:p>
        </w:tc>
        <w:tc>
          <w:tcPr>
            <w:tcW w:w="1081" w:type="dxa"/>
            <w:vMerge/>
          </w:tcPr>
          <w:p>
            <w:pPr>
              <w:snapToGrid w:val="0"/>
              <w:jc w:val="center"/>
              <w:rPr>
                <w:sz w:val="18"/>
                <w:szCs w:val="18"/>
              </w:rPr>
            </w:pPr>
          </w:p>
        </w:tc>
        <w:tc>
          <w:tcPr>
            <w:tcW w:w="1425" w:type="dxa"/>
            <w:vMerge/>
          </w:tcPr>
          <w:p>
            <w:pPr>
              <w:snapToGrid w:val="0"/>
              <w:jc w:val="center"/>
              <w:rPr>
                <w:vanish/>
                <w:sz w:val="18"/>
                <w:szCs w:val="18"/>
              </w:rPr>
            </w:pPr>
          </w:p>
        </w:tc>
        <w:tc>
          <w:tcPr>
            <w:tcW w:w="1442" w:type="dxa"/>
            <w:vMerge/>
          </w:tcPr>
          <w:p>
            <w:pPr>
              <w:snapToGrid w:val="0"/>
              <w:jc w:val="center"/>
              <w:rPr>
                <w:vanish/>
                <w:sz w:val="18"/>
                <w:szCs w:val="18"/>
              </w:rPr>
            </w:pPr>
          </w:p>
        </w:tc>
        <w:tc>
          <w:tcPr>
            <w:tcW w:w="1426" w:type="dxa"/>
            <w:vMerge/>
          </w:tcPr>
          <w:p>
            <w:pPr>
              <w:snapToGrid w:val="0"/>
              <w:jc w:val="center"/>
              <w:rPr>
                <w:sz w:val="18"/>
                <w:szCs w:val="18"/>
              </w:rPr>
            </w:pPr>
          </w:p>
        </w:tc>
        <w:tc>
          <w:tcPr>
            <w:tcW w:w="1433" w:type="dxa"/>
            <w:vMerge/>
          </w:tcPr>
          <w:p>
            <w:pPr>
              <w:snapToGrid w:val="0"/>
              <w:jc w:val="center"/>
              <w:rPr>
                <w:sz w:val="18"/>
                <w:szCs w:val="18"/>
              </w:rPr>
            </w:pPr>
          </w:p>
        </w:tc>
        <w:tc>
          <w:tcPr>
            <w:tcW w:w="1550" w:type="dxa"/>
            <w:vMerge/>
          </w:tcPr>
          <w:p>
            <w:pPr>
              <w:snapToGrid w:val="0"/>
              <w:jc w:val="center"/>
              <w:rPr>
                <w:sz w:val="18"/>
                <w:szCs w:val="18"/>
              </w:rPr>
            </w:pPr>
          </w:p>
        </w:tc>
        <w:tc>
          <w:tcPr>
            <w:tcW w:w="1362" w:type="dxa"/>
            <w:vMerge/>
          </w:tcPr>
          <w:p>
            <w:pPr>
              <w:snapToGrid w:val="0"/>
              <w:jc w:val="center"/>
              <w:rPr>
                <w:sz w:val="18"/>
                <w:szCs w:val="18"/>
              </w:rPr>
            </w:pPr>
          </w:p>
        </w:tc>
      </w:tr>
      <w:tr>
        <w:trPr>
          <w:trHeight w:val="73"/>
        </w:trPr>
        <w:tc>
          <w:tcPr>
            <w:tcW w:w="2300" w:type="dxa"/>
            <w:tcBorders>
              <w:top w:val="nil"/>
              <w:bottom w:val="nil"/>
            </w:tcBorders>
          </w:tcPr>
          <w:p>
            <w:pPr>
              <w:snapToGrid w:val="0"/>
              <w:rPr>
                <w:sz w:val="18"/>
                <w:szCs w:val="18"/>
              </w:rPr>
            </w:pPr>
            <w:r>
              <w:rPr>
                <w:sz w:val="18"/>
                <w:szCs w:val="18"/>
              </w:rPr>
              <w:t>Dieldrinas</w:t>
            </w:r>
            <w:r>
              <w:rPr>
                <w:sz w:val="18"/>
                <w:szCs w:val="18"/>
                <w:vertAlign w:val="superscript"/>
              </w:rPr>
              <w:t>6</w:t>
            </w:r>
            <w:r>
              <w:rPr>
                <w:sz w:val="18"/>
                <w:szCs w:val="18"/>
              </w:rPr>
              <w:t xml:space="preserve"> </w:t>
            </w:r>
          </w:p>
        </w:tc>
        <w:tc>
          <w:tcPr>
            <w:tcW w:w="1623" w:type="dxa"/>
            <w:tcBorders>
              <w:top w:val="nil"/>
              <w:bottom w:val="nil"/>
            </w:tcBorders>
          </w:tcPr>
          <w:p>
            <w:pPr>
              <w:snapToGrid w:val="0"/>
              <w:rPr>
                <w:sz w:val="18"/>
                <w:szCs w:val="18"/>
              </w:rPr>
            </w:pPr>
            <w:r>
              <w:rPr>
                <w:sz w:val="18"/>
                <w:szCs w:val="18"/>
              </w:rPr>
              <w:t xml:space="preserve">CAS 60-57-1 </w:t>
            </w:r>
          </w:p>
        </w:tc>
        <w:tc>
          <w:tcPr>
            <w:tcW w:w="1098" w:type="dxa"/>
            <w:vMerge/>
          </w:tcPr>
          <w:p>
            <w:pPr>
              <w:snapToGrid w:val="0"/>
              <w:jc w:val="center"/>
              <w:rPr>
                <w:sz w:val="18"/>
                <w:szCs w:val="18"/>
              </w:rPr>
            </w:pPr>
          </w:p>
        </w:tc>
        <w:tc>
          <w:tcPr>
            <w:tcW w:w="1081" w:type="dxa"/>
            <w:vMerge/>
          </w:tcPr>
          <w:p>
            <w:pPr>
              <w:snapToGrid w:val="0"/>
              <w:jc w:val="center"/>
              <w:rPr>
                <w:sz w:val="18"/>
                <w:szCs w:val="18"/>
              </w:rPr>
            </w:pPr>
          </w:p>
        </w:tc>
        <w:tc>
          <w:tcPr>
            <w:tcW w:w="1425" w:type="dxa"/>
            <w:vMerge/>
          </w:tcPr>
          <w:p>
            <w:pPr>
              <w:snapToGrid w:val="0"/>
              <w:jc w:val="center"/>
              <w:rPr>
                <w:vanish/>
                <w:sz w:val="18"/>
                <w:szCs w:val="18"/>
              </w:rPr>
            </w:pPr>
          </w:p>
        </w:tc>
        <w:tc>
          <w:tcPr>
            <w:tcW w:w="1442" w:type="dxa"/>
            <w:vMerge/>
          </w:tcPr>
          <w:p>
            <w:pPr>
              <w:snapToGrid w:val="0"/>
              <w:jc w:val="center"/>
              <w:rPr>
                <w:vanish/>
                <w:sz w:val="18"/>
                <w:szCs w:val="18"/>
              </w:rPr>
            </w:pPr>
          </w:p>
        </w:tc>
        <w:tc>
          <w:tcPr>
            <w:tcW w:w="1426" w:type="dxa"/>
            <w:vMerge/>
          </w:tcPr>
          <w:p>
            <w:pPr>
              <w:snapToGrid w:val="0"/>
              <w:jc w:val="center"/>
              <w:rPr>
                <w:sz w:val="18"/>
                <w:szCs w:val="18"/>
              </w:rPr>
            </w:pPr>
          </w:p>
        </w:tc>
        <w:tc>
          <w:tcPr>
            <w:tcW w:w="1433" w:type="dxa"/>
            <w:vMerge/>
          </w:tcPr>
          <w:p>
            <w:pPr>
              <w:snapToGrid w:val="0"/>
              <w:jc w:val="center"/>
              <w:rPr>
                <w:sz w:val="18"/>
                <w:szCs w:val="18"/>
              </w:rPr>
            </w:pPr>
          </w:p>
        </w:tc>
        <w:tc>
          <w:tcPr>
            <w:tcW w:w="1550" w:type="dxa"/>
            <w:vMerge/>
          </w:tcPr>
          <w:p>
            <w:pPr>
              <w:snapToGrid w:val="0"/>
              <w:jc w:val="center"/>
              <w:rPr>
                <w:sz w:val="18"/>
                <w:szCs w:val="18"/>
              </w:rPr>
            </w:pPr>
          </w:p>
        </w:tc>
        <w:tc>
          <w:tcPr>
            <w:tcW w:w="1362" w:type="dxa"/>
            <w:vMerge/>
          </w:tcPr>
          <w:p>
            <w:pPr>
              <w:snapToGrid w:val="0"/>
              <w:jc w:val="center"/>
              <w:rPr>
                <w:sz w:val="18"/>
                <w:szCs w:val="18"/>
              </w:rPr>
            </w:pPr>
          </w:p>
        </w:tc>
      </w:tr>
      <w:tr>
        <w:trPr>
          <w:trHeight w:val="40"/>
        </w:trPr>
        <w:tc>
          <w:tcPr>
            <w:tcW w:w="2300" w:type="dxa"/>
            <w:tcBorders>
              <w:top w:val="nil"/>
              <w:bottom w:val="nil"/>
            </w:tcBorders>
          </w:tcPr>
          <w:p>
            <w:pPr>
              <w:snapToGrid w:val="0"/>
              <w:rPr>
                <w:sz w:val="18"/>
                <w:szCs w:val="18"/>
              </w:rPr>
            </w:pPr>
            <w:r>
              <w:rPr>
                <w:sz w:val="18"/>
                <w:szCs w:val="18"/>
              </w:rPr>
              <w:t>Endrinas</w:t>
            </w:r>
            <w:r>
              <w:rPr>
                <w:sz w:val="18"/>
                <w:szCs w:val="18"/>
                <w:vertAlign w:val="superscript"/>
              </w:rPr>
              <w:t>6</w:t>
            </w:r>
            <w:r>
              <w:rPr>
                <w:sz w:val="18"/>
                <w:szCs w:val="18"/>
              </w:rPr>
              <w:t xml:space="preserve"> </w:t>
            </w:r>
          </w:p>
        </w:tc>
        <w:tc>
          <w:tcPr>
            <w:tcW w:w="1623" w:type="dxa"/>
            <w:tcBorders>
              <w:top w:val="nil"/>
              <w:bottom w:val="nil"/>
            </w:tcBorders>
          </w:tcPr>
          <w:p>
            <w:pPr>
              <w:snapToGrid w:val="0"/>
              <w:rPr>
                <w:sz w:val="18"/>
                <w:szCs w:val="18"/>
              </w:rPr>
            </w:pPr>
            <w:r>
              <w:rPr>
                <w:sz w:val="18"/>
                <w:szCs w:val="18"/>
              </w:rPr>
              <w:t xml:space="preserve">CAS 72-20-8 </w:t>
            </w:r>
          </w:p>
        </w:tc>
        <w:tc>
          <w:tcPr>
            <w:tcW w:w="1098" w:type="dxa"/>
            <w:vMerge/>
          </w:tcPr>
          <w:p>
            <w:pPr>
              <w:snapToGrid w:val="0"/>
              <w:jc w:val="center"/>
              <w:rPr>
                <w:sz w:val="18"/>
                <w:szCs w:val="18"/>
              </w:rPr>
            </w:pPr>
          </w:p>
        </w:tc>
        <w:tc>
          <w:tcPr>
            <w:tcW w:w="1081" w:type="dxa"/>
            <w:vMerge/>
          </w:tcPr>
          <w:p>
            <w:pPr>
              <w:snapToGrid w:val="0"/>
              <w:jc w:val="center"/>
              <w:rPr>
                <w:sz w:val="18"/>
                <w:szCs w:val="18"/>
              </w:rPr>
            </w:pPr>
          </w:p>
        </w:tc>
        <w:tc>
          <w:tcPr>
            <w:tcW w:w="1425" w:type="dxa"/>
            <w:vMerge/>
          </w:tcPr>
          <w:p>
            <w:pPr>
              <w:snapToGrid w:val="0"/>
              <w:jc w:val="center"/>
              <w:rPr>
                <w:vanish/>
                <w:sz w:val="18"/>
                <w:szCs w:val="18"/>
              </w:rPr>
            </w:pPr>
          </w:p>
        </w:tc>
        <w:tc>
          <w:tcPr>
            <w:tcW w:w="1442" w:type="dxa"/>
            <w:vMerge/>
          </w:tcPr>
          <w:p>
            <w:pPr>
              <w:snapToGrid w:val="0"/>
              <w:jc w:val="center"/>
              <w:rPr>
                <w:vanish/>
                <w:sz w:val="18"/>
                <w:szCs w:val="18"/>
              </w:rPr>
            </w:pPr>
          </w:p>
        </w:tc>
        <w:tc>
          <w:tcPr>
            <w:tcW w:w="1426" w:type="dxa"/>
            <w:vMerge/>
          </w:tcPr>
          <w:p>
            <w:pPr>
              <w:snapToGrid w:val="0"/>
              <w:jc w:val="center"/>
              <w:rPr>
                <w:sz w:val="18"/>
                <w:szCs w:val="18"/>
              </w:rPr>
            </w:pPr>
          </w:p>
        </w:tc>
        <w:tc>
          <w:tcPr>
            <w:tcW w:w="1433" w:type="dxa"/>
            <w:vMerge/>
          </w:tcPr>
          <w:p>
            <w:pPr>
              <w:snapToGrid w:val="0"/>
              <w:jc w:val="center"/>
              <w:rPr>
                <w:sz w:val="18"/>
                <w:szCs w:val="18"/>
              </w:rPr>
            </w:pPr>
          </w:p>
        </w:tc>
        <w:tc>
          <w:tcPr>
            <w:tcW w:w="1550" w:type="dxa"/>
            <w:vMerge/>
          </w:tcPr>
          <w:p>
            <w:pPr>
              <w:snapToGrid w:val="0"/>
              <w:jc w:val="center"/>
              <w:rPr>
                <w:sz w:val="18"/>
                <w:szCs w:val="18"/>
              </w:rPr>
            </w:pPr>
          </w:p>
        </w:tc>
        <w:tc>
          <w:tcPr>
            <w:tcW w:w="1362" w:type="dxa"/>
            <w:vMerge/>
          </w:tcPr>
          <w:p>
            <w:pPr>
              <w:snapToGrid w:val="0"/>
              <w:jc w:val="center"/>
              <w:rPr>
                <w:sz w:val="18"/>
                <w:szCs w:val="18"/>
              </w:rPr>
            </w:pPr>
          </w:p>
        </w:tc>
      </w:tr>
      <w:tr>
        <w:trPr>
          <w:trHeight w:val="40"/>
        </w:trPr>
        <w:tc>
          <w:tcPr>
            <w:tcW w:w="2300" w:type="dxa"/>
            <w:tcBorders>
              <w:top w:val="nil"/>
            </w:tcBorders>
          </w:tcPr>
          <w:p>
            <w:pPr>
              <w:snapToGrid w:val="0"/>
              <w:rPr>
                <w:sz w:val="18"/>
                <w:szCs w:val="18"/>
              </w:rPr>
            </w:pPr>
            <w:r>
              <w:rPr>
                <w:sz w:val="18"/>
                <w:szCs w:val="18"/>
              </w:rPr>
              <w:t>Izodrinas</w:t>
            </w:r>
            <w:r>
              <w:rPr>
                <w:sz w:val="18"/>
                <w:szCs w:val="18"/>
                <w:vertAlign w:val="superscript"/>
              </w:rPr>
              <w:t>6</w:t>
            </w:r>
          </w:p>
        </w:tc>
        <w:tc>
          <w:tcPr>
            <w:tcW w:w="1623" w:type="dxa"/>
            <w:tcBorders>
              <w:top w:val="nil"/>
            </w:tcBorders>
          </w:tcPr>
          <w:p>
            <w:pPr>
              <w:snapToGrid w:val="0"/>
              <w:rPr>
                <w:sz w:val="18"/>
                <w:szCs w:val="18"/>
              </w:rPr>
            </w:pPr>
            <w:r>
              <w:rPr>
                <w:sz w:val="18"/>
                <w:szCs w:val="18"/>
              </w:rPr>
              <w:t>CAS 465-73-6</w:t>
            </w:r>
          </w:p>
        </w:tc>
        <w:tc>
          <w:tcPr>
            <w:tcW w:w="1098" w:type="dxa"/>
            <w:vMerge/>
          </w:tcPr>
          <w:p>
            <w:pPr>
              <w:snapToGrid w:val="0"/>
              <w:jc w:val="center"/>
              <w:rPr>
                <w:sz w:val="18"/>
                <w:szCs w:val="18"/>
              </w:rPr>
            </w:pPr>
          </w:p>
        </w:tc>
        <w:tc>
          <w:tcPr>
            <w:tcW w:w="1081" w:type="dxa"/>
            <w:vMerge/>
          </w:tcPr>
          <w:p>
            <w:pPr>
              <w:snapToGrid w:val="0"/>
              <w:jc w:val="center"/>
              <w:rPr>
                <w:sz w:val="18"/>
                <w:szCs w:val="18"/>
              </w:rPr>
            </w:pPr>
          </w:p>
        </w:tc>
        <w:tc>
          <w:tcPr>
            <w:tcW w:w="1425" w:type="dxa"/>
            <w:vMerge/>
          </w:tcPr>
          <w:p>
            <w:pPr>
              <w:snapToGrid w:val="0"/>
              <w:jc w:val="center"/>
              <w:rPr>
                <w:vanish/>
                <w:sz w:val="18"/>
                <w:szCs w:val="18"/>
              </w:rPr>
            </w:pPr>
          </w:p>
        </w:tc>
        <w:tc>
          <w:tcPr>
            <w:tcW w:w="1442" w:type="dxa"/>
            <w:vMerge/>
          </w:tcPr>
          <w:p>
            <w:pPr>
              <w:snapToGrid w:val="0"/>
              <w:jc w:val="center"/>
              <w:rPr>
                <w:vanish/>
                <w:sz w:val="18"/>
                <w:szCs w:val="18"/>
              </w:rPr>
            </w:pPr>
          </w:p>
        </w:tc>
        <w:tc>
          <w:tcPr>
            <w:tcW w:w="1426" w:type="dxa"/>
            <w:vMerge/>
          </w:tcPr>
          <w:p>
            <w:pPr>
              <w:snapToGrid w:val="0"/>
              <w:jc w:val="center"/>
              <w:rPr>
                <w:sz w:val="18"/>
                <w:szCs w:val="18"/>
              </w:rPr>
            </w:pPr>
          </w:p>
        </w:tc>
        <w:tc>
          <w:tcPr>
            <w:tcW w:w="1433" w:type="dxa"/>
            <w:vMerge/>
          </w:tcPr>
          <w:p>
            <w:pPr>
              <w:snapToGrid w:val="0"/>
              <w:jc w:val="center"/>
              <w:rPr>
                <w:sz w:val="18"/>
                <w:szCs w:val="18"/>
              </w:rPr>
            </w:pPr>
          </w:p>
        </w:tc>
        <w:tc>
          <w:tcPr>
            <w:tcW w:w="1550" w:type="dxa"/>
            <w:vMerge/>
          </w:tcPr>
          <w:p>
            <w:pPr>
              <w:snapToGrid w:val="0"/>
              <w:jc w:val="center"/>
              <w:rPr>
                <w:sz w:val="18"/>
                <w:szCs w:val="18"/>
              </w:rPr>
            </w:pPr>
          </w:p>
        </w:tc>
        <w:tc>
          <w:tcPr>
            <w:tcW w:w="1362" w:type="dxa"/>
            <w:vMerge/>
          </w:tcPr>
          <w:p>
            <w:pPr>
              <w:snapToGrid w:val="0"/>
              <w:jc w:val="center"/>
              <w:rPr>
                <w:sz w:val="18"/>
                <w:szCs w:val="18"/>
              </w:rPr>
            </w:pPr>
          </w:p>
        </w:tc>
      </w:tr>
      <w:tr>
        <w:trPr>
          <w:trHeight w:val="20"/>
        </w:trPr>
        <w:tc>
          <w:tcPr>
            <w:tcW w:w="2300" w:type="dxa"/>
          </w:tcPr>
          <w:p>
            <w:pPr>
              <w:snapToGrid w:val="0"/>
              <w:rPr>
                <w:sz w:val="18"/>
                <w:szCs w:val="18"/>
                <w:vertAlign w:val="superscript"/>
              </w:rPr>
            </w:pPr>
            <w:r>
              <w:rPr>
                <w:sz w:val="18"/>
                <w:szCs w:val="18"/>
              </w:rPr>
              <w:t>Visas DDT</w:t>
            </w:r>
            <w:r>
              <w:rPr>
                <w:sz w:val="18"/>
                <w:szCs w:val="18"/>
                <w:vertAlign w:val="superscript"/>
              </w:rPr>
              <w:t xml:space="preserve">6  7</w:t>
            </w:r>
          </w:p>
        </w:tc>
        <w:tc>
          <w:tcPr>
            <w:tcW w:w="1623" w:type="dxa"/>
          </w:tcPr>
          <w:p>
            <w:pPr>
              <w:snapToGrid w:val="0"/>
              <w:rPr>
                <w:sz w:val="18"/>
                <w:szCs w:val="18"/>
              </w:rPr>
            </w:pPr>
            <w:r>
              <w:rPr>
                <w:sz w:val="18"/>
                <w:szCs w:val="18"/>
              </w:rPr>
              <w:t>-</w:t>
            </w:r>
          </w:p>
        </w:tc>
        <w:tc>
          <w:tcPr>
            <w:tcW w:w="1098" w:type="dxa"/>
          </w:tcPr>
          <w:p>
            <w:pPr>
              <w:snapToGrid w:val="0"/>
              <w:jc w:val="center"/>
              <w:rPr>
                <w:sz w:val="18"/>
                <w:szCs w:val="18"/>
              </w:rPr>
            </w:pPr>
            <w:r>
              <w:rPr>
                <w:sz w:val="18"/>
                <w:szCs w:val="18"/>
              </w:rPr>
              <w:t>-</w:t>
            </w:r>
          </w:p>
        </w:tc>
        <w:tc>
          <w:tcPr>
            <w:tcW w:w="1081" w:type="dxa"/>
          </w:tcPr>
          <w:p>
            <w:pPr>
              <w:snapToGrid w:val="0"/>
              <w:jc w:val="center"/>
              <w:rPr>
                <w:sz w:val="18"/>
                <w:szCs w:val="18"/>
              </w:rPr>
            </w:pPr>
            <w:r>
              <w:rPr>
                <w:sz w:val="18"/>
                <w:szCs w:val="18"/>
              </w:rPr>
              <w:t>-</w:t>
            </w:r>
          </w:p>
        </w:tc>
        <w:tc>
          <w:tcPr>
            <w:tcW w:w="1425" w:type="dxa"/>
          </w:tcPr>
          <w:p>
            <w:pPr>
              <w:snapToGrid w:val="0"/>
              <w:jc w:val="center"/>
              <w:rPr>
                <w:sz w:val="18"/>
                <w:szCs w:val="18"/>
              </w:rPr>
            </w:pPr>
            <w:r>
              <w:rPr>
                <w:sz w:val="18"/>
                <w:szCs w:val="18"/>
              </w:rPr>
              <w:t>0,025</w:t>
            </w:r>
          </w:p>
        </w:tc>
        <w:tc>
          <w:tcPr>
            <w:tcW w:w="1442" w:type="dxa"/>
          </w:tcPr>
          <w:p>
            <w:pPr>
              <w:snapToGrid w:val="0"/>
              <w:jc w:val="center"/>
              <w:rPr>
                <w:sz w:val="18"/>
                <w:szCs w:val="18"/>
              </w:rPr>
            </w:pPr>
            <w:r>
              <w:rPr>
                <w:sz w:val="18"/>
                <w:szCs w:val="18"/>
              </w:rPr>
              <w:t>0,025</w:t>
            </w:r>
          </w:p>
        </w:tc>
        <w:tc>
          <w:tcPr>
            <w:tcW w:w="1426" w:type="dxa"/>
          </w:tcPr>
          <w:p>
            <w:pPr>
              <w:snapToGrid w:val="0"/>
              <w:jc w:val="center"/>
              <w:rPr>
                <w:sz w:val="18"/>
                <w:szCs w:val="18"/>
              </w:rPr>
            </w:pPr>
            <w:r>
              <w:rPr>
                <w:sz w:val="18"/>
                <w:szCs w:val="18"/>
              </w:rPr>
              <w:t>-</w:t>
            </w:r>
          </w:p>
        </w:tc>
        <w:tc>
          <w:tcPr>
            <w:tcW w:w="1433" w:type="dxa"/>
          </w:tcPr>
          <w:p>
            <w:pPr>
              <w:snapToGrid w:val="0"/>
              <w:jc w:val="center"/>
              <w:rPr>
                <w:sz w:val="18"/>
                <w:szCs w:val="18"/>
              </w:rPr>
            </w:pPr>
            <w:r>
              <w:rPr>
                <w:sz w:val="18"/>
                <w:szCs w:val="18"/>
              </w:rPr>
              <w:t>-</w:t>
            </w:r>
          </w:p>
        </w:tc>
        <w:tc>
          <w:tcPr>
            <w:tcW w:w="1550" w:type="dxa"/>
          </w:tcPr>
          <w:p>
            <w:pPr>
              <w:snapToGrid w:val="0"/>
              <w:jc w:val="center"/>
              <w:rPr>
                <w:sz w:val="18"/>
                <w:szCs w:val="18"/>
              </w:rPr>
            </w:pPr>
            <w:r>
              <w:rPr>
                <w:sz w:val="18"/>
                <w:szCs w:val="18"/>
              </w:rPr>
              <w:t>-</w:t>
            </w:r>
          </w:p>
        </w:tc>
        <w:tc>
          <w:tcPr>
            <w:tcW w:w="1362" w:type="dxa"/>
          </w:tcPr>
          <w:p>
            <w:pPr>
              <w:snapToGrid w:val="0"/>
              <w:jc w:val="center"/>
              <w:rPr>
                <w:sz w:val="18"/>
                <w:szCs w:val="18"/>
              </w:rPr>
            </w:pPr>
            <w:r>
              <w:rPr>
                <w:sz w:val="18"/>
                <w:szCs w:val="18"/>
              </w:rPr>
              <w:t>-</w:t>
            </w:r>
          </w:p>
        </w:tc>
      </w:tr>
      <w:tr>
        <w:trPr>
          <w:trHeight w:val="20"/>
        </w:trPr>
        <w:tc>
          <w:tcPr>
            <w:tcW w:w="2300" w:type="dxa"/>
          </w:tcPr>
          <w:p>
            <w:pPr>
              <w:snapToGrid w:val="0"/>
              <w:rPr>
                <w:sz w:val="18"/>
                <w:szCs w:val="18"/>
                <w:vertAlign w:val="superscript"/>
              </w:rPr>
            </w:pPr>
            <w:r>
              <w:rPr>
                <w:sz w:val="18"/>
                <w:szCs w:val="18"/>
              </w:rPr>
              <w:t>Para-para-DDT</w:t>
            </w:r>
            <w:r>
              <w:rPr>
                <w:sz w:val="18"/>
                <w:szCs w:val="18"/>
                <w:vertAlign w:val="superscript"/>
              </w:rPr>
              <w:t>6</w:t>
            </w:r>
          </w:p>
        </w:tc>
        <w:tc>
          <w:tcPr>
            <w:tcW w:w="1623" w:type="dxa"/>
          </w:tcPr>
          <w:p>
            <w:pPr>
              <w:snapToGrid w:val="0"/>
              <w:rPr>
                <w:sz w:val="18"/>
                <w:szCs w:val="18"/>
              </w:rPr>
            </w:pPr>
            <w:r>
              <w:rPr>
                <w:sz w:val="18"/>
                <w:szCs w:val="18"/>
              </w:rPr>
              <w:t>CAS 50-29-3</w:t>
            </w:r>
          </w:p>
        </w:tc>
        <w:tc>
          <w:tcPr>
            <w:tcW w:w="1098" w:type="dxa"/>
          </w:tcPr>
          <w:p>
            <w:pPr>
              <w:snapToGrid w:val="0"/>
              <w:jc w:val="center"/>
              <w:rPr>
                <w:sz w:val="18"/>
                <w:szCs w:val="18"/>
              </w:rPr>
            </w:pPr>
            <w:r>
              <w:rPr>
                <w:sz w:val="18"/>
                <w:szCs w:val="18"/>
              </w:rPr>
              <w:t>-</w:t>
            </w:r>
          </w:p>
        </w:tc>
        <w:tc>
          <w:tcPr>
            <w:tcW w:w="1081" w:type="dxa"/>
          </w:tcPr>
          <w:p>
            <w:pPr>
              <w:snapToGrid w:val="0"/>
              <w:jc w:val="center"/>
              <w:rPr>
                <w:sz w:val="18"/>
                <w:szCs w:val="18"/>
              </w:rPr>
            </w:pPr>
            <w:r>
              <w:rPr>
                <w:sz w:val="18"/>
                <w:szCs w:val="18"/>
              </w:rPr>
              <w:t>-</w:t>
            </w:r>
          </w:p>
        </w:tc>
        <w:tc>
          <w:tcPr>
            <w:tcW w:w="1425" w:type="dxa"/>
          </w:tcPr>
          <w:p>
            <w:pPr>
              <w:snapToGrid w:val="0"/>
              <w:jc w:val="center"/>
              <w:rPr>
                <w:sz w:val="18"/>
                <w:szCs w:val="18"/>
              </w:rPr>
            </w:pPr>
            <w:r>
              <w:rPr>
                <w:sz w:val="18"/>
                <w:szCs w:val="18"/>
              </w:rPr>
              <w:t>0,01</w:t>
            </w:r>
          </w:p>
        </w:tc>
        <w:tc>
          <w:tcPr>
            <w:tcW w:w="1442" w:type="dxa"/>
          </w:tcPr>
          <w:p>
            <w:pPr>
              <w:snapToGrid w:val="0"/>
              <w:jc w:val="center"/>
              <w:rPr>
                <w:sz w:val="18"/>
                <w:szCs w:val="18"/>
              </w:rPr>
            </w:pPr>
            <w:r>
              <w:rPr>
                <w:sz w:val="18"/>
                <w:szCs w:val="18"/>
              </w:rPr>
              <w:t>0,01</w:t>
            </w:r>
          </w:p>
        </w:tc>
        <w:tc>
          <w:tcPr>
            <w:tcW w:w="1426" w:type="dxa"/>
          </w:tcPr>
          <w:p>
            <w:pPr>
              <w:snapToGrid w:val="0"/>
              <w:jc w:val="center"/>
              <w:rPr>
                <w:sz w:val="18"/>
                <w:szCs w:val="18"/>
              </w:rPr>
            </w:pPr>
            <w:r>
              <w:rPr>
                <w:sz w:val="18"/>
                <w:szCs w:val="18"/>
              </w:rPr>
              <w:t>-</w:t>
            </w:r>
          </w:p>
        </w:tc>
        <w:tc>
          <w:tcPr>
            <w:tcW w:w="1433" w:type="dxa"/>
          </w:tcPr>
          <w:p>
            <w:pPr>
              <w:snapToGrid w:val="0"/>
              <w:jc w:val="center"/>
              <w:rPr>
                <w:sz w:val="18"/>
                <w:szCs w:val="18"/>
              </w:rPr>
            </w:pPr>
            <w:r>
              <w:rPr>
                <w:sz w:val="18"/>
                <w:szCs w:val="18"/>
              </w:rPr>
              <w:t>-</w:t>
            </w:r>
          </w:p>
        </w:tc>
        <w:tc>
          <w:tcPr>
            <w:tcW w:w="1550" w:type="dxa"/>
          </w:tcPr>
          <w:p>
            <w:pPr>
              <w:snapToGrid w:val="0"/>
              <w:jc w:val="center"/>
              <w:rPr>
                <w:sz w:val="18"/>
                <w:szCs w:val="18"/>
              </w:rPr>
            </w:pPr>
            <w:r>
              <w:rPr>
                <w:sz w:val="18"/>
                <w:szCs w:val="18"/>
              </w:rPr>
              <w:t>-</w:t>
            </w:r>
          </w:p>
        </w:tc>
        <w:tc>
          <w:tcPr>
            <w:tcW w:w="1362" w:type="dxa"/>
          </w:tcPr>
          <w:p>
            <w:pPr>
              <w:snapToGrid w:val="0"/>
              <w:jc w:val="center"/>
              <w:rPr>
                <w:sz w:val="18"/>
                <w:szCs w:val="18"/>
              </w:rPr>
            </w:pPr>
            <w:r>
              <w:rPr>
                <w:sz w:val="18"/>
                <w:szCs w:val="18"/>
              </w:rPr>
              <w:t>-</w:t>
            </w:r>
          </w:p>
        </w:tc>
      </w:tr>
      <w:tr>
        <w:trPr>
          <w:trHeight w:val="20"/>
        </w:trPr>
        <w:tc>
          <w:tcPr>
            <w:tcW w:w="2300" w:type="dxa"/>
          </w:tcPr>
          <w:p>
            <w:pPr>
              <w:snapToGrid w:val="0"/>
              <w:rPr>
                <w:sz w:val="18"/>
                <w:szCs w:val="18"/>
              </w:rPr>
            </w:pPr>
            <w:r>
              <w:rPr>
                <w:sz w:val="18"/>
                <w:szCs w:val="18"/>
              </w:rPr>
              <w:t>1,2-dichloretanas (EDC)</w:t>
            </w:r>
          </w:p>
        </w:tc>
        <w:tc>
          <w:tcPr>
            <w:tcW w:w="1623" w:type="dxa"/>
          </w:tcPr>
          <w:p>
            <w:pPr>
              <w:snapToGrid w:val="0"/>
              <w:rPr>
                <w:sz w:val="18"/>
                <w:szCs w:val="18"/>
              </w:rPr>
            </w:pPr>
            <w:r>
              <w:rPr>
                <w:sz w:val="18"/>
                <w:szCs w:val="18"/>
              </w:rPr>
              <w:t>CAS 107-06-2</w:t>
            </w:r>
          </w:p>
        </w:tc>
        <w:tc>
          <w:tcPr>
            <w:tcW w:w="1098" w:type="dxa"/>
          </w:tcPr>
          <w:p>
            <w:pPr>
              <w:snapToGrid w:val="0"/>
              <w:jc w:val="center"/>
              <w:rPr>
                <w:sz w:val="18"/>
                <w:szCs w:val="18"/>
              </w:rPr>
            </w:pPr>
            <w:r>
              <w:rPr>
                <w:sz w:val="18"/>
                <w:szCs w:val="18"/>
              </w:rPr>
              <w:t>200</w:t>
            </w:r>
          </w:p>
        </w:tc>
        <w:tc>
          <w:tcPr>
            <w:tcW w:w="1081" w:type="dxa"/>
          </w:tcPr>
          <w:p>
            <w:pPr>
              <w:snapToGrid w:val="0"/>
              <w:jc w:val="center"/>
              <w:rPr>
                <w:sz w:val="18"/>
                <w:szCs w:val="18"/>
              </w:rPr>
            </w:pPr>
            <w:r>
              <w:rPr>
                <w:sz w:val="18"/>
                <w:szCs w:val="18"/>
              </w:rPr>
              <w:t>200</w:t>
            </w:r>
          </w:p>
        </w:tc>
        <w:tc>
          <w:tcPr>
            <w:tcW w:w="1425" w:type="dxa"/>
          </w:tcPr>
          <w:p>
            <w:pPr>
              <w:snapToGrid w:val="0"/>
              <w:jc w:val="center"/>
              <w:rPr>
                <w:sz w:val="18"/>
                <w:szCs w:val="18"/>
              </w:rPr>
            </w:pPr>
            <w:r>
              <w:rPr>
                <w:sz w:val="18"/>
                <w:szCs w:val="18"/>
              </w:rPr>
              <w:t>10</w:t>
            </w:r>
          </w:p>
        </w:tc>
        <w:tc>
          <w:tcPr>
            <w:tcW w:w="1442" w:type="dxa"/>
          </w:tcPr>
          <w:p>
            <w:pPr>
              <w:snapToGrid w:val="0"/>
              <w:jc w:val="center"/>
              <w:rPr>
                <w:sz w:val="18"/>
                <w:szCs w:val="18"/>
              </w:rPr>
            </w:pPr>
            <w:r>
              <w:rPr>
                <w:sz w:val="18"/>
                <w:szCs w:val="18"/>
              </w:rPr>
              <w:t>10</w:t>
            </w:r>
          </w:p>
        </w:tc>
        <w:tc>
          <w:tcPr>
            <w:tcW w:w="1426" w:type="dxa"/>
          </w:tcPr>
          <w:p>
            <w:pPr>
              <w:snapToGrid w:val="0"/>
              <w:jc w:val="center"/>
              <w:rPr>
                <w:sz w:val="18"/>
                <w:szCs w:val="18"/>
              </w:rPr>
            </w:pPr>
            <w:r>
              <w:rPr>
                <w:sz w:val="18"/>
                <w:szCs w:val="18"/>
              </w:rPr>
              <w:t>-</w:t>
            </w:r>
          </w:p>
        </w:tc>
        <w:tc>
          <w:tcPr>
            <w:tcW w:w="1433" w:type="dxa"/>
          </w:tcPr>
          <w:p>
            <w:pPr>
              <w:snapToGrid w:val="0"/>
              <w:jc w:val="center"/>
              <w:rPr>
                <w:sz w:val="18"/>
                <w:szCs w:val="18"/>
              </w:rPr>
            </w:pPr>
            <w:r>
              <w:rPr>
                <w:sz w:val="18"/>
                <w:szCs w:val="18"/>
              </w:rPr>
              <w:t>-</w:t>
            </w:r>
          </w:p>
        </w:tc>
        <w:tc>
          <w:tcPr>
            <w:tcW w:w="1550" w:type="dxa"/>
          </w:tcPr>
          <w:p>
            <w:pPr>
              <w:snapToGrid w:val="0"/>
              <w:jc w:val="center"/>
              <w:rPr>
                <w:sz w:val="18"/>
                <w:szCs w:val="18"/>
              </w:rPr>
            </w:pPr>
            <w:r>
              <w:rPr>
                <w:sz w:val="18"/>
                <w:szCs w:val="18"/>
              </w:rPr>
              <w:t>40</w:t>
            </w:r>
          </w:p>
        </w:tc>
        <w:tc>
          <w:tcPr>
            <w:tcW w:w="1362" w:type="dxa"/>
          </w:tcPr>
          <w:p>
            <w:pPr>
              <w:snapToGrid w:val="0"/>
              <w:jc w:val="center"/>
              <w:rPr>
                <w:sz w:val="18"/>
                <w:szCs w:val="18"/>
              </w:rPr>
            </w:pPr>
            <w:r>
              <w:rPr>
                <w:sz w:val="18"/>
                <w:szCs w:val="18"/>
              </w:rPr>
              <w:t>40</w:t>
            </w:r>
          </w:p>
        </w:tc>
      </w:tr>
      <w:tr>
        <w:trPr>
          <w:trHeight w:val="20"/>
        </w:trPr>
        <w:tc>
          <w:tcPr>
            <w:tcW w:w="2300" w:type="dxa"/>
          </w:tcPr>
          <w:p>
            <w:pPr>
              <w:suppressAutoHyphens/>
              <w:snapToGrid w:val="0"/>
              <w:rPr>
                <w:sz w:val="18"/>
                <w:szCs w:val="18"/>
                <w:lang w:eastAsia="ar-SA"/>
              </w:rPr>
            </w:pPr>
            <w:r>
              <w:rPr>
                <w:sz w:val="18"/>
                <w:szCs w:val="18"/>
                <w:lang w:eastAsia="ar-SA"/>
              </w:rPr>
              <w:t>Metilenchloridas (Dichlormetanas)</w:t>
            </w:r>
          </w:p>
        </w:tc>
        <w:tc>
          <w:tcPr>
            <w:tcW w:w="1623" w:type="dxa"/>
          </w:tcPr>
          <w:p>
            <w:pPr>
              <w:snapToGrid w:val="0"/>
              <w:rPr>
                <w:sz w:val="18"/>
                <w:szCs w:val="18"/>
              </w:rPr>
            </w:pPr>
            <w:r>
              <w:rPr>
                <w:sz w:val="18"/>
                <w:szCs w:val="18"/>
              </w:rPr>
              <w:t>CAS 75-09-2</w:t>
            </w:r>
          </w:p>
        </w:tc>
        <w:tc>
          <w:tcPr>
            <w:tcW w:w="1098" w:type="dxa"/>
          </w:tcPr>
          <w:p>
            <w:pPr>
              <w:snapToGrid w:val="0"/>
              <w:jc w:val="center"/>
              <w:rPr>
                <w:sz w:val="18"/>
                <w:szCs w:val="18"/>
              </w:rPr>
            </w:pPr>
            <w:r>
              <w:rPr>
                <w:sz w:val="18"/>
                <w:szCs w:val="18"/>
              </w:rPr>
              <w:t>4000</w:t>
            </w:r>
          </w:p>
        </w:tc>
        <w:tc>
          <w:tcPr>
            <w:tcW w:w="1081" w:type="dxa"/>
          </w:tcPr>
          <w:p>
            <w:pPr>
              <w:snapToGrid w:val="0"/>
              <w:jc w:val="center"/>
              <w:rPr>
                <w:sz w:val="18"/>
                <w:szCs w:val="18"/>
              </w:rPr>
            </w:pPr>
            <w:r>
              <w:rPr>
                <w:sz w:val="18"/>
                <w:szCs w:val="18"/>
              </w:rPr>
              <w:t>200</w:t>
            </w:r>
          </w:p>
        </w:tc>
        <w:tc>
          <w:tcPr>
            <w:tcW w:w="1425" w:type="dxa"/>
          </w:tcPr>
          <w:p>
            <w:pPr>
              <w:snapToGrid w:val="0"/>
              <w:jc w:val="center"/>
              <w:rPr>
                <w:sz w:val="18"/>
                <w:szCs w:val="18"/>
              </w:rPr>
            </w:pPr>
            <w:r>
              <w:rPr>
                <w:sz w:val="18"/>
                <w:szCs w:val="18"/>
              </w:rPr>
              <w:t>20</w:t>
            </w:r>
          </w:p>
        </w:tc>
        <w:tc>
          <w:tcPr>
            <w:tcW w:w="1442" w:type="dxa"/>
          </w:tcPr>
          <w:p>
            <w:pPr>
              <w:snapToGrid w:val="0"/>
              <w:jc w:val="center"/>
              <w:rPr>
                <w:sz w:val="18"/>
                <w:szCs w:val="18"/>
              </w:rPr>
            </w:pPr>
            <w:r>
              <w:rPr>
                <w:sz w:val="18"/>
                <w:szCs w:val="18"/>
              </w:rPr>
              <w:t>20</w:t>
            </w:r>
          </w:p>
        </w:tc>
        <w:tc>
          <w:tcPr>
            <w:tcW w:w="1426" w:type="dxa"/>
          </w:tcPr>
          <w:p>
            <w:pPr>
              <w:snapToGrid w:val="0"/>
              <w:jc w:val="center"/>
              <w:rPr>
                <w:sz w:val="18"/>
                <w:szCs w:val="18"/>
              </w:rPr>
            </w:pPr>
            <w:r>
              <w:rPr>
                <w:sz w:val="18"/>
                <w:szCs w:val="18"/>
              </w:rPr>
              <w:t>-</w:t>
            </w:r>
          </w:p>
        </w:tc>
        <w:tc>
          <w:tcPr>
            <w:tcW w:w="1433" w:type="dxa"/>
          </w:tcPr>
          <w:p>
            <w:pPr>
              <w:snapToGrid w:val="0"/>
              <w:jc w:val="center"/>
              <w:rPr>
                <w:sz w:val="18"/>
                <w:szCs w:val="18"/>
              </w:rPr>
            </w:pPr>
            <w:r>
              <w:rPr>
                <w:sz w:val="18"/>
                <w:szCs w:val="18"/>
              </w:rPr>
              <w:t>-</w:t>
            </w:r>
          </w:p>
        </w:tc>
        <w:tc>
          <w:tcPr>
            <w:tcW w:w="1550" w:type="dxa"/>
          </w:tcPr>
          <w:p>
            <w:pPr>
              <w:snapToGrid w:val="0"/>
              <w:jc w:val="center"/>
              <w:rPr>
                <w:sz w:val="18"/>
                <w:szCs w:val="18"/>
              </w:rPr>
            </w:pPr>
            <w:r>
              <w:rPr>
                <w:sz w:val="18"/>
                <w:szCs w:val="18"/>
              </w:rPr>
              <w:t>800</w:t>
            </w:r>
          </w:p>
        </w:tc>
        <w:tc>
          <w:tcPr>
            <w:tcW w:w="1362" w:type="dxa"/>
          </w:tcPr>
          <w:p>
            <w:pPr>
              <w:snapToGrid w:val="0"/>
              <w:jc w:val="center"/>
              <w:rPr>
                <w:sz w:val="18"/>
                <w:szCs w:val="18"/>
              </w:rPr>
            </w:pPr>
            <w:r>
              <w:rPr>
                <w:sz w:val="18"/>
                <w:szCs w:val="18"/>
              </w:rPr>
              <w:t>40</w:t>
            </w:r>
          </w:p>
        </w:tc>
      </w:tr>
      <w:tr>
        <w:trPr>
          <w:trHeight w:val="20"/>
        </w:trPr>
        <w:tc>
          <w:tcPr>
            <w:tcW w:w="2300" w:type="dxa"/>
          </w:tcPr>
          <w:p>
            <w:pPr>
              <w:snapToGrid w:val="0"/>
              <w:rPr>
                <w:sz w:val="18"/>
                <w:szCs w:val="18"/>
              </w:rPr>
            </w:pPr>
            <w:r>
              <w:rPr>
                <w:sz w:val="18"/>
                <w:szCs w:val="18"/>
              </w:rPr>
              <w:t>Di(2-etilheksil)ftalatas</w:t>
            </w:r>
          </w:p>
        </w:tc>
        <w:tc>
          <w:tcPr>
            <w:tcW w:w="1623" w:type="dxa"/>
          </w:tcPr>
          <w:p>
            <w:pPr>
              <w:snapToGrid w:val="0"/>
              <w:rPr>
                <w:sz w:val="18"/>
                <w:szCs w:val="18"/>
              </w:rPr>
            </w:pPr>
            <w:r>
              <w:rPr>
                <w:sz w:val="18"/>
                <w:szCs w:val="18"/>
              </w:rPr>
              <w:t>CAS 117-81-7</w:t>
            </w:r>
          </w:p>
        </w:tc>
        <w:tc>
          <w:tcPr>
            <w:tcW w:w="1098" w:type="dxa"/>
          </w:tcPr>
          <w:p>
            <w:pPr>
              <w:snapToGrid w:val="0"/>
              <w:jc w:val="center"/>
              <w:rPr>
                <w:sz w:val="18"/>
                <w:szCs w:val="18"/>
              </w:rPr>
            </w:pPr>
            <w:r>
              <w:rPr>
                <w:sz w:val="18"/>
                <w:szCs w:val="18"/>
              </w:rPr>
              <w:t>40</w:t>
            </w:r>
          </w:p>
        </w:tc>
        <w:tc>
          <w:tcPr>
            <w:tcW w:w="1081" w:type="dxa"/>
          </w:tcPr>
          <w:p>
            <w:pPr>
              <w:snapToGrid w:val="0"/>
              <w:jc w:val="center"/>
              <w:rPr>
                <w:sz w:val="18"/>
                <w:szCs w:val="18"/>
              </w:rPr>
            </w:pPr>
            <w:r>
              <w:rPr>
                <w:sz w:val="18"/>
                <w:szCs w:val="18"/>
              </w:rPr>
              <w:t>2</w:t>
            </w:r>
          </w:p>
        </w:tc>
        <w:tc>
          <w:tcPr>
            <w:tcW w:w="1425" w:type="dxa"/>
          </w:tcPr>
          <w:p>
            <w:pPr>
              <w:snapToGrid w:val="0"/>
              <w:jc w:val="center"/>
              <w:rPr>
                <w:sz w:val="18"/>
                <w:szCs w:val="18"/>
              </w:rPr>
            </w:pPr>
            <w:r>
              <w:rPr>
                <w:sz w:val="18"/>
                <w:szCs w:val="18"/>
              </w:rPr>
              <w:t>1,3</w:t>
            </w:r>
          </w:p>
        </w:tc>
        <w:tc>
          <w:tcPr>
            <w:tcW w:w="1442" w:type="dxa"/>
          </w:tcPr>
          <w:p>
            <w:pPr>
              <w:snapToGrid w:val="0"/>
              <w:jc w:val="center"/>
              <w:rPr>
                <w:sz w:val="18"/>
                <w:szCs w:val="18"/>
              </w:rPr>
            </w:pPr>
            <w:r>
              <w:rPr>
                <w:sz w:val="18"/>
                <w:szCs w:val="18"/>
              </w:rPr>
              <w:t>1,3</w:t>
            </w:r>
          </w:p>
        </w:tc>
        <w:tc>
          <w:tcPr>
            <w:tcW w:w="1426" w:type="dxa"/>
          </w:tcPr>
          <w:p>
            <w:pPr>
              <w:snapToGrid w:val="0"/>
              <w:jc w:val="center"/>
              <w:rPr>
                <w:sz w:val="18"/>
                <w:szCs w:val="18"/>
              </w:rPr>
            </w:pPr>
            <w:r>
              <w:rPr>
                <w:sz w:val="18"/>
                <w:szCs w:val="18"/>
              </w:rPr>
              <w:t>-</w:t>
            </w:r>
          </w:p>
        </w:tc>
        <w:tc>
          <w:tcPr>
            <w:tcW w:w="1433" w:type="dxa"/>
          </w:tcPr>
          <w:p>
            <w:pPr>
              <w:snapToGrid w:val="0"/>
              <w:jc w:val="center"/>
              <w:rPr>
                <w:sz w:val="18"/>
                <w:szCs w:val="18"/>
              </w:rPr>
            </w:pPr>
            <w:r>
              <w:rPr>
                <w:sz w:val="18"/>
                <w:szCs w:val="18"/>
              </w:rPr>
              <w:t>-</w:t>
            </w:r>
          </w:p>
        </w:tc>
        <w:tc>
          <w:tcPr>
            <w:tcW w:w="1550" w:type="dxa"/>
          </w:tcPr>
          <w:p>
            <w:pPr>
              <w:snapToGrid w:val="0"/>
              <w:jc w:val="center"/>
              <w:rPr>
                <w:sz w:val="18"/>
                <w:szCs w:val="18"/>
              </w:rPr>
            </w:pPr>
            <w:r>
              <w:rPr>
                <w:sz w:val="18"/>
                <w:szCs w:val="18"/>
              </w:rPr>
              <w:t>8</w:t>
            </w:r>
          </w:p>
        </w:tc>
        <w:tc>
          <w:tcPr>
            <w:tcW w:w="1362" w:type="dxa"/>
          </w:tcPr>
          <w:p>
            <w:pPr>
              <w:snapToGrid w:val="0"/>
              <w:jc w:val="center"/>
              <w:rPr>
                <w:sz w:val="18"/>
                <w:szCs w:val="18"/>
              </w:rPr>
            </w:pPr>
            <w:r>
              <w:rPr>
                <w:sz w:val="18"/>
                <w:szCs w:val="18"/>
              </w:rPr>
              <w:t>0,4</w:t>
            </w:r>
          </w:p>
        </w:tc>
      </w:tr>
      <w:tr>
        <w:trPr>
          <w:trHeight w:val="20"/>
        </w:trPr>
        <w:tc>
          <w:tcPr>
            <w:tcW w:w="2300" w:type="dxa"/>
          </w:tcPr>
          <w:p>
            <w:pPr>
              <w:snapToGrid w:val="0"/>
              <w:rPr>
                <w:sz w:val="18"/>
                <w:szCs w:val="18"/>
                <w:vertAlign w:val="superscript"/>
              </w:rPr>
            </w:pPr>
            <w:r>
              <w:rPr>
                <w:sz w:val="18"/>
                <w:szCs w:val="18"/>
              </w:rPr>
              <w:t>Diuronas</w:t>
            </w:r>
            <w:r>
              <w:rPr>
                <w:sz w:val="18"/>
                <w:szCs w:val="18"/>
                <w:vertAlign w:val="superscript"/>
              </w:rPr>
              <w:t>8</w:t>
            </w:r>
          </w:p>
        </w:tc>
        <w:tc>
          <w:tcPr>
            <w:tcW w:w="1623" w:type="dxa"/>
          </w:tcPr>
          <w:p>
            <w:pPr>
              <w:snapToGrid w:val="0"/>
              <w:rPr>
                <w:sz w:val="18"/>
                <w:szCs w:val="18"/>
              </w:rPr>
            </w:pPr>
            <w:r>
              <w:rPr>
                <w:sz w:val="18"/>
                <w:szCs w:val="18"/>
              </w:rPr>
              <w:t>CAS 330-54-1</w:t>
            </w:r>
          </w:p>
        </w:tc>
        <w:tc>
          <w:tcPr>
            <w:tcW w:w="1098" w:type="dxa"/>
          </w:tcPr>
          <w:p>
            <w:pPr>
              <w:snapToGrid w:val="0"/>
              <w:jc w:val="center"/>
              <w:rPr>
                <w:sz w:val="18"/>
                <w:szCs w:val="18"/>
              </w:rPr>
            </w:pPr>
            <w:r>
              <w:rPr>
                <w:sz w:val="18"/>
                <w:szCs w:val="18"/>
              </w:rPr>
              <w:t>-</w:t>
            </w:r>
          </w:p>
        </w:tc>
        <w:tc>
          <w:tcPr>
            <w:tcW w:w="1081" w:type="dxa"/>
          </w:tcPr>
          <w:p>
            <w:pPr>
              <w:snapToGrid w:val="0"/>
              <w:jc w:val="center"/>
              <w:rPr>
                <w:sz w:val="18"/>
                <w:szCs w:val="18"/>
              </w:rPr>
            </w:pPr>
            <w:r>
              <w:rPr>
                <w:sz w:val="18"/>
                <w:szCs w:val="18"/>
              </w:rPr>
              <w:t>-</w:t>
            </w:r>
          </w:p>
        </w:tc>
        <w:tc>
          <w:tcPr>
            <w:tcW w:w="1425" w:type="dxa"/>
          </w:tcPr>
          <w:p>
            <w:pPr>
              <w:snapToGrid w:val="0"/>
              <w:jc w:val="center"/>
              <w:rPr>
                <w:sz w:val="18"/>
                <w:szCs w:val="18"/>
              </w:rPr>
            </w:pPr>
            <w:r>
              <w:rPr>
                <w:sz w:val="18"/>
                <w:szCs w:val="18"/>
              </w:rPr>
              <w:t>0,2</w:t>
            </w:r>
          </w:p>
        </w:tc>
        <w:tc>
          <w:tcPr>
            <w:tcW w:w="1442" w:type="dxa"/>
          </w:tcPr>
          <w:p>
            <w:pPr>
              <w:snapToGrid w:val="0"/>
              <w:jc w:val="center"/>
              <w:rPr>
                <w:sz w:val="18"/>
                <w:szCs w:val="18"/>
              </w:rPr>
            </w:pPr>
            <w:r>
              <w:rPr>
                <w:sz w:val="18"/>
                <w:szCs w:val="18"/>
              </w:rPr>
              <w:t>0,2</w:t>
            </w:r>
          </w:p>
        </w:tc>
        <w:tc>
          <w:tcPr>
            <w:tcW w:w="1426" w:type="dxa"/>
          </w:tcPr>
          <w:p>
            <w:pPr>
              <w:snapToGrid w:val="0"/>
              <w:jc w:val="center"/>
              <w:rPr>
                <w:sz w:val="18"/>
                <w:szCs w:val="18"/>
              </w:rPr>
            </w:pPr>
            <w:r>
              <w:rPr>
                <w:sz w:val="18"/>
                <w:szCs w:val="18"/>
              </w:rPr>
              <w:t>1,8</w:t>
            </w:r>
          </w:p>
        </w:tc>
        <w:tc>
          <w:tcPr>
            <w:tcW w:w="1433" w:type="dxa"/>
          </w:tcPr>
          <w:p>
            <w:pPr>
              <w:snapToGrid w:val="0"/>
              <w:jc w:val="center"/>
              <w:rPr>
                <w:sz w:val="18"/>
                <w:szCs w:val="18"/>
              </w:rPr>
            </w:pPr>
            <w:r>
              <w:rPr>
                <w:sz w:val="18"/>
                <w:szCs w:val="18"/>
              </w:rPr>
              <w:t>1,8</w:t>
            </w:r>
          </w:p>
        </w:tc>
        <w:tc>
          <w:tcPr>
            <w:tcW w:w="1550" w:type="dxa"/>
          </w:tcPr>
          <w:p>
            <w:pPr>
              <w:snapToGrid w:val="0"/>
              <w:jc w:val="center"/>
              <w:rPr>
                <w:rFonts w:eastAsia="Arial Unicode MS"/>
                <w:sz w:val="18"/>
                <w:szCs w:val="18"/>
              </w:rPr>
            </w:pPr>
            <w:r>
              <w:rPr>
                <w:rFonts w:eastAsia="Arial Unicode MS"/>
                <w:sz w:val="18"/>
                <w:szCs w:val="18"/>
              </w:rPr>
              <w:t>-</w:t>
            </w:r>
          </w:p>
        </w:tc>
        <w:tc>
          <w:tcPr>
            <w:tcW w:w="1362" w:type="dxa"/>
          </w:tcPr>
          <w:p>
            <w:pPr>
              <w:snapToGrid w:val="0"/>
              <w:jc w:val="center"/>
              <w:rPr>
                <w:rFonts w:eastAsia="Arial Unicode MS"/>
                <w:sz w:val="18"/>
                <w:szCs w:val="18"/>
              </w:rPr>
            </w:pPr>
            <w:r>
              <w:rPr>
                <w:rFonts w:eastAsia="Arial Unicode MS"/>
                <w:sz w:val="18"/>
                <w:szCs w:val="18"/>
              </w:rPr>
              <w:t>-</w:t>
            </w:r>
          </w:p>
        </w:tc>
      </w:tr>
      <w:tr>
        <w:trPr>
          <w:trHeight w:val="20"/>
        </w:trPr>
        <w:tc>
          <w:tcPr>
            <w:tcW w:w="2300" w:type="dxa"/>
          </w:tcPr>
          <w:p>
            <w:pPr>
              <w:snapToGrid w:val="0"/>
              <w:rPr>
                <w:sz w:val="18"/>
                <w:szCs w:val="18"/>
              </w:rPr>
            </w:pPr>
            <w:r>
              <w:rPr>
                <w:sz w:val="18"/>
                <w:szCs w:val="18"/>
              </w:rPr>
              <w:t>Fluoroantenas</w:t>
            </w:r>
          </w:p>
        </w:tc>
        <w:tc>
          <w:tcPr>
            <w:tcW w:w="1623" w:type="dxa"/>
          </w:tcPr>
          <w:p>
            <w:pPr>
              <w:snapToGrid w:val="0"/>
              <w:rPr>
                <w:sz w:val="18"/>
                <w:szCs w:val="18"/>
              </w:rPr>
            </w:pPr>
            <w:r>
              <w:rPr>
                <w:sz w:val="18"/>
                <w:szCs w:val="18"/>
              </w:rPr>
              <w:t>CAS 206-44-0</w:t>
            </w:r>
          </w:p>
        </w:tc>
        <w:tc>
          <w:tcPr>
            <w:tcW w:w="1098" w:type="dxa"/>
          </w:tcPr>
          <w:p>
            <w:pPr>
              <w:snapToGrid w:val="0"/>
              <w:jc w:val="center"/>
              <w:rPr>
                <w:sz w:val="18"/>
                <w:szCs w:val="18"/>
              </w:rPr>
            </w:pPr>
            <w:r>
              <w:rPr>
                <w:sz w:val="18"/>
                <w:szCs w:val="18"/>
              </w:rPr>
              <w:t>120</w:t>
            </w:r>
          </w:p>
        </w:tc>
        <w:tc>
          <w:tcPr>
            <w:tcW w:w="1081" w:type="dxa"/>
          </w:tcPr>
          <w:p>
            <w:pPr>
              <w:snapToGrid w:val="0"/>
              <w:jc w:val="center"/>
              <w:rPr>
                <w:sz w:val="18"/>
                <w:szCs w:val="18"/>
              </w:rPr>
            </w:pPr>
            <w:r>
              <w:rPr>
                <w:sz w:val="18"/>
                <w:szCs w:val="18"/>
              </w:rPr>
              <w:t>6</w:t>
            </w:r>
          </w:p>
        </w:tc>
        <w:tc>
          <w:tcPr>
            <w:tcW w:w="1425" w:type="dxa"/>
          </w:tcPr>
          <w:p>
            <w:pPr>
              <w:snapToGrid w:val="0"/>
              <w:jc w:val="center"/>
              <w:rPr>
                <w:sz w:val="18"/>
                <w:szCs w:val="18"/>
              </w:rPr>
            </w:pPr>
            <w:r>
              <w:rPr>
                <w:sz w:val="18"/>
                <w:szCs w:val="18"/>
              </w:rPr>
              <w:t>0,1</w:t>
            </w:r>
          </w:p>
        </w:tc>
        <w:tc>
          <w:tcPr>
            <w:tcW w:w="1442" w:type="dxa"/>
          </w:tcPr>
          <w:p>
            <w:pPr>
              <w:snapToGrid w:val="0"/>
              <w:jc w:val="center"/>
              <w:rPr>
                <w:sz w:val="18"/>
                <w:szCs w:val="18"/>
              </w:rPr>
            </w:pPr>
            <w:r>
              <w:rPr>
                <w:sz w:val="18"/>
                <w:szCs w:val="18"/>
              </w:rPr>
              <w:t>0,1</w:t>
            </w:r>
          </w:p>
        </w:tc>
        <w:tc>
          <w:tcPr>
            <w:tcW w:w="1426" w:type="dxa"/>
          </w:tcPr>
          <w:p>
            <w:pPr>
              <w:snapToGrid w:val="0"/>
              <w:jc w:val="center"/>
              <w:rPr>
                <w:sz w:val="18"/>
                <w:szCs w:val="18"/>
              </w:rPr>
            </w:pPr>
            <w:r>
              <w:rPr>
                <w:sz w:val="18"/>
                <w:szCs w:val="18"/>
              </w:rPr>
              <w:t>1</w:t>
            </w:r>
          </w:p>
        </w:tc>
        <w:tc>
          <w:tcPr>
            <w:tcW w:w="1433" w:type="dxa"/>
          </w:tcPr>
          <w:p>
            <w:pPr>
              <w:snapToGrid w:val="0"/>
              <w:jc w:val="center"/>
              <w:rPr>
                <w:sz w:val="18"/>
                <w:szCs w:val="18"/>
              </w:rPr>
            </w:pPr>
            <w:r>
              <w:rPr>
                <w:sz w:val="18"/>
                <w:szCs w:val="18"/>
              </w:rPr>
              <w:t>1</w:t>
            </w:r>
          </w:p>
        </w:tc>
        <w:tc>
          <w:tcPr>
            <w:tcW w:w="1550" w:type="dxa"/>
          </w:tcPr>
          <w:p>
            <w:pPr>
              <w:snapToGrid w:val="0"/>
              <w:jc w:val="center"/>
              <w:rPr>
                <w:sz w:val="18"/>
                <w:szCs w:val="18"/>
              </w:rPr>
            </w:pPr>
            <w:r>
              <w:rPr>
                <w:sz w:val="18"/>
                <w:szCs w:val="18"/>
              </w:rPr>
              <w:t>24</w:t>
            </w:r>
          </w:p>
        </w:tc>
        <w:tc>
          <w:tcPr>
            <w:tcW w:w="1362" w:type="dxa"/>
          </w:tcPr>
          <w:p>
            <w:pPr>
              <w:snapToGrid w:val="0"/>
              <w:jc w:val="center"/>
              <w:rPr>
                <w:sz w:val="18"/>
                <w:szCs w:val="18"/>
              </w:rPr>
            </w:pPr>
            <w:r>
              <w:rPr>
                <w:sz w:val="18"/>
                <w:szCs w:val="18"/>
              </w:rPr>
              <w:t>1,2</w:t>
            </w:r>
          </w:p>
        </w:tc>
      </w:tr>
      <w:tr>
        <w:trPr>
          <w:trHeight w:val="20"/>
        </w:trPr>
        <w:tc>
          <w:tcPr>
            <w:tcW w:w="2300" w:type="dxa"/>
          </w:tcPr>
          <w:p>
            <w:pPr>
              <w:snapToGrid w:val="0"/>
              <w:rPr>
                <w:sz w:val="18"/>
                <w:szCs w:val="18"/>
                <w:vertAlign w:val="superscript"/>
              </w:rPr>
            </w:pPr>
            <w:r>
              <w:rPr>
                <w:sz w:val="18"/>
                <w:szCs w:val="18"/>
              </w:rPr>
              <w:t>Izoproturonas</w:t>
            </w:r>
            <w:r>
              <w:rPr>
                <w:sz w:val="18"/>
                <w:szCs w:val="18"/>
                <w:vertAlign w:val="superscript"/>
              </w:rPr>
              <w:t xml:space="preserve">8 </w:t>
            </w:r>
          </w:p>
        </w:tc>
        <w:tc>
          <w:tcPr>
            <w:tcW w:w="1623" w:type="dxa"/>
          </w:tcPr>
          <w:p>
            <w:pPr>
              <w:snapToGrid w:val="0"/>
              <w:rPr>
                <w:sz w:val="18"/>
                <w:szCs w:val="18"/>
              </w:rPr>
            </w:pPr>
            <w:r>
              <w:rPr>
                <w:sz w:val="18"/>
                <w:szCs w:val="18"/>
              </w:rPr>
              <w:t>CAS 34123-59-6</w:t>
            </w:r>
          </w:p>
        </w:tc>
        <w:tc>
          <w:tcPr>
            <w:tcW w:w="1098" w:type="dxa"/>
          </w:tcPr>
          <w:p>
            <w:pPr>
              <w:snapToGrid w:val="0"/>
              <w:jc w:val="center"/>
              <w:rPr>
                <w:sz w:val="18"/>
                <w:szCs w:val="18"/>
              </w:rPr>
            </w:pPr>
            <w:r>
              <w:rPr>
                <w:sz w:val="18"/>
                <w:szCs w:val="18"/>
              </w:rPr>
              <w:t>-</w:t>
            </w:r>
          </w:p>
        </w:tc>
        <w:tc>
          <w:tcPr>
            <w:tcW w:w="1081" w:type="dxa"/>
          </w:tcPr>
          <w:p>
            <w:pPr>
              <w:snapToGrid w:val="0"/>
              <w:jc w:val="center"/>
              <w:rPr>
                <w:sz w:val="18"/>
                <w:szCs w:val="18"/>
              </w:rPr>
            </w:pPr>
            <w:r>
              <w:rPr>
                <w:sz w:val="18"/>
                <w:szCs w:val="18"/>
              </w:rPr>
              <w:t>-</w:t>
            </w:r>
          </w:p>
        </w:tc>
        <w:tc>
          <w:tcPr>
            <w:tcW w:w="1425" w:type="dxa"/>
          </w:tcPr>
          <w:p>
            <w:pPr>
              <w:snapToGrid w:val="0"/>
              <w:jc w:val="center"/>
              <w:rPr>
                <w:sz w:val="18"/>
                <w:szCs w:val="18"/>
              </w:rPr>
            </w:pPr>
            <w:r>
              <w:rPr>
                <w:sz w:val="18"/>
                <w:szCs w:val="18"/>
              </w:rPr>
              <w:t>0,3</w:t>
            </w:r>
          </w:p>
        </w:tc>
        <w:tc>
          <w:tcPr>
            <w:tcW w:w="1442" w:type="dxa"/>
          </w:tcPr>
          <w:p>
            <w:pPr>
              <w:snapToGrid w:val="0"/>
              <w:jc w:val="center"/>
              <w:rPr>
                <w:sz w:val="18"/>
                <w:szCs w:val="18"/>
              </w:rPr>
            </w:pPr>
            <w:r>
              <w:rPr>
                <w:sz w:val="18"/>
                <w:szCs w:val="18"/>
              </w:rPr>
              <w:t>0,3</w:t>
            </w:r>
          </w:p>
        </w:tc>
        <w:tc>
          <w:tcPr>
            <w:tcW w:w="1426" w:type="dxa"/>
          </w:tcPr>
          <w:p>
            <w:pPr>
              <w:snapToGrid w:val="0"/>
              <w:jc w:val="center"/>
              <w:rPr>
                <w:sz w:val="18"/>
                <w:szCs w:val="18"/>
              </w:rPr>
            </w:pPr>
            <w:r>
              <w:rPr>
                <w:sz w:val="18"/>
                <w:szCs w:val="18"/>
              </w:rPr>
              <w:t>1,0</w:t>
            </w:r>
          </w:p>
        </w:tc>
        <w:tc>
          <w:tcPr>
            <w:tcW w:w="1433" w:type="dxa"/>
          </w:tcPr>
          <w:p>
            <w:pPr>
              <w:snapToGrid w:val="0"/>
              <w:jc w:val="center"/>
              <w:rPr>
                <w:sz w:val="18"/>
                <w:szCs w:val="18"/>
              </w:rPr>
            </w:pPr>
            <w:r>
              <w:rPr>
                <w:sz w:val="18"/>
                <w:szCs w:val="18"/>
              </w:rPr>
              <w:t>1,0</w:t>
            </w:r>
          </w:p>
        </w:tc>
        <w:tc>
          <w:tcPr>
            <w:tcW w:w="1550" w:type="dxa"/>
          </w:tcPr>
          <w:p>
            <w:pPr>
              <w:snapToGrid w:val="0"/>
              <w:jc w:val="center"/>
              <w:rPr>
                <w:rFonts w:eastAsia="Arial Unicode MS"/>
                <w:sz w:val="18"/>
                <w:szCs w:val="18"/>
              </w:rPr>
            </w:pPr>
            <w:r>
              <w:rPr>
                <w:rFonts w:eastAsia="Arial Unicode MS"/>
                <w:sz w:val="18"/>
                <w:szCs w:val="18"/>
              </w:rPr>
              <w:t>-</w:t>
            </w:r>
          </w:p>
        </w:tc>
        <w:tc>
          <w:tcPr>
            <w:tcW w:w="1362" w:type="dxa"/>
          </w:tcPr>
          <w:p>
            <w:pPr>
              <w:snapToGrid w:val="0"/>
              <w:jc w:val="center"/>
              <w:rPr>
                <w:rFonts w:eastAsia="Arial Unicode MS"/>
                <w:sz w:val="18"/>
                <w:szCs w:val="18"/>
              </w:rPr>
            </w:pPr>
            <w:r>
              <w:rPr>
                <w:rFonts w:eastAsia="Arial Unicode MS"/>
                <w:sz w:val="18"/>
                <w:szCs w:val="18"/>
              </w:rPr>
              <w:t>-</w:t>
            </w:r>
          </w:p>
        </w:tc>
      </w:tr>
      <w:tr>
        <w:trPr>
          <w:trHeight w:val="20"/>
        </w:trPr>
        <w:tc>
          <w:tcPr>
            <w:tcW w:w="2300" w:type="dxa"/>
          </w:tcPr>
          <w:p>
            <w:pPr>
              <w:snapToGrid w:val="0"/>
              <w:rPr>
                <w:sz w:val="18"/>
                <w:szCs w:val="18"/>
              </w:rPr>
            </w:pPr>
            <w:r>
              <w:rPr>
                <w:sz w:val="18"/>
                <w:szCs w:val="18"/>
              </w:rPr>
              <w:t>Švinas ir jo junginiai</w:t>
            </w:r>
          </w:p>
        </w:tc>
        <w:tc>
          <w:tcPr>
            <w:tcW w:w="1623" w:type="dxa"/>
          </w:tcPr>
          <w:p>
            <w:pPr>
              <w:snapToGrid w:val="0"/>
              <w:rPr>
                <w:sz w:val="18"/>
                <w:szCs w:val="18"/>
              </w:rPr>
            </w:pPr>
            <w:r>
              <w:rPr>
                <w:sz w:val="18"/>
                <w:szCs w:val="18"/>
              </w:rPr>
              <w:t>CAS 7439-92-1</w:t>
            </w:r>
          </w:p>
        </w:tc>
        <w:tc>
          <w:tcPr>
            <w:tcW w:w="1098" w:type="dxa"/>
          </w:tcPr>
          <w:p>
            <w:pPr>
              <w:snapToGrid w:val="0"/>
              <w:jc w:val="center"/>
              <w:rPr>
                <w:sz w:val="18"/>
                <w:szCs w:val="18"/>
              </w:rPr>
            </w:pPr>
            <w:r>
              <w:rPr>
                <w:sz w:val="18"/>
                <w:szCs w:val="18"/>
              </w:rPr>
              <w:t>500</w:t>
            </w:r>
          </w:p>
        </w:tc>
        <w:tc>
          <w:tcPr>
            <w:tcW w:w="1081" w:type="dxa"/>
          </w:tcPr>
          <w:p>
            <w:pPr>
              <w:snapToGrid w:val="0"/>
              <w:jc w:val="center"/>
              <w:rPr>
                <w:sz w:val="18"/>
                <w:szCs w:val="18"/>
              </w:rPr>
            </w:pPr>
            <w:r>
              <w:rPr>
                <w:sz w:val="18"/>
                <w:szCs w:val="18"/>
              </w:rPr>
              <w:t>100</w:t>
            </w:r>
          </w:p>
        </w:tc>
        <w:tc>
          <w:tcPr>
            <w:tcW w:w="1425" w:type="dxa"/>
          </w:tcPr>
          <w:p>
            <w:pPr>
              <w:snapToGrid w:val="0"/>
              <w:jc w:val="center"/>
              <w:rPr>
                <w:sz w:val="18"/>
                <w:szCs w:val="18"/>
              </w:rPr>
            </w:pPr>
            <w:r>
              <w:rPr>
                <w:sz w:val="18"/>
                <w:szCs w:val="18"/>
              </w:rPr>
              <w:t>7,2</w:t>
            </w:r>
          </w:p>
        </w:tc>
        <w:tc>
          <w:tcPr>
            <w:tcW w:w="1442" w:type="dxa"/>
          </w:tcPr>
          <w:p>
            <w:pPr>
              <w:snapToGrid w:val="0"/>
              <w:jc w:val="center"/>
              <w:rPr>
                <w:sz w:val="18"/>
                <w:szCs w:val="18"/>
              </w:rPr>
            </w:pPr>
            <w:r>
              <w:rPr>
                <w:sz w:val="18"/>
                <w:szCs w:val="18"/>
              </w:rPr>
              <w:t>7,2</w:t>
            </w:r>
          </w:p>
        </w:tc>
        <w:tc>
          <w:tcPr>
            <w:tcW w:w="1426" w:type="dxa"/>
          </w:tcPr>
          <w:p>
            <w:pPr>
              <w:snapToGrid w:val="0"/>
              <w:jc w:val="center"/>
              <w:rPr>
                <w:sz w:val="18"/>
                <w:szCs w:val="18"/>
              </w:rPr>
            </w:pPr>
            <w:r>
              <w:rPr>
                <w:sz w:val="18"/>
                <w:szCs w:val="18"/>
              </w:rPr>
              <w:t>-</w:t>
            </w:r>
          </w:p>
        </w:tc>
        <w:tc>
          <w:tcPr>
            <w:tcW w:w="1433" w:type="dxa"/>
          </w:tcPr>
          <w:p>
            <w:pPr>
              <w:snapToGrid w:val="0"/>
              <w:jc w:val="center"/>
              <w:rPr>
                <w:sz w:val="18"/>
                <w:szCs w:val="18"/>
              </w:rPr>
            </w:pPr>
            <w:r>
              <w:rPr>
                <w:sz w:val="18"/>
                <w:szCs w:val="18"/>
              </w:rPr>
              <w:t>-</w:t>
            </w:r>
          </w:p>
        </w:tc>
        <w:tc>
          <w:tcPr>
            <w:tcW w:w="1550" w:type="dxa"/>
          </w:tcPr>
          <w:p>
            <w:pPr>
              <w:snapToGrid w:val="0"/>
              <w:jc w:val="center"/>
              <w:rPr>
                <w:sz w:val="18"/>
                <w:szCs w:val="18"/>
              </w:rPr>
            </w:pPr>
            <w:r>
              <w:rPr>
                <w:sz w:val="18"/>
                <w:szCs w:val="18"/>
              </w:rPr>
              <w:t>100</w:t>
            </w:r>
          </w:p>
        </w:tc>
        <w:tc>
          <w:tcPr>
            <w:tcW w:w="1362" w:type="dxa"/>
          </w:tcPr>
          <w:p>
            <w:pPr>
              <w:snapToGrid w:val="0"/>
              <w:jc w:val="center"/>
              <w:rPr>
                <w:sz w:val="18"/>
                <w:szCs w:val="18"/>
              </w:rPr>
            </w:pPr>
            <w:r>
              <w:rPr>
                <w:sz w:val="18"/>
                <w:szCs w:val="18"/>
              </w:rPr>
              <w:t>20</w:t>
            </w:r>
          </w:p>
        </w:tc>
      </w:tr>
      <w:tr>
        <w:trPr>
          <w:trHeight w:val="20"/>
        </w:trPr>
        <w:tc>
          <w:tcPr>
            <w:tcW w:w="2300" w:type="dxa"/>
          </w:tcPr>
          <w:p>
            <w:pPr>
              <w:snapToGrid w:val="0"/>
              <w:rPr>
                <w:sz w:val="18"/>
                <w:szCs w:val="18"/>
              </w:rPr>
            </w:pPr>
            <w:r>
              <w:rPr>
                <w:sz w:val="18"/>
                <w:szCs w:val="18"/>
              </w:rPr>
              <w:t>Naftalenas</w:t>
            </w:r>
          </w:p>
        </w:tc>
        <w:tc>
          <w:tcPr>
            <w:tcW w:w="1623" w:type="dxa"/>
          </w:tcPr>
          <w:p>
            <w:pPr>
              <w:snapToGrid w:val="0"/>
              <w:rPr>
                <w:sz w:val="18"/>
                <w:szCs w:val="18"/>
              </w:rPr>
            </w:pPr>
            <w:r>
              <w:rPr>
                <w:sz w:val="18"/>
                <w:szCs w:val="18"/>
              </w:rPr>
              <w:t>CAS 91-20-3</w:t>
            </w:r>
          </w:p>
        </w:tc>
        <w:tc>
          <w:tcPr>
            <w:tcW w:w="1098" w:type="dxa"/>
          </w:tcPr>
          <w:p>
            <w:pPr>
              <w:snapToGrid w:val="0"/>
              <w:jc w:val="center"/>
              <w:rPr>
                <w:sz w:val="18"/>
                <w:szCs w:val="18"/>
              </w:rPr>
            </w:pPr>
            <w:r>
              <w:rPr>
                <w:sz w:val="18"/>
                <w:szCs w:val="18"/>
              </w:rPr>
              <w:t>400</w:t>
            </w:r>
          </w:p>
        </w:tc>
        <w:tc>
          <w:tcPr>
            <w:tcW w:w="1081" w:type="dxa"/>
          </w:tcPr>
          <w:p>
            <w:pPr>
              <w:snapToGrid w:val="0"/>
              <w:jc w:val="center"/>
              <w:rPr>
                <w:sz w:val="18"/>
                <w:szCs w:val="18"/>
              </w:rPr>
            </w:pPr>
            <w:r>
              <w:rPr>
                <w:sz w:val="18"/>
                <w:szCs w:val="18"/>
              </w:rPr>
              <w:t>20</w:t>
            </w:r>
          </w:p>
        </w:tc>
        <w:tc>
          <w:tcPr>
            <w:tcW w:w="1425" w:type="dxa"/>
          </w:tcPr>
          <w:p>
            <w:pPr>
              <w:snapToGrid w:val="0"/>
              <w:jc w:val="center"/>
              <w:rPr>
                <w:sz w:val="18"/>
                <w:szCs w:val="18"/>
              </w:rPr>
            </w:pPr>
            <w:r>
              <w:rPr>
                <w:sz w:val="18"/>
                <w:szCs w:val="18"/>
              </w:rPr>
              <w:t>2,4</w:t>
            </w:r>
          </w:p>
        </w:tc>
        <w:tc>
          <w:tcPr>
            <w:tcW w:w="1442" w:type="dxa"/>
          </w:tcPr>
          <w:p>
            <w:pPr>
              <w:snapToGrid w:val="0"/>
              <w:jc w:val="center"/>
              <w:rPr>
                <w:sz w:val="18"/>
                <w:szCs w:val="18"/>
              </w:rPr>
            </w:pPr>
            <w:r>
              <w:rPr>
                <w:sz w:val="18"/>
                <w:szCs w:val="18"/>
              </w:rPr>
              <w:t>1,2</w:t>
            </w:r>
          </w:p>
        </w:tc>
        <w:tc>
          <w:tcPr>
            <w:tcW w:w="1426" w:type="dxa"/>
          </w:tcPr>
          <w:p>
            <w:pPr>
              <w:snapToGrid w:val="0"/>
              <w:jc w:val="center"/>
              <w:rPr>
                <w:sz w:val="18"/>
                <w:szCs w:val="18"/>
              </w:rPr>
            </w:pPr>
            <w:r>
              <w:rPr>
                <w:sz w:val="18"/>
                <w:szCs w:val="18"/>
              </w:rPr>
              <w:t>-</w:t>
            </w:r>
          </w:p>
        </w:tc>
        <w:tc>
          <w:tcPr>
            <w:tcW w:w="1433" w:type="dxa"/>
          </w:tcPr>
          <w:p>
            <w:pPr>
              <w:snapToGrid w:val="0"/>
              <w:jc w:val="center"/>
              <w:rPr>
                <w:sz w:val="18"/>
                <w:szCs w:val="18"/>
              </w:rPr>
            </w:pPr>
            <w:r>
              <w:rPr>
                <w:sz w:val="18"/>
                <w:szCs w:val="18"/>
              </w:rPr>
              <w:t>-</w:t>
            </w:r>
          </w:p>
        </w:tc>
        <w:tc>
          <w:tcPr>
            <w:tcW w:w="1550" w:type="dxa"/>
          </w:tcPr>
          <w:p>
            <w:pPr>
              <w:snapToGrid w:val="0"/>
              <w:jc w:val="center"/>
              <w:rPr>
                <w:sz w:val="18"/>
                <w:szCs w:val="18"/>
              </w:rPr>
            </w:pPr>
            <w:r>
              <w:rPr>
                <w:sz w:val="18"/>
                <w:szCs w:val="18"/>
              </w:rPr>
              <w:t>80</w:t>
            </w:r>
          </w:p>
        </w:tc>
        <w:tc>
          <w:tcPr>
            <w:tcW w:w="1362" w:type="dxa"/>
          </w:tcPr>
          <w:p>
            <w:pPr>
              <w:snapToGrid w:val="0"/>
              <w:jc w:val="center"/>
              <w:rPr>
                <w:sz w:val="18"/>
                <w:szCs w:val="18"/>
              </w:rPr>
            </w:pPr>
            <w:r>
              <w:rPr>
                <w:sz w:val="18"/>
                <w:szCs w:val="18"/>
              </w:rPr>
              <w:t>4</w:t>
            </w:r>
          </w:p>
        </w:tc>
      </w:tr>
      <w:tr>
        <w:trPr>
          <w:trHeight w:val="20"/>
        </w:trPr>
        <w:tc>
          <w:tcPr>
            <w:tcW w:w="2300" w:type="dxa"/>
          </w:tcPr>
          <w:p>
            <w:pPr>
              <w:snapToGrid w:val="0"/>
              <w:rPr>
                <w:sz w:val="18"/>
                <w:szCs w:val="18"/>
              </w:rPr>
            </w:pPr>
            <w:r>
              <w:rPr>
                <w:sz w:val="18"/>
                <w:szCs w:val="18"/>
              </w:rPr>
              <w:t>Nikelis ir jo junginiai</w:t>
            </w:r>
          </w:p>
        </w:tc>
        <w:tc>
          <w:tcPr>
            <w:tcW w:w="1623" w:type="dxa"/>
          </w:tcPr>
          <w:p>
            <w:pPr>
              <w:snapToGrid w:val="0"/>
              <w:rPr>
                <w:sz w:val="18"/>
                <w:szCs w:val="18"/>
              </w:rPr>
            </w:pPr>
            <w:r>
              <w:rPr>
                <w:sz w:val="18"/>
                <w:szCs w:val="18"/>
              </w:rPr>
              <w:t>CAS 7440-02-0</w:t>
            </w:r>
          </w:p>
        </w:tc>
        <w:tc>
          <w:tcPr>
            <w:tcW w:w="1098" w:type="dxa"/>
          </w:tcPr>
          <w:p>
            <w:pPr>
              <w:snapToGrid w:val="0"/>
              <w:jc w:val="center"/>
              <w:rPr>
                <w:sz w:val="18"/>
                <w:szCs w:val="18"/>
              </w:rPr>
            </w:pPr>
            <w:r>
              <w:rPr>
                <w:sz w:val="18"/>
                <w:szCs w:val="18"/>
              </w:rPr>
              <w:t>500</w:t>
            </w:r>
          </w:p>
        </w:tc>
        <w:tc>
          <w:tcPr>
            <w:tcW w:w="1081" w:type="dxa"/>
          </w:tcPr>
          <w:p>
            <w:pPr>
              <w:snapToGrid w:val="0"/>
              <w:jc w:val="center"/>
              <w:rPr>
                <w:sz w:val="18"/>
                <w:szCs w:val="18"/>
              </w:rPr>
            </w:pPr>
            <w:r>
              <w:rPr>
                <w:sz w:val="18"/>
                <w:szCs w:val="18"/>
              </w:rPr>
              <w:t>200</w:t>
            </w:r>
          </w:p>
        </w:tc>
        <w:tc>
          <w:tcPr>
            <w:tcW w:w="1425" w:type="dxa"/>
          </w:tcPr>
          <w:p>
            <w:pPr>
              <w:snapToGrid w:val="0"/>
              <w:jc w:val="center"/>
              <w:rPr>
                <w:sz w:val="18"/>
                <w:szCs w:val="18"/>
              </w:rPr>
            </w:pPr>
            <w:r>
              <w:rPr>
                <w:sz w:val="18"/>
                <w:szCs w:val="18"/>
              </w:rPr>
              <w:t>20</w:t>
            </w:r>
          </w:p>
        </w:tc>
        <w:tc>
          <w:tcPr>
            <w:tcW w:w="1442" w:type="dxa"/>
          </w:tcPr>
          <w:p>
            <w:pPr>
              <w:snapToGrid w:val="0"/>
              <w:jc w:val="center"/>
              <w:rPr>
                <w:sz w:val="18"/>
                <w:szCs w:val="18"/>
              </w:rPr>
            </w:pPr>
            <w:r>
              <w:rPr>
                <w:sz w:val="18"/>
                <w:szCs w:val="18"/>
              </w:rPr>
              <w:t>20</w:t>
            </w:r>
          </w:p>
        </w:tc>
        <w:tc>
          <w:tcPr>
            <w:tcW w:w="1426" w:type="dxa"/>
          </w:tcPr>
          <w:p>
            <w:pPr>
              <w:snapToGrid w:val="0"/>
              <w:jc w:val="center"/>
              <w:rPr>
                <w:sz w:val="18"/>
                <w:szCs w:val="18"/>
              </w:rPr>
            </w:pPr>
            <w:r>
              <w:rPr>
                <w:sz w:val="18"/>
                <w:szCs w:val="18"/>
              </w:rPr>
              <w:t>-</w:t>
            </w:r>
          </w:p>
        </w:tc>
        <w:tc>
          <w:tcPr>
            <w:tcW w:w="1433" w:type="dxa"/>
          </w:tcPr>
          <w:p>
            <w:pPr>
              <w:snapToGrid w:val="0"/>
              <w:jc w:val="center"/>
              <w:rPr>
                <w:sz w:val="18"/>
                <w:szCs w:val="18"/>
              </w:rPr>
            </w:pPr>
            <w:r>
              <w:rPr>
                <w:sz w:val="18"/>
                <w:szCs w:val="18"/>
              </w:rPr>
              <w:t>-</w:t>
            </w:r>
          </w:p>
        </w:tc>
        <w:tc>
          <w:tcPr>
            <w:tcW w:w="1550" w:type="dxa"/>
          </w:tcPr>
          <w:p>
            <w:pPr>
              <w:snapToGrid w:val="0"/>
              <w:jc w:val="center"/>
              <w:rPr>
                <w:sz w:val="18"/>
                <w:szCs w:val="18"/>
              </w:rPr>
            </w:pPr>
            <w:r>
              <w:rPr>
                <w:sz w:val="18"/>
                <w:szCs w:val="18"/>
              </w:rPr>
              <w:t>100</w:t>
            </w:r>
          </w:p>
        </w:tc>
        <w:tc>
          <w:tcPr>
            <w:tcW w:w="1362" w:type="dxa"/>
          </w:tcPr>
          <w:p>
            <w:pPr>
              <w:snapToGrid w:val="0"/>
              <w:jc w:val="center"/>
              <w:rPr>
                <w:sz w:val="18"/>
                <w:szCs w:val="18"/>
              </w:rPr>
            </w:pPr>
            <w:r>
              <w:rPr>
                <w:sz w:val="18"/>
                <w:szCs w:val="18"/>
              </w:rPr>
              <w:t>40</w:t>
            </w:r>
          </w:p>
        </w:tc>
      </w:tr>
      <w:tr>
        <w:trPr>
          <w:trHeight w:val="20"/>
        </w:trPr>
        <w:tc>
          <w:tcPr>
            <w:tcW w:w="2300" w:type="dxa"/>
          </w:tcPr>
          <w:p>
            <w:pPr>
              <w:snapToGrid w:val="0"/>
              <w:rPr>
                <w:sz w:val="18"/>
                <w:szCs w:val="18"/>
              </w:rPr>
            </w:pPr>
            <w:r>
              <w:rPr>
                <w:sz w:val="18"/>
                <w:szCs w:val="18"/>
              </w:rPr>
              <w:t>Oktilfenolis ((4-(1,1´,3,3´-tetrametilbutil)-fenolis))</w:t>
            </w:r>
          </w:p>
        </w:tc>
        <w:tc>
          <w:tcPr>
            <w:tcW w:w="1623" w:type="dxa"/>
          </w:tcPr>
          <w:p>
            <w:pPr>
              <w:snapToGrid w:val="0"/>
              <w:rPr>
                <w:sz w:val="18"/>
                <w:szCs w:val="18"/>
              </w:rPr>
            </w:pPr>
            <w:r>
              <w:rPr>
                <w:sz w:val="18"/>
                <w:szCs w:val="18"/>
              </w:rPr>
              <w:t>CAS 140-66-9</w:t>
            </w:r>
          </w:p>
        </w:tc>
        <w:tc>
          <w:tcPr>
            <w:tcW w:w="1098" w:type="dxa"/>
          </w:tcPr>
          <w:p>
            <w:pPr>
              <w:snapToGrid w:val="0"/>
              <w:jc w:val="center"/>
              <w:rPr>
                <w:sz w:val="18"/>
                <w:szCs w:val="18"/>
              </w:rPr>
            </w:pPr>
            <w:r>
              <w:rPr>
                <w:sz w:val="18"/>
                <w:szCs w:val="18"/>
              </w:rPr>
              <w:t>400</w:t>
            </w:r>
          </w:p>
        </w:tc>
        <w:tc>
          <w:tcPr>
            <w:tcW w:w="1081" w:type="dxa"/>
          </w:tcPr>
          <w:p>
            <w:pPr>
              <w:snapToGrid w:val="0"/>
              <w:jc w:val="center"/>
              <w:rPr>
                <w:sz w:val="18"/>
                <w:szCs w:val="18"/>
              </w:rPr>
            </w:pPr>
            <w:r>
              <w:rPr>
                <w:sz w:val="18"/>
                <w:szCs w:val="18"/>
              </w:rPr>
              <w:t>20</w:t>
            </w:r>
          </w:p>
        </w:tc>
        <w:tc>
          <w:tcPr>
            <w:tcW w:w="1425" w:type="dxa"/>
          </w:tcPr>
          <w:p>
            <w:pPr>
              <w:snapToGrid w:val="0"/>
              <w:jc w:val="center"/>
              <w:rPr>
                <w:sz w:val="18"/>
                <w:szCs w:val="18"/>
              </w:rPr>
            </w:pPr>
            <w:r>
              <w:rPr>
                <w:sz w:val="18"/>
                <w:szCs w:val="18"/>
              </w:rPr>
              <w:t>0,1</w:t>
            </w:r>
          </w:p>
        </w:tc>
        <w:tc>
          <w:tcPr>
            <w:tcW w:w="1442" w:type="dxa"/>
          </w:tcPr>
          <w:p>
            <w:pPr>
              <w:snapToGrid w:val="0"/>
              <w:jc w:val="center"/>
              <w:rPr>
                <w:sz w:val="18"/>
                <w:szCs w:val="18"/>
              </w:rPr>
            </w:pPr>
            <w:r>
              <w:rPr>
                <w:sz w:val="18"/>
                <w:szCs w:val="18"/>
              </w:rPr>
              <w:t>0,01</w:t>
            </w:r>
          </w:p>
        </w:tc>
        <w:tc>
          <w:tcPr>
            <w:tcW w:w="1426" w:type="dxa"/>
          </w:tcPr>
          <w:p>
            <w:pPr>
              <w:snapToGrid w:val="0"/>
              <w:jc w:val="center"/>
              <w:rPr>
                <w:sz w:val="18"/>
                <w:szCs w:val="18"/>
              </w:rPr>
            </w:pPr>
            <w:r>
              <w:rPr>
                <w:sz w:val="18"/>
                <w:szCs w:val="18"/>
              </w:rPr>
              <w:t>-</w:t>
            </w:r>
          </w:p>
        </w:tc>
        <w:tc>
          <w:tcPr>
            <w:tcW w:w="1433" w:type="dxa"/>
          </w:tcPr>
          <w:p>
            <w:pPr>
              <w:snapToGrid w:val="0"/>
              <w:jc w:val="center"/>
              <w:rPr>
                <w:sz w:val="18"/>
                <w:szCs w:val="18"/>
              </w:rPr>
            </w:pPr>
            <w:r>
              <w:rPr>
                <w:sz w:val="18"/>
                <w:szCs w:val="18"/>
              </w:rPr>
              <w:t>-</w:t>
            </w:r>
          </w:p>
        </w:tc>
        <w:tc>
          <w:tcPr>
            <w:tcW w:w="1550" w:type="dxa"/>
          </w:tcPr>
          <w:p>
            <w:pPr>
              <w:snapToGrid w:val="0"/>
              <w:jc w:val="center"/>
              <w:rPr>
                <w:rFonts w:eastAsia="Arial Unicode MS"/>
                <w:sz w:val="18"/>
                <w:szCs w:val="18"/>
              </w:rPr>
            </w:pPr>
            <w:r>
              <w:rPr>
                <w:rFonts w:eastAsia="Arial Unicode MS"/>
                <w:sz w:val="18"/>
                <w:szCs w:val="18"/>
              </w:rPr>
              <w:t>80</w:t>
            </w:r>
          </w:p>
        </w:tc>
        <w:tc>
          <w:tcPr>
            <w:tcW w:w="1362" w:type="dxa"/>
          </w:tcPr>
          <w:p>
            <w:pPr>
              <w:snapToGrid w:val="0"/>
              <w:jc w:val="center"/>
              <w:rPr>
                <w:rFonts w:eastAsia="Arial Unicode MS"/>
                <w:sz w:val="18"/>
                <w:szCs w:val="18"/>
              </w:rPr>
            </w:pPr>
            <w:r>
              <w:rPr>
                <w:rFonts w:eastAsia="Arial Unicode MS"/>
                <w:sz w:val="18"/>
                <w:szCs w:val="18"/>
              </w:rPr>
              <w:t>4</w:t>
            </w:r>
          </w:p>
        </w:tc>
      </w:tr>
      <w:tr>
        <w:trPr>
          <w:trHeight w:val="20"/>
        </w:trPr>
        <w:tc>
          <w:tcPr>
            <w:tcW w:w="2300" w:type="dxa"/>
          </w:tcPr>
          <w:p>
            <w:pPr>
              <w:snapToGrid w:val="0"/>
              <w:rPr>
                <w:sz w:val="18"/>
                <w:szCs w:val="18"/>
              </w:rPr>
            </w:pPr>
            <w:r>
              <w:rPr>
                <w:sz w:val="18"/>
                <w:szCs w:val="18"/>
              </w:rPr>
              <w:t>Pentachlorfenolis (PCP)</w:t>
            </w:r>
          </w:p>
        </w:tc>
        <w:tc>
          <w:tcPr>
            <w:tcW w:w="1623" w:type="dxa"/>
          </w:tcPr>
          <w:p>
            <w:pPr>
              <w:snapToGrid w:val="0"/>
              <w:rPr>
                <w:sz w:val="18"/>
                <w:szCs w:val="18"/>
              </w:rPr>
            </w:pPr>
            <w:r>
              <w:rPr>
                <w:sz w:val="18"/>
                <w:szCs w:val="18"/>
              </w:rPr>
              <w:t>CAS 87-86-5</w:t>
            </w:r>
          </w:p>
        </w:tc>
        <w:tc>
          <w:tcPr>
            <w:tcW w:w="1098" w:type="dxa"/>
          </w:tcPr>
          <w:p>
            <w:pPr>
              <w:snapToGrid w:val="0"/>
              <w:jc w:val="center"/>
              <w:rPr>
                <w:sz w:val="18"/>
                <w:szCs w:val="18"/>
              </w:rPr>
            </w:pPr>
            <w:r>
              <w:rPr>
                <w:sz w:val="18"/>
                <w:szCs w:val="18"/>
              </w:rPr>
              <w:t>800</w:t>
            </w:r>
          </w:p>
        </w:tc>
        <w:tc>
          <w:tcPr>
            <w:tcW w:w="1081" w:type="dxa"/>
          </w:tcPr>
          <w:p>
            <w:pPr>
              <w:snapToGrid w:val="0"/>
              <w:jc w:val="center"/>
              <w:rPr>
                <w:sz w:val="18"/>
                <w:szCs w:val="18"/>
              </w:rPr>
            </w:pPr>
            <w:r>
              <w:rPr>
                <w:sz w:val="18"/>
                <w:szCs w:val="18"/>
              </w:rPr>
              <w:t>40</w:t>
            </w:r>
          </w:p>
        </w:tc>
        <w:tc>
          <w:tcPr>
            <w:tcW w:w="1425" w:type="dxa"/>
          </w:tcPr>
          <w:p>
            <w:pPr>
              <w:snapToGrid w:val="0"/>
              <w:jc w:val="center"/>
              <w:rPr>
                <w:sz w:val="18"/>
                <w:szCs w:val="18"/>
              </w:rPr>
            </w:pPr>
            <w:r>
              <w:rPr>
                <w:sz w:val="18"/>
                <w:szCs w:val="18"/>
              </w:rPr>
              <w:t>0,4</w:t>
            </w:r>
          </w:p>
        </w:tc>
        <w:tc>
          <w:tcPr>
            <w:tcW w:w="1442" w:type="dxa"/>
          </w:tcPr>
          <w:p>
            <w:pPr>
              <w:snapToGrid w:val="0"/>
              <w:jc w:val="center"/>
              <w:rPr>
                <w:sz w:val="18"/>
                <w:szCs w:val="18"/>
              </w:rPr>
            </w:pPr>
            <w:r>
              <w:rPr>
                <w:sz w:val="18"/>
                <w:szCs w:val="18"/>
              </w:rPr>
              <w:t>0,4</w:t>
            </w:r>
          </w:p>
        </w:tc>
        <w:tc>
          <w:tcPr>
            <w:tcW w:w="1426" w:type="dxa"/>
          </w:tcPr>
          <w:p>
            <w:pPr>
              <w:snapToGrid w:val="0"/>
              <w:jc w:val="center"/>
              <w:rPr>
                <w:sz w:val="18"/>
                <w:szCs w:val="18"/>
              </w:rPr>
            </w:pPr>
            <w:r>
              <w:rPr>
                <w:sz w:val="18"/>
                <w:szCs w:val="18"/>
              </w:rPr>
              <w:t>1</w:t>
            </w:r>
          </w:p>
        </w:tc>
        <w:tc>
          <w:tcPr>
            <w:tcW w:w="1433" w:type="dxa"/>
          </w:tcPr>
          <w:p>
            <w:pPr>
              <w:snapToGrid w:val="0"/>
              <w:jc w:val="center"/>
              <w:rPr>
                <w:sz w:val="18"/>
                <w:szCs w:val="18"/>
              </w:rPr>
            </w:pPr>
            <w:r>
              <w:rPr>
                <w:sz w:val="18"/>
                <w:szCs w:val="18"/>
              </w:rPr>
              <w:t>1</w:t>
            </w:r>
          </w:p>
        </w:tc>
        <w:tc>
          <w:tcPr>
            <w:tcW w:w="1550" w:type="dxa"/>
          </w:tcPr>
          <w:p>
            <w:pPr>
              <w:snapToGrid w:val="0"/>
              <w:jc w:val="center"/>
              <w:rPr>
                <w:rFonts w:eastAsia="Arial Unicode MS"/>
                <w:sz w:val="18"/>
                <w:szCs w:val="18"/>
              </w:rPr>
            </w:pPr>
            <w:r>
              <w:rPr>
                <w:rFonts w:eastAsia="Arial Unicode MS"/>
                <w:sz w:val="18"/>
                <w:szCs w:val="18"/>
              </w:rPr>
              <w:t>160</w:t>
            </w:r>
          </w:p>
        </w:tc>
        <w:tc>
          <w:tcPr>
            <w:tcW w:w="1362" w:type="dxa"/>
          </w:tcPr>
          <w:p>
            <w:pPr>
              <w:snapToGrid w:val="0"/>
              <w:jc w:val="center"/>
              <w:rPr>
                <w:rFonts w:eastAsia="Arial Unicode MS"/>
                <w:sz w:val="18"/>
                <w:szCs w:val="18"/>
              </w:rPr>
            </w:pPr>
            <w:r>
              <w:rPr>
                <w:rFonts w:eastAsia="Arial Unicode MS"/>
                <w:sz w:val="18"/>
                <w:szCs w:val="18"/>
              </w:rPr>
              <w:t>8</w:t>
            </w:r>
          </w:p>
        </w:tc>
      </w:tr>
      <w:tr>
        <w:trPr>
          <w:trHeight w:val="20"/>
        </w:trPr>
        <w:tc>
          <w:tcPr>
            <w:tcW w:w="2300" w:type="dxa"/>
          </w:tcPr>
          <w:p>
            <w:pPr>
              <w:snapToGrid w:val="0"/>
              <w:rPr>
                <w:sz w:val="18"/>
                <w:szCs w:val="18"/>
                <w:vertAlign w:val="superscript"/>
              </w:rPr>
            </w:pPr>
            <w:r>
              <w:rPr>
                <w:sz w:val="18"/>
                <w:szCs w:val="18"/>
              </w:rPr>
              <w:t>Simazinas</w:t>
            </w:r>
            <w:r>
              <w:rPr>
                <w:sz w:val="18"/>
                <w:szCs w:val="18"/>
                <w:vertAlign w:val="superscript"/>
              </w:rPr>
              <w:t>8</w:t>
            </w:r>
          </w:p>
        </w:tc>
        <w:tc>
          <w:tcPr>
            <w:tcW w:w="1623" w:type="dxa"/>
          </w:tcPr>
          <w:p>
            <w:pPr>
              <w:snapToGrid w:val="0"/>
              <w:rPr>
                <w:sz w:val="18"/>
                <w:szCs w:val="18"/>
              </w:rPr>
            </w:pPr>
            <w:r>
              <w:rPr>
                <w:sz w:val="18"/>
                <w:szCs w:val="18"/>
              </w:rPr>
              <w:t>CAS 122-34-9</w:t>
            </w:r>
          </w:p>
        </w:tc>
        <w:tc>
          <w:tcPr>
            <w:tcW w:w="1098" w:type="dxa"/>
          </w:tcPr>
          <w:p>
            <w:pPr>
              <w:snapToGrid w:val="0"/>
              <w:jc w:val="center"/>
              <w:rPr>
                <w:sz w:val="18"/>
                <w:szCs w:val="18"/>
              </w:rPr>
            </w:pPr>
            <w:r>
              <w:rPr>
                <w:sz w:val="18"/>
                <w:szCs w:val="18"/>
              </w:rPr>
              <w:t>-</w:t>
            </w:r>
          </w:p>
        </w:tc>
        <w:tc>
          <w:tcPr>
            <w:tcW w:w="1081" w:type="dxa"/>
          </w:tcPr>
          <w:p>
            <w:pPr>
              <w:snapToGrid w:val="0"/>
              <w:jc w:val="center"/>
              <w:rPr>
                <w:sz w:val="18"/>
                <w:szCs w:val="18"/>
              </w:rPr>
            </w:pPr>
            <w:r>
              <w:rPr>
                <w:sz w:val="18"/>
                <w:szCs w:val="18"/>
              </w:rPr>
              <w:t>-</w:t>
            </w:r>
          </w:p>
        </w:tc>
        <w:tc>
          <w:tcPr>
            <w:tcW w:w="1425" w:type="dxa"/>
          </w:tcPr>
          <w:p>
            <w:pPr>
              <w:snapToGrid w:val="0"/>
              <w:jc w:val="center"/>
              <w:rPr>
                <w:sz w:val="18"/>
                <w:szCs w:val="18"/>
              </w:rPr>
            </w:pPr>
            <w:r>
              <w:rPr>
                <w:sz w:val="18"/>
                <w:szCs w:val="18"/>
              </w:rPr>
              <w:t>1</w:t>
            </w:r>
          </w:p>
        </w:tc>
        <w:tc>
          <w:tcPr>
            <w:tcW w:w="1442" w:type="dxa"/>
          </w:tcPr>
          <w:p>
            <w:pPr>
              <w:snapToGrid w:val="0"/>
              <w:jc w:val="center"/>
              <w:rPr>
                <w:sz w:val="18"/>
                <w:szCs w:val="18"/>
              </w:rPr>
            </w:pPr>
            <w:r>
              <w:rPr>
                <w:sz w:val="18"/>
                <w:szCs w:val="18"/>
              </w:rPr>
              <w:t>1</w:t>
            </w:r>
          </w:p>
        </w:tc>
        <w:tc>
          <w:tcPr>
            <w:tcW w:w="1426" w:type="dxa"/>
          </w:tcPr>
          <w:p>
            <w:pPr>
              <w:snapToGrid w:val="0"/>
              <w:jc w:val="center"/>
              <w:rPr>
                <w:sz w:val="18"/>
                <w:szCs w:val="18"/>
              </w:rPr>
            </w:pPr>
            <w:r>
              <w:rPr>
                <w:sz w:val="18"/>
                <w:szCs w:val="18"/>
              </w:rPr>
              <w:t>4</w:t>
            </w:r>
          </w:p>
        </w:tc>
        <w:tc>
          <w:tcPr>
            <w:tcW w:w="1433" w:type="dxa"/>
          </w:tcPr>
          <w:p>
            <w:pPr>
              <w:snapToGrid w:val="0"/>
              <w:jc w:val="center"/>
              <w:rPr>
                <w:sz w:val="18"/>
                <w:szCs w:val="18"/>
              </w:rPr>
            </w:pPr>
            <w:r>
              <w:rPr>
                <w:sz w:val="18"/>
                <w:szCs w:val="18"/>
              </w:rPr>
              <w:t>4</w:t>
            </w:r>
          </w:p>
        </w:tc>
        <w:tc>
          <w:tcPr>
            <w:tcW w:w="1550" w:type="dxa"/>
          </w:tcPr>
          <w:p>
            <w:pPr>
              <w:snapToGrid w:val="0"/>
              <w:jc w:val="center"/>
              <w:rPr>
                <w:rFonts w:eastAsia="Arial Unicode MS"/>
                <w:sz w:val="18"/>
                <w:szCs w:val="18"/>
              </w:rPr>
            </w:pPr>
            <w:r>
              <w:rPr>
                <w:rFonts w:eastAsia="Arial Unicode MS"/>
                <w:sz w:val="18"/>
                <w:szCs w:val="18"/>
              </w:rPr>
              <w:t>-</w:t>
            </w:r>
          </w:p>
        </w:tc>
        <w:tc>
          <w:tcPr>
            <w:tcW w:w="1362" w:type="dxa"/>
          </w:tcPr>
          <w:p>
            <w:pPr>
              <w:snapToGrid w:val="0"/>
              <w:jc w:val="center"/>
              <w:rPr>
                <w:rFonts w:eastAsia="Arial Unicode MS"/>
                <w:sz w:val="18"/>
                <w:szCs w:val="18"/>
              </w:rPr>
            </w:pPr>
            <w:r>
              <w:rPr>
                <w:rFonts w:eastAsia="Arial Unicode MS"/>
                <w:sz w:val="18"/>
                <w:szCs w:val="18"/>
              </w:rPr>
              <w:t>-</w:t>
            </w:r>
          </w:p>
        </w:tc>
      </w:tr>
      <w:tr>
        <w:trPr>
          <w:trHeight w:val="20"/>
        </w:trPr>
        <w:tc>
          <w:tcPr>
            <w:tcW w:w="2300" w:type="dxa"/>
          </w:tcPr>
          <w:p>
            <w:pPr>
              <w:widowControl w:val="0"/>
              <w:snapToGrid w:val="0"/>
              <w:rPr>
                <w:sz w:val="18"/>
                <w:szCs w:val="18"/>
                <w:vertAlign w:val="superscript"/>
              </w:rPr>
            </w:pPr>
            <w:r>
              <w:rPr>
                <w:sz w:val="18"/>
                <w:szCs w:val="18"/>
              </w:rPr>
              <w:t>Tetrachloretilenas</w:t>
            </w:r>
            <w:r>
              <w:rPr>
                <w:sz w:val="18"/>
                <w:szCs w:val="18"/>
                <w:vertAlign w:val="superscript"/>
              </w:rPr>
              <w:t>6</w:t>
            </w:r>
          </w:p>
        </w:tc>
        <w:tc>
          <w:tcPr>
            <w:tcW w:w="1623" w:type="dxa"/>
          </w:tcPr>
          <w:p>
            <w:pPr>
              <w:widowControl w:val="0"/>
              <w:snapToGrid w:val="0"/>
              <w:rPr>
                <w:sz w:val="18"/>
                <w:szCs w:val="18"/>
              </w:rPr>
            </w:pPr>
            <w:r>
              <w:rPr>
                <w:sz w:val="18"/>
                <w:szCs w:val="18"/>
              </w:rPr>
              <w:t>CAS 127-18-4</w:t>
            </w:r>
          </w:p>
        </w:tc>
        <w:tc>
          <w:tcPr>
            <w:tcW w:w="1098" w:type="dxa"/>
          </w:tcPr>
          <w:p>
            <w:pPr>
              <w:widowControl w:val="0"/>
              <w:snapToGrid w:val="0"/>
              <w:jc w:val="center"/>
              <w:rPr>
                <w:sz w:val="18"/>
                <w:szCs w:val="18"/>
              </w:rPr>
            </w:pPr>
            <w:r>
              <w:rPr>
                <w:sz w:val="18"/>
                <w:szCs w:val="18"/>
              </w:rPr>
              <w:t>-</w:t>
            </w:r>
          </w:p>
        </w:tc>
        <w:tc>
          <w:tcPr>
            <w:tcW w:w="1081" w:type="dxa"/>
          </w:tcPr>
          <w:p>
            <w:pPr>
              <w:widowControl w:val="0"/>
              <w:snapToGrid w:val="0"/>
              <w:jc w:val="center"/>
              <w:rPr>
                <w:sz w:val="18"/>
                <w:szCs w:val="18"/>
              </w:rPr>
            </w:pPr>
            <w:r>
              <w:rPr>
                <w:sz w:val="18"/>
                <w:szCs w:val="18"/>
              </w:rPr>
              <w:t>200</w:t>
            </w:r>
          </w:p>
        </w:tc>
        <w:tc>
          <w:tcPr>
            <w:tcW w:w="1425" w:type="dxa"/>
          </w:tcPr>
          <w:p>
            <w:pPr>
              <w:widowControl w:val="0"/>
              <w:snapToGrid w:val="0"/>
              <w:jc w:val="center"/>
              <w:rPr>
                <w:sz w:val="18"/>
                <w:szCs w:val="18"/>
              </w:rPr>
            </w:pPr>
            <w:r>
              <w:rPr>
                <w:sz w:val="18"/>
                <w:szCs w:val="18"/>
              </w:rPr>
              <w:t>10</w:t>
            </w:r>
          </w:p>
        </w:tc>
        <w:tc>
          <w:tcPr>
            <w:tcW w:w="1442" w:type="dxa"/>
          </w:tcPr>
          <w:p>
            <w:pPr>
              <w:widowControl w:val="0"/>
              <w:snapToGrid w:val="0"/>
              <w:jc w:val="center"/>
              <w:rPr>
                <w:sz w:val="18"/>
                <w:szCs w:val="18"/>
              </w:rPr>
            </w:pPr>
            <w:r>
              <w:rPr>
                <w:sz w:val="18"/>
                <w:szCs w:val="18"/>
              </w:rPr>
              <w:t>10</w:t>
            </w:r>
          </w:p>
        </w:tc>
        <w:tc>
          <w:tcPr>
            <w:tcW w:w="1426" w:type="dxa"/>
          </w:tcPr>
          <w:p>
            <w:pPr>
              <w:widowControl w:val="0"/>
              <w:snapToGrid w:val="0"/>
              <w:jc w:val="center"/>
              <w:rPr>
                <w:sz w:val="18"/>
                <w:szCs w:val="18"/>
              </w:rPr>
            </w:pPr>
            <w:r>
              <w:rPr>
                <w:sz w:val="18"/>
                <w:szCs w:val="18"/>
              </w:rPr>
              <w:t>-</w:t>
            </w:r>
          </w:p>
        </w:tc>
        <w:tc>
          <w:tcPr>
            <w:tcW w:w="1433" w:type="dxa"/>
          </w:tcPr>
          <w:p>
            <w:pPr>
              <w:widowControl w:val="0"/>
              <w:snapToGrid w:val="0"/>
              <w:jc w:val="center"/>
              <w:rPr>
                <w:sz w:val="18"/>
                <w:szCs w:val="18"/>
              </w:rPr>
            </w:pPr>
            <w:r>
              <w:rPr>
                <w:sz w:val="18"/>
                <w:szCs w:val="18"/>
              </w:rPr>
              <w:t>-</w:t>
            </w:r>
          </w:p>
        </w:tc>
        <w:tc>
          <w:tcPr>
            <w:tcW w:w="1550" w:type="dxa"/>
          </w:tcPr>
          <w:p>
            <w:pPr>
              <w:widowControl w:val="0"/>
              <w:snapToGrid w:val="0"/>
              <w:jc w:val="center"/>
              <w:rPr>
                <w:rFonts w:eastAsia="Arial Unicode MS"/>
                <w:sz w:val="18"/>
                <w:szCs w:val="18"/>
              </w:rPr>
            </w:pPr>
            <w:r>
              <w:rPr>
                <w:rFonts w:eastAsia="Arial Unicode MS"/>
                <w:sz w:val="18"/>
                <w:szCs w:val="18"/>
              </w:rPr>
              <w:t>-</w:t>
            </w:r>
          </w:p>
        </w:tc>
        <w:tc>
          <w:tcPr>
            <w:tcW w:w="1362" w:type="dxa"/>
          </w:tcPr>
          <w:p>
            <w:pPr>
              <w:widowControl w:val="0"/>
              <w:snapToGrid w:val="0"/>
              <w:jc w:val="center"/>
              <w:rPr>
                <w:rFonts w:eastAsia="Arial Unicode MS"/>
                <w:sz w:val="18"/>
                <w:szCs w:val="18"/>
              </w:rPr>
            </w:pPr>
            <w:r>
              <w:rPr>
                <w:rFonts w:eastAsia="Arial Unicode MS"/>
                <w:sz w:val="18"/>
                <w:szCs w:val="18"/>
              </w:rPr>
              <w:t>40</w:t>
            </w:r>
          </w:p>
        </w:tc>
      </w:tr>
      <w:tr>
        <w:trPr>
          <w:trHeight w:val="20"/>
        </w:trPr>
        <w:tc>
          <w:tcPr>
            <w:tcW w:w="2300" w:type="dxa"/>
          </w:tcPr>
          <w:p>
            <w:pPr>
              <w:widowControl w:val="0"/>
              <w:snapToGrid w:val="0"/>
              <w:rPr>
                <w:sz w:val="18"/>
                <w:szCs w:val="18"/>
              </w:rPr>
            </w:pPr>
            <w:r>
              <w:rPr>
                <w:sz w:val="18"/>
                <w:szCs w:val="18"/>
              </w:rPr>
              <w:t>Trichloretilenas</w:t>
            </w:r>
            <w:r>
              <w:rPr>
                <w:sz w:val="18"/>
                <w:szCs w:val="18"/>
                <w:vertAlign w:val="superscript"/>
              </w:rPr>
              <w:t>6</w:t>
            </w:r>
            <w:r>
              <w:rPr>
                <w:sz w:val="18"/>
                <w:szCs w:val="18"/>
              </w:rPr>
              <w:t xml:space="preserve"> </w:t>
            </w:r>
          </w:p>
        </w:tc>
        <w:tc>
          <w:tcPr>
            <w:tcW w:w="1623" w:type="dxa"/>
          </w:tcPr>
          <w:p>
            <w:pPr>
              <w:widowControl w:val="0"/>
              <w:snapToGrid w:val="0"/>
              <w:rPr>
                <w:sz w:val="18"/>
                <w:szCs w:val="18"/>
              </w:rPr>
            </w:pPr>
            <w:r>
              <w:rPr>
                <w:sz w:val="18"/>
                <w:szCs w:val="18"/>
              </w:rPr>
              <w:t>CAS 79-01-6</w:t>
            </w:r>
          </w:p>
        </w:tc>
        <w:tc>
          <w:tcPr>
            <w:tcW w:w="1098" w:type="dxa"/>
          </w:tcPr>
          <w:p>
            <w:pPr>
              <w:widowControl w:val="0"/>
              <w:snapToGrid w:val="0"/>
              <w:jc w:val="center"/>
              <w:rPr>
                <w:sz w:val="18"/>
                <w:szCs w:val="18"/>
              </w:rPr>
            </w:pPr>
            <w:r>
              <w:rPr>
                <w:sz w:val="18"/>
                <w:szCs w:val="18"/>
              </w:rPr>
              <w:t>-</w:t>
            </w:r>
          </w:p>
        </w:tc>
        <w:tc>
          <w:tcPr>
            <w:tcW w:w="1081" w:type="dxa"/>
          </w:tcPr>
          <w:p>
            <w:pPr>
              <w:widowControl w:val="0"/>
              <w:snapToGrid w:val="0"/>
              <w:jc w:val="center"/>
              <w:rPr>
                <w:sz w:val="18"/>
                <w:szCs w:val="18"/>
              </w:rPr>
            </w:pPr>
            <w:r>
              <w:rPr>
                <w:sz w:val="18"/>
                <w:szCs w:val="18"/>
              </w:rPr>
              <w:t>200</w:t>
            </w:r>
          </w:p>
        </w:tc>
        <w:tc>
          <w:tcPr>
            <w:tcW w:w="1425" w:type="dxa"/>
          </w:tcPr>
          <w:p>
            <w:pPr>
              <w:widowControl w:val="0"/>
              <w:snapToGrid w:val="0"/>
              <w:jc w:val="center"/>
              <w:rPr>
                <w:sz w:val="18"/>
                <w:szCs w:val="18"/>
              </w:rPr>
            </w:pPr>
            <w:r>
              <w:rPr>
                <w:sz w:val="18"/>
                <w:szCs w:val="18"/>
              </w:rPr>
              <w:t>10</w:t>
            </w:r>
          </w:p>
        </w:tc>
        <w:tc>
          <w:tcPr>
            <w:tcW w:w="1442" w:type="dxa"/>
          </w:tcPr>
          <w:p>
            <w:pPr>
              <w:widowControl w:val="0"/>
              <w:snapToGrid w:val="0"/>
              <w:jc w:val="center"/>
              <w:rPr>
                <w:sz w:val="18"/>
                <w:szCs w:val="18"/>
              </w:rPr>
            </w:pPr>
            <w:r>
              <w:rPr>
                <w:sz w:val="18"/>
                <w:szCs w:val="18"/>
              </w:rPr>
              <w:t>10</w:t>
            </w:r>
          </w:p>
        </w:tc>
        <w:tc>
          <w:tcPr>
            <w:tcW w:w="1426" w:type="dxa"/>
          </w:tcPr>
          <w:p>
            <w:pPr>
              <w:widowControl w:val="0"/>
              <w:snapToGrid w:val="0"/>
              <w:jc w:val="center"/>
              <w:rPr>
                <w:sz w:val="18"/>
                <w:szCs w:val="18"/>
              </w:rPr>
            </w:pPr>
            <w:r>
              <w:rPr>
                <w:sz w:val="18"/>
                <w:szCs w:val="18"/>
              </w:rPr>
              <w:t>-</w:t>
            </w:r>
          </w:p>
        </w:tc>
        <w:tc>
          <w:tcPr>
            <w:tcW w:w="1433" w:type="dxa"/>
          </w:tcPr>
          <w:p>
            <w:pPr>
              <w:widowControl w:val="0"/>
              <w:snapToGrid w:val="0"/>
              <w:jc w:val="center"/>
              <w:rPr>
                <w:sz w:val="18"/>
                <w:szCs w:val="18"/>
              </w:rPr>
            </w:pPr>
            <w:r>
              <w:rPr>
                <w:sz w:val="18"/>
                <w:szCs w:val="18"/>
              </w:rPr>
              <w:t>-</w:t>
            </w:r>
          </w:p>
        </w:tc>
        <w:tc>
          <w:tcPr>
            <w:tcW w:w="1550" w:type="dxa"/>
          </w:tcPr>
          <w:p>
            <w:pPr>
              <w:widowControl w:val="0"/>
              <w:snapToGrid w:val="0"/>
              <w:jc w:val="center"/>
              <w:rPr>
                <w:rFonts w:eastAsia="Arial Unicode MS"/>
                <w:sz w:val="18"/>
                <w:szCs w:val="18"/>
              </w:rPr>
            </w:pPr>
            <w:r>
              <w:rPr>
                <w:rFonts w:eastAsia="Arial Unicode MS"/>
                <w:sz w:val="18"/>
                <w:szCs w:val="18"/>
              </w:rPr>
              <w:t>-</w:t>
            </w:r>
          </w:p>
        </w:tc>
        <w:tc>
          <w:tcPr>
            <w:tcW w:w="1362" w:type="dxa"/>
          </w:tcPr>
          <w:p>
            <w:pPr>
              <w:widowControl w:val="0"/>
              <w:snapToGrid w:val="0"/>
              <w:jc w:val="center"/>
              <w:rPr>
                <w:rFonts w:eastAsia="Arial Unicode MS"/>
                <w:sz w:val="18"/>
                <w:szCs w:val="18"/>
              </w:rPr>
            </w:pPr>
            <w:r>
              <w:rPr>
                <w:rFonts w:eastAsia="Arial Unicode MS"/>
                <w:sz w:val="18"/>
                <w:szCs w:val="18"/>
              </w:rPr>
              <w:t>40</w:t>
            </w:r>
          </w:p>
        </w:tc>
      </w:tr>
      <w:tr>
        <w:trPr>
          <w:trHeight w:val="20"/>
        </w:trPr>
        <w:tc>
          <w:tcPr>
            <w:tcW w:w="2300" w:type="dxa"/>
          </w:tcPr>
          <w:p>
            <w:pPr>
              <w:widowControl w:val="0"/>
              <w:snapToGrid w:val="0"/>
              <w:rPr>
                <w:sz w:val="18"/>
                <w:szCs w:val="18"/>
              </w:rPr>
            </w:pPr>
            <w:r>
              <w:rPr>
                <w:sz w:val="18"/>
                <w:szCs w:val="18"/>
              </w:rPr>
              <w:t xml:space="preserve">Trichlorbenzenai </w:t>
            </w:r>
          </w:p>
        </w:tc>
        <w:tc>
          <w:tcPr>
            <w:tcW w:w="1623" w:type="dxa"/>
          </w:tcPr>
          <w:p>
            <w:pPr>
              <w:widowControl w:val="0"/>
              <w:snapToGrid w:val="0"/>
              <w:rPr>
                <w:sz w:val="18"/>
                <w:szCs w:val="18"/>
              </w:rPr>
            </w:pPr>
            <w:r>
              <w:rPr>
                <w:sz w:val="18"/>
                <w:szCs w:val="18"/>
              </w:rPr>
              <w:t>CAS 12002-48-1</w:t>
            </w:r>
          </w:p>
        </w:tc>
        <w:tc>
          <w:tcPr>
            <w:tcW w:w="1098" w:type="dxa"/>
          </w:tcPr>
          <w:p>
            <w:pPr>
              <w:widowControl w:val="0"/>
              <w:snapToGrid w:val="0"/>
              <w:jc w:val="center"/>
              <w:rPr>
                <w:sz w:val="18"/>
                <w:szCs w:val="18"/>
              </w:rPr>
            </w:pPr>
            <w:r>
              <w:rPr>
                <w:sz w:val="18"/>
                <w:szCs w:val="18"/>
              </w:rPr>
              <w:t>100</w:t>
            </w:r>
          </w:p>
        </w:tc>
        <w:tc>
          <w:tcPr>
            <w:tcW w:w="1081" w:type="dxa"/>
          </w:tcPr>
          <w:p>
            <w:pPr>
              <w:widowControl w:val="0"/>
              <w:snapToGrid w:val="0"/>
              <w:jc w:val="center"/>
              <w:rPr>
                <w:sz w:val="18"/>
                <w:szCs w:val="18"/>
              </w:rPr>
            </w:pPr>
            <w:r>
              <w:rPr>
                <w:sz w:val="18"/>
                <w:szCs w:val="18"/>
              </w:rPr>
              <w:t>8</w:t>
            </w:r>
          </w:p>
        </w:tc>
        <w:tc>
          <w:tcPr>
            <w:tcW w:w="1425" w:type="dxa"/>
          </w:tcPr>
          <w:p>
            <w:pPr>
              <w:widowControl w:val="0"/>
              <w:snapToGrid w:val="0"/>
              <w:jc w:val="center"/>
              <w:rPr>
                <w:sz w:val="18"/>
                <w:szCs w:val="18"/>
              </w:rPr>
            </w:pPr>
            <w:r>
              <w:rPr>
                <w:sz w:val="18"/>
                <w:szCs w:val="18"/>
              </w:rPr>
              <w:t>0,4</w:t>
            </w:r>
          </w:p>
        </w:tc>
        <w:tc>
          <w:tcPr>
            <w:tcW w:w="1442" w:type="dxa"/>
          </w:tcPr>
          <w:p>
            <w:pPr>
              <w:widowControl w:val="0"/>
              <w:snapToGrid w:val="0"/>
              <w:jc w:val="center"/>
              <w:rPr>
                <w:sz w:val="18"/>
                <w:szCs w:val="18"/>
              </w:rPr>
            </w:pPr>
            <w:r>
              <w:rPr>
                <w:sz w:val="18"/>
                <w:szCs w:val="18"/>
              </w:rPr>
              <w:t>0,4</w:t>
            </w:r>
          </w:p>
        </w:tc>
        <w:tc>
          <w:tcPr>
            <w:tcW w:w="1426" w:type="dxa"/>
          </w:tcPr>
          <w:p>
            <w:pPr>
              <w:widowControl w:val="0"/>
              <w:snapToGrid w:val="0"/>
              <w:jc w:val="center"/>
              <w:rPr>
                <w:sz w:val="18"/>
                <w:szCs w:val="18"/>
              </w:rPr>
            </w:pPr>
            <w:r>
              <w:rPr>
                <w:sz w:val="18"/>
                <w:szCs w:val="18"/>
              </w:rPr>
              <w:t>-</w:t>
            </w:r>
          </w:p>
        </w:tc>
        <w:tc>
          <w:tcPr>
            <w:tcW w:w="1433" w:type="dxa"/>
          </w:tcPr>
          <w:p>
            <w:pPr>
              <w:widowControl w:val="0"/>
              <w:snapToGrid w:val="0"/>
              <w:jc w:val="center"/>
              <w:rPr>
                <w:sz w:val="18"/>
                <w:szCs w:val="18"/>
              </w:rPr>
            </w:pPr>
            <w:r>
              <w:rPr>
                <w:sz w:val="18"/>
                <w:szCs w:val="18"/>
              </w:rPr>
              <w:t>-</w:t>
            </w:r>
          </w:p>
        </w:tc>
        <w:tc>
          <w:tcPr>
            <w:tcW w:w="1550" w:type="dxa"/>
          </w:tcPr>
          <w:p>
            <w:pPr>
              <w:widowControl w:val="0"/>
              <w:snapToGrid w:val="0"/>
              <w:jc w:val="center"/>
              <w:rPr>
                <w:rFonts w:eastAsia="Arial Unicode MS"/>
                <w:sz w:val="18"/>
                <w:szCs w:val="18"/>
              </w:rPr>
            </w:pPr>
            <w:r>
              <w:rPr>
                <w:rFonts w:eastAsia="Arial Unicode MS"/>
                <w:sz w:val="18"/>
                <w:szCs w:val="18"/>
              </w:rPr>
              <w:t>20</w:t>
            </w:r>
          </w:p>
        </w:tc>
        <w:tc>
          <w:tcPr>
            <w:tcW w:w="1362" w:type="dxa"/>
          </w:tcPr>
          <w:p>
            <w:pPr>
              <w:widowControl w:val="0"/>
              <w:snapToGrid w:val="0"/>
              <w:jc w:val="center"/>
              <w:rPr>
                <w:rFonts w:eastAsia="Arial Unicode MS"/>
                <w:sz w:val="18"/>
                <w:szCs w:val="18"/>
              </w:rPr>
            </w:pPr>
            <w:r>
              <w:rPr>
                <w:rFonts w:eastAsia="Arial Unicode MS"/>
                <w:sz w:val="18"/>
                <w:szCs w:val="18"/>
              </w:rPr>
              <w:t>1,6</w:t>
            </w:r>
          </w:p>
        </w:tc>
      </w:tr>
      <w:tr>
        <w:trPr>
          <w:trHeight w:val="20"/>
        </w:trPr>
        <w:tc>
          <w:tcPr>
            <w:tcW w:w="2300" w:type="dxa"/>
          </w:tcPr>
          <w:p>
            <w:pPr>
              <w:widowControl w:val="0"/>
              <w:snapToGrid w:val="0"/>
              <w:rPr>
                <w:sz w:val="18"/>
                <w:szCs w:val="18"/>
              </w:rPr>
            </w:pPr>
            <w:r>
              <w:rPr>
                <w:sz w:val="18"/>
                <w:szCs w:val="18"/>
              </w:rPr>
              <w:t>Trichlormetanas (chloroformas)</w:t>
            </w:r>
          </w:p>
        </w:tc>
        <w:tc>
          <w:tcPr>
            <w:tcW w:w="1623" w:type="dxa"/>
          </w:tcPr>
          <w:p>
            <w:pPr>
              <w:widowControl w:val="0"/>
              <w:snapToGrid w:val="0"/>
              <w:rPr>
                <w:sz w:val="18"/>
                <w:szCs w:val="18"/>
              </w:rPr>
            </w:pPr>
            <w:r>
              <w:rPr>
                <w:sz w:val="18"/>
                <w:szCs w:val="18"/>
              </w:rPr>
              <w:t>CAS 67-66-3</w:t>
            </w:r>
          </w:p>
        </w:tc>
        <w:tc>
          <w:tcPr>
            <w:tcW w:w="1098" w:type="dxa"/>
          </w:tcPr>
          <w:p>
            <w:pPr>
              <w:widowControl w:val="0"/>
              <w:snapToGrid w:val="0"/>
              <w:jc w:val="center"/>
              <w:rPr>
                <w:sz w:val="18"/>
                <w:szCs w:val="18"/>
              </w:rPr>
            </w:pPr>
            <w:r>
              <w:rPr>
                <w:sz w:val="18"/>
                <w:szCs w:val="18"/>
              </w:rPr>
              <w:t>1000</w:t>
            </w:r>
          </w:p>
        </w:tc>
        <w:tc>
          <w:tcPr>
            <w:tcW w:w="1081" w:type="dxa"/>
          </w:tcPr>
          <w:p>
            <w:pPr>
              <w:widowControl w:val="0"/>
              <w:snapToGrid w:val="0"/>
              <w:jc w:val="center"/>
              <w:rPr>
                <w:sz w:val="18"/>
                <w:szCs w:val="18"/>
              </w:rPr>
            </w:pPr>
            <w:r>
              <w:rPr>
                <w:sz w:val="18"/>
                <w:szCs w:val="18"/>
              </w:rPr>
              <w:t>200</w:t>
            </w:r>
          </w:p>
        </w:tc>
        <w:tc>
          <w:tcPr>
            <w:tcW w:w="1425" w:type="dxa"/>
          </w:tcPr>
          <w:p>
            <w:pPr>
              <w:widowControl w:val="0"/>
              <w:snapToGrid w:val="0"/>
              <w:jc w:val="center"/>
              <w:rPr>
                <w:sz w:val="18"/>
                <w:szCs w:val="18"/>
              </w:rPr>
            </w:pPr>
            <w:r>
              <w:rPr>
                <w:sz w:val="18"/>
                <w:szCs w:val="18"/>
              </w:rPr>
              <w:t>2,5</w:t>
            </w:r>
          </w:p>
        </w:tc>
        <w:tc>
          <w:tcPr>
            <w:tcW w:w="1442" w:type="dxa"/>
          </w:tcPr>
          <w:p>
            <w:pPr>
              <w:widowControl w:val="0"/>
              <w:snapToGrid w:val="0"/>
              <w:jc w:val="center"/>
              <w:rPr>
                <w:sz w:val="18"/>
                <w:szCs w:val="18"/>
              </w:rPr>
            </w:pPr>
            <w:r>
              <w:rPr>
                <w:sz w:val="18"/>
                <w:szCs w:val="18"/>
              </w:rPr>
              <w:t>2,5</w:t>
            </w:r>
          </w:p>
        </w:tc>
        <w:tc>
          <w:tcPr>
            <w:tcW w:w="1426" w:type="dxa"/>
          </w:tcPr>
          <w:p>
            <w:pPr>
              <w:widowControl w:val="0"/>
              <w:snapToGrid w:val="0"/>
              <w:jc w:val="center"/>
              <w:rPr>
                <w:sz w:val="18"/>
                <w:szCs w:val="18"/>
              </w:rPr>
            </w:pPr>
            <w:r>
              <w:rPr>
                <w:sz w:val="18"/>
                <w:szCs w:val="18"/>
              </w:rPr>
              <w:t>-</w:t>
            </w:r>
          </w:p>
        </w:tc>
        <w:tc>
          <w:tcPr>
            <w:tcW w:w="1433" w:type="dxa"/>
          </w:tcPr>
          <w:p>
            <w:pPr>
              <w:widowControl w:val="0"/>
              <w:snapToGrid w:val="0"/>
              <w:jc w:val="center"/>
              <w:rPr>
                <w:sz w:val="18"/>
                <w:szCs w:val="18"/>
              </w:rPr>
            </w:pPr>
            <w:r>
              <w:rPr>
                <w:sz w:val="18"/>
                <w:szCs w:val="18"/>
              </w:rPr>
              <w:t>-</w:t>
            </w:r>
          </w:p>
        </w:tc>
        <w:tc>
          <w:tcPr>
            <w:tcW w:w="1550" w:type="dxa"/>
          </w:tcPr>
          <w:p>
            <w:pPr>
              <w:widowControl w:val="0"/>
              <w:snapToGrid w:val="0"/>
              <w:jc w:val="center"/>
              <w:rPr>
                <w:rFonts w:eastAsia="Arial Unicode MS"/>
                <w:sz w:val="18"/>
                <w:szCs w:val="18"/>
              </w:rPr>
            </w:pPr>
            <w:r>
              <w:rPr>
                <w:rFonts w:eastAsia="Arial Unicode MS"/>
                <w:sz w:val="18"/>
                <w:szCs w:val="18"/>
              </w:rPr>
              <w:t>200</w:t>
            </w:r>
          </w:p>
        </w:tc>
        <w:tc>
          <w:tcPr>
            <w:tcW w:w="1362" w:type="dxa"/>
          </w:tcPr>
          <w:p>
            <w:pPr>
              <w:widowControl w:val="0"/>
              <w:snapToGrid w:val="0"/>
              <w:jc w:val="center"/>
              <w:rPr>
                <w:rFonts w:eastAsia="Arial Unicode MS"/>
                <w:sz w:val="18"/>
                <w:szCs w:val="18"/>
              </w:rPr>
            </w:pPr>
            <w:r>
              <w:rPr>
                <w:rFonts w:eastAsia="Arial Unicode MS"/>
                <w:sz w:val="18"/>
                <w:szCs w:val="18"/>
              </w:rPr>
              <w:t>40</w:t>
            </w:r>
          </w:p>
        </w:tc>
      </w:tr>
      <w:tr>
        <w:trPr>
          <w:trHeight w:val="20"/>
        </w:trPr>
        <w:tc>
          <w:tcPr>
            <w:tcW w:w="2300" w:type="dxa"/>
          </w:tcPr>
          <w:p>
            <w:pPr>
              <w:widowControl w:val="0"/>
              <w:snapToGrid w:val="0"/>
              <w:rPr>
                <w:sz w:val="18"/>
                <w:szCs w:val="18"/>
              </w:rPr>
            </w:pPr>
            <w:r>
              <w:rPr>
                <w:sz w:val="18"/>
                <w:szCs w:val="18"/>
              </w:rPr>
              <w:t>Trifluralinas</w:t>
            </w:r>
          </w:p>
        </w:tc>
        <w:tc>
          <w:tcPr>
            <w:tcW w:w="1623" w:type="dxa"/>
          </w:tcPr>
          <w:p>
            <w:pPr>
              <w:widowControl w:val="0"/>
              <w:snapToGrid w:val="0"/>
              <w:rPr>
                <w:sz w:val="18"/>
                <w:szCs w:val="18"/>
              </w:rPr>
            </w:pPr>
            <w:r>
              <w:rPr>
                <w:sz w:val="18"/>
                <w:szCs w:val="18"/>
              </w:rPr>
              <w:t>CAS1582-09-8</w:t>
            </w:r>
          </w:p>
        </w:tc>
        <w:tc>
          <w:tcPr>
            <w:tcW w:w="1098" w:type="dxa"/>
          </w:tcPr>
          <w:p>
            <w:pPr>
              <w:widowControl w:val="0"/>
              <w:snapToGrid w:val="0"/>
              <w:jc w:val="center"/>
              <w:rPr>
                <w:sz w:val="18"/>
                <w:szCs w:val="18"/>
              </w:rPr>
            </w:pPr>
            <w:r>
              <w:rPr>
                <w:sz w:val="18"/>
                <w:szCs w:val="18"/>
              </w:rPr>
              <w:t>40</w:t>
            </w:r>
          </w:p>
        </w:tc>
        <w:tc>
          <w:tcPr>
            <w:tcW w:w="1081" w:type="dxa"/>
          </w:tcPr>
          <w:p>
            <w:pPr>
              <w:widowControl w:val="0"/>
              <w:snapToGrid w:val="0"/>
              <w:jc w:val="center"/>
              <w:rPr>
                <w:sz w:val="18"/>
                <w:szCs w:val="18"/>
              </w:rPr>
            </w:pPr>
            <w:r>
              <w:rPr>
                <w:sz w:val="18"/>
                <w:szCs w:val="18"/>
              </w:rPr>
              <w:t>2</w:t>
            </w:r>
          </w:p>
        </w:tc>
        <w:tc>
          <w:tcPr>
            <w:tcW w:w="1425" w:type="dxa"/>
          </w:tcPr>
          <w:p>
            <w:pPr>
              <w:widowControl w:val="0"/>
              <w:snapToGrid w:val="0"/>
              <w:jc w:val="center"/>
              <w:rPr>
                <w:sz w:val="18"/>
                <w:szCs w:val="18"/>
              </w:rPr>
            </w:pPr>
            <w:r>
              <w:rPr>
                <w:sz w:val="18"/>
                <w:szCs w:val="18"/>
              </w:rPr>
              <w:t>0,03</w:t>
            </w:r>
          </w:p>
        </w:tc>
        <w:tc>
          <w:tcPr>
            <w:tcW w:w="1442" w:type="dxa"/>
          </w:tcPr>
          <w:p>
            <w:pPr>
              <w:widowControl w:val="0"/>
              <w:snapToGrid w:val="0"/>
              <w:jc w:val="center"/>
              <w:rPr>
                <w:sz w:val="18"/>
                <w:szCs w:val="18"/>
              </w:rPr>
            </w:pPr>
            <w:r>
              <w:rPr>
                <w:sz w:val="18"/>
                <w:szCs w:val="18"/>
              </w:rPr>
              <w:t>0,03</w:t>
            </w:r>
          </w:p>
        </w:tc>
        <w:tc>
          <w:tcPr>
            <w:tcW w:w="1426" w:type="dxa"/>
          </w:tcPr>
          <w:p>
            <w:pPr>
              <w:widowControl w:val="0"/>
              <w:snapToGrid w:val="0"/>
              <w:jc w:val="center"/>
              <w:rPr>
                <w:sz w:val="18"/>
                <w:szCs w:val="18"/>
              </w:rPr>
            </w:pPr>
            <w:r>
              <w:rPr>
                <w:sz w:val="18"/>
                <w:szCs w:val="18"/>
              </w:rPr>
              <w:t>-</w:t>
            </w:r>
          </w:p>
        </w:tc>
        <w:tc>
          <w:tcPr>
            <w:tcW w:w="1433" w:type="dxa"/>
          </w:tcPr>
          <w:p>
            <w:pPr>
              <w:widowControl w:val="0"/>
              <w:snapToGrid w:val="0"/>
              <w:jc w:val="center"/>
              <w:rPr>
                <w:sz w:val="18"/>
                <w:szCs w:val="18"/>
              </w:rPr>
            </w:pPr>
            <w:r>
              <w:rPr>
                <w:sz w:val="18"/>
                <w:szCs w:val="18"/>
              </w:rPr>
              <w:t>-</w:t>
            </w:r>
          </w:p>
        </w:tc>
        <w:tc>
          <w:tcPr>
            <w:tcW w:w="1550" w:type="dxa"/>
          </w:tcPr>
          <w:p>
            <w:pPr>
              <w:widowControl w:val="0"/>
              <w:snapToGrid w:val="0"/>
              <w:jc w:val="center"/>
              <w:rPr>
                <w:rFonts w:eastAsia="Arial Unicode MS"/>
                <w:sz w:val="18"/>
                <w:szCs w:val="18"/>
              </w:rPr>
            </w:pPr>
            <w:r>
              <w:rPr>
                <w:rFonts w:eastAsia="Arial Unicode MS"/>
                <w:sz w:val="18"/>
                <w:szCs w:val="18"/>
              </w:rPr>
              <w:t>8</w:t>
            </w:r>
          </w:p>
        </w:tc>
        <w:tc>
          <w:tcPr>
            <w:tcW w:w="1362" w:type="dxa"/>
          </w:tcPr>
          <w:p>
            <w:pPr>
              <w:widowControl w:val="0"/>
              <w:snapToGrid w:val="0"/>
              <w:jc w:val="center"/>
              <w:rPr>
                <w:rFonts w:eastAsia="Arial Unicode MS"/>
                <w:sz w:val="18"/>
                <w:szCs w:val="18"/>
              </w:rPr>
            </w:pPr>
            <w:r>
              <w:rPr>
                <w:rFonts w:eastAsia="Arial Unicode MS"/>
                <w:sz w:val="18"/>
                <w:szCs w:val="18"/>
              </w:rPr>
              <w:t>0,4</w:t>
            </w:r>
          </w:p>
        </w:tc>
      </w:tr>
    </w:tbl>
    <w:p>
      <w:pPr>
        <w:widowControl w:val="0"/>
        <w:tabs>
          <w:tab w:val="center" w:pos="4153"/>
          <w:tab w:val="right" w:pos="9100"/>
        </w:tabs>
        <w:suppressAutoHyphens/>
        <w:ind w:firstLine="567"/>
        <w:jc w:val="both"/>
        <w:rPr>
          <w:rFonts w:eastAsia="Lucida Sans Unicode"/>
        </w:rPr>
      </w:pPr>
    </w:p>
    <w:p>
      <w:pPr>
        <w:ind w:firstLine="567"/>
        <w:jc w:val="both"/>
      </w:pPr>
      <w:r>
        <w:t>Pastabos:</w:t>
      </w:r>
    </w:p>
    <w:p>
      <w:pPr>
        <w:ind w:firstLine="567"/>
        <w:jc w:val="both"/>
      </w:pPr>
      <w:r>
        <w:rPr>
          <w:rFonts w:eastAsia="Courier New"/>
          <w:vertAlign w:val="superscript"/>
        </w:rPr>
        <w:t>1</w:t>
      </w:r>
      <w:r>
        <w:t xml:space="preserve"> CAS – Cheminių medžiagų santrumpų tarnybos registracijos numeris.</w:t>
      </w:r>
    </w:p>
    <w:p>
      <w:pPr>
        <w:ind w:firstLine="567"/>
        <w:jc w:val="both"/>
        <w:rPr>
          <w:iCs/>
        </w:rPr>
      </w:pPr>
      <w:r>
        <w:rPr>
          <w:iCs/>
          <w:vertAlign w:val="superscript"/>
        </w:rPr>
        <w:t xml:space="preserve">2 </w:t>
      </w:r>
      <w:r>
        <w:t xml:space="preserve">Ribinė koncentracija </w:t>
      </w:r>
      <w:r>
        <w:rPr>
          <w:iCs/>
        </w:rPr>
        <w:t>– ribinė didžiausia apskaičiuota, išmatuota arba planuojama medžiagos koncentracija, iki kurios šios medžiagos normuoti/kontroliuoti dar nereikia.</w:t>
      </w:r>
    </w:p>
    <w:p>
      <w:pPr>
        <w:ind w:firstLine="567"/>
        <w:jc w:val="both"/>
        <w:rPr>
          <w:rFonts w:eastAsia="EUAlbertina"/>
          <w:lang w:eastAsia="ar-SA"/>
        </w:rPr>
      </w:pPr>
      <w:r>
        <w:rPr>
          <w:vertAlign w:val="superscript"/>
        </w:rPr>
        <w:t>3</w:t>
      </w:r>
      <w:r>
        <w:t xml:space="preserve"> </w:t>
      </w:r>
      <w:r>
        <w:rPr>
          <w:rFonts w:eastAsia="EUAlbertina+01"/>
          <w:lang w:eastAsia="ar-SA"/>
        </w:rPr>
        <w:t>Š</w:t>
      </w:r>
      <w:r>
        <w:rPr>
          <w:rFonts w:eastAsia="EUAlbertina"/>
          <w:lang w:eastAsia="ar-SA"/>
        </w:rPr>
        <w:t>is parametras yra AKS, i</w:t>
      </w:r>
      <w:r>
        <w:rPr>
          <w:rFonts w:eastAsia="EUAlbertina+01"/>
          <w:lang w:eastAsia="ar-SA"/>
        </w:rPr>
        <w:t>š</w:t>
      </w:r>
      <w:r>
        <w:rPr>
          <w:rFonts w:eastAsia="EUAlbertina"/>
          <w:lang w:eastAsia="ar-SA"/>
        </w:rPr>
        <w:t>reik</w:t>
      </w:r>
      <w:r>
        <w:rPr>
          <w:rFonts w:eastAsia="EUAlbertina+01"/>
          <w:lang w:eastAsia="ar-SA"/>
        </w:rPr>
        <w:t>š</w:t>
      </w:r>
      <w:r>
        <w:rPr>
          <w:rFonts w:eastAsia="EUAlbertina"/>
          <w:lang w:eastAsia="ar-SA"/>
        </w:rPr>
        <w:t>tas kaip metinio vidurkio vert</w:t>
      </w:r>
      <w:r>
        <w:rPr>
          <w:rFonts w:eastAsia="EUAlbertina+01"/>
          <w:lang w:eastAsia="ar-SA"/>
        </w:rPr>
        <w:t xml:space="preserve">ė </w:t>
      </w:r>
      <w:r>
        <w:rPr>
          <w:rFonts w:eastAsia="EUAlbertina"/>
          <w:lang w:eastAsia="ar-SA"/>
        </w:rPr>
        <w:t>(MV-AKS). Jei nenurodyta kitaip, jis taikomas vis</w:t>
      </w:r>
      <w:r>
        <w:rPr>
          <w:rFonts w:eastAsia="EUAlbertina+01"/>
          <w:lang w:eastAsia="ar-SA"/>
        </w:rPr>
        <w:t xml:space="preserve">ų </w:t>
      </w:r>
      <w:r>
        <w:rPr>
          <w:rFonts w:eastAsia="EUAlbertina"/>
          <w:lang w:eastAsia="ar-SA"/>
        </w:rPr>
        <w:t>izomer</w:t>
      </w:r>
      <w:r>
        <w:rPr>
          <w:rFonts w:eastAsia="EUAlbertina+01"/>
          <w:lang w:eastAsia="ar-SA"/>
        </w:rPr>
        <w:t xml:space="preserve">ų </w:t>
      </w:r>
      <w:r>
        <w:rPr>
          <w:rFonts w:eastAsia="EUAlbertina"/>
          <w:lang w:eastAsia="ar-SA"/>
        </w:rPr>
        <w:t>bendrai koncentracijai.</w:t>
      </w:r>
    </w:p>
    <w:p>
      <w:pPr>
        <w:ind w:firstLine="567"/>
        <w:jc w:val="both"/>
        <w:rPr>
          <w:rFonts w:eastAsia="EUAlbertina"/>
        </w:rPr>
      </w:pPr>
      <w:r>
        <w:rPr>
          <w:rFonts w:eastAsia="EUAlbertina"/>
          <w:vertAlign w:val="superscript"/>
          <w:lang w:eastAsia="ar-SA"/>
        </w:rPr>
        <w:t>4</w:t>
      </w:r>
      <w:r>
        <w:rPr>
          <w:rFonts w:eastAsia="EUAlbertina"/>
          <w:lang w:eastAsia="ar-SA"/>
        </w:rPr>
        <w:t xml:space="preserve"> </w:t>
      </w:r>
      <w:r>
        <w:rPr>
          <w:rFonts w:eastAsia="EUAlbertina+01"/>
          <w:lang w:eastAsia="ar-SA"/>
        </w:rPr>
        <w:t>Š</w:t>
      </w:r>
      <w:r>
        <w:rPr>
          <w:rFonts w:eastAsia="EUAlbertina"/>
          <w:lang w:eastAsia="ar-SA"/>
        </w:rPr>
        <w:t>is parametras yra aplinkos kokyb</w:t>
      </w:r>
      <w:r>
        <w:rPr>
          <w:rFonts w:eastAsia="EUAlbertina+01"/>
          <w:lang w:eastAsia="ar-SA"/>
        </w:rPr>
        <w:t>ė</w:t>
      </w:r>
      <w:r>
        <w:rPr>
          <w:rFonts w:eastAsia="EUAlbertina"/>
          <w:lang w:eastAsia="ar-SA"/>
        </w:rPr>
        <w:t>s standartas, i</w:t>
      </w:r>
      <w:r>
        <w:rPr>
          <w:rFonts w:eastAsia="EUAlbertina+01"/>
          <w:lang w:eastAsia="ar-SA"/>
        </w:rPr>
        <w:t>š</w:t>
      </w:r>
      <w:r>
        <w:rPr>
          <w:rFonts w:eastAsia="EUAlbertina"/>
          <w:lang w:eastAsia="ar-SA"/>
        </w:rPr>
        <w:t>reik</w:t>
      </w:r>
      <w:r>
        <w:rPr>
          <w:rFonts w:eastAsia="EUAlbertina+01"/>
          <w:lang w:eastAsia="ar-SA"/>
        </w:rPr>
        <w:t>š</w:t>
      </w:r>
      <w:r>
        <w:rPr>
          <w:rFonts w:eastAsia="EUAlbertina"/>
          <w:lang w:eastAsia="ar-SA"/>
        </w:rPr>
        <w:t>tas kaip did</w:t>
      </w:r>
      <w:r>
        <w:rPr>
          <w:rFonts w:eastAsia="EUAlbertina+01"/>
          <w:lang w:eastAsia="ar-SA"/>
        </w:rPr>
        <w:t>ž</w:t>
      </w:r>
      <w:r>
        <w:rPr>
          <w:rFonts w:eastAsia="EUAlbertina"/>
          <w:lang w:eastAsia="ar-SA"/>
        </w:rPr>
        <w:t>iausia leistina koncentracija (DLK-AKS). Jeigu DLK-AKS netaikytina, MV-AKS vert</w:t>
      </w:r>
      <w:r>
        <w:rPr>
          <w:rFonts w:eastAsia="EUAlbertina+01"/>
          <w:lang w:eastAsia="ar-SA"/>
        </w:rPr>
        <w:t>ė</w:t>
      </w:r>
      <w:r>
        <w:rPr>
          <w:rFonts w:eastAsia="EUAlbertina"/>
          <w:lang w:eastAsia="ar-SA"/>
        </w:rPr>
        <w:t>s yra laikomos apsaugan</w:t>
      </w:r>
      <w:r>
        <w:rPr>
          <w:rFonts w:eastAsia="EUAlbertina+01"/>
          <w:lang w:eastAsia="ar-SA"/>
        </w:rPr>
        <w:t>č</w:t>
      </w:r>
      <w:r>
        <w:rPr>
          <w:rFonts w:eastAsia="EUAlbertina"/>
          <w:lang w:eastAsia="ar-SA"/>
        </w:rPr>
        <w:t>iomis did</w:t>
      </w:r>
      <w:r>
        <w:rPr>
          <w:rFonts w:eastAsia="EUAlbertina+01"/>
          <w:lang w:eastAsia="ar-SA"/>
        </w:rPr>
        <w:t>ž</w:t>
      </w:r>
      <w:r>
        <w:rPr>
          <w:rFonts w:eastAsia="EUAlbertina"/>
          <w:lang w:eastAsia="ar-SA"/>
        </w:rPr>
        <w:t>iausios trumpalaik</w:t>
      </w:r>
      <w:r>
        <w:rPr>
          <w:rFonts w:eastAsia="EUAlbertina+01"/>
          <w:lang w:eastAsia="ar-SA"/>
        </w:rPr>
        <w:t>ė</w:t>
      </w:r>
      <w:r>
        <w:rPr>
          <w:rFonts w:eastAsia="EUAlbertina"/>
          <w:lang w:eastAsia="ar-SA"/>
        </w:rPr>
        <w:t>s tar</w:t>
      </w:r>
      <w:r>
        <w:rPr>
          <w:rFonts w:eastAsia="EUAlbertina+01"/>
          <w:lang w:eastAsia="ar-SA"/>
        </w:rPr>
        <w:t>š</w:t>
      </w:r>
      <w:r>
        <w:rPr>
          <w:rFonts w:eastAsia="EUAlbertina"/>
          <w:lang w:eastAsia="ar-SA"/>
        </w:rPr>
        <w:t>os laikotarpiais vykstant nuolatiniams i</w:t>
      </w:r>
      <w:r>
        <w:rPr>
          <w:rFonts w:eastAsia="EUAlbertina+01"/>
          <w:lang w:eastAsia="ar-SA"/>
        </w:rPr>
        <w:t>š</w:t>
      </w:r>
      <w:r>
        <w:rPr>
          <w:rFonts w:eastAsia="EUAlbertina"/>
          <w:lang w:eastAsia="ar-SA"/>
        </w:rPr>
        <w:t xml:space="preserve">leidimams, nes jos yra </w:t>
      </w:r>
      <w:r>
        <w:rPr>
          <w:rFonts w:eastAsia="EUAlbertina+01"/>
          <w:lang w:eastAsia="ar-SA"/>
        </w:rPr>
        <w:t>daug</w:t>
      </w:r>
      <w:r>
        <w:rPr>
          <w:rFonts w:eastAsia="EUAlbertina"/>
          <w:lang w:eastAsia="ar-SA"/>
        </w:rPr>
        <w:t xml:space="preserve"> ma</w:t>
      </w:r>
      <w:r>
        <w:rPr>
          <w:rFonts w:eastAsia="EUAlbertina+01"/>
          <w:lang w:eastAsia="ar-SA"/>
        </w:rPr>
        <w:t>ž</w:t>
      </w:r>
      <w:r>
        <w:rPr>
          <w:rFonts w:eastAsia="EUAlbertina"/>
          <w:lang w:eastAsia="ar-SA"/>
        </w:rPr>
        <w:t>esn</w:t>
      </w:r>
      <w:r>
        <w:rPr>
          <w:rFonts w:eastAsia="EUAlbertina+01"/>
          <w:lang w:eastAsia="ar-SA"/>
        </w:rPr>
        <w:t>ė</w:t>
      </w:r>
      <w:r>
        <w:rPr>
          <w:rFonts w:eastAsia="EUAlbertina"/>
          <w:lang w:eastAsia="ar-SA"/>
        </w:rPr>
        <w:t xml:space="preserve">s </w:t>
      </w:r>
      <w:r>
        <w:rPr>
          <w:rFonts w:eastAsia="EUAlbertina"/>
        </w:rPr>
        <w:t xml:space="preserve">už </w:t>
      </w:r>
      <w:r>
        <w:rPr>
          <w:rFonts w:eastAsia="EUAlbertina+01"/>
        </w:rPr>
        <w:t>ū</w:t>
      </w:r>
      <w:r>
        <w:rPr>
          <w:rFonts w:eastAsia="EUAlbertina"/>
        </w:rPr>
        <w:t>minio toksi</w:t>
      </w:r>
      <w:r>
        <w:rPr>
          <w:rFonts w:eastAsia="EUAlbertina+01"/>
        </w:rPr>
        <w:t>š</w:t>
      </w:r>
      <w:r>
        <w:rPr>
          <w:rFonts w:eastAsia="EUAlbertina"/>
        </w:rPr>
        <w:t>kumo vertes.</w:t>
      </w:r>
    </w:p>
    <w:p>
      <w:pPr>
        <w:ind w:firstLine="567"/>
        <w:jc w:val="both"/>
        <w:rPr>
          <w:rFonts w:eastAsia="EUAlbertina"/>
          <w:lang w:eastAsia="ar-SA"/>
        </w:rPr>
      </w:pPr>
      <w:r>
        <w:rPr>
          <w:rFonts w:eastAsia="EUAlbertina"/>
          <w:vertAlign w:val="superscript"/>
          <w:lang w:eastAsia="ar-SA"/>
        </w:rPr>
        <w:t>5</w:t>
      </w:r>
      <w:r>
        <w:rPr>
          <w:rFonts w:eastAsia="EUAlbertina"/>
          <w:lang w:eastAsia="ar-SA"/>
        </w:rPr>
        <w:t xml:space="preserve"> </w:t>
      </w:r>
      <w:r>
        <w:rPr>
          <w:rFonts w:eastAsia="EUAlbertina"/>
        </w:rPr>
        <w:t>Vidaus pavir</w:t>
      </w:r>
      <w:r>
        <w:rPr>
          <w:rFonts w:eastAsia="EUAlbertina+01"/>
        </w:rPr>
        <w:t>š</w:t>
      </w:r>
      <w:r>
        <w:rPr>
          <w:rFonts w:eastAsia="EUAlbertina"/>
        </w:rPr>
        <w:t>iniai vandenys apima upes bei e</w:t>
      </w:r>
      <w:r>
        <w:rPr>
          <w:rFonts w:eastAsia="EUAlbertina+01"/>
        </w:rPr>
        <w:t>ž</w:t>
      </w:r>
      <w:r>
        <w:rPr>
          <w:rFonts w:eastAsia="EUAlbertina"/>
        </w:rPr>
        <w:t>erus ir yra susij</w:t>
      </w:r>
      <w:r>
        <w:rPr>
          <w:rFonts w:eastAsia="EUAlbertina+01"/>
        </w:rPr>
        <w:t>ę su</w:t>
      </w:r>
      <w:r>
        <w:rPr>
          <w:rFonts w:eastAsia="EUAlbertina"/>
        </w:rPr>
        <w:t xml:space="preserve"> dirbtiniais arba labai pakeistais vandens telkiniais.</w:t>
      </w:r>
    </w:p>
    <w:p>
      <w:pPr>
        <w:ind w:firstLine="567"/>
        <w:jc w:val="both"/>
      </w:pPr>
      <w:r>
        <w:rPr>
          <w:rFonts w:eastAsia="EUAlbertina"/>
          <w:vertAlign w:val="superscript"/>
          <w:lang w:eastAsia="ar-SA"/>
        </w:rPr>
        <w:t>6</w:t>
      </w:r>
      <w:r>
        <w:rPr>
          <w:rFonts w:eastAsia="EUAlbertina"/>
          <w:lang w:eastAsia="ar-SA"/>
        </w:rPr>
        <w:t xml:space="preserve"> </w:t>
      </w:r>
      <w:r>
        <w:rPr>
          <w:rFonts w:eastAsia="EUAlbertina+01"/>
        </w:rPr>
        <w:t>Š</w:t>
      </w:r>
      <w:r>
        <w:rPr>
          <w:rFonts w:eastAsia="EUAlbertina"/>
        </w:rPr>
        <w:t>i med</w:t>
      </w:r>
      <w:r>
        <w:rPr>
          <w:rFonts w:eastAsia="EUAlbertina+01"/>
        </w:rPr>
        <w:t>ž</w:t>
      </w:r>
      <w:r>
        <w:rPr>
          <w:rFonts w:eastAsia="EUAlbertina"/>
        </w:rPr>
        <w:t>iaga n</w:t>
      </w:r>
      <w:r>
        <w:rPr>
          <w:rFonts w:eastAsia="EUAlbertina+01"/>
        </w:rPr>
        <w:t>ė</w:t>
      </w:r>
      <w:r>
        <w:rPr>
          <w:rFonts w:eastAsia="EUAlbertina"/>
        </w:rPr>
        <w:t>ra prioritetin</w:t>
      </w:r>
      <w:r>
        <w:rPr>
          <w:rFonts w:eastAsia="EUAlbertina+01"/>
        </w:rPr>
        <w:t>ė</w:t>
      </w:r>
      <w:r>
        <w:rPr>
          <w:rFonts w:eastAsia="EUAlbertina"/>
        </w:rPr>
        <w:t>, ta</w:t>
      </w:r>
      <w:r>
        <w:rPr>
          <w:rFonts w:eastAsia="EUAlbertina+01"/>
        </w:rPr>
        <w:t>č</w:t>
      </w:r>
      <w:r>
        <w:rPr>
          <w:rFonts w:eastAsia="EUAlbertina"/>
        </w:rPr>
        <w:t>iau ji priklauso kitiems ter</w:t>
      </w:r>
      <w:r>
        <w:rPr>
          <w:rFonts w:eastAsia="EUAlbertina+01"/>
        </w:rPr>
        <w:t>š</w:t>
      </w:r>
      <w:r>
        <w:rPr>
          <w:rFonts w:eastAsia="EUAlbertina"/>
        </w:rPr>
        <w:t xml:space="preserve">alams, </w:t>
      </w:r>
      <w:r>
        <w:t>kuriems skirti AKS – identiški nustatytiesiems ES teisės aktuose, taikytinuose iki 2009 m. sausio 13 d.</w:t>
      </w:r>
    </w:p>
    <w:p>
      <w:pPr>
        <w:ind w:firstLine="567"/>
        <w:jc w:val="both"/>
        <w:rPr>
          <w:rFonts w:eastAsia="EUAlbertina"/>
        </w:rPr>
      </w:pPr>
      <w:r>
        <w:rPr>
          <w:rFonts w:eastAsia="EUAlbertina"/>
          <w:vertAlign w:val="superscript"/>
        </w:rPr>
        <w:t>7</w:t>
      </w:r>
      <w:r>
        <w:rPr>
          <w:rFonts w:eastAsia="EUAlbertina"/>
        </w:rPr>
        <w:t xml:space="preserve"> Vis</w:t>
      </w:r>
      <w:r>
        <w:rPr>
          <w:rFonts w:eastAsia="EUAlbertina+01"/>
        </w:rPr>
        <w:t xml:space="preserve">ą </w:t>
      </w:r>
      <w:r>
        <w:rPr>
          <w:rFonts w:eastAsia="EUAlbertina"/>
        </w:rPr>
        <w:t>DDT sudaro 1,1,1-trichlor-2,2-bis(p-chlorfenil)etano (CAS numeris 50-29-3; ES numeris 200-024-3); (1,1,1-trichloro-2 (o-chlorofenil)-2-(p-chlorofenil)etano (CAS numeris 789-02-6; ES numeris 212-332-5); 1,1-dichlor-2,2bis(p-chlorfenil) etileno (CAS numeris 72-55-9; ES numeris 200-784-6); ir 1,1-dichlor-2,2bis(p-chlorfenil) etano (CAS numeris 72-54-8; ES numeris 200-783-0) izomer</w:t>
      </w:r>
      <w:r>
        <w:rPr>
          <w:rFonts w:eastAsia="EUAlbertina+01"/>
        </w:rPr>
        <w:t xml:space="preserve">ų </w:t>
      </w:r>
      <w:r>
        <w:rPr>
          <w:rFonts w:eastAsia="EUAlbertina"/>
        </w:rPr>
        <w:t>suma.</w:t>
      </w:r>
    </w:p>
    <w:p>
      <w:pPr>
        <w:ind w:firstLine="567"/>
        <w:jc w:val="both"/>
        <w:rPr>
          <w:rFonts w:eastAsia="EUAlbertina"/>
        </w:rPr>
      </w:pPr>
      <w:r>
        <w:rPr>
          <w:rFonts w:eastAsia="EUAlbertina"/>
          <w:vertAlign w:val="superscript"/>
        </w:rPr>
        <w:t>8</w:t>
      </w:r>
      <w:r>
        <w:t xml:space="preserve"> Pesticidai paprastai patenka į vandenį iš išsklaidytų taršos šaltinių, dėl to ribinės vertės nuotekose nenustatomos.</w:t>
      </w:r>
    </w:p>
    <w:p>
      <w:pPr>
        <w:tabs>
          <w:tab w:val="left" w:pos="349"/>
          <w:tab w:val="left" w:pos="1265"/>
          <w:tab w:val="left" w:pos="2181"/>
          <w:tab w:val="left" w:pos="3097"/>
          <w:tab w:val="left" w:pos="4013"/>
          <w:tab w:val="left" w:pos="4929"/>
          <w:tab w:val="left" w:pos="5845"/>
          <w:tab w:val="left" w:pos="6761"/>
          <w:tab w:val="left" w:pos="7677"/>
          <w:tab w:val="left" w:pos="8593"/>
          <w:tab w:val="left" w:pos="9509"/>
          <w:tab w:val="left" w:pos="10425"/>
          <w:tab w:val="left" w:pos="11341"/>
          <w:tab w:val="left" w:pos="12257"/>
          <w:tab w:val="left" w:pos="13173"/>
          <w:tab w:val="left" w:pos="14089"/>
        </w:tabs>
        <w:ind w:firstLine="567"/>
        <w:jc w:val="both"/>
      </w:pPr>
    </w:p>
    <w:p>
      <w:pPr>
        <w:tabs>
          <w:tab w:val="left" w:pos="349"/>
          <w:tab w:val="left" w:pos="1265"/>
          <w:tab w:val="left" w:pos="2181"/>
          <w:tab w:val="left" w:pos="3097"/>
          <w:tab w:val="left" w:pos="4013"/>
          <w:tab w:val="left" w:pos="4929"/>
          <w:tab w:val="left" w:pos="5845"/>
          <w:tab w:val="left" w:pos="6761"/>
          <w:tab w:val="left" w:pos="7677"/>
          <w:tab w:val="left" w:pos="8593"/>
          <w:tab w:val="left" w:pos="9509"/>
          <w:tab w:val="left" w:pos="10425"/>
          <w:tab w:val="left" w:pos="11341"/>
          <w:tab w:val="left" w:pos="12257"/>
          <w:tab w:val="left" w:pos="13173"/>
          <w:tab w:val="left" w:pos="14089"/>
        </w:tabs>
        <w:jc w:val="center"/>
        <w:rPr>
          <w:b/>
          <w:caps/>
        </w:rPr>
      </w:pPr>
      <w:r>
        <w:t xml:space="preserve">B DALIS. KITŲ LIETUVOJE KONTROLIUOJAMŲ MEDŽIAGŲ </w:t>
      </w:r>
      <w:r>
        <w:rPr>
          <w:caps/>
        </w:rPr>
        <w:t>didžiausiA leidžiamA koncentracijA (DLK</w:t>
      </w:r>
      <w:r>
        <w:rPr>
          <w:b/>
          <w:caps/>
        </w:rPr>
        <w:t>)</w:t>
      </w:r>
    </w:p>
    <w:p>
      <w:pPr>
        <w:ind w:firstLine="567"/>
        <w:jc w:val="both"/>
      </w:pPr>
    </w:p>
    <w:p>
      <w:pPr>
        <w:ind w:firstLine="567"/>
        <w:jc w:val="both"/>
      </w:pPr>
      <w:r>
        <w:t>Matavimo vienetai mg/l</w:t>
      </w:r>
    </w:p>
    <w:p>
      <w:pPr>
        <w:ind w:firstLine="567"/>
        <w:jc w:val="both"/>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4"/>
        <w:gridCol w:w="3070"/>
        <w:gridCol w:w="2109"/>
        <w:gridCol w:w="1216"/>
        <w:gridCol w:w="1142"/>
        <w:gridCol w:w="1200"/>
        <w:gridCol w:w="1634"/>
        <w:gridCol w:w="2187"/>
        <w:gridCol w:w="8"/>
      </w:tblGrid>
      <w:tr>
        <w:trPr>
          <w:gridAfter w:val="1"/>
          <w:wAfter w:w="8" w:type="dxa"/>
          <w:cantSplit/>
          <w:tblHeader/>
        </w:trPr>
        <w:tc>
          <w:tcPr>
            <w:tcW w:w="2174" w:type="dxa"/>
          </w:tcPr>
          <w:p>
            <w:pPr>
              <w:snapToGrid w:val="0"/>
              <w:jc w:val="center"/>
              <w:rPr>
                <w:sz w:val="18"/>
                <w:szCs w:val="18"/>
              </w:rPr>
            </w:pPr>
            <w:r>
              <w:rPr>
                <w:sz w:val="18"/>
                <w:szCs w:val="18"/>
              </w:rPr>
              <w:t>Medžiagų grupės pavadinimas</w:t>
            </w:r>
          </w:p>
        </w:tc>
        <w:tc>
          <w:tcPr>
            <w:tcW w:w="3070" w:type="dxa"/>
          </w:tcPr>
          <w:p>
            <w:pPr>
              <w:snapToGrid w:val="0"/>
              <w:jc w:val="center"/>
              <w:rPr>
                <w:sz w:val="18"/>
                <w:szCs w:val="18"/>
              </w:rPr>
            </w:pPr>
            <w:r>
              <w:rPr>
                <w:sz w:val="18"/>
                <w:szCs w:val="18"/>
              </w:rPr>
              <w:t>Medžiagos pavadinimas</w:t>
            </w:r>
          </w:p>
        </w:tc>
        <w:tc>
          <w:tcPr>
            <w:tcW w:w="2109" w:type="dxa"/>
          </w:tcPr>
          <w:p>
            <w:pPr>
              <w:snapToGrid w:val="0"/>
              <w:jc w:val="center"/>
              <w:rPr>
                <w:sz w:val="18"/>
                <w:szCs w:val="18"/>
              </w:rPr>
            </w:pPr>
            <w:r>
              <w:rPr>
                <w:sz w:val="18"/>
                <w:szCs w:val="18"/>
              </w:rPr>
              <w:t xml:space="preserve">CAS Nr. </w:t>
            </w:r>
            <w:r>
              <w:rPr>
                <w:sz w:val="18"/>
                <w:szCs w:val="18"/>
                <w:vertAlign w:val="superscript"/>
              </w:rPr>
              <w:t>1</w:t>
            </w:r>
          </w:p>
        </w:tc>
        <w:tc>
          <w:tcPr>
            <w:tcW w:w="1216" w:type="dxa"/>
          </w:tcPr>
          <w:p>
            <w:pPr>
              <w:snapToGrid w:val="0"/>
              <w:jc w:val="center"/>
              <w:rPr>
                <w:sz w:val="18"/>
                <w:szCs w:val="18"/>
              </w:rPr>
            </w:pPr>
            <w:r>
              <w:rPr>
                <w:sz w:val="18"/>
                <w:szCs w:val="18"/>
              </w:rPr>
              <w:t>DLK į nuotekų surinkimo sistemą</w:t>
            </w:r>
          </w:p>
        </w:tc>
        <w:tc>
          <w:tcPr>
            <w:tcW w:w="1142" w:type="dxa"/>
          </w:tcPr>
          <w:p>
            <w:pPr>
              <w:snapToGrid w:val="0"/>
              <w:jc w:val="center"/>
              <w:rPr>
                <w:sz w:val="18"/>
                <w:szCs w:val="18"/>
              </w:rPr>
            </w:pPr>
            <w:r>
              <w:rPr>
                <w:sz w:val="18"/>
                <w:szCs w:val="18"/>
              </w:rPr>
              <w:t>DLK į gamtinę aplinką</w:t>
            </w:r>
          </w:p>
        </w:tc>
        <w:tc>
          <w:tcPr>
            <w:tcW w:w="1200" w:type="dxa"/>
          </w:tcPr>
          <w:p>
            <w:pPr>
              <w:snapToGrid w:val="0"/>
              <w:jc w:val="center"/>
              <w:rPr>
                <w:sz w:val="18"/>
                <w:szCs w:val="18"/>
              </w:rPr>
            </w:pPr>
            <w:r>
              <w:rPr>
                <w:sz w:val="18"/>
                <w:szCs w:val="18"/>
              </w:rPr>
              <w:t>DLK vandens telkinyje-priimtuve</w:t>
            </w:r>
          </w:p>
        </w:tc>
        <w:tc>
          <w:tcPr>
            <w:tcW w:w="1634" w:type="dxa"/>
          </w:tcPr>
          <w:p>
            <w:pPr>
              <w:snapToGrid w:val="0"/>
              <w:jc w:val="center"/>
              <w:rPr>
                <w:sz w:val="18"/>
                <w:szCs w:val="18"/>
              </w:rPr>
            </w:pPr>
            <w:r>
              <w:rPr>
                <w:i/>
                <w:iCs/>
                <w:sz w:val="18"/>
                <w:szCs w:val="18"/>
              </w:rPr>
              <w:t>Ribinė koncentracija</w:t>
            </w:r>
            <w:r>
              <w:rPr>
                <w:i/>
                <w:iCs/>
                <w:sz w:val="18"/>
                <w:szCs w:val="18"/>
                <w:vertAlign w:val="superscript"/>
              </w:rPr>
              <w:t>2</w:t>
            </w:r>
            <w:r>
              <w:rPr>
                <w:sz w:val="18"/>
                <w:szCs w:val="18"/>
              </w:rPr>
              <w:t xml:space="preserve"> į nuotekų surinkimo sistemą</w:t>
            </w:r>
          </w:p>
        </w:tc>
        <w:tc>
          <w:tcPr>
            <w:tcW w:w="2187" w:type="dxa"/>
          </w:tcPr>
          <w:p>
            <w:pPr>
              <w:snapToGrid w:val="0"/>
              <w:jc w:val="center"/>
              <w:rPr>
                <w:sz w:val="18"/>
                <w:szCs w:val="18"/>
              </w:rPr>
            </w:pPr>
            <w:r>
              <w:rPr>
                <w:i/>
                <w:iCs/>
                <w:sz w:val="18"/>
                <w:szCs w:val="18"/>
              </w:rPr>
              <w:t>Ribinė koncentracija</w:t>
            </w:r>
            <w:r>
              <w:rPr>
                <w:i/>
                <w:iCs/>
                <w:sz w:val="18"/>
                <w:szCs w:val="18"/>
                <w:vertAlign w:val="superscript"/>
              </w:rPr>
              <w:t>2</w:t>
            </w:r>
            <w:r>
              <w:rPr>
                <w:sz w:val="18"/>
                <w:szCs w:val="18"/>
              </w:rPr>
              <w:t xml:space="preserve"> į gamtinę aplinką</w:t>
            </w:r>
          </w:p>
        </w:tc>
      </w:tr>
      <w:tr>
        <w:trPr>
          <w:cantSplit/>
        </w:trPr>
        <w:tc>
          <w:tcPr>
            <w:tcW w:w="14740" w:type="dxa"/>
            <w:gridSpan w:val="9"/>
          </w:tcPr>
          <w:p>
            <w:pPr>
              <w:snapToGrid w:val="0"/>
              <w:rPr>
                <w:b/>
                <w:sz w:val="18"/>
                <w:szCs w:val="18"/>
              </w:rPr>
            </w:pPr>
            <w:r>
              <w:rPr>
                <w:b/>
                <w:bCs/>
                <w:sz w:val="18"/>
                <w:szCs w:val="18"/>
              </w:rPr>
              <w:t>B</w:t>
            </w:r>
            <w:r>
              <w:rPr>
                <w:b/>
                <w:sz w:val="18"/>
                <w:szCs w:val="18"/>
              </w:rPr>
              <w:t xml:space="preserve"> dalis</w:t>
            </w:r>
          </w:p>
        </w:tc>
      </w:tr>
      <w:tr>
        <w:trPr>
          <w:cantSplit/>
        </w:trPr>
        <w:tc>
          <w:tcPr>
            <w:tcW w:w="14740" w:type="dxa"/>
            <w:gridSpan w:val="9"/>
          </w:tcPr>
          <w:p>
            <w:pPr>
              <w:snapToGrid w:val="0"/>
              <w:ind w:firstLine="567"/>
              <w:rPr>
                <w:b/>
                <w:bCs/>
                <w:sz w:val="18"/>
                <w:szCs w:val="18"/>
              </w:rPr>
            </w:pPr>
            <w:r>
              <w:rPr>
                <w:b/>
                <w:bCs/>
                <w:sz w:val="18"/>
                <w:szCs w:val="18"/>
              </w:rPr>
              <w:t>Sąrašas B1</w:t>
            </w:r>
          </w:p>
        </w:tc>
      </w:tr>
      <w:tr>
        <w:trPr>
          <w:gridAfter w:val="1"/>
          <w:wAfter w:w="8" w:type="dxa"/>
          <w:cantSplit/>
        </w:trPr>
        <w:tc>
          <w:tcPr>
            <w:tcW w:w="2174" w:type="dxa"/>
          </w:tcPr>
          <w:p>
            <w:pPr>
              <w:snapToGrid w:val="0"/>
              <w:rPr>
                <w:sz w:val="18"/>
                <w:szCs w:val="18"/>
              </w:rPr>
            </w:pPr>
            <w:r>
              <w:rPr>
                <w:sz w:val="18"/>
                <w:szCs w:val="18"/>
              </w:rPr>
              <w:t>Metalai</w:t>
            </w:r>
          </w:p>
        </w:tc>
        <w:tc>
          <w:tcPr>
            <w:tcW w:w="3070" w:type="dxa"/>
          </w:tcPr>
          <w:p>
            <w:pPr>
              <w:suppressAutoHyphens/>
              <w:snapToGrid w:val="0"/>
              <w:rPr>
                <w:sz w:val="18"/>
                <w:szCs w:val="18"/>
                <w:lang w:eastAsia="ar-SA"/>
              </w:rPr>
            </w:pPr>
            <w:r>
              <w:rPr>
                <w:sz w:val="18"/>
                <w:szCs w:val="18"/>
                <w:lang w:eastAsia="ar-SA"/>
              </w:rPr>
              <w:t>Chromas (bendras)</w:t>
            </w:r>
          </w:p>
        </w:tc>
        <w:tc>
          <w:tcPr>
            <w:tcW w:w="2109" w:type="dxa"/>
          </w:tcPr>
          <w:p>
            <w:pPr>
              <w:snapToGrid w:val="0"/>
              <w:jc w:val="center"/>
              <w:rPr>
                <w:sz w:val="18"/>
                <w:szCs w:val="18"/>
              </w:rPr>
            </w:pPr>
            <w:r>
              <w:rPr>
                <w:sz w:val="18"/>
                <w:szCs w:val="18"/>
              </w:rPr>
              <w:t>CAS 7440-47-3</w:t>
            </w:r>
          </w:p>
        </w:tc>
        <w:tc>
          <w:tcPr>
            <w:tcW w:w="1216" w:type="dxa"/>
          </w:tcPr>
          <w:p>
            <w:pPr>
              <w:snapToGrid w:val="0"/>
              <w:jc w:val="center"/>
              <w:rPr>
                <w:sz w:val="18"/>
                <w:szCs w:val="18"/>
              </w:rPr>
            </w:pPr>
            <w:r>
              <w:rPr>
                <w:sz w:val="18"/>
                <w:szCs w:val="18"/>
              </w:rPr>
              <w:t>2</w:t>
            </w:r>
          </w:p>
        </w:tc>
        <w:tc>
          <w:tcPr>
            <w:tcW w:w="1142" w:type="dxa"/>
          </w:tcPr>
          <w:p>
            <w:pPr>
              <w:snapToGrid w:val="0"/>
              <w:jc w:val="center"/>
              <w:rPr>
                <w:sz w:val="18"/>
                <w:szCs w:val="18"/>
              </w:rPr>
            </w:pPr>
            <w:r>
              <w:rPr>
                <w:sz w:val="18"/>
                <w:szCs w:val="18"/>
              </w:rPr>
              <w:t>0,5</w:t>
            </w:r>
          </w:p>
        </w:tc>
        <w:tc>
          <w:tcPr>
            <w:tcW w:w="1200" w:type="dxa"/>
          </w:tcPr>
          <w:p>
            <w:pPr>
              <w:snapToGrid w:val="0"/>
              <w:jc w:val="center"/>
              <w:rPr>
                <w:sz w:val="18"/>
                <w:szCs w:val="18"/>
              </w:rPr>
            </w:pPr>
            <w:r>
              <w:rPr>
                <w:sz w:val="18"/>
                <w:szCs w:val="18"/>
              </w:rPr>
              <w:t>0,01</w:t>
            </w:r>
          </w:p>
        </w:tc>
        <w:tc>
          <w:tcPr>
            <w:tcW w:w="1634" w:type="dxa"/>
          </w:tcPr>
          <w:p>
            <w:pPr>
              <w:snapToGrid w:val="0"/>
              <w:jc w:val="center"/>
              <w:rPr>
                <w:sz w:val="18"/>
                <w:szCs w:val="18"/>
              </w:rPr>
            </w:pPr>
            <w:r>
              <w:rPr>
                <w:sz w:val="18"/>
                <w:szCs w:val="18"/>
              </w:rPr>
              <w:t>0,4</w:t>
            </w:r>
          </w:p>
        </w:tc>
        <w:tc>
          <w:tcPr>
            <w:tcW w:w="2187" w:type="dxa"/>
          </w:tcPr>
          <w:p>
            <w:pPr>
              <w:snapToGrid w:val="0"/>
              <w:jc w:val="center"/>
              <w:rPr>
                <w:sz w:val="18"/>
                <w:szCs w:val="18"/>
              </w:rPr>
            </w:pPr>
            <w:r>
              <w:rPr>
                <w:sz w:val="18"/>
                <w:szCs w:val="18"/>
              </w:rPr>
              <w:t>0,1</w:t>
            </w:r>
          </w:p>
        </w:tc>
      </w:tr>
      <w:tr>
        <w:trPr>
          <w:gridAfter w:val="1"/>
          <w:wAfter w:w="8" w:type="dxa"/>
          <w:cantSplit/>
        </w:trPr>
        <w:tc>
          <w:tcPr>
            <w:tcW w:w="2174" w:type="dxa"/>
          </w:tcPr>
          <w:p>
            <w:pPr>
              <w:snapToGrid w:val="0"/>
              <w:rPr>
                <w:rFonts w:eastAsia="Arial Unicode MS"/>
                <w:sz w:val="18"/>
                <w:szCs w:val="18"/>
              </w:rPr>
            </w:pPr>
          </w:p>
        </w:tc>
        <w:tc>
          <w:tcPr>
            <w:tcW w:w="3070" w:type="dxa"/>
          </w:tcPr>
          <w:p>
            <w:pPr>
              <w:snapToGrid w:val="0"/>
              <w:rPr>
                <w:sz w:val="18"/>
                <w:szCs w:val="18"/>
              </w:rPr>
            </w:pPr>
            <w:r>
              <w:rPr>
                <w:sz w:val="18"/>
                <w:szCs w:val="18"/>
              </w:rPr>
              <w:t>Chromas (šešiavalentis)</w:t>
            </w:r>
          </w:p>
        </w:tc>
        <w:tc>
          <w:tcPr>
            <w:tcW w:w="2109" w:type="dxa"/>
          </w:tcPr>
          <w:p>
            <w:pPr>
              <w:snapToGrid w:val="0"/>
              <w:jc w:val="center"/>
              <w:rPr>
                <w:sz w:val="18"/>
                <w:szCs w:val="18"/>
              </w:rPr>
            </w:pPr>
          </w:p>
        </w:tc>
        <w:tc>
          <w:tcPr>
            <w:tcW w:w="1216" w:type="dxa"/>
          </w:tcPr>
          <w:p>
            <w:pPr>
              <w:snapToGrid w:val="0"/>
              <w:jc w:val="center"/>
              <w:rPr>
                <w:sz w:val="18"/>
                <w:szCs w:val="18"/>
              </w:rPr>
            </w:pPr>
            <w:r>
              <w:rPr>
                <w:sz w:val="18"/>
                <w:szCs w:val="18"/>
              </w:rPr>
              <w:t>0,2</w:t>
            </w:r>
          </w:p>
        </w:tc>
        <w:tc>
          <w:tcPr>
            <w:tcW w:w="1142" w:type="dxa"/>
          </w:tcPr>
          <w:p>
            <w:pPr>
              <w:snapToGrid w:val="0"/>
              <w:jc w:val="center"/>
              <w:rPr>
                <w:sz w:val="18"/>
                <w:szCs w:val="18"/>
              </w:rPr>
            </w:pPr>
            <w:r>
              <w:rPr>
                <w:sz w:val="18"/>
                <w:szCs w:val="18"/>
              </w:rPr>
              <w:t>0,1</w:t>
            </w:r>
          </w:p>
        </w:tc>
        <w:tc>
          <w:tcPr>
            <w:tcW w:w="1200" w:type="dxa"/>
          </w:tcPr>
          <w:p>
            <w:pPr>
              <w:snapToGrid w:val="0"/>
              <w:jc w:val="center"/>
              <w:rPr>
                <w:sz w:val="18"/>
                <w:szCs w:val="18"/>
              </w:rPr>
            </w:pPr>
            <w:r>
              <w:rPr>
                <w:sz w:val="18"/>
                <w:szCs w:val="18"/>
              </w:rPr>
              <w:t>0,001</w:t>
            </w:r>
          </w:p>
        </w:tc>
        <w:tc>
          <w:tcPr>
            <w:tcW w:w="1634" w:type="dxa"/>
          </w:tcPr>
          <w:p>
            <w:pPr>
              <w:snapToGrid w:val="0"/>
              <w:jc w:val="center"/>
              <w:rPr>
                <w:sz w:val="18"/>
                <w:szCs w:val="18"/>
              </w:rPr>
            </w:pPr>
            <w:r>
              <w:rPr>
                <w:sz w:val="18"/>
                <w:szCs w:val="18"/>
              </w:rPr>
              <w:t>0,04</w:t>
            </w:r>
          </w:p>
        </w:tc>
        <w:tc>
          <w:tcPr>
            <w:tcW w:w="2187" w:type="dxa"/>
          </w:tcPr>
          <w:p>
            <w:pPr>
              <w:snapToGrid w:val="0"/>
              <w:jc w:val="center"/>
              <w:rPr>
                <w:sz w:val="18"/>
                <w:szCs w:val="18"/>
              </w:rPr>
            </w:pPr>
            <w:r>
              <w:rPr>
                <w:sz w:val="18"/>
                <w:szCs w:val="18"/>
              </w:rPr>
              <w:t>0,04</w:t>
            </w:r>
          </w:p>
        </w:tc>
      </w:tr>
      <w:tr>
        <w:trPr>
          <w:gridAfter w:val="1"/>
          <w:wAfter w:w="8" w:type="dxa"/>
          <w:cantSplit/>
        </w:trPr>
        <w:tc>
          <w:tcPr>
            <w:tcW w:w="2174" w:type="dxa"/>
          </w:tcPr>
          <w:p>
            <w:pPr>
              <w:snapToGrid w:val="0"/>
              <w:rPr>
                <w:rFonts w:eastAsia="Arial Unicode MS"/>
                <w:sz w:val="18"/>
                <w:szCs w:val="18"/>
              </w:rPr>
            </w:pPr>
          </w:p>
        </w:tc>
        <w:tc>
          <w:tcPr>
            <w:tcW w:w="3070" w:type="dxa"/>
          </w:tcPr>
          <w:p>
            <w:pPr>
              <w:snapToGrid w:val="0"/>
              <w:rPr>
                <w:sz w:val="18"/>
                <w:szCs w:val="18"/>
              </w:rPr>
            </w:pPr>
            <w:r>
              <w:rPr>
                <w:sz w:val="18"/>
                <w:szCs w:val="18"/>
              </w:rPr>
              <w:t>Varis</w:t>
            </w:r>
          </w:p>
        </w:tc>
        <w:tc>
          <w:tcPr>
            <w:tcW w:w="2109" w:type="dxa"/>
          </w:tcPr>
          <w:p>
            <w:pPr>
              <w:snapToGrid w:val="0"/>
              <w:jc w:val="center"/>
              <w:rPr>
                <w:sz w:val="18"/>
                <w:szCs w:val="18"/>
              </w:rPr>
            </w:pPr>
            <w:r>
              <w:rPr>
                <w:sz w:val="18"/>
                <w:szCs w:val="18"/>
              </w:rPr>
              <w:t>CAS 7440-50-8</w:t>
            </w:r>
          </w:p>
        </w:tc>
        <w:tc>
          <w:tcPr>
            <w:tcW w:w="1216" w:type="dxa"/>
          </w:tcPr>
          <w:p>
            <w:pPr>
              <w:snapToGrid w:val="0"/>
              <w:jc w:val="center"/>
              <w:rPr>
                <w:sz w:val="18"/>
                <w:szCs w:val="18"/>
              </w:rPr>
            </w:pPr>
            <w:r>
              <w:rPr>
                <w:sz w:val="18"/>
                <w:szCs w:val="18"/>
              </w:rPr>
              <w:t>2</w:t>
            </w:r>
          </w:p>
        </w:tc>
        <w:tc>
          <w:tcPr>
            <w:tcW w:w="1142" w:type="dxa"/>
          </w:tcPr>
          <w:p>
            <w:pPr>
              <w:snapToGrid w:val="0"/>
              <w:jc w:val="center"/>
              <w:rPr>
                <w:sz w:val="18"/>
                <w:szCs w:val="18"/>
              </w:rPr>
            </w:pPr>
            <w:r>
              <w:rPr>
                <w:sz w:val="18"/>
                <w:szCs w:val="18"/>
              </w:rPr>
              <w:t xml:space="preserve">0,5 </w:t>
            </w:r>
          </w:p>
        </w:tc>
        <w:tc>
          <w:tcPr>
            <w:tcW w:w="1200" w:type="dxa"/>
          </w:tcPr>
          <w:p>
            <w:pPr>
              <w:snapToGrid w:val="0"/>
              <w:jc w:val="center"/>
              <w:rPr>
                <w:sz w:val="18"/>
                <w:szCs w:val="18"/>
              </w:rPr>
            </w:pPr>
            <w:r>
              <w:rPr>
                <w:sz w:val="18"/>
                <w:szCs w:val="18"/>
              </w:rPr>
              <w:t>0,01</w:t>
            </w:r>
          </w:p>
        </w:tc>
        <w:tc>
          <w:tcPr>
            <w:tcW w:w="1634" w:type="dxa"/>
          </w:tcPr>
          <w:p>
            <w:pPr>
              <w:snapToGrid w:val="0"/>
              <w:jc w:val="center"/>
              <w:rPr>
                <w:sz w:val="18"/>
                <w:szCs w:val="18"/>
              </w:rPr>
            </w:pPr>
            <w:r>
              <w:rPr>
                <w:sz w:val="18"/>
                <w:szCs w:val="18"/>
              </w:rPr>
              <w:t>0,4</w:t>
            </w:r>
          </w:p>
        </w:tc>
        <w:tc>
          <w:tcPr>
            <w:tcW w:w="2187" w:type="dxa"/>
          </w:tcPr>
          <w:p>
            <w:pPr>
              <w:snapToGrid w:val="0"/>
              <w:jc w:val="center"/>
              <w:rPr>
                <w:sz w:val="18"/>
                <w:szCs w:val="18"/>
              </w:rPr>
            </w:pPr>
            <w:r>
              <w:rPr>
                <w:sz w:val="18"/>
                <w:szCs w:val="18"/>
              </w:rPr>
              <w:t>0,1</w:t>
            </w:r>
          </w:p>
        </w:tc>
      </w:tr>
      <w:tr>
        <w:trPr>
          <w:gridAfter w:val="1"/>
          <w:wAfter w:w="8" w:type="dxa"/>
          <w:cantSplit/>
        </w:trPr>
        <w:tc>
          <w:tcPr>
            <w:tcW w:w="2174" w:type="dxa"/>
          </w:tcPr>
          <w:p>
            <w:pPr>
              <w:snapToGrid w:val="0"/>
              <w:rPr>
                <w:rFonts w:eastAsia="Arial Unicode MS"/>
                <w:sz w:val="18"/>
                <w:szCs w:val="18"/>
              </w:rPr>
            </w:pPr>
          </w:p>
        </w:tc>
        <w:tc>
          <w:tcPr>
            <w:tcW w:w="3070" w:type="dxa"/>
          </w:tcPr>
          <w:p>
            <w:pPr>
              <w:snapToGrid w:val="0"/>
              <w:rPr>
                <w:sz w:val="18"/>
                <w:szCs w:val="18"/>
              </w:rPr>
            </w:pPr>
            <w:r>
              <w:rPr>
                <w:sz w:val="18"/>
                <w:szCs w:val="18"/>
              </w:rPr>
              <w:t>Alavas</w:t>
            </w:r>
          </w:p>
        </w:tc>
        <w:tc>
          <w:tcPr>
            <w:tcW w:w="2109" w:type="dxa"/>
          </w:tcPr>
          <w:p>
            <w:pPr>
              <w:snapToGrid w:val="0"/>
              <w:jc w:val="center"/>
              <w:rPr>
                <w:sz w:val="18"/>
                <w:szCs w:val="18"/>
              </w:rPr>
            </w:pPr>
            <w:r>
              <w:rPr>
                <w:sz w:val="18"/>
                <w:szCs w:val="18"/>
              </w:rPr>
              <w:t>CAS 2406-52-2</w:t>
            </w:r>
          </w:p>
        </w:tc>
        <w:tc>
          <w:tcPr>
            <w:tcW w:w="1216" w:type="dxa"/>
          </w:tcPr>
          <w:p>
            <w:pPr>
              <w:snapToGrid w:val="0"/>
              <w:jc w:val="center"/>
              <w:rPr>
                <w:sz w:val="18"/>
                <w:szCs w:val="18"/>
              </w:rPr>
            </w:pPr>
            <w:r>
              <w:rPr>
                <w:sz w:val="18"/>
                <w:szCs w:val="18"/>
              </w:rPr>
              <w:t>5</w:t>
            </w:r>
          </w:p>
        </w:tc>
        <w:tc>
          <w:tcPr>
            <w:tcW w:w="1142" w:type="dxa"/>
          </w:tcPr>
          <w:p>
            <w:pPr>
              <w:snapToGrid w:val="0"/>
              <w:jc w:val="center"/>
              <w:rPr>
                <w:sz w:val="18"/>
                <w:szCs w:val="18"/>
              </w:rPr>
            </w:pPr>
            <w:r>
              <w:rPr>
                <w:sz w:val="18"/>
                <w:szCs w:val="18"/>
              </w:rPr>
              <w:t>1</w:t>
            </w:r>
          </w:p>
        </w:tc>
        <w:tc>
          <w:tcPr>
            <w:tcW w:w="1200" w:type="dxa"/>
          </w:tcPr>
          <w:p>
            <w:pPr>
              <w:snapToGrid w:val="0"/>
              <w:jc w:val="center"/>
              <w:rPr>
                <w:sz w:val="18"/>
                <w:szCs w:val="18"/>
              </w:rPr>
            </w:pPr>
            <w:r>
              <w:rPr>
                <w:sz w:val="18"/>
                <w:szCs w:val="18"/>
              </w:rPr>
              <w:t>-</w:t>
            </w:r>
          </w:p>
        </w:tc>
        <w:tc>
          <w:tcPr>
            <w:tcW w:w="1634" w:type="dxa"/>
          </w:tcPr>
          <w:p>
            <w:pPr>
              <w:snapToGrid w:val="0"/>
              <w:jc w:val="center"/>
              <w:rPr>
                <w:rFonts w:eastAsia="Arial Unicode MS"/>
                <w:sz w:val="18"/>
                <w:szCs w:val="18"/>
              </w:rPr>
            </w:pPr>
            <w:r>
              <w:rPr>
                <w:rFonts w:eastAsia="Arial Unicode MS"/>
                <w:sz w:val="18"/>
                <w:szCs w:val="18"/>
              </w:rPr>
              <w:t>1</w:t>
            </w:r>
          </w:p>
        </w:tc>
        <w:tc>
          <w:tcPr>
            <w:tcW w:w="2187" w:type="dxa"/>
          </w:tcPr>
          <w:p>
            <w:pPr>
              <w:snapToGrid w:val="0"/>
              <w:jc w:val="center"/>
              <w:rPr>
                <w:sz w:val="18"/>
                <w:szCs w:val="18"/>
              </w:rPr>
            </w:pPr>
            <w:r>
              <w:rPr>
                <w:sz w:val="18"/>
                <w:szCs w:val="18"/>
              </w:rPr>
              <w:t>0,4</w:t>
            </w:r>
          </w:p>
        </w:tc>
      </w:tr>
      <w:tr>
        <w:trPr>
          <w:gridAfter w:val="1"/>
          <w:wAfter w:w="8" w:type="dxa"/>
          <w:cantSplit/>
        </w:trPr>
        <w:tc>
          <w:tcPr>
            <w:tcW w:w="2174" w:type="dxa"/>
          </w:tcPr>
          <w:p>
            <w:pPr>
              <w:snapToGrid w:val="0"/>
              <w:rPr>
                <w:rFonts w:eastAsia="Arial Unicode MS"/>
                <w:sz w:val="18"/>
                <w:szCs w:val="18"/>
              </w:rPr>
            </w:pPr>
          </w:p>
        </w:tc>
        <w:tc>
          <w:tcPr>
            <w:tcW w:w="3070" w:type="dxa"/>
          </w:tcPr>
          <w:p>
            <w:pPr>
              <w:snapToGrid w:val="0"/>
              <w:rPr>
                <w:sz w:val="18"/>
                <w:szCs w:val="18"/>
              </w:rPr>
            </w:pPr>
            <w:r>
              <w:rPr>
                <w:sz w:val="18"/>
                <w:szCs w:val="18"/>
              </w:rPr>
              <w:t>Cinkas</w:t>
            </w:r>
          </w:p>
        </w:tc>
        <w:tc>
          <w:tcPr>
            <w:tcW w:w="2109" w:type="dxa"/>
          </w:tcPr>
          <w:p>
            <w:pPr>
              <w:snapToGrid w:val="0"/>
              <w:jc w:val="center"/>
              <w:rPr>
                <w:sz w:val="18"/>
                <w:szCs w:val="18"/>
              </w:rPr>
            </w:pPr>
            <w:r>
              <w:rPr>
                <w:sz w:val="18"/>
                <w:szCs w:val="18"/>
              </w:rPr>
              <w:t>CAS 7440-66-6</w:t>
            </w:r>
          </w:p>
        </w:tc>
        <w:tc>
          <w:tcPr>
            <w:tcW w:w="1216" w:type="dxa"/>
          </w:tcPr>
          <w:p>
            <w:pPr>
              <w:snapToGrid w:val="0"/>
              <w:jc w:val="center"/>
              <w:rPr>
                <w:sz w:val="18"/>
                <w:szCs w:val="18"/>
              </w:rPr>
            </w:pPr>
            <w:r>
              <w:rPr>
                <w:sz w:val="18"/>
                <w:szCs w:val="18"/>
              </w:rPr>
              <w:t>3</w:t>
            </w:r>
          </w:p>
        </w:tc>
        <w:tc>
          <w:tcPr>
            <w:tcW w:w="1142" w:type="dxa"/>
          </w:tcPr>
          <w:p>
            <w:pPr>
              <w:snapToGrid w:val="0"/>
              <w:jc w:val="center"/>
              <w:rPr>
                <w:sz w:val="18"/>
                <w:szCs w:val="18"/>
              </w:rPr>
            </w:pPr>
            <w:r>
              <w:rPr>
                <w:sz w:val="18"/>
                <w:szCs w:val="18"/>
              </w:rPr>
              <w:t>0,4</w:t>
            </w:r>
          </w:p>
        </w:tc>
        <w:tc>
          <w:tcPr>
            <w:tcW w:w="1200" w:type="dxa"/>
          </w:tcPr>
          <w:p>
            <w:pPr>
              <w:snapToGrid w:val="0"/>
              <w:jc w:val="center"/>
              <w:rPr>
                <w:sz w:val="18"/>
                <w:szCs w:val="18"/>
              </w:rPr>
            </w:pPr>
            <w:r>
              <w:rPr>
                <w:sz w:val="18"/>
                <w:szCs w:val="18"/>
              </w:rPr>
              <w:t>0,1</w:t>
            </w:r>
          </w:p>
        </w:tc>
        <w:tc>
          <w:tcPr>
            <w:tcW w:w="1634" w:type="dxa"/>
          </w:tcPr>
          <w:p>
            <w:pPr>
              <w:snapToGrid w:val="0"/>
              <w:jc w:val="center"/>
              <w:rPr>
                <w:sz w:val="18"/>
                <w:szCs w:val="18"/>
              </w:rPr>
            </w:pPr>
            <w:r>
              <w:rPr>
                <w:sz w:val="18"/>
                <w:szCs w:val="18"/>
              </w:rPr>
              <w:t>0,6</w:t>
            </w:r>
          </w:p>
        </w:tc>
        <w:tc>
          <w:tcPr>
            <w:tcW w:w="2187" w:type="dxa"/>
          </w:tcPr>
          <w:p>
            <w:pPr>
              <w:snapToGrid w:val="0"/>
              <w:jc w:val="center"/>
              <w:rPr>
                <w:sz w:val="18"/>
                <w:szCs w:val="18"/>
              </w:rPr>
            </w:pPr>
            <w:r>
              <w:rPr>
                <w:sz w:val="18"/>
                <w:szCs w:val="18"/>
              </w:rPr>
              <w:t>0,16</w:t>
            </w:r>
          </w:p>
        </w:tc>
      </w:tr>
      <w:tr>
        <w:trPr>
          <w:gridAfter w:val="1"/>
          <w:wAfter w:w="8" w:type="dxa"/>
          <w:cantSplit/>
        </w:trPr>
        <w:tc>
          <w:tcPr>
            <w:tcW w:w="2174" w:type="dxa"/>
          </w:tcPr>
          <w:p>
            <w:pPr>
              <w:snapToGrid w:val="0"/>
              <w:rPr>
                <w:rFonts w:eastAsia="Arial Unicode MS"/>
                <w:sz w:val="18"/>
                <w:szCs w:val="18"/>
              </w:rPr>
            </w:pPr>
          </w:p>
        </w:tc>
        <w:tc>
          <w:tcPr>
            <w:tcW w:w="3070" w:type="dxa"/>
          </w:tcPr>
          <w:p>
            <w:pPr>
              <w:snapToGrid w:val="0"/>
              <w:rPr>
                <w:sz w:val="18"/>
                <w:szCs w:val="18"/>
              </w:rPr>
            </w:pPr>
            <w:r>
              <w:rPr>
                <w:sz w:val="18"/>
                <w:szCs w:val="18"/>
              </w:rPr>
              <w:t>Vanadis</w:t>
            </w:r>
          </w:p>
        </w:tc>
        <w:tc>
          <w:tcPr>
            <w:tcW w:w="2109" w:type="dxa"/>
          </w:tcPr>
          <w:p>
            <w:pPr>
              <w:snapToGrid w:val="0"/>
              <w:jc w:val="center"/>
              <w:rPr>
                <w:sz w:val="18"/>
                <w:szCs w:val="18"/>
              </w:rPr>
            </w:pPr>
            <w:r>
              <w:rPr>
                <w:sz w:val="18"/>
                <w:szCs w:val="18"/>
              </w:rPr>
              <w:t>CAS 7440-62-2</w:t>
            </w:r>
          </w:p>
        </w:tc>
        <w:tc>
          <w:tcPr>
            <w:tcW w:w="1216" w:type="dxa"/>
          </w:tcPr>
          <w:p>
            <w:pPr>
              <w:snapToGrid w:val="0"/>
              <w:jc w:val="center"/>
              <w:rPr>
                <w:sz w:val="18"/>
                <w:szCs w:val="18"/>
              </w:rPr>
            </w:pPr>
            <w:r>
              <w:rPr>
                <w:sz w:val="18"/>
                <w:szCs w:val="18"/>
              </w:rPr>
              <w:t>10</w:t>
            </w:r>
          </w:p>
        </w:tc>
        <w:tc>
          <w:tcPr>
            <w:tcW w:w="1142" w:type="dxa"/>
          </w:tcPr>
          <w:p>
            <w:pPr>
              <w:snapToGrid w:val="0"/>
              <w:jc w:val="center"/>
              <w:rPr>
                <w:sz w:val="18"/>
                <w:szCs w:val="18"/>
              </w:rPr>
            </w:pPr>
            <w:r>
              <w:rPr>
                <w:sz w:val="18"/>
                <w:szCs w:val="18"/>
              </w:rPr>
              <w:t>2</w:t>
            </w:r>
          </w:p>
        </w:tc>
        <w:tc>
          <w:tcPr>
            <w:tcW w:w="1200" w:type="dxa"/>
          </w:tcPr>
          <w:p>
            <w:pPr>
              <w:snapToGrid w:val="0"/>
              <w:jc w:val="center"/>
              <w:rPr>
                <w:sz w:val="18"/>
                <w:szCs w:val="18"/>
              </w:rPr>
            </w:pPr>
            <w:r>
              <w:rPr>
                <w:sz w:val="18"/>
                <w:szCs w:val="18"/>
              </w:rPr>
              <w:t>-</w:t>
            </w:r>
          </w:p>
        </w:tc>
        <w:tc>
          <w:tcPr>
            <w:tcW w:w="1634" w:type="dxa"/>
          </w:tcPr>
          <w:p>
            <w:pPr>
              <w:snapToGrid w:val="0"/>
              <w:jc w:val="center"/>
              <w:rPr>
                <w:rFonts w:eastAsia="Arial Unicode MS"/>
                <w:sz w:val="18"/>
                <w:szCs w:val="18"/>
              </w:rPr>
            </w:pPr>
            <w:r>
              <w:rPr>
                <w:rFonts w:eastAsia="Arial Unicode MS"/>
                <w:sz w:val="18"/>
                <w:szCs w:val="18"/>
              </w:rPr>
              <w:t>2</w:t>
            </w:r>
          </w:p>
        </w:tc>
        <w:tc>
          <w:tcPr>
            <w:tcW w:w="2187" w:type="dxa"/>
          </w:tcPr>
          <w:p>
            <w:pPr>
              <w:snapToGrid w:val="0"/>
              <w:jc w:val="center"/>
              <w:rPr>
                <w:sz w:val="18"/>
                <w:szCs w:val="18"/>
              </w:rPr>
            </w:pPr>
            <w:r>
              <w:rPr>
                <w:sz w:val="18"/>
                <w:szCs w:val="18"/>
              </w:rPr>
              <w:t>0,8</w:t>
            </w:r>
          </w:p>
        </w:tc>
      </w:tr>
      <w:tr>
        <w:trPr>
          <w:gridAfter w:val="1"/>
          <w:wAfter w:w="8" w:type="dxa"/>
          <w:cantSplit/>
        </w:trPr>
        <w:tc>
          <w:tcPr>
            <w:tcW w:w="2174" w:type="dxa"/>
          </w:tcPr>
          <w:p>
            <w:pPr>
              <w:snapToGrid w:val="0"/>
              <w:rPr>
                <w:rFonts w:eastAsia="Arial Unicode MS"/>
                <w:sz w:val="18"/>
                <w:szCs w:val="18"/>
              </w:rPr>
            </w:pPr>
          </w:p>
        </w:tc>
        <w:tc>
          <w:tcPr>
            <w:tcW w:w="3070" w:type="dxa"/>
          </w:tcPr>
          <w:p>
            <w:pPr>
              <w:snapToGrid w:val="0"/>
              <w:rPr>
                <w:sz w:val="18"/>
                <w:szCs w:val="18"/>
              </w:rPr>
            </w:pPr>
            <w:r>
              <w:rPr>
                <w:sz w:val="18"/>
                <w:szCs w:val="18"/>
              </w:rPr>
              <w:t>Aliuminis</w:t>
            </w:r>
          </w:p>
        </w:tc>
        <w:tc>
          <w:tcPr>
            <w:tcW w:w="2109" w:type="dxa"/>
          </w:tcPr>
          <w:p>
            <w:pPr>
              <w:snapToGrid w:val="0"/>
              <w:jc w:val="center"/>
              <w:rPr>
                <w:sz w:val="18"/>
                <w:szCs w:val="18"/>
              </w:rPr>
            </w:pPr>
            <w:r>
              <w:rPr>
                <w:sz w:val="18"/>
                <w:szCs w:val="18"/>
              </w:rPr>
              <w:t>CAS 7429-90-5</w:t>
            </w:r>
          </w:p>
        </w:tc>
        <w:tc>
          <w:tcPr>
            <w:tcW w:w="1216" w:type="dxa"/>
          </w:tcPr>
          <w:p>
            <w:pPr>
              <w:snapToGrid w:val="0"/>
              <w:jc w:val="center"/>
              <w:rPr>
                <w:sz w:val="18"/>
                <w:szCs w:val="18"/>
              </w:rPr>
            </w:pPr>
            <w:r>
              <w:rPr>
                <w:sz w:val="18"/>
                <w:szCs w:val="18"/>
              </w:rPr>
              <w:t>2</w:t>
            </w:r>
          </w:p>
        </w:tc>
        <w:tc>
          <w:tcPr>
            <w:tcW w:w="1142" w:type="dxa"/>
          </w:tcPr>
          <w:p>
            <w:pPr>
              <w:snapToGrid w:val="0"/>
              <w:jc w:val="center"/>
              <w:rPr>
                <w:sz w:val="18"/>
                <w:szCs w:val="18"/>
              </w:rPr>
            </w:pPr>
            <w:r>
              <w:rPr>
                <w:sz w:val="18"/>
                <w:szCs w:val="18"/>
              </w:rPr>
              <w:t>0,5</w:t>
            </w:r>
          </w:p>
        </w:tc>
        <w:tc>
          <w:tcPr>
            <w:tcW w:w="1200" w:type="dxa"/>
          </w:tcPr>
          <w:p>
            <w:pPr>
              <w:snapToGrid w:val="0"/>
              <w:jc w:val="center"/>
              <w:rPr>
                <w:rFonts w:eastAsia="Arial Unicode MS"/>
                <w:sz w:val="18"/>
                <w:szCs w:val="18"/>
              </w:rPr>
            </w:pPr>
            <w:r>
              <w:rPr>
                <w:rFonts w:eastAsia="Arial Unicode MS"/>
                <w:sz w:val="18"/>
                <w:szCs w:val="18"/>
              </w:rPr>
              <w:t>-</w:t>
            </w:r>
          </w:p>
        </w:tc>
        <w:tc>
          <w:tcPr>
            <w:tcW w:w="1634" w:type="dxa"/>
          </w:tcPr>
          <w:p>
            <w:pPr>
              <w:snapToGrid w:val="0"/>
              <w:jc w:val="center"/>
              <w:rPr>
                <w:rFonts w:eastAsia="Arial Unicode MS"/>
                <w:sz w:val="18"/>
                <w:szCs w:val="18"/>
              </w:rPr>
            </w:pPr>
            <w:r>
              <w:rPr>
                <w:rFonts w:eastAsia="Arial Unicode MS"/>
                <w:sz w:val="18"/>
                <w:szCs w:val="18"/>
              </w:rPr>
              <w:t>0.4</w:t>
            </w:r>
          </w:p>
        </w:tc>
        <w:tc>
          <w:tcPr>
            <w:tcW w:w="2187" w:type="dxa"/>
          </w:tcPr>
          <w:p>
            <w:pPr>
              <w:snapToGrid w:val="0"/>
              <w:jc w:val="center"/>
              <w:rPr>
                <w:sz w:val="18"/>
                <w:szCs w:val="18"/>
              </w:rPr>
            </w:pPr>
            <w:r>
              <w:rPr>
                <w:sz w:val="18"/>
                <w:szCs w:val="18"/>
              </w:rPr>
              <w:t>0,2</w:t>
            </w:r>
          </w:p>
        </w:tc>
      </w:tr>
      <w:tr>
        <w:trPr>
          <w:gridAfter w:val="1"/>
          <w:wAfter w:w="8" w:type="dxa"/>
          <w:cantSplit/>
        </w:trPr>
        <w:tc>
          <w:tcPr>
            <w:tcW w:w="2174" w:type="dxa"/>
          </w:tcPr>
          <w:p>
            <w:pPr>
              <w:snapToGrid w:val="0"/>
              <w:rPr>
                <w:rFonts w:eastAsia="Arial Unicode MS"/>
                <w:sz w:val="18"/>
                <w:szCs w:val="18"/>
              </w:rPr>
            </w:pPr>
          </w:p>
        </w:tc>
        <w:tc>
          <w:tcPr>
            <w:tcW w:w="3070" w:type="dxa"/>
          </w:tcPr>
          <w:p>
            <w:pPr>
              <w:snapToGrid w:val="0"/>
              <w:rPr>
                <w:sz w:val="18"/>
                <w:szCs w:val="18"/>
              </w:rPr>
            </w:pPr>
            <w:r>
              <w:rPr>
                <w:sz w:val="18"/>
                <w:szCs w:val="18"/>
              </w:rPr>
              <w:t>Arsenas</w:t>
            </w:r>
          </w:p>
        </w:tc>
        <w:tc>
          <w:tcPr>
            <w:tcW w:w="2109" w:type="dxa"/>
          </w:tcPr>
          <w:p>
            <w:pPr>
              <w:snapToGrid w:val="0"/>
              <w:jc w:val="center"/>
              <w:rPr>
                <w:sz w:val="18"/>
                <w:szCs w:val="18"/>
              </w:rPr>
            </w:pPr>
            <w:r>
              <w:rPr>
                <w:sz w:val="18"/>
                <w:szCs w:val="18"/>
              </w:rPr>
              <w:t>CAS 7440-38-2</w:t>
            </w:r>
          </w:p>
        </w:tc>
        <w:tc>
          <w:tcPr>
            <w:tcW w:w="1216" w:type="dxa"/>
          </w:tcPr>
          <w:p>
            <w:pPr>
              <w:snapToGrid w:val="0"/>
              <w:jc w:val="center"/>
              <w:rPr>
                <w:sz w:val="18"/>
                <w:szCs w:val="18"/>
              </w:rPr>
            </w:pPr>
            <w:r>
              <w:rPr>
                <w:sz w:val="18"/>
                <w:szCs w:val="18"/>
              </w:rPr>
              <w:t>0,15</w:t>
            </w:r>
          </w:p>
        </w:tc>
        <w:tc>
          <w:tcPr>
            <w:tcW w:w="1142" w:type="dxa"/>
          </w:tcPr>
          <w:p>
            <w:pPr>
              <w:snapToGrid w:val="0"/>
              <w:jc w:val="center"/>
              <w:rPr>
                <w:sz w:val="18"/>
                <w:szCs w:val="18"/>
              </w:rPr>
            </w:pPr>
            <w:r>
              <w:rPr>
                <w:sz w:val="18"/>
                <w:szCs w:val="18"/>
              </w:rPr>
              <w:t>0,05</w:t>
            </w:r>
          </w:p>
        </w:tc>
        <w:tc>
          <w:tcPr>
            <w:tcW w:w="1200" w:type="dxa"/>
          </w:tcPr>
          <w:p>
            <w:pPr>
              <w:snapToGrid w:val="0"/>
              <w:jc w:val="center"/>
              <w:rPr>
                <w:sz w:val="18"/>
                <w:szCs w:val="18"/>
              </w:rPr>
            </w:pPr>
            <w:r>
              <w:rPr>
                <w:sz w:val="18"/>
                <w:szCs w:val="18"/>
              </w:rPr>
              <w:t>-</w:t>
            </w:r>
          </w:p>
        </w:tc>
        <w:tc>
          <w:tcPr>
            <w:tcW w:w="1634" w:type="dxa"/>
          </w:tcPr>
          <w:p>
            <w:pPr>
              <w:snapToGrid w:val="0"/>
              <w:jc w:val="center"/>
              <w:rPr>
                <w:sz w:val="18"/>
                <w:szCs w:val="18"/>
              </w:rPr>
            </w:pPr>
            <w:r>
              <w:rPr>
                <w:sz w:val="18"/>
                <w:szCs w:val="18"/>
              </w:rPr>
              <w:t>0,03</w:t>
            </w:r>
          </w:p>
        </w:tc>
        <w:tc>
          <w:tcPr>
            <w:tcW w:w="2187" w:type="dxa"/>
          </w:tcPr>
          <w:p>
            <w:pPr>
              <w:snapToGrid w:val="0"/>
              <w:jc w:val="center"/>
              <w:rPr>
                <w:sz w:val="18"/>
                <w:szCs w:val="18"/>
              </w:rPr>
            </w:pPr>
            <w:r>
              <w:rPr>
                <w:sz w:val="18"/>
                <w:szCs w:val="18"/>
              </w:rPr>
              <w:t>0,02</w:t>
            </w:r>
          </w:p>
        </w:tc>
      </w:tr>
      <w:tr>
        <w:trPr>
          <w:gridAfter w:val="1"/>
          <w:wAfter w:w="8" w:type="dxa"/>
          <w:cantSplit/>
        </w:trPr>
        <w:tc>
          <w:tcPr>
            <w:tcW w:w="2174" w:type="dxa"/>
          </w:tcPr>
          <w:p>
            <w:pPr>
              <w:widowControl w:val="0"/>
              <w:snapToGrid w:val="0"/>
              <w:rPr>
                <w:rFonts w:eastAsia="Arial Unicode MS"/>
                <w:sz w:val="18"/>
                <w:szCs w:val="18"/>
              </w:rPr>
            </w:pPr>
            <w:r>
              <w:rPr>
                <w:rFonts w:eastAsia="Arial Unicode MS"/>
                <w:sz w:val="18"/>
                <w:szCs w:val="18"/>
              </w:rPr>
              <w:t>Kitos medžiagos</w:t>
            </w:r>
          </w:p>
        </w:tc>
        <w:tc>
          <w:tcPr>
            <w:tcW w:w="3070" w:type="dxa"/>
          </w:tcPr>
          <w:p>
            <w:pPr>
              <w:widowControl w:val="0"/>
              <w:snapToGrid w:val="0"/>
              <w:rPr>
                <w:sz w:val="18"/>
                <w:szCs w:val="18"/>
                <w:lang w:eastAsia="ar-SA"/>
              </w:rPr>
            </w:pPr>
            <w:r>
              <w:rPr>
                <w:sz w:val="18"/>
                <w:szCs w:val="18"/>
                <w:lang w:eastAsia="ar-SA"/>
              </w:rPr>
              <w:t>Naftos angliavandeniliai (iš viso)</w:t>
            </w:r>
          </w:p>
        </w:tc>
        <w:tc>
          <w:tcPr>
            <w:tcW w:w="2109" w:type="dxa"/>
          </w:tcPr>
          <w:p>
            <w:pPr>
              <w:widowControl w:val="0"/>
              <w:snapToGrid w:val="0"/>
              <w:jc w:val="center"/>
              <w:rPr>
                <w:sz w:val="18"/>
                <w:szCs w:val="18"/>
              </w:rPr>
            </w:pPr>
          </w:p>
        </w:tc>
        <w:tc>
          <w:tcPr>
            <w:tcW w:w="1216" w:type="dxa"/>
          </w:tcPr>
          <w:p>
            <w:pPr>
              <w:widowControl w:val="0"/>
              <w:snapToGrid w:val="0"/>
              <w:jc w:val="center"/>
              <w:rPr>
                <w:sz w:val="18"/>
                <w:szCs w:val="18"/>
              </w:rPr>
            </w:pPr>
            <w:r>
              <w:rPr>
                <w:sz w:val="18"/>
                <w:szCs w:val="18"/>
              </w:rPr>
              <w:t xml:space="preserve">25 </w:t>
            </w:r>
          </w:p>
        </w:tc>
        <w:tc>
          <w:tcPr>
            <w:tcW w:w="1142" w:type="dxa"/>
          </w:tcPr>
          <w:p>
            <w:pPr>
              <w:widowControl w:val="0"/>
              <w:snapToGrid w:val="0"/>
              <w:jc w:val="center"/>
              <w:rPr>
                <w:sz w:val="18"/>
                <w:szCs w:val="18"/>
              </w:rPr>
            </w:pPr>
            <w:r>
              <w:rPr>
                <w:sz w:val="18"/>
                <w:szCs w:val="18"/>
              </w:rPr>
              <w:t xml:space="preserve">5 </w:t>
            </w:r>
          </w:p>
        </w:tc>
        <w:tc>
          <w:tcPr>
            <w:tcW w:w="1200" w:type="dxa"/>
          </w:tcPr>
          <w:p>
            <w:pPr>
              <w:widowControl w:val="0"/>
              <w:snapToGrid w:val="0"/>
              <w:jc w:val="center"/>
              <w:rPr>
                <w:sz w:val="18"/>
                <w:szCs w:val="18"/>
              </w:rPr>
            </w:pPr>
            <w:r>
              <w:rPr>
                <w:sz w:val="18"/>
                <w:szCs w:val="18"/>
              </w:rPr>
              <w:t>0,2</w:t>
            </w:r>
          </w:p>
        </w:tc>
        <w:tc>
          <w:tcPr>
            <w:tcW w:w="1634" w:type="dxa"/>
          </w:tcPr>
          <w:p>
            <w:pPr>
              <w:widowControl w:val="0"/>
              <w:snapToGrid w:val="0"/>
              <w:jc w:val="center"/>
              <w:rPr>
                <w:sz w:val="18"/>
                <w:szCs w:val="18"/>
              </w:rPr>
            </w:pPr>
            <w:r>
              <w:rPr>
                <w:sz w:val="18"/>
                <w:szCs w:val="18"/>
              </w:rPr>
              <w:t>5</w:t>
            </w:r>
          </w:p>
        </w:tc>
        <w:tc>
          <w:tcPr>
            <w:tcW w:w="2187" w:type="dxa"/>
          </w:tcPr>
          <w:p>
            <w:pPr>
              <w:widowControl w:val="0"/>
              <w:snapToGrid w:val="0"/>
              <w:jc w:val="center"/>
              <w:rPr>
                <w:sz w:val="18"/>
                <w:szCs w:val="18"/>
              </w:rPr>
            </w:pPr>
            <w:r>
              <w:rPr>
                <w:sz w:val="18"/>
                <w:szCs w:val="18"/>
              </w:rPr>
              <w:t>1</w:t>
            </w:r>
          </w:p>
        </w:tc>
      </w:tr>
      <w:tr>
        <w:trPr>
          <w:gridAfter w:val="1"/>
          <w:wAfter w:w="8" w:type="dxa"/>
          <w:cantSplit/>
        </w:trPr>
        <w:tc>
          <w:tcPr>
            <w:tcW w:w="2174" w:type="dxa"/>
          </w:tcPr>
          <w:p>
            <w:pPr>
              <w:snapToGrid w:val="0"/>
              <w:rPr>
                <w:rFonts w:eastAsia="Arial Unicode MS"/>
                <w:sz w:val="18"/>
                <w:szCs w:val="18"/>
              </w:rPr>
            </w:pPr>
          </w:p>
        </w:tc>
        <w:tc>
          <w:tcPr>
            <w:tcW w:w="3070" w:type="dxa"/>
          </w:tcPr>
          <w:p>
            <w:pPr>
              <w:snapToGrid w:val="0"/>
              <w:rPr>
                <w:sz w:val="18"/>
                <w:szCs w:val="18"/>
              </w:rPr>
            </w:pPr>
            <w:r>
              <w:rPr>
                <w:sz w:val="18"/>
                <w:szCs w:val="18"/>
              </w:rPr>
              <w:t xml:space="preserve">Fenoliai </w:t>
            </w:r>
          </w:p>
        </w:tc>
        <w:tc>
          <w:tcPr>
            <w:tcW w:w="2109" w:type="dxa"/>
          </w:tcPr>
          <w:p>
            <w:pPr>
              <w:snapToGrid w:val="0"/>
              <w:jc w:val="center"/>
              <w:rPr>
                <w:sz w:val="18"/>
                <w:szCs w:val="18"/>
              </w:rPr>
            </w:pPr>
          </w:p>
        </w:tc>
        <w:tc>
          <w:tcPr>
            <w:tcW w:w="1216" w:type="dxa"/>
          </w:tcPr>
          <w:p>
            <w:pPr>
              <w:snapToGrid w:val="0"/>
              <w:jc w:val="center"/>
              <w:rPr>
                <w:sz w:val="18"/>
                <w:szCs w:val="18"/>
              </w:rPr>
            </w:pPr>
            <w:r>
              <w:rPr>
                <w:sz w:val="18"/>
                <w:szCs w:val="18"/>
              </w:rPr>
              <w:t>3</w:t>
            </w:r>
          </w:p>
        </w:tc>
        <w:tc>
          <w:tcPr>
            <w:tcW w:w="1142" w:type="dxa"/>
          </w:tcPr>
          <w:p>
            <w:pPr>
              <w:snapToGrid w:val="0"/>
              <w:jc w:val="center"/>
              <w:rPr>
                <w:sz w:val="18"/>
                <w:szCs w:val="18"/>
              </w:rPr>
            </w:pPr>
            <w:r>
              <w:rPr>
                <w:sz w:val="18"/>
                <w:szCs w:val="18"/>
              </w:rPr>
              <w:t>0,2</w:t>
            </w:r>
          </w:p>
        </w:tc>
        <w:tc>
          <w:tcPr>
            <w:tcW w:w="1200" w:type="dxa"/>
          </w:tcPr>
          <w:p>
            <w:pPr>
              <w:snapToGrid w:val="0"/>
              <w:jc w:val="center"/>
              <w:rPr>
                <w:sz w:val="18"/>
                <w:szCs w:val="18"/>
              </w:rPr>
            </w:pPr>
            <w:r>
              <w:rPr>
                <w:sz w:val="18"/>
                <w:szCs w:val="18"/>
              </w:rPr>
              <w:t>0,001</w:t>
            </w:r>
          </w:p>
        </w:tc>
        <w:tc>
          <w:tcPr>
            <w:tcW w:w="1634" w:type="dxa"/>
          </w:tcPr>
          <w:p>
            <w:pPr>
              <w:snapToGrid w:val="0"/>
              <w:jc w:val="center"/>
              <w:rPr>
                <w:sz w:val="18"/>
                <w:szCs w:val="18"/>
              </w:rPr>
            </w:pPr>
            <w:r>
              <w:rPr>
                <w:sz w:val="18"/>
                <w:szCs w:val="18"/>
              </w:rPr>
              <w:t>0,6</w:t>
            </w:r>
          </w:p>
        </w:tc>
        <w:tc>
          <w:tcPr>
            <w:tcW w:w="2187" w:type="dxa"/>
          </w:tcPr>
          <w:p>
            <w:pPr>
              <w:snapToGrid w:val="0"/>
              <w:jc w:val="center"/>
              <w:rPr>
                <w:sz w:val="18"/>
                <w:szCs w:val="18"/>
              </w:rPr>
            </w:pPr>
            <w:r>
              <w:rPr>
                <w:sz w:val="18"/>
                <w:szCs w:val="18"/>
              </w:rPr>
              <w:t>0,08</w:t>
            </w:r>
          </w:p>
        </w:tc>
      </w:tr>
      <w:tr>
        <w:trPr>
          <w:gridAfter w:val="1"/>
          <w:wAfter w:w="8" w:type="dxa"/>
          <w:cantSplit/>
        </w:trPr>
        <w:tc>
          <w:tcPr>
            <w:tcW w:w="2174" w:type="dxa"/>
          </w:tcPr>
          <w:p>
            <w:pPr>
              <w:snapToGrid w:val="0"/>
              <w:rPr>
                <w:rFonts w:eastAsia="Arial Unicode MS"/>
                <w:sz w:val="18"/>
                <w:szCs w:val="18"/>
              </w:rPr>
            </w:pPr>
          </w:p>
        </w:tc>
        <w:tc>
          <w:tcPr>
            <w:tcW w:w="3070" w:type="dxa"/>
          </w:tcPr>
          <w:p>
            <w:pPr>
              <w:suppressAutoHyphens/>
              <w:snapToGrid w:val="0"/>
              <w:rPr>
                <w:sz w:val="18"/>
                <w:szCs w:val="18"/>
                <w:lang w:eastAsia="ar-SA"/>
              </w:rPr>
            </w:pPr>
            <w:r>
              <w:rPr>
                <w:sz w:val="18"/>
                <w:szCs w:val="18"/>
                <w:lang w:eastAsia="ar-SA"/>
              </w:rPr>
              <w:t>Monochloracto rūgštis</w:t>
            </w:r>
          </w:p>
        </w:tc>
        <w:tc>
          <w:tcPr>
            <w:tcW w:w="2109" w:type="dxa"/>
          </w:tcPr>
          <w:p>
            <w:pPr>
              <w:snapToGrid w:val="0"/>
              <w:jc w:val="center"/>
              <w:rPr>
                <w:sz w:val="18"/>
                <w:szCs w:val="18"/>
              </w:rPr>
            </w:pPr>
            <w:r>
              <w:rPr>
                <w:sz w:val="18"/>
                <w:szCs w:val="18"/>
              </w:rPr>
              <w:t>CAS 79-11-8</w:t>
            </w:r>
          </w:p>
        </w:tc>
        <w:tc>
          <w:tcPr>
            <w:tcW w:w="1216" w:type="dxa"/>
          </w:tcPr>
          <w:p>
            <w:pPr>
              <w:snapToGrid w:val="0"/>
              <w:jc w:val="center"/>
              <w:rPr>
                <w:sz w:val="18"/>
                <w:szCs w:val="18"/>
              </w:rPr>
            </w:pPr>
            <w:r>
              <w:rPr>
                <w:sz w:val="18"/>
                <w:szCs w:val="18"/>
              </w:rPr>
              <w:t>-</w:t>
            </w:r>
          </w:p>
        </w:tc>
        <w:tc>
          <w:tcPr>
            <w:tcW w:w="1142" w:type="dxa"/>
          </w:tcPr>
          <w:p>
            <w:pPr>
              <w:snapToGrid w:val="0"/>
              <w:jc w:val="center"/>
              <w:rPr>
                <w:sz w:val="18"/>
                <w:szCs w:val="18"/>
              </w:rPr>
            </w:pPr>
            <w:r>
              <w:rPr>
                <w:sz w:val="18"/>
                <w:szCs w:val="18"/>
              </w:rPr>
              <w:t>-</w:t>
            </w:r>
          </w:p>
        </w:tc>
        <w:tc>
          <w:tcPr>
            <w:tcW w:w="1200" w:type="dxa"/>
          </w:tcPr>
          <w:p>
            <w:pPr>
              <w:snapToGrid w:val="0"/>
              <w:jc w:val="center"/>
              <w:rPr>
                <w:sz w:val="18"/>
                <w:szCs w:val="18"/>
              </w:rPr>
            </w:pPr>
            <w:r>
              <w:rPr>
                <w:sz w:val="18"/>
                <w:szCs w:val="18"/>
              </w:rPr>
              <w:t>-</w:t>
            </w:r>
          </w:p>
        </w:tc>
        <w:tc>
          <w:tcPr>
            <w:tcW w:w="1634" w:type="dxa"/>
          </w:tcPr>
          <w:p>
            <w:pPr>
              <w:snapToGrid w:val="0"/>
              <w:jc w:val="center"/>
              <w:rPr>
                <w:sz w:val="18"/>
                <w:szCs w:val="18"/>
              </w:rPr>
            </w:pPr>
            <w:r>
              <w:rPr>
                <w:sz w:val="18"/>
                <w:szCs w:val="18"/>
              </w:rPr>
              <w:t>-</w:t>
            </w:r>
          </w:p>
        </w:tc>
        <w:tc>
          <w:tcPr>
            <w:tcW w:w="2187" w:type="dxa"/>
          </w:tcPr>
          <w:p>
            <w:pPr>
              <w:snapToGrid w:val="0"/>
              <w:jc w:val="center"/>
              <w:rPr>
                <w:sz w:val="18"/>
                <w:szCs w:val="18"/>
              </w:rPr>
            </w:pPr>
            <w:r>
              <w:rPr>
                <w:sz w:val="18"/>
                <w:szCs w:val="18"/>
              </w:rPr>
              <w:t>-</w:t>
            </w:r>
          </w:p>
        </w:tc>
      </w:tr>
      <w:tr>
        <w:trPr>
          <w:gridAfter w:val="1"/>
          <w:wAfter w:w="8" w:type="dxa"/>
          <w:cantSplit/>
        </w:trPr>
        <w:tc>
          <w:tcPr>
            <w:tcW w:w="2174" w:type="dxa"/>
          </w:tcPr>
          <w:p>
            <w:pPr>
              <w:snapToGrid w:val="0"/>
              <w:rPr>
                <w:rFonts w:eastAsia="Arial Unicode MS"/>
                <w:sz w:val="18"/>
                <w:szCs w:val="18"/>
              </w:rPr>
            </w:pPr>
          </w:p>
        </w:tc>
        <w:tc>
          <w:tcPr>
            <w:tcW w:w="3070" w:type="dxa"/>
          </w:tcPr>
          <w:p>
            <w:pPr>
              <w:widowControl w:val="0"/>
              <w:tabs>
                <w:tab w:val="center" w:pos="4153"/>
                <w:tab w:val="right" w:pos="9100"/>
              </w:tabs>
              <w:suppressAutoHyphens/>
              <w:snapToGrid w:val="0"/>
              <w:rPr>
                <w:rFonts w:eastAsia="Lucida Sans Unicode"/>
                <w:spacing w:val="10"/>
                <w:sz w:val="18"/>
                <w:szCs w:val="18"/>
              </w:rPr>
            </w:pPr>
            <w:r>
              <w:rPr>
                <w:rFonts w:eastAsia="Lucida Sans Unicode"/>
                <w:spacing w:val="10"/>
                <w:sz w:val="18"/>
                <w:szCs w:val="18"/>
              </w:rPr>
              <w:t>3,4-dichloranilinas</w:t>
            </w:r>
          </w:p>
        </w:tc>
        <w:tc>
          <w:tcPr>
            <w:tcW w:w="2109" w:type="dxa"/>
          </w:tcPr>
          <w:p>
            <w:pPr>
              <w:snapToGrid w:val="0"/>
              <w:jc w:val="center"/>
              <w:rPr>
                <w:sz w:val="18"/>
                <w:szCs w:val="18"/>
              </w:rPr>
            </w:pPr>
            <w:r>
              <w:rPr>
                <w:sz w:val="18"/>
                <w:szCs w:val="18"/>
              </w:rPr>
              <w:t>CAS 95-76-1</w:t>
            </w:r>
          </w:p>
        </w:tc>
        <w:tc>
          <w:tcPr>
            <w:tcW w:w="1216" w:type="dxa"/>
          </w:tcPr>
          <w:p>
            <w:pPr>
              <w:snapToGrid w:val="0"/>
              <w:jc w:val="center"/>
              <w:rPr>
                <w:sz w:val="18"/>
                <w:szCs w:val="18"/>
              </w:rPr>
            </w:pPr>
            <w:r>
              <w:rPr>
                <w:sz w:val="18"/>
                <w:szCs w:val="18"/>
              </w:rPr>
              <w:t>-</w:t>
            </w:r>
          </w:p>
        </w:tc>
        <w:tc>
          <w:tcPr>
            <w:tcW w:w="1142" w:type="dxa"/>
          </w:tcPr>
          <w:p>
            <w:pPr>
              <w:snapToGrid w:val="0"/>
              <w:jc w:val="center"/>
              <w:rPr>
                <w:sz w:val="18"/>
                <w:szCs w:val="18"/>
              </w:rPr>
            </w:pPr>
            <w:r>
              <w:rPr>
                <w:sz w:val="18"/>
                <w:szCs w:val="18"/>
              </w:rPr>
              <w:t>-</w:t>
            </w:r>
          </w:p>
        </w:tc>
        <w:tc>
          <w:tcPr>
            <w:tcW w:w="1200" w:type="dxa"/>
          </w:tcPr>
          <w:p>
            <w:pPr>
              <w:snapToGrid w:val="0"/>
              <w:jc w:val="center"/>
              <w:rPr>
                <w:sz w:val="18"/>
                <w:szCs w:val="18"/>
              </w:rPr>
            </w:pPr>
            <w:r>
              <w:rPr>
                <w:sz w:val="18"/>
                <w:szCs w:val="18"/>
              </w:rPr>
              <w:t>-</w:t>
            </w:r>
          </w:p>
        </w:tc>
        <w:tc>
          <w:tcPr>
            <w:tcW w:w="1634" w:type="dxa"/>
          </w:tcPr>
          <w:p>
            <w:pPr>
              <w:snapToGrid w:val="0"/>
              <w:jc w:val="center"/>
              <w:rPr>
                <w:sz w:val="18"/>
                <w:szCs w:val="18"/>
              </w:rPr>
            </w:pPr>
            <w:r>
              <w:rPr>
                <w:sz w:val="18"/>
                <w:szCs w:val="18"/>
              </w:rPr>
              <w:t>-</w:t>
            </w:r>
          </w:p>
        </w:tc>
        <w:tc>
          <w:tcPr>
            <w:tcW w:w="2187" w:type="dxa"/>
          </w:tcPr>
          <w:p>
            <w:pPr>
              <w:snapToGrid w:val="0"/>
              <w:jc w:val="center"/>
              <w:rPr>
                <w:sz w:val="18"/>
                <w:szCs w:val="18"/>
              </w:rPr>
            </w:pPr>
            <w:r>
              <w:rPr>
                <w:sz w:val="18"/>
                <w:szCs w:val="18"/>
              </w:rPr>
              <w:t>-</w:t>
            </w:r>
          </w:p>
        </w:tc>
      </w:tr>
      <w:tr>
        <w:trPr>
          <w:gridAfter w:val="1"/>
          <w:wAfter w:w="8" w:type="dxa"/>
          <w:cantSplit/>
        </w:trPr>
        <w:tc>
          <w:tcPr>
            <w:tcW w:w="2174" w:type="dxa"/>
          </w:tcPr>
          <w:p>
            <w:pPr>
              <w:snapToGrid w:val="0"/>
              <w:rPr>
                <w:rFonts w:eastAsia="Arial Unicode MS"/>
                <w:sz w:val="18"/>
                <w:szCs w:val="18"/>
              </w:rPr>
            </w:pPr>
          </w:p>
        </w:tc>
        <w:tc>
          <w:tcPr>
            <w:tcW w:w="3070" w:type="dxa"/>
          </w:tcPr>
          <w:p>
            <w:pPr>
              <w:snapToGrid w:val="0"/>
              <w:rPr>
                <w:sz w:val="18"/>
                <w:szCs w:val="18"/>
              </w:rPr>
            </w:pPr>
            <w:r>
              <w:rPr>
                <w:sz w:val="18"/>
                <w:szCs w:val="18"/>
              </w:rPr>
              <w:t>Dibutilftalatas</w:t>
            </w:r>
          </w:p>
        </w:tc>
        <w:tc>
          <w:tcPr>
            <w:tcW w:w="2109" w:type="dxa"/>
          </w:tcPr>
          <w:p>
            <w:pPr>
              <w:snapToGrid w:val="0"/>
              <w:jc w:val="center"/>
              <w:rPr>
                <w:sz w:val="18"/>
                <w:szCs w:val="18"/>
              </w:rPr>
            </w:pPr>
            <w:r>
              <w:rPr>
                <w:sz w:val="18"/>
                <w:szCs w:val="18"/>
              </w:rPr>
              <w:t>CAS 84-74-2</w:t>
            </w:r>
          </w:p>
        </w:tc>
        <w:tc>
          <w:tcPr>
            <w:tcW w:w="1216" w:type="dxa"/>
          </w:tcPr>
          <w:p>
            <w:pPr>
              <w:snapToGrid w:val="0"/>
              <w:jc w:val="center"/>
              <w:rPr>
                <w:sz w:val="18"/>
                <w:szCs w:val="18"/>
              </w:rPr>
            </w:pPr>
            <w:r>
              <w:rPr>
                <w:sz w:val="18"/>
                <w:szCs w:val="18"/>
              </w:rPr>
              <w:t>-</w:t>
            </w:r>
          </w:p>
        </w:tc>
        <w:tc>
          <w:tcPr>
            <w:tcW w:w="1142" w:type="dxa"/>
          </w:tcPr>
          <w:p>
            <w:pPr>
              <w:snapToGrid w:val="0"/>
              <w:jc w:val="center"/>
              <w:rPr>
                <w:sz w:val="18"/>
                <w:szCs w:val="18"/>
              </w:rPr>
            </w:pPr>
            <w:r>
              <w:rPr>
                <w:sz w:val="18"/>
                <w:szCs w:val="18"/>
              </w:rPr>
              <w:t>-</w:t>
            </w:r>
          </w:p>
        </w:tc>
        <w:tc>
          <w:tcPr>
            <w:tcW w:w="1200" w:type="dxa"/>
          </w:tcPr>
          <w:p>
            <w:pPr>
              <w:snapToGrid w:val="0"/>
              <w:jc w:val="center"/>
              <w:rPr>
                <w:sz w:val="18"/>
                <w:szCs w:val="18"/>
              </w:rPr>
            </w:pPr>
            <w:r>
              <w:rPr>
                <w:sz w:val="18"/>
                <w:szCs w:val="18"/>
              </w:rPr>
              <w:t>-</w:t>
            </w:r>
          </w:p>
        </w:tc>
        <w:tc>
          <w:tcPr>
            <w:tcW w:w="1634" w:type="dxa"/>
          </w:tcPr>
          <w:p>
            <w:pPr>
              <w:snapToGrid w:val="0"/>
              <w:jc w:val="center"/>
              <w:rPr>
                <w:sz w:val="18"/>
                <w:szCs w:val="18"/>
              </w:rPr>
            </w:pPr>
            <w:r>
              <w:rPr>
                <w:sz w:val="18"/>
                <w:szCs w:val="18"/>
              </w:rPr>
              <w:t>-</w:t>
            </w:r>
          </w:p>
        </w:tc>
        <w:tc>
          <w:tcPr>
            <w:tcW w:w="2187" w:type="dxa"/>
          </w:tcPr>
          <w:p>
            <w:pPr>
              <w:snapToGrid w:val="0"/>
              <w:jc w:val="center"/>
              <w:rPr>
                <w:sz w:val="18"/>
                <w:szCs w:val="18"/>
              </w:rPr>
            </w:pPr>
            <w:r>
              <w:rPr>
                <w:sz w:val="18"/>
                <w:szCs w:val="18"/>
              </w:rPr>
              <w:t>-</w:t>
            </w:r>
          </w:p>
        </w:tc>
      </w:tr>
      <w:tr>
        <w:trPr>
          <w:gridAfter w:val="1"/>
          <w:wAfter w:w="8" w:type="dxa"/>
          <w:cantSplit/>
        </w:trPr>
        <w:tc>
          <w:tcPr>
            <w:tcW w:w="2174" w:type="dxa"/>
          </w:tcPr>
          <w:p>
            <w:pPr>
              <w:snapToGrid w:val="0"/>
              <w:rPr>
                <w:rFonts w:eastAsia="Arial Unicode MS"/>
                <w:sz w:val="18"/>
                <w:szCs w:val="18"/>
              </w:rPr>
            </w:pPr>
          </w:p>
        </w:tc>
        <w:tc>
          <w:tcPr>
            <w:tcW w:w="3070" w:type="dxa"/>
          </w:tcPr>
          <w:p>
            <w:pPr>
              <w:snapToGrid w:val="0"/>
              <w:rPr>
                <w:sz w:val="18"/>
                <w:szCs w:val="18"/>
              </w:rPr>
            </w:pPr>
            <w:r>
              <w:rPr>
                <w:sz w:val="18"/>
                <w:szCs w:val="18"/>
              </w:rPr>
              <w:t>Etilendiamintetraacetatas</w:t>
            </w:r>
          </w:p>
        </w:tc>
        <w:tc>
          <w:tcPr>
            <w:tcW w:w="2109" w:type="dxa"/>
          </w:tcPr>
          <w:p>
            <w:pPr>
              <w:snapToGrid w:val="0"/>
              <w:jc w:val="center"/>
              <w:rPr>
                <w:sz w:val="18"/>
                <w:szCs w:val="18"/>
              </w:rPr>
            </w:pPr>
            <w:r>
              <w:rPr>
                <w:sz w:val="18"/>
                <w:szCs w:val="18"/>
              </w:rPr>
              <w:t>CAS 60-00-4</w:t>
            </w:r>
          </w:p>
        </w:tc>
        <w:tc>
          <w:tcPr>
            <w:tcW w:w="1216" w:type="dxa"/>
          </w:tcPr>
          <w:p>
            <w:pPr>
              <w:snapToGrid w:val="0"/>
              <w:jc w:val="center"/>
              <w:rPr>
                <w:sz w:val="18"/>
                <w:szCs w:val="18"/>
              </w:rPr>
            </w:pPr>
            <w:r>
              <w:rPr>
                <w:sz w:val="18"/>
                <w:szCs w:val="18"/>
              </w:rPr>
              <w:t>-</w:t>
            </w:r>
          </w:p>
        </w:tc>
        <w:tc>
          <w:tcPr>
            <w:tcW w:w="1142" w:type="dxa"/>
          </w:tcPr>
          <w:p>
            <w:pPr>
              <w:snapToGrid w:val="0"/>
              <w:jc w:val="center"/>
              <w:rPr>
                <w:sz w:val="18"/>
                <w:szCs w:val="18"/>
              </w:rPr>
            </w:pPr>
            <w:r>
              <w:rPr>
                <w:sz w:val="18"/>
                <w:szCs w:val="18"/>
              </w:rPr>
              <w:t>-</w:t>
            </w:r>
          </w:p>
        </w:tc>
        <w:tc>
          <w:tcPr>
            <w:tcW w:w="1200" w:type="dxa"/>
          </w:tcPr>
          <w:p>
            <w:pPr>
              <w:snapToGrid w:val="0"/>
              <w:jc w:val="center"/>
              <w:rPr>
                <w:sz w:val="18"/>
                <w:szCs w:val="18"/>
              </w:rPr>
            </w:pPr>
            <w:r>
              <w:rPr>
                <w:sz w:val="18"/>
                <w:szCs w:val="18"/>
              </w:rPr>
              <w:t>-</w:t>
            </w:r>
          </w:p>
        </w:tc>
        <w:tc>
          <w:tcPr>
            <w:tcW w:w="1634" w:type="dxa"/>
          </w:tcPr>
          <w:p>
            <w:pPr>
              <w:snapToGrid w:val="0"/>
              <w:jc w:val="center"/>
              <w:rPr>
                <w:sz w:val="18"/>
                <w:szCs w:val="18"/>
              </w:rPr>
            </w:pPr>
            <w:r>
              <w:rPr>
                <w:sz w:val="18"/>
                <w:szCs w:val="18"/>
              </w:rPr>
              <w:t>-</w:t>
            </w:r>
          </w:p>
        </w:tc>
        <w:tc>
          <w:tcPr>
            <w:tcW w:w="2187" w:type="dxa"/>
          </w:tcPr>
          <w:p>
            <w:pPr>
              <w:snapToGrid w:val="0"/>
              <w:jc w:val="center"/>
              <w:rPr>
                <w:sz w:val="18"/>
                <w:szCs w:val="18"/>
              </w:rPr>
            </w:pPr>
            <w:r>
              <w:rPr>
                <w:sz w:val="18"/>
                <w:szCs w:val="18"/>
              </w:rPr>
              <w:t>-</w:t>
            </w:r>
          </w:p>
        </w:tc>
      </w:tr>
      <w:tr>
        <w:trPr>
          <w:gridAfter w:val="1"/>
          <w:wAfter w:w="8" w:type="dxa"/>
          <w:cantSplit/>
        </w:trPr>
        <w:tc>
          <w:tcPr>
            <w:tcW w:w="2174" w:type="dxa"/>
          </w:tcPr>
          <w:p>
            <w:pPr>
              <w:snapToGrid w:val="0"/>
              <w:rPr>
                <w:rFonts w:eastAsia="Arial Unicode MS"/>
                <w:sz w:val="18"/>
                <w:szCs w:val="18"/>
              </w:rPr>
            </w:pPr>
          </w:p>
        </w:tc>
        <w:tc>
          <w:tcPr>
            <w:tcW w:w="3070" w:type="dxa"/>
          </w:tcPr>
          <w:p>
            <w:pPr>
              <w:snapToGrid w:val="0"/>
              <w:rPr>
                <w:sz w:val="18"/>
                <w:szCs w:val="18"/>
              </w:rPr>
            </w:pPr>
            <w:r>
              <w:rPr>
                <w:sz w:val="18"/>
                <w:szCs w:val="18"/>
              </w:rPr>
              <w:t>Tetranatrio etilendiamintetraacetatas</w:t>
            </w:r>
          </w:p>
        </w:tc>
        <w:tc>
          <w:tcPr>
            <w:tcW w:w="2109" w:type="dxa"/>
          </w:tcPr>
          <w:p>
            <w:pPr>
              <w:snapToGrid w:val="0"/>
              <w:jc w:val="center"/>
              <w:rPr>
                <w:sz w:val="18"/>
                <w:szCs w:val="18"/>
              </w:rPr>
            </w:pPr>
            <w:r>
              <w:rPr>
                <w:sz w:val="18"/>
                <w:szCs w:val="18"/>
              </w:rPr>
              <w:t>CAS 64-02-8</w:t>
            </w:r>
          </w:p>
        </w:tc>
        <w:tc>
          <w:tcPr>
            <w:tcW w:w="1216" w:type="dxa"/>
          </w:tcPr>
          <w:p>
            <w:pPr>
              <w:snapToGrid w:val="0"/>
              <w:jc w:val="center"/>
              <w:rPr>
                <w:sz w:val="18"/>
                <w:szCs w:val="18"/>
              </w:rPr>
            </w:pPr>
            <w:r>
              <w:rPr>
                <w:sz w:val="18"/>
                <w:szCs w:val="18"/>
              </w:rPr>
              <w:t>-</w:t>
            </w:r>
          </w:p>
        </w:tc>
        <w:tc>
          <w:tcPr>
            <w:tcW w:w="1142" w:type="dxa"/>
          </w:tcPr>
          <w:p>
            <w:pPr>
              <w:snapToGrid w:val="0"/>
              <w:jc w:val="center"/>
              <w:rPr>
                <w:sz w:val="18"/>
                <w:szCs w:val="18"/>
              </w:rPr>
            </w:pPr>
            <w:r>
              <w:rPr>
                <w:sz w:val="18"/>
                <w:szCs w:val="18"/>
              </w:rPr>
              <w:t>-</w:t>
            </w:r>
          </w:p>
        </w:tc>
        <w:tc>
          <w:tcPr>
            <w:tcW w:w="1200" w:type="dxa"/>
          </w:tcPr>
          <w:p>
            <w:pPr>
              <w:snapToGrid w:val="0"/>
              <w:jc w:val="center"/>
              <w:rPr>
                <w:sz w:val="18"/>
                <w:szCs w:val="18"/>
              </w:rPr>
            </w:pPr>
            <w:r>
              <w:rPr>
                <w:sz w:val="18"/>
                <w:szCs w:val="18"/>
              </w:rPr>
              <w:t>-</w:t>
            </w:r>
          </w:p>
        </w:tc>
        <w:tc>
          <w:tcPr>
            <w:tcW w:w="1634" w:type="dxa"/>
          </w:tcPr>
          <w:p>
            <w:pPr>
              <w:snapToGrid w:val="0"/>
              <w:jc w:val="center"/>
              <w:rPr>
                <w:sz w:val="18"/>
                <w:szCs w:val="18"/>
              </w:rPr>
            </w:pPr>
            <w:r>
              <w:rPr>
                <w:sz w:val="18"/>
                <w:szCs w:val="18"/>
              </w:rPr>
              <w:t>-</w:t>
            </w:r>
          </w:p>
        </w:tc>
        <w:tc>
          <w:tcPr>
            <w:tcW w:w="2187" w:type="dxa"/>
          </w:tcPr>
          <w:p>
            <w:pPr>
              <w:snapToGrid w:val="0"/>
              <w:jc w:val="center"/>
              <w:rPr>
                <w:sz w:val="18"/>
                <w:szCs w:val="18"/>
              </w:rPr>
            </w:pPr>
            <w:r>
              <w:rPr>
                <w:sz w:val="18"/>
                <w:szCs w:val="18"/>
              </w:rPr>
              <w:t>-</w:t>
            </w:r>
          </w:p>
        </w:tc>
      </w:tr>
      <w:tr>
        <w:trPr>
          <w:gridAfter w:val="1"/>
          <w:wAfter w:w="8" w:type="dxa"/>
          <w:cantSplit/>
        </w:trPr>
        <w:tc>
          <w:tcPr>
            <w:tcW w:w="2174" w:type="dxa"/>
          </w:tcPr>
          <w:p>
            <w:pPr>
              <w:snapToGrid w:val="0"/>
              <w:rPr>
                <w:rFonts w:eastAsia="Arial Unicode MS"/>
                <w:sz w:val="18"/>
                <w:szCs w:val="18"/>
              </w:rPr>
            </w:pPr>
          </w:p>
        </w:tc>
        <w:tc>
          <w:tcPr>
            <w:tcW w:w="3070" w:type="dxa"/>
          </w:tcPr>
          <w:p>
            <w:pPr>
              <w:snapToGrid w:val="0"/>
              <w:rPr>
                <w:sz w:val="18"/>
                <w:szCs w:val="18"/>
                <w:vertAlign w:val="superscript"/>
              </w:rPr>
            </w:pPr>
            <w:r>
              <w:rPr>
                <w:sz w:val="18"/>
                <w:szCs w:val="18"/>
              </w:rPr>
              <w:t>Sulfidai (mineraliniai)</w:t>
            </w:r>
            <w:r>
              <w:rPr>
                <w:sz w:val="18"/>
                <w:szCs w:val="18"/>
                <w:vertAlign w:val="superscript"/>
              </w:rPr>
              <w:t>3</w:t>
            </w:r>
          </w:p>
        </w:tc>
        <w:tc>
          <w:tcPr>
            <w:tcW w:w="2109" w:type="dxa"/>
          </w:tcPr>
          <w:p>
            <w:pPr>
              <w:snapToGrid w:val="0"/>
              <w:jc w:val="center"/>
              <w:rPr>
                <w:sz w:val="18"/>
                <w:szCs w:val="18"/>
              </w:rPr>
            </w:pPr>
          </w:p>
        </w:tc>
        <w:tc>
          <w:tcPr>
            <w:tcW w:w="1216" w:type="dxa"/>
          </w:tcPr>
          <w:p>
            <w:pPr>
              <w:snapToGrid w:val="0"/>
              <w:jc w:val="center"/>
              <w:rPr>
                <w:sz w:val="18"/>
                <w:szCs w:val="18"/>
              </w:rPr>
            </w:pPr>
            <w:r>
              <w:rPr>
                <w:sz w:val="18"/>
                <w:szCs w:val="18"/>
              </w:rPr>
              <w:t>2</w:t>
            </w:r>
          </w:p>
        </w:tc>
        <w:tc>
          <w:tcPr>
            <w:tcW w:w="1142" w:type="dxa"/>
          </w:tcPr>
          <w:p>
            <w:pPr>
              <w:snapToGrid w:val="0"/>
              <w:jc w:val="center"/>
              <w:rPr>
                <w:sz w:val="18"/>
                <w:szCs w:val="18"/>
              </w:rPr>
            </w:pPr>
            <w:r>
              <w:rPr>
                <w:sz w:val="18"/>
                <w:szCs w:val="18"/>
              </w:rPr>
              <w:t>0,5</w:t>
            </w:r>
          </w:p>
        </w:tc>
        <w:tc>
          <w:tcPr>
            <w:tcW w:w="1200" w:type="dxa"/>
          </w:tcPr>
          <w:p>
            <w:pPr>
              <w:snapToGrid w:val="0"/>
              <w:jc w:val="center"/>
              <w:rPr>
                <w:sz w:val="18"/>
                <w:szCs w:val="18"/>
              </w:rPr>
            </w:pPr>
            <w:r>
              <w:rPr>
                <w:sz w:val="18"/>
                <w:szCs w:val="18"/>
              </w:rPr>
              <w:t>-</w:t>
            </w:r>
          </w:p>
        </w:tc>
        <w:tc>
          <w:tcPr>
            <w:tcW w:w="1634" w:type="dxa"/>
          </w:tcPr>
          <w:p>
            <w:pPr>
              <w:snapToGrid w:val="0"/>
              <w:jc w:val="center"/>
              <w:rPr>
                <w:sz w:val="18"/>
                <w:szCs w:val="18"/>
              </w:rPr>
            </w:pPr>
            <w:r>
              <w:rPr>
                <w:sz w:val="18"/>
                <w:szCs w:val="18"/>
              </w:rPr>
              <w:t>0,4</w:t>
            </w:r>
          </w:p>
        </w:tc>
        <w:tc>
          <w:tcPr>
            <w:tcW w:w="2187" w:type="dxa"/>
          </w:tcPr>
          <w:p>
            <w:pPr>
              <w:snapToGrid w:val="0"/>
              <w:jc w:val="center"/>
              <w:rPr>
                <w:sz w:val="18"/>
                <w:szCs w:val="18"/>
              </w:rPr>
            </w:pPr>
            <w:r>
              <w:rPr>
                <w:sz w:val="18"/>
                <w:szCs w:val="18"/>
              </w:rPr>
              <w:t>0,2</w:t>
            </w:r>
          </w:p>
        </w:tc>
      </w:tr>
      <w:tr>
        <w:trPr>
          <w:gridAfter w:val="1"/>
          <w:wAfter w:w="8" w:type="dxa"/>
          <w:cantSplit/>
        </w:trPr>
        <w:tc>
          <w:tcPr>
            <w:tcW w:w="2174" w:type="dxa"/>
          </w:tcPr>
          <w:p>
            <w:pPr>
              <w:snapToGrid w:val="0"/>
              <w:rPr>
                <w:rFonts w:eastAsia="Arial Unicode MS"/>
                <w:sz w:val="18"/>
                <w:szCs w:val="18"/>
              </w:rPr>
            </w:pPr>
          </w:p>
        </w:tc>
        <w:tc>
          <w:tcPr>
            <w:tcW w:w="3070" w:type="dxa"/>
          </w:tcPr>
          <w:p>
            <w:pPr>
              <w:snapToGrid w:val="0"/>
              <w:rPr>
                <w:sz w:val="18"/>
                <w:szCs w:val="18"/>
              </w:rPr>
            </w:pPr>
            <w:r>
              <w:rPr>
                <w:sz w:val="18"/>
                <w:szCs w:val="18"/>
              </w:rPr>
              <w:t>Chloras (aktyvusis)</w:t>
            </w:r>
          </w:p>
        </w:tc>
        <w:tc>
          <w:tcPr>
            <w:tcW w:w="2109" w:type="dxa"/>
          </w:tcPr>
          <w:p>
            <w:pPr>
              <w:snapToGrid w:val="0"/>
              <w:jc w:val="center"/>
              <w:rPr>
                <w:sz w:val="18"/>
                <w:szCs w:val="18"/>
              </w:rPr>
            </w:pPr>
          </w:p>
        </w:tc>
        <w:tc>
          <w:tcPr>
            <w:tcW w:w="1216" w:type="dxa"/>
          </w:tcPr>
          <w:p>
            <w:pPr>
              <w:snapToGrid w:val="0"/>
              <w:jc w:val="center"/>
              <w:rPr>
                <w:sz w:val="18"/>
                <w:szCs w:val="18"/>
              </w:rPr>
            </w:pPr>
            <w:r>
              <w:rPr>
                <w:sz w:val="18"/>
                <w:szCs w:val="18"/>
              </w:rPr>
              <w:t>0,6</w:t>
            </w:r>
          </w:p>
        </w:tc>
        <w:tc>
          <w:tcPr>
            <w:tcW w:w="1142" w:type="dxa"/>
          </w:tcPr>
          <w:p>
            <w:pPr>
              <w:snapToGrid w:val="0"/>
              <w:jc w:val="center"/>
              <w:rPr>
                <w:sz w:val="18"/>
                <w:szCs w:val="18"/>
              </w:rPr>
            </w:pPr>
            <w:r>
              <w:rPr>
                <w:sz w:val="18"/>
                <w:szCs w:val="18"/>
              </w:rPr>
              <w:t>0,1</w:t>
            </w:r>
          </w:p>
        </w:tc>
        <w:tc>
          <w:tcPr>
            <w:tcW w:w="1200" w:type="dxa"/>
          </w:tcPr>
          <w:p>
            <w:pPr>
              <w:snapToGrid w:val="0"/>
              <w:jc w:val="center"/>
              <w:rPr>
                <w:sz w:val="18"/>
                <w:szCs w:val="18"/>
              </w:rPr>
            </w:pPr>
            <w:r>
              <w:rPr>
                <w:sz w:val="18"/>
                <w:szCs w:val="18"/>
              </w:rPr>
              <w:t>-</w:t>
            </w:r>
          </w:p>
        </w:tc>
        <w:tc>
          <w:tcPr>
            <w:tcW w:w="1634" w:type="dxa"/>
          </w:tcPr>
          <w:p>
            <w:pPr>
              <w:snapToGrid w:val="0"/>
              <w:jc w:val="center"/>
              <w:rPr>
                <w:sz w:val="18"/>
                <w:szCs w:val="18"/>
              </w:rPr>
            </w:pPr>
            <w:r>
              <w:rPr>
                <w:sz w:val="18"/>
                <w:szCs w:val="18"/>
              </w:rPr>
              <w:t>0,12</w:t>
            </w:r>
          </w:p>
        </w:tc>
        <w:tc>
          <w:tcPr>
            <w:tcW w:w="2187" w:type="dxa"/>
          </w:tcPr>
          <w:p>
            <w:pPr>
              <w:snapToGrid w:val="0"/>
              <w:jc w:val="center"/>
              <w:rPr>
                <w:sz w:val="18"/>
                <w:szCs w:val="18"/>
              </w:rPr>
            </w:pPr>
            <w:r>
              <w:rPr>
                <w:sz w:val="18"/>
                <w:szCs w:val="18"/>
              </w:rPr>
              <w:t>0,04</w:t>
            </w:r>
          </w:p>
        </w:tc>
      </w:tr>
      <w:tr>
        <w:trPr>
          <w:gridAfter w:val="1"/>
          <w:wAfter w:w="8" w:type="dxa"/>
          <w:cantSplit/>
        </w:trPr>
        <w:tc>
          <w:tcPr>
            <w:tcW w:w="2174" w:type="dxa"/>
          </w:tcPr>
          <w:p>
            <w:pPr>
              <w:snapToGrid w:val="0"/>
              <w:rPr>
                <w:rFonts w:eastAsia="Arial Unicode MS"/>
                <w:sz w:val="18"/>
                <w:szCs w:val="18"/>
              </w:rPr>
            </w:pPr>
          </w:p>
        </w:tc>
        <w:tc>
          <w:tcPr>
            <w:tcW w:w="3070" w:type="dxa"/>
          </w:tcPr>
          <w:p>
            <w:pPr>
              <w:suppressAutoHyphens/>
              <w:snapToGrid w:val="0"/>
              <w:rPr>
                <w:sz w:val="18"/>
                <w:szCs w:val="18"/>
                <w:lang w:eastAsia="ar-SA"/>
              </w:rPr>
            </w:pPr>
            <w:r>
              <w:rPr>
                <w:sz w:val="18"/>
                <w:szCs w:val="18"/>
                <w:lang w:eastAsia="ar-SA"/>
              </w:rPr>
              <w:t>Cianidai</w:t>
            </w:r>
          </w:p>
        </w:tc>
        <w:tc>
          <w:tcPr>
            <w:tcW w:w="2109" w:type="dxa"/>
          </w:tcPr>
          <w:p>
            <w:pPr>
              <w:snapToGrid w:val="0"/>
              <w:jc w:val="center"/>
              <w:rPr>
                <w:sz w:val="18"/>
                <w:szCs w:val="18"/>
              </w:rPr>
            </w:pPr>
          </w:p>
        </w:tc>
        <w:tc>
          <w:tcPr>
            <w:tcW w:w="1216" w:type="dxa"/>
          </w:tcPr>
          <w:p>
            <w:pPr>
              <w:snapToGrid w:val="0"/>
              <w:jc w:val="center"/>
              <w:rPr>
                <w:sz w:val="18"/>
                <w:szCs w:val="18"/>
              </w:rPr>
            </w:pPr>
            <w:r>
              <w:rPr>
                <w:sz w:val="18"/>
                <w:szCs w:val="18"/>
              </w:rPr>
              <w:t>0,5</w:t>
            </w:r>
          </w:p>
        </w:tc>
        <w:tc>
          <w:tcPr>
            <w:tcW w:w="1142" w:type="dxa"/>
          </w:tcPr>
          <w:p>
            <w:pPr>
              <w:snapToGrid w:val="0"/>
              <w:jc w:val="center"/>
              <w:rPr>
                <w:sz w:val="18"/>
                <w:szCs w:val="18"/>
              </w:rPr>
            </w:pPr>
            <w:r>
              <w:rPr>
                <w:sz w:val="18"/>
                <w:szCs w:val="18"/>
              </w:rPr>
              <w:t>0,1</w:t>
            </w:r>
          </w:p>
        </w:tc>
        <w:tc>
          <w:tcPr>
            <w:tcW w:w="1200" w:type="dxa"/>
          </w:tcPr>
          <w:p>
            <w:pPr>
              <w:snapToGrid w:val="0"/>
              <w:jc w:val="center"/>
              <w:rPr>
                <w:sz w:val="18"/>
                <w:szCs w:val="18"/>
              </w:rPr>
            </w:pPr>
            <w:r>
              <w:rPr>
                <w:sz w:val="18"/>
                <w:szCs w:val="18"/>
              </w:rPr>
              <w:t>-</w:t>
            </w:r>
          </w:p>
        </w:tc>
        <w:tc>
          <w:tcPr>
            <w:tcW w:w="1634" w:type="dxa"/>
          </w:tcPr>
          <w:p>
            <w:pPr>
              <w:snapToGrid w:val="0"/>
              <w:jc w:val="center"/>
              <w:rPr>
                <w:sz w:val="18"/>
                <w:szCs w:val="18"/>
              </w:rPr>
            </w:pPr>
            <w:r>
              <w:rPr>
                <w:sz w:val="18"/>
                <w:szCs w:val="18"/>
              </w:rPr>
              <w:t>0,1</w:t>
            </w:r>
          </w:p>
        </w:tc>
        <w:tc>
          <w:tcPr>
            <w:tcW w:w="2187" w:type="dxa"/>
          </w:tcPr>
          <w:p>
            <w:pPr>
              <w:snapToGrid w:val="0"/>
              <w:jc w:val="center"/>
              <w:rPr>
                <w:sz w:val="18"/>
                <w:szCs w:val="18"/>
              </w:rPr>
            </w:pPr>
            <w:r>
              <w:rPr>
                <w:sz w:val="18"/>
                <w:szCs w:val="18"/>
              </w:rPr>
              <w:t>0,04</w:t>
            </w:r>
          </w:p>
        </w:tc>
      </w:tr>
      <w:tr>
        <w:trPr>
          <w:gridAfter w:val="1"/>
          <w:wAfter w:w="8" w:type="dxa"/>
          <w:cantSplit/>
        </w:trPr>
        <w:tc>
          <w:tcPr>
            <w:tcW w:w="14732" w:type="dxa"/>
            <w:gridSpan w:val="8"/>
          </w:tcPr>
          <w:p>
            <w:pPr>
              <w:snapToGrid w:val="0"/>
              <w:ind w:firstLine="567"/>
              <w:rPr>
                <w:sz w:val="18"/>
                <w:szCs w:val="18"/>
              </w:rPr>
            </w:pPr>
            <w:r>
              <w:rPr>
                <w:rFonts w:eastAsia="Arial Unicode MS"/>
                <w:b/>
                <w:bCs/>
                <w:sz w:val="18"/>
                <w:szCs w:val="18"/>
              </w:rPr>
              <w:t>Sąrašas B2</w:t>
            </w:r>
          </w:p>
        </w:tc>
      </w:tr>
      <w:tr>
        <w:trPr>
          <w:gridAfter w:val="1"/>
          <w:wAfter w:w="8" w:type="dxa"/>
          <w:cantSplit/>
        </w:trPr>
        <w:tc>
          <w:tcPr>
            <w:tcW w:w="2174" w:type="dxa"/>
          </w:tcPr>
          <w:p>
            <w:pPr>
              <w:snapToGrid w:val="0"/>
              <w:rPr>
                <w:sz w:val="18"/>
                <w:szCs w:val="18"/>
              </w:rPr>
            </w:pPr>
            <w:r>
              <w:rPr>
                <w:rFonts w:eastAsia="Arial Unicode MS"/>
                <w:sz w:val="18"/>
                <w:szCs w:val="18"/>
              </w:rPr>
              <w:t>Kitos medžiagos</w:t>
            </w:r>
          </w:p>
        </w:tc>
        <w:tc>
          <w:tcPr>
            <w:tcW w:w="3070" w:type="dxa"/>
          </w:tcPr>
          <w:p>
            <w:pPr>
              <w:snapToGrid w:val="0"/>
              <w:rPr>
                <w:sz w:val="18"/>
                <w:szCs w:val="18"/>
              </w:rPr>
            </w:pPr>
            <w:r>
              <w:rPr>
                <w:sz w:val="18"/>
                <w:szCs w:val="18"/>
              </w:rPr>
              <w:t>Bendras azotas</w:t>
            </w:r>
          </w:p>
        </w:tc>
        <w:tc>
          <w:tcPr>
            <w:tcW w:w="2109" w:type="dxa"/>
          </w:tcPr>
          <w:p>
            <w:pPr>
              <w:snapToGrid w:val="0"/>
              <w:jc w:val="center"/>
              <w:rPr>
                <w:sz w:val="18"/>
                <w:szCs w:val="18"/>
              </w:rPr>
            </w:pPr>
          </w:p>
        </w:tc>
        <w:tc>
          <w:tcPr>
            <w:tcW w:w="1216" w:type="dxa"/>
          </w:tcPr>
          <w:p>
            <w:pPr>
              <w:snapToGrid w:val="0"/>
              <w:jc w:val="center"/>
              <w:rPr>
                <w:sz w:val="18"/>
                <w:szCs w:val="18"/>
              </w:rPr>
            </w:pPr>
            <w:r>
              <w:rPr>
                <w:sz w:val="18"/>
                <w:szCs w:val="18"/>
              </w:rPr>
              <w:t xml:space="preserve">100 </w:t>
            </w:r>
          </w:p>
        </w:tc>
        <w:tc>
          <w:tcPr>
            <w:tcW w:w="1142" w:type="dxa"/>
          </w:tcPr>
          <w:p>
            <w:pPr>
              <w:snapToGrid w:val="0"/>
              <w:jc w:val="center"/>
              <w:rPr>
                <w:sz w:val="18"/>
                <w:szCs w:val="18"/>
              </w:rPr>
            </w:pPr>
            <w:r>
              <w:rPr>
                <w:sz w:val="18"/>
                <w:szCs w:val="18"/>
              </w:rPr>
              <w:t>30</w:t>
            </w:r>
          </w:p>
        </w:tc>
        <w:tc>
          <w:tcPr>
            <w:tcW w:w="1200" w:type="dxa"/>
          </w:tcPr>
          <w:p>
            <w:pPr>
              <w:snapToGrid w:val="0"/>
              <w:jc w:val="center"/>
              <w:rPr>
                <w:sz w:val="18"/>
                <w:szCs w:val="18"/>
              </w:rPr>
            </w:pPr>
            <w:r>
              <w:rPr>
                <w:sz w:val="18"/>
                <w:szCs w:val="18"/>
              </w:rPr>
              <w:t>*</w:t>
            </w:r>
          </w:p>
        </w:tc>
        <w:tc>
          <w:tcPr>
            <w:tcW w:w="1634" w:type="dxa"/>
          </w:tcPr>
          <w:p>
            <w:pPr>
              <w:snapToGrid w:val="0"/>
              <w:jc w:val="center"/>
              <w:rPr>
                <w:rFonts w:eastAsia="Arial Unicode MS"/>
                <w:sz w:val="18"/>
                <w:szCs w:val="18"/>
              </w:rPr>
            </w:pPr>
            <w:r>
              <w:rPr>
                <w:rFonts w:eastAsia="Arial Unicode MS"/>
                <w:sz w:val="18"/>
                <w:szCs w:val="18"/>
              </w:rPr>
              <w:t>50</w:t>
            </w:r>
          </w:p>
        </w:tc>
        <w:tc>
          <w:tcPr>
            <w:tcW w:w="2187" w:type="dxa"/>
          </w:tcPr>
          <w:p>
            <w:pPr>
              <w:snapToGrid w:val="0"/>
              <w:jc w:val="center"/>
              <w:rPr>
                <w:sz w:val="18"/>
                <w:szCs w:val="18"/>
              </w:rPr>
            </w:pPr>
            <w:r>
              <w:rPr>
                <w:sz w:val="18"/>
                <w:szCs w:val="18"/>
              </w:rPr>
              <w:t>12</w:t>
            </w:r>
          </w:p>
        </w:tc>
      </w:tr>
      <w:tr>
        <w:trPr>
          <w:gridAfter w:val="1"/>
          <w:wAfter w:w="8" w:type="dxa"/>
          <w:cantSplit/>
        </w:trPr>
        <w:tc>
          <w:tcPr>
            <w:tcW w:w="2174" w:type="dxa"/>
          </w:tcPr>
          <w:p>
            <w:pPr>
              <w:snapToGrid w:val="0"/>
              <w:rPr>
                <w:rFonts w:eastAsia="Arial Unicode MS"/>
                <w:sz w:val="18"/>
                <w:szCs w:val="18"/>
              </w:rPr>
            </w:pPr>
          </w:p>
        </w:tc>
        <w:tc>
          <w:tcPr>
            <w:tcW w:w="3070" w:type="dxa"/>
          </w:tcPr>
          <w:p>
            <w:pPr>
              <w:snapToGrid w:val="0"/>
              <w:rPr>
                <w:sz w:val="18"/>
                <w:szCs w:val="18"/>
                <w:vertAlign w:val="subscript"/>
              </w:rPr>
            </w:pPr>
            <w:r>
              <w:rPr>
                <w:sz w:val="18"/>
                <w:szCs w:val="18"/>
              </w:rPr>
              <w:t>Nitritai (NO</w:t>
            </w:r>
            <w:r>
              <w:rPr>
                <w:sz w:val="18"/>
                <w:szCs w:val="18"/>
                <w:vertAlign w:val="subscript"/>
              </w:rPr>
              <w:t>2</w:t>
            </w:r>
            <w:r>
              <w:rPr>
                <w:sz w:val="18"/>
                <w:szCs w:val="18"/>
              </w:rPr>
              <w:t>-N)/NO</w:t>
            </w:r>
            <w:r>
              <w:rPr>
                <w:sz w:val="18"/>
                <w:szCs w:val="18"/>
                <w:vertAlign w:val="subscript"/>
              </w:rPr>
              <w:t>2</w:t>
            </w:r>
          </w:p>
        </w:tc>
        <w:tc>
          <w:tcPr>
            <w:tcW w:w="2109" w:type="dxa"/>
          </w:tcPr>
          <w:p>
            <w:pPr>
              <w:snapToGrid w:val="0"/>
              <w:jc w:val="center"/>
              <w:rPr>
                <w:sz w:val="18"/>
                <w:szCs w:val="18"/>
              </w:rPr>
            </w:pPr>
          </w:p>
        </w:tc>
        <w:tc>
          <w:tcPr>
            <w:tcW w:w="1216" w:type="dxa"/>
          </w:tcPr>
          <w:p>
            <w:pPr>
              <w:suppressAutoHyphens/>
              <w:snapToGrid w:val="0"/>
              <w:jc w:val="center"/>
              <w:rPr>
                <w:sz w:val="18"/>
                <w:szCs w:val="18"/>
                <w:lang w:eastAsia="ar-SA"/>
              </w:rPr>
            </w:pPr>
            <w:r>
              <w:rPr>
                <w:sz w:val="18"/>
                <w:szCs w:val="18"/>
                <w:lang w:eastAsia="ar-SA"/>
              </w:rPr>
              <w:t>-</w:t>
            </w:r>
          </w:p>
        </w:tc>
        <w:tc>
          <w:tcPr>
            <w:tcW w:w="1142" w:type="dxa"/>
          </w:tcPr>
          <w:p>
            <w:pPr>
              <w:snapToGrid w:val="0"/>
              <w:jc w:val="center"/>
              <w:rPr>
                <w:sz w:val="18"/>
                <w:szCs w:val="18"/>
              </w:rPr>
            </w:pPr>
            <w:r>
              <w:rPr>
                <w:sz w:val="18"/>
                <w:szCs w:val="18"/>
              </w:rPr>
              <w:t>0,45/1,5</w:t>
            </w:r>
          </w:p>
        </w:tc>
        <w:tc>
          <w:tcPr>
            <w:tcW w:w="1200" w:type="dxa"/>
          </w:tcPr>
          <w:p>
            <w:pPr>
              <w:snapToGrid w:val="0"/>
              <w:jc w:val="center"/>
              <w:rPr>
                <w:sz w:val="18"/>
                <w:szCs w:val="18"/>
              </w:rPr>
            </w:pPr>
            <w:r>
              <w:rPr>
                <w:sz w:val="18"/>
                <w:szCs w:val="18"/>
              </w:rPr>
              <w:t>*</w:t>
            </w:r>
          </w:p>
        </w:tc>
        <w:tc>
          <w:tcPr>
            <w:tcW w:w="1634" w:type="dxa"/>
          </w:tcPr>
          <w:p>
            <w:pPr>
              <w:snapToGrid w:val="0"/>
              <w:jc w:val="center"/>
              <w:rPr>
                <w:sz w:val="18"/>
                <w:szCs w:val="18"/>
              </w:rPr>
            </w:pPr>
            <w:r>
              <w:rPr>
                <w:sz w:val="18"/>
                <w:szCs w:val="18"/>
              </w:rPr>
              <w:t>-</w:t>
            </w:r>
          </w:p>
        </w:tc>
        <w:tc>
          <w:tcPr>
            <w:tcW w:w="2187" w:type="dxa"/>
          </w:tcPr>
          <w:p>
            <w:pPr>
              <w:snapToGrid w:val="0"/>
              <w:jc w:val="center"/>
              <w:rPr>
                <w:sz w:val="18"/>
                <w:szCs w:val="18"/>
              </w:rPr>
            </w:pPr>
            <w:r>
              <w:rPr>
                <w:sz w:val="18"/>
                <w:szCs w:val="18"/>
              </w:rPr>
              <w:t>0,09/0,3</w:t>
            </w:r>
          </w:p>
        </w:tc>
      </w:tr>
      <w:tr>
        <w:trPr>
          <w:gridAfter w:val="1"/>
          <w:wAfter w:w="8" w:type="dxa"/>
          <w:cantSplit/>
        </w:trPr>
        <w:tc>
          <w:tcPr>
            <w:tcW w:w="2174" w:type="dxa"/>
          </w:tcPr>
          <w:p>
            <w:pPr>
              <w:snapToGrid w:val="0"/>
              <w:rPr>
                <w:rFonts w:eastAsia="Arial Unicode MS"/>
                <w:sz w:val="18"/>
                <w:szCs w:val="18"/>
              </w:rPr>
            </w:pPr>
          </w:p>
        </w:tc>
        <w:tc>
          <w:tcPr>
            <w:tcW w:w="3070" w:type="dxa"/>
          </w:tcPr>
          <w:p>
            <w:pPr>
              <w:snapToGrid w:val="0"/>
              <w:rPr>
                <w:sz w:val="18"/>
                <w:szCs w:val="18"/>
                <w:vertAlign w:val="subscript"/>
              </w:rPr>
            </w:pPr>
            <w:r>
              <w:rPr>
                <w:sz w:val="18"/>
                <w:szCs w:val="18"/>
              </w:rPr>
              <w:t>Nitratai (NO</w:t>
            </w:r>
            <w:r>
              <w:rPr>
                <w:sz w:val="18"/>
                <w:szCs w:val="18"/>
                <w:vertAlign w:val="subscript"/>
              </w:rPr>
              <w:t>3</w:t>
            </w:r>
            <w:r>
              <w:rPr>
                <w:sz w:val="18"/>
                <w:szCs w:val="18"/>
              </w:rPr>
              <w:t>-N)/NO</w:t>
            </w:r>
            <w:r>
              <w:rPr>
                <w:sz w:val="18"/>
                <w:szCs w:val="18"/>
                <w:vertAlign w:val="subscript"/>
              </w:rPr>
              <w:t>3</w:t>
            </w:r>
          </w:p>
        </w:tc>
        <w:tc>
          <w:tcPr>
            <w:tcW w:w="2109" w:type="dxa"/>
          </w:tcPr>
          <w:p>
            <w:pPr>
              <w:snapToGrid w:val="0"/>
              <w:jc w:val="center"/>
              <w:rPr>
                <w:sz w:val="18"/>
                <w:szCs w:val="18"/>
              </w:rPr>
            </w:pPr>
          </w:p>
        </w:tc>
        <w:tc>
          <w:tcPr>
            <w:tcW w:w="1216" w:type="dxa"/>
          </w:tcPr>
          <w:p>
            <w:pPr>
              <w:snapToGrid w:val="0"/>
              <w:jc w:val="center"/>
              <w:rPr>
                <w:sz w:val="18"/>
                <w:szCs w:val="18"/>
              </w:rPr>
            </w:pPr>
            <w:r>
              <w:rPr>
                <w:sz w:val="18"/>
                <w:szCs w:val="18"/>
              </w:rPr>
              <w:t>-</w:t>
            </w:r>
          </w:p>
        </w:tc>
        <w:tc>
          <w:tcPr>
            <w:tcW w:w="1142" w:type="dxa"/>
          </w:tcPr>
          <w:p>
            <w:pPr>
              <w:snapToGrid w:val="0"/>
              <w:jc w:val="center"/>
              <w:rPr>
                <w:sz w:val="18"/>
                <w:szCs w:val="18"/>
              </w:rPr>
            </w:pPr>
            <w:r>
              <w:rPr>
                <w:sz w:val="18"/>
                <w:szCs w:val="18"/>
              </w:rPr>
              <w:t>23/100</w:t>
            </w:r>
          </w:p>
        </w:tc>
        <w:tc>
          <w:tcPr>
            <w:tcW w:w="1200" w:type="dxa"/>
          </w:tcPr>
          <w:p>
            <w:pPr>
              <w:snapToGrid w:val="0"/>
              <w:jc w:val="center"/>
              <w:rPr>
                <w:sz w:val="18"/>
                <w:szCs w:val="18"/>
              </w:rPr>
            </w:pPr>
            <w:r>
              <w:rPr>
                <w:sz w:val="18"/>
                <w:szCs w:val="18"/>
              </w:rPr>
              <w:t>*</w:t>
            </w:r>
          </w:p>
        </w:tc>
        <w:tc>
          <w:tcPr>
            <w:tcW w:w="1634" w:type="dxa"/>
          </w:tcPr>
          <w:p>
            <w:pPr>
              <w:snapToGrid w:val="0"/>
              <w:jc w:val="center"/>
              <w:rPr>
                <w:sz w:val="18"/>
                <w:szCs w:val="18"/>
              </w:rPr>
            </w:pPr>
            <w:r>
              <w:rPr>
                <w:sz w:val="18"/>
                <w:szCs w:val="18"/>
              </w:rPr>
              <w:t>-</w:t>
            </w:r>
          </w:p>
        </w:tc>
        <w:tc>
          <w:tcPr>
            <w:tcW w:w="2187" w:type="dxa"/>
          </w:tcPr>
          <w:p>
            <w:pPr>
              <w:snapToGrid w:val="0"/>
              <w:jc w:val="center"/>
              <w:rPr>
                <w:sz w:val="18"/>
                <w:szCs w:val="18"/>
              </w:rPr>
            </w:pPr>
            <w:r>
              <w:rPr>
                <w:sz w:val="18"/>
                <w:szCs w:val="18"/>
              </w:rPr>
              <w:t>9/39</w:t>
            </w:r>
          </w:p>
        </w:tc>
      </w:tr>
      <w:tr>
        <w:trPr>
          <w:gridAfter w:val="1"/>
          <w:wAfter w:w="8" w:type="dxa"/>
          <w:cantSplit/>
        </w:trPr>
        <w:tc>
          <w:tcPr>
            <w:tcW w:w="2174" w:type="dxa"/>
          </w:tcPr>
          <w:p>
            <w:pPr>
              <w:snapToGrid w:val="0"/>
              <w:rPr>
                <w:rFonts w:eastAsia="Arial Unicode MS"/>
                <w:sz w:val="18"/>
                <w:szCs w:val="18"/>
              </w:rPr>
            </w:pPr>
          </w:p>
        </w:tc>
        <w:tc>
          <w:tcPr>
            <w:tcW w:w="3070" w:type="dxa"/>
          </w:tcPr>
          <w:p>
            <w:pPr>
              <w:snapToGrid w:val="0"/>
              <w:rPr>
                <w:sz w:val="18"/>
                <w:szCs w:val="18"/>
                <w:vertAlign w:val="subscript"/>
              </w:rPr>
            </w:pPr>
            <w:r>
              <w:rPr>
                <w:sz w:val="18"/>
                <w:szCs w:val="18"/>
              </w:rPr>
              <w:t>Amonio jonai (NH</w:t>
            </w:r>
            <w:r>
              <w:rPr>
                <w:sz w:val="18"/>
                <w:szCs w:val="18"/>
                <w:vertAlign w:val="subscript"/>
              </w:rPr>
              <w:t>4</w:t>
            </w:r>
            <w:r>
              <w:rPr>
                <w:sz w:val="18"/>
                <w:szCs w:val="18"/>
              </w:rPr>
              <w:t>-N)/NH</w:t>
            </w:r>
            <w:r>
              <w:rPr>
                <w:sz w:val="18"/>
                <w:szCs w:val="18"/>
                <w:vertAlign w:val="subscript"/>
              </w:rPr>
              <w:t>4</w:t>
            </w:r>
          </w:p>
        </w:tc>
        <w:tc>
          <w:tcPr>
            <w:tcW w:w="2109" w:type="dxa"/>
          </w:tcPr>
          <w:p>
            <w:pPr>
              <w:snapToGrid w:val="0"/>
              <w:jc w:val="center"/>
              <w:rPr>
                <w:sz w:val="18"/>
                <w:szCs w:val="18"/>
              </w:rPr>
            </w:pPr>
          </w:p>
        </w:tc>
        <w:tc>
          <w:tcPr>
            <w:tcW w:w="1216" w:type="dxa"/>
          </w:tcPr>
          <w:p>
            <w:pPr>
              <w:snapToGrid w:val="0"/>
              <w:jc w:val="center"/>
              <w:rPr>
                <w:sz w:val="18"/>
                <w:szCs w:val="18"/>
              </w:rPr>
            </w:pPr>
            <w:r>
              <w:rPr>
                <w:sz w:val="18"/>
                <w:szCs w:val="18"/>
              </w:rPr>
              <w:t>-</w:t>
            </w:r>
          </w:p>
        </w:tc>
        <w:tc>
          <w:tcPr>
            <w:tcW w:w="1142" w:type="dxa"/>
          </w:tcPr>
          <w:p>
            <w:pPr>
              <w:snapToGrid w:val="0"/>
              <w:jc w:val="center"/>
              <w:rPr>
                <w:sz w:val="18"/>
                <w:szCs w:val="18"/>
              </w:rPr>
            </w:pPr>
            <w:r>
              <w:rPr>
                <w:sz w:val="18"/>
                <w:szCs w:val="18"/>
              </w:rPr>
              <w:t>5/6,43</w:t>
            </w:r>
          </w:p>
        </w:tc>
        <w:tc>
          <w:tcPr>
            <w:tcW w:w="1200" w:type="dxa"/>
          </w:tcPr>
          <w:p>
            <w:pPr>
              <w:snapToGrid w:val="0"/>
              <w:jc w:val="center"/>
              <w:rPr>
                <w:sz w:val="18"/>
                <w:szCs w:val="18"/>
              </w:rPr>
            </w:pPr>
            <w:r>
              <w:rPr>
                <w:sz w:val="18"/>
                <w:szCs w:val="18"/>
              </w:rPr>
              <w:t>*</w:t>
            </w:r>
          </w:p>
        </w:tc>
        <w:tc>
          <w:tcPr>
            <w:tcW w:w="1634" w:type="dxa"/>
          </w:tcPr>
          <w:p>
            <w:pPr>
              <w:snapToGrid w:val="0"/>
              <w:jc w:val="center"/>
              <w:rPr>
                <w:sz w:val="18"/>
                <w:szCs w:val="18"/>
              </w:rPr>
            </w:pPr>
            <w:r>
              <w:rPr>
                <w:sz w:val="18"/>
                <w:szCs w:val="18"/>
              </w:rPr>
              <w:t>-</w:t>
            </w:r>
          </w:p>
        </w:tc>
        <w:tc>
          <w:tcPr>
            <w:tcW w:w="2187" w:type="dxa"/>
          </w:tcPr>
          <w:p>
            <w:pPr>
              <w:snapToGrid w:val="0"/>
              <w:jc w:val="center"/>
              <w:rPr>
                <w:sz w:val="18"/>
                <w:szCs w:val="18"/>
              </w:rPr>
            </w:pPr>
            <w:r>
              <w:rPr>
                <w:sz w:val="18"/>
                <w:szCs w:val="18"/>
              </w:rPr>
              <w:t>2/2,57</w:t>
            </w:r>
          </w:p>
        </w:tc>
      </w:tr>
      <w:tr>
        <w:trPr>
          <w:gridAfter w:val="1"/>
          <w:wAfter w:w="8" w:type="dxa"/>
          <w:cantSplit/>
        </w:trPr>
        <w:tc>
          <w:tcPr>
            <w:tcW w:w="2174" w:type="dxa"/>
          </w:tcPr>
          <w:p>
            <w:pPr>
              <w:snapToGrid w:val="0"/>
              <w:rPr>
                <w:rFonts w:eastAsia="Arial Unicode MS"/>
                <w:sz w:val="18"/>
                <w:szCs w:val="18"/>
              </w:rPr>
            </w:pPr>
          </w:p>
        </w:tc>
        <w:tc>
          <w:tcPr>
            <w:tcW w:w="3070" w:type="dxa"/>
          </w:tcPr>
          <w:p>
            <w:pPr>
              <w:snapToGrid w:val="0"/>
              <w:rPr>
                <w:sz w:val="18"/>
                <w:szCs w:val="18"/>
              </w:rPr>
            </w:pPr>
            <w:r>
              <w:rPr>
                <w:sz w:val="18"/>
                <w:szCs w:val="18"/>
              </w:rPr>
              <w:t>Bendras fosforas</w:t>
            </w:r>
          </w:p>
        </w:tc>
        <w:tc>
          <w:tcPr>
            <w:tcW w:w="2109" w:type="dxa"/>
          </w:tcPr>
          <w:p>
            <w:pPr>
              <w:snapToGrid w:val="0"/>
              <w:jc w:val="center"/>
              <w:rPr>
                <w:sz w:val="18"/>
                <w:szCs w:val="18"/>
              </w:rPr>
            </w:pPr>
          </w:p>
        </w:tc>
        <w:tc>
          <w:tcPr>
            <w:tcW w:w="1216" w:type="dxa"/>
          </w:tcPr>
          <w:p>
            <w:pPr>
              <w:snapToGrid w:val="0"/>
              <w:jc w:val="center"/>
              <w:rPr>
                <w:sz w:val="18"/>
                <w:szCs w:val="18"/>
              </w:rPr>
            </w:pPr>
            <w:r>
              <w:rPr>
                <w:sz w:val="18"/>
                <w:szCs w:val="18"/>
              </w:rPr>
              <w:t xml:space="preserve">20 </w:t>
            </w:r>
          </w:p>
        </w:tc>
        <w:tc>
          <w:tcPr>
            <w:tcW w:w="1142" w:type="dxa"/>
          </w:tcPr>
          <w:p>
            <w:pPr>
              <w:snapToGrid w:val="0"/>
              <w:jc w:val="center"/>
              <w:rPr>
                <w:sz w:val="18"/>
                <w:szCs w:val="18"/>
              </w:rPr>
            </w:pPr>
            <w:r>
              <w:rPr>
                <w:sz w:val="18"/>
                <w:szCs w:val="18"/>
              </w:rPr>
              <w:t>4</w:t>
            </w:r>
          </w:p>
        </w:tc>
        <w:tc>
          <w:tcPr>
            <w:tcW w:w="1200" w:type="dxa"/>
          </w:tcPr>
          <w:p>
            <w:pPr>
              <w:snapToGrid w:val="0"/>
              <w:jc w:val="center"/>
              <w:rPr>
                <w:sz w:val="18"/>
                <w:szCs w:val="18"/>
              </w:rPr>
            </w:pPr>
            <w:r>
              <w:rPr>
                <w:sz w:val="18"/>
                <w:szCs w:val="18"/>
              </w:rPr>
              <w:t>*</w:t>
            </w:r>
          </w:p>
        </w:tc>
        <w:tc>
          <w:tcPr>
            <w:tcW w:w="1634" w:type="dxa"/>
          </w:tcPr>
          <w:p>
            <w:pPr>
              <w:snapToGrid w:val="0"/>
              <w:jc w:val="center"/>
              <w:rPr>
                <w:rFonts w:eastAsia="Arial Unicode MS"/>
                <w:sz w:val="18"/>
                <w:szCs w:val="18"/>
              </w:rPr>
            </w:pPr>
            <w:r>
              <w:rPr>
                <w:rFonts w:eastAsia="Arial Unicode MS"/>
                <w:sz w:val="18"/>
                <w:szCs w:val="18"/>
              </w:rPr>
              <w:t>10</w:t>
            </w:r>
          </w:p>
        </w:tc>
        <w:tc>
          <w:tcPr>
            <w:tcW w:w="2187" w:type="dxa"/>
          </w:tcPr>
          <w:p>
            <w:pPr>
              <w:snapToGrid w:val="0"/>
              <w:jc w:val="center"/>
              <w:rPr>
                <w:sz w:val="18"/>
                <w:szCs w:val="18"/>
              </w:rPr>
            </w:pPr>
            <w:r>
              <w:rPr>
                <w:sz w:val="18"/>
                <w:szCs w:val="18"/>
              </w:rPr>
              <w:t>1,6</w:t>
            </w:r>
          </w:p>
        </w:tc>
      </w:tr>
      <w:tr>
        <w:trPr>
          <w:gridAfter w:val="1"/>
          <w:wAfter w:w="8" w:type="dxa"/>
          <w:cantSplit/>
        </w:trPr>
        <w:tc>
          <w:tcPr>
            <w:tcW w:w="2174" w:type="dxa"/>
          </w:tcPr>
          <w:p>
            <w:pPr>
              <w:snapToGrid w:val="0"/>
              <w:rPr>
                <w:rFonts w:eastAsia="Arial Unicode MS"/>
                <w:sz w:val="18"/>
                <w:szCs w:val="18"/>
              </w:rPr>
            </w:pPr>
          </w:p>
        </w:tc>
        <w:tc>
          <w:tcPr>
            <w:tcW w:w="3070" w:type="dxa"/>
          </w:tcPr>
          <w:p>
            <w:pPr>
              <w:snapToGrid w:val="0"/>
              <w:rPr>
                <w:sz w:val="18"/>
                <w:szCs w:val="18"/>
                <w:vertAlign w:val="subscript"/>
              </w:rPr>
            </w:pPr>
            <w:r>
              <w:rPr>
                <w:sz w:val="18"/>
                <w:szCs w:val="18"/>
              </w:rPr>
              <w:t>Fosfatai (PO</w:t>
            </w:r>
            <w:r>
              <w:rPr>
                <w:sz w:val="18"/>
                <w:szCs w:val="18"/>
                <w:vertAlign w:val="subscript"/>
              </w:rPr>
              <w:t>4</w:t>
            </w:r>
            <w:r>
              <w:rPr>
                <w:sz w:val="18"/>
                <w:szCs w:val="18"/>
              </w:rPr>
              <w:t>-P)/PO</w:t>
            </w:r>
            <w:r>
              <w:rPr>
                <w:sz w:val="18"/>
                <w:szCs w:val="18"/>
                <w:vertAlign w:val="subscript"/>
              </w:rPr>
              <w:t>4</w:t>
            </w:r>
          </w:p>
        </w:tc>
        <w:tc>
          <w:tcPr>
            <w:tcW w:w="2109" w:type="dxa"/>
          </w:tcPr>
          <w:p>
            <w:pPr>
              <w:snapToGrid w:val="0"/>
              <w:jc w:val="center"/>
              <w:rPr>
                <w:sz w:val="18"/>
                <w:szCs w:val="18"/>
              </w:rPr>
            </w:pPr>
          </w:p>
        </w:tc>
        <w:tc>
          <w:tcPr>
            <w:tcW w:w="1216" w:type="dxa"/>
          </w:tcPr>
          <w:p>
            <w:pPr>
              <w:snapToGrid w:val="0"/>
              <w:jc w:val="center"/>
              <w:rPr>
                <w:sz w:val="18"/>
                <w:szCs w:val="18"/>
              </w:rPr>
            </w:pPr>
            <w:r>
              <w:rPr>
                <w:sz w:val="18"/>
                <w:szCs w:val="18"/>
              </w:rPr>
              <w:t>-</w:t>
            </w:r>
          </w:p>
        </w:tc>
        <w:tc>
          <w:tcPr>
            <w:tcW w:w="1142" w:type="dxa"/>
          </w:tcPr>
          <w:p>
            <w:pPr>
              <w:snapToGrid w:val="0"/>
              <w:jc w:val="center"/>
              <w:rPr>
                <w:sz w:val="18"/>
                <w:szCs w:val="18"/>
              </w:rPr>
            </w:pPr>
            <w:r>
              <w:rPr>
                <w:sz w:val="18"/>
                <w:szCs w:val="18"/>
              </w:rPr>
              <w:t>-</w:t>
            </w:r>
          </w:p>
        </w:tc>
        <w:tc>
          <w:tcPr>
            <w:tcW w:w="1200" w:type="dxa"/>
          </w:tcPr>
          <w:p>
            <w:pPr>
              <w:snapToGrid w:val="0"/>
              <w:jc w:val="center"/>
              <w:rPr>
                <w:sz w:val="18"/>
                <w:szCs w:val="18"/>
              </w:rPr>
            </w:pPr>
            <w:r>
              <w:rPr>
                <w:sz w:val="18"/>
                <w:szCs w:val="18"/>
              </w:rPr>
              <w:t>*</w:t>
            </w:r>
          </w:p>
        </w:tc>
        <w:tc>
          <w:tcPr>
            <w:tcW w:w="1634" w:type="dxa"/>
          </w:tcPr>
          <w:p>
            <w:pPr>
              <w:snapToGrid w:val="0"/>
              <w:jc w:val="center"/>
              <w:rPr>
                <w:sz w:val="18"/>
                <w:szCs w:val="18"/>
              </w:rPr>
            </w:pPr>
            <w:r>
              <w:rPr>
                <w:sz w:val="18"/>
                <w:szCs w:val="18"/>
              </w:rPr>
              <w:t>-</w:t>
            </w:r>
          </w:p>
        </w:tc>
        <w:tc>
          <w:tcPr>
            <w:tcW w:w="2187" w:type="dxa"/>
          </w:tcPr>
          <w:p>
            <w:pPr>
              <w:snapToGrid w:val="0"/>
              <w:jc w:val="center"/>
              <w:rPr>
                <w:sz w:val="18"/>
                <w:szCs w:val="18"/>
              </w:rPr>
            </w:pPr>
            <w:r>
              <w:rPr>
                <w:sz w:val="18"/>
                <w:szCs w:val="18"/>
              </w:rPr>
              <w:t>-</w:t>
            </w:r>
          </w:p>
        </w:tc>
      </w:tr>
      <w:tr>
        <w:trPr>
          <w:gridAfter w:val="1"/>
          <w:wAfter w:w="8" w:type="dxa"/>
          <w:cantSplit/>
        </w:trPr>
        <w:tc>
          <w:tcPr>
            <w:tcW w:w="2174" w:type="dxa"/>
          </w:tcPr>
          <w:p>
            <w:pPr>
              <w:snapToGrid w:val="0"/>
              <w:rPr>
                <w:rFonts w:eastAsia="Arial Unicode MS"/>
                <w:sz w:val="18"/>
                <w:szCs w:val="18"/>
              </w:rPr>
            </w:pPr>
          </w:p>
        </w:tc>
        <w:tc>
          <w:tcPr>
            <w:tcW w:w="3070" w:type="dxa"/>
          </w:tcPr>
          <w:p>
            <w:pPr>
              <w:snapToGrid w:val="0"/>
              <w:rPr>
                <w:sz w:val="18"/>
                <w:szCs w:val="18"/>
              </w:rPr>
            </w:pPr>
            <w:r>
              <w:rPr>
                <w:sz w:val="18"/>
                <w:szCs w:val="18"/>
              </w:rPr>
              <w:t>Chloridai</w:t>
            </w:r>
          </w:p>
        </w:tc>
        <w:tc>
          <w:tcPr>
            <w:tcW w:w="2109" w:type="dxa"/>
          </w:tcPr>
          <w:p>
            <w:pPr>
              <w:snapToGrid w:val="0"/>
              <w:jc w:val="center"/>
              <w:rPr>
                <w:sz w:val="18"/>
                <w:szCs w:val="18"/>
              </w:rPr>
            </w:pPr>
          </w:p>
        </w:tc>
        <w:tc>
          <w:tcPr>
            <w:tcW w:w="1216" w:type="dxa"/>
          </w:tcPr>
          <w:p>
            <w:pPr>
              <w:snapToGrid w:val="0"/>
              <w:jc w:val="center"/>
              <w:rPr>
                <w:sz w:val="18"/>
                <w:szCs w:val="18"/>
              </w:rPr>
            </w:pPr>
            <w:r>
              <w:rPr>
                <w:sz w:val="18"/>
                <w:szCs w:val="18"/>
              </w:rPr>
              <w:t xml:space="preserve">2000 </w:t>
            </w:r>
          </w:p>
        </w:tc>
        <w:tc>
          <w:tcPr>
            <w:tcW w:w="1142" w:type="dxa"/>
          </w:tcPr>
          <w:p>
            <w:pPr>
              <w:snapToGrid w:val="0"/>
              <w:jc w:val="center"/>
              <w:rPr>
                <w:sz w:val="18"/>
                <w:szCs w:val="18"/>
              </w:rPr>
            </w:pPr>
            <w:r>
              <w:rPr>
                <w:sz w:val="18"/>
                <w:szCs w:val="18"/>
              </w:rPr>
              <w:t>1000</w:t>
            </w:r>
          </w:p>
        </w:tc>
        <w:tc>
          <w:tcPr>
            <w:tcW w:w="1200" w:type="dxa"/>
          </w:tcPr>
          <w:p>
            <w:pPr>
              <w:snapToGrid w:val="0"/>
              <w:jc w:val="center"/>
              <w:rPr>
                <w:sz w:val="18"/>
                <w:szCs w:val="18"/>
              </w:rPr>
            </w:pPr>
            <w:r>
              <w:rPr>
                <w:sz w:val="18"/>
                <w:szCs w:val="18"/>
              </w:rPr>
              <w:t>300</w:t>
            </w:r>
          </w:p>
        </w:tc>
        <w:tc>
          <w:tcPr>
            <w:tcW w:w="1634" w:type="dxa"/>
          </w:tcPr>
          <w:p>
            <w:pPr>
              <w:snapToGrid w:val="0"/>
              <w:jc w:val="center"/>
              <w:rPr>
                <w:rFonts w:eastAsia="Arial Unicode MS"/>
                <w:sz w:val="18"/>
                <w:szCs w:val="18"/>
              </w:rPr>
            </w:pPr>
            <w:r>
              <w:rPr>
                <w:rFonts w:eastAsia="Arial Unicode MS"/>
                <w:sz w:val="18"/>
                <w:szCs w:val="18"/>
              </w:rPr>
              <w:t>1000</w:t>
            </w:r>
          </w:p>
        </w:tc>
        <w:tc>
          <w:tcPr>
            <w:tcW w:w="2187" w:type="dxa"/>
          </w:tcPr>
          <w:p>
            <w:pPr>
              <w:snapToGrid w:val="0"/>
              <w:jc w:val="center"/>
              <w:rPr>
                <w:sz w:val="18"/>
                <w:szCs w:val="18"/>
              </w:rPr>
            </w:pPr>
            <w:r>
              <w:rPr>
                <w:sz w:val="18"/>
                <w:szCs w:val="18"/>
              </w:rPr>
              <w:t>500</w:t>
            </w:r>
          </w:p>
        </w:tc>
      </w:tr>
      <w:tr>
        <w:trPr>
          <w:gridAfter w:val="1"/>
          <w:wAfter w:w="8" w:type="dxa"/>
          <w:cantSplit/>
        </w:trPr>
        <w:tc>
          <w:tcPr>
            <w:tcW w:w="2174" w:type="dxa"/>
          </w:tcPr>
          <w:p>
            <w:pPr>
              <w:snapToGrid w:val="0"/>
              <w:rPr>
                <w:rFonts w:eastAsia="Arial Unicode MS"/>
                <w:sz w:val="18"/>
                <w:szCs w:val="18"/>
              </w:rPr>
            </w:pPr>
          </w:p>
        </w:tc>
        <w:tc>
          <w:tcPr>
            <w:tcW w:w="3070" w:type="dxa"/>
          </w:tcPr>
          <w:p>
            <w:pPr>
              <w:snapToGrid w:val="0"/>
              <w:rPr>
                <w:sz w:val="18"/>
                <w:szCs w:val="18"/>
              </w:rPr>
            </w:pPr>
            <w:r>
              <w:rPr>
                <w:sz w:val="18"/>
                <w:szCs w:val="18"/>
              </w:rPr>
              <w:t>Fluoridai</w:t>
            </w:r>
          </w:p>
        </w:tc>
        <w:tc>
          <w:tcPr>
            <w:tcW w:w="2109" w:type="dxa"/>
          </w:tcPr>
          <w:p>
            <w:pPr>
              <w:snapToGrid w:val="0"/>
              <w:jc w:val="center"/>
              <w:rPr>
                <w:sz w:val="18"/>
                <w:szCs w:val="18"/>
              </w:rPr>
            </w:pPr>
          </w:p>
        </w:tc>
        <w:tc>
          <w:tcPr>
            <w:tcW w:w="1216" w:type="dxa"/>
          </w:tcPr>
          <w:p>
            <w:pPr>
              <w:snapToGrid w:val="0"/>
              <w:jc w:val="center"/>
              <w:rPr>
                <w:sz w:val="18"/>
                <w:szCs w:val="18"/>
              </w:rPr>
            </w:pPr>
            <w:r>
              <w:rPr>
                <w:sz w:val="18"/>
                <w:szCs w:val="18"/>
              </w:rPr>
              <w:t>10</w:t>
            </w:r>
          </w:p>
        </w:tc>
        <w:tc>
          <w:tcPr>
            <w:tcW w:w="1142" w:type="dxa"/>
          </w:tcPr>
          <w:p>
            <w:pPr>
              <w:snapToGrid w:val="0"/>
              <w:jc w:val="center"/>
              <w:rPr>
                <w:sz w:val="18"/>
                <w:szCs w:val="18"/>
              </w:rPr>
            </w:pPr>
            <w:r>
              <w:rPr>
                <w:sz w:val="18"/>
                <w:szCs w:val="18"/>
              </w:rPr>
              <w:t>8</w:t>
            </w:r>
          </w:p>
        </w:tc>
        <w:tc>
          <w:tcPr>
            <w:tcW w:w="1200" w:type="dxa"/>
          </w:tcPr>
          <w:p>
            <w:pPr>
              <w:snapToGrid w:val="0"/>
              <w:jc w:val="center"/>
              <w:rPr>
                <w:sz w:val="18"/>
                <w:szCs w:val="18"/>
              </w:rPr>
            </w:pPr>
            <w:r>
              <w:rPr>
                <w:sz w:val="18"/>
                <w:szCs w:val="18"/>
              </w:rPr>
              <w:t>-</w:t>
            </w:r>
          </w:p>
        </w:tc>
        <w:tc>
          <w:tcPr>
            <w:tcW w:w="1634" w:type="dxa"/>
          </w:tcPr>
          <w:p>
            <w:pPr>
              <w:snapToGrid w:val="0"/>
              <w:jc w:val="center"/>
              <w:rPr>
                <w:sz w:val="18"/>
                <w:szCs w:val="18"/>
              </w:rPr>
            </w:pPr>
            <w:r>
              <w:rPr>
                <w:sz w:val="18"/>
                <w:szCs w:val="18"/>
              </w:rPr>
              <w:t>2</w:t>
            </w:r>
          </w:p>
        </w:tc>
        <w:tc>
          <w:tcPr>
            <w:tcW w:w="2187" w:type="dxa"/>
          </w:tcPr>
          <w:p>
            <w:pPr>
              <w:snapToGrid w:val="0"/>
              <w:jc w:val="center"/>
              <w:rPr>
                <w:sz w:val="18"/>
                <w:szCs w:val="18"/>
              </w:rPr>
            </w:pPr>
            <w:r>
              <w:rPr>
                <w:sz w:val="18"/>
                <w:szCs w:val="18"/>
              </w:rPr>
              <w:t>3,2</w:t>
            </w:r>
          </w:p>
        </w:tc>
      </w:tr>
      <w:tr>
        <w:trPr>
          <w:gridAfter w:val="1"/>
          <w:wAfter w:w="8" w:type="dxa"/>
          <w:cantSplit/>
        </w:trPr>
        <w:tc>
          <w:tcPr>
            <w:tcW w:w="2174" w:type="dxa"/>
          </w:tcPr>
          <w:p>
            <w:pPr>
              <w:snapToGrid w:val="0"/>
              <w:rPr>
                <w:rFonts w:eastAsia="Arial Unicode MS"/>
                <w:sz w:val="18"/>
                <w:szCs w:val="18"/>
              </w:rPr>
            </w:pPr>
          </w:p>
        </w:tc>
        <w:tc>
          <w:tcPr>
            <w:tcW w:w="3070" w:type="dxa"/>
          </w:tcPr>
          <w:p>
            <w:pPr>
              <w:snapToGrid w:val="0"/>
              <w:rPr>
                <w:sz w:val="18"/>
                <w:szCs w:val="18"/>
              </w:rPr>
            </w:pPr>
            <w:r>
              <w:rPr>
                <w:sz w:val="18"/>
                <w:szCs w:val="18"/>
              </w:rPr>
              <w:t>Sulfatai</w:t>
            </w:r>
          </w:p>
        </w:tc>
        <w:tc>
          <w:tcPr>
            <w:tcW w:w="2109" w:type="dxa"/>
          </w:tcPr>
          <w:p>
            <w:pPr>
              <w:snapToGrid w:val="0"/>
              <w:jc w:val="center"/>
              <w:rPr>
                <w:sz w:val="18"/>
                <w:szCs w:val="18"/>
              </w:rPr>
            </w:pPr>
          </w:p>
        </w:tc>
        <w:tc>
          <w:tcPr>
            <w:tcW w:w="1216" w:type="dxa"/>
          </w:tcPr>
          <w:p>
            <w:pPr>
              <w:snapToGrid w:val="0"/>
              <w:jc w:val="center"/>
              <w:rPr>
                <w:sz w:val="18"/>
                <w:szCs w:val="18"/>
              </w:rPr>
            </w:pPr>
            <w:r>
              <w:rPr>
                <w:sz w:val="18"/>
                <w:szCs w:val="18"/>
              </w:rPr>
              <w:t>1000</w:t>
            </w:r>
          </w:p>
        </w:tc>
        <w:tc>
          <w:tcPr>
            <w:tcW w:w="1142" w:type="dxa"/>
          </w:tcPr>
          <w:p>
            <w:pPr>
              <w:snapToGrid w:val="0"/>
              <w:jc w:val="center"/>
              <w:rPr>
                <w:sz w:val="18"/>
                <w:szCs w:val="18"/>
              </w:rPr>
            </w:pPr>
            <w:r>
              <w:rPr>
                <w:sz w:val="18"/>
                <w:szCs w:val="18"/>
              </w:rPr>
              <w:t>300</w:t>
            </w:r>
          </w:p>
        </w:tc>
        <w:tc>
          <w:tcPr>
            <w:tcW w:w="1200" w:type="dxa"/>
          </w:tcPr>
          <w:p>
            <w:pPr>
              <w:snapToGrid w:val="0"/>
              <w:jc w:val="center"/>
              <w:rPr>
                <w:sz w:val="18"/>
                <w:szCs w:val="18"/>
              </w:rPr>
            </w:pPr>
            <w:r>
              <w:rPr>
                <w:sz w:val="18"/>
                <w:szCs w:val="18"/>
              </w:rPr>
              <w:t>100</w:t>
            </w:r>
          </w:p>
        </w:tc>
        <w:tc>
          <w:tcPr>
            <w:tcW w:w="1634" w:type="dxa"/>
          </w:tcPr>
          <w:p>
            <w:pPr>
              <w:snapToGrid w:val="0"/>
              <w:jc w:val="center"/>
              <w:rPr>
                <w:sz w:val="18"/>
                <w:szCs w:val="18"/>
              </w:rPr>
            </w:pPr>
            <w:r>
              <w:rPr>
                <w:sz w:val="18"/>
                <w:szCs w:val="18"/>
              </w:rPr>
              <w:t>300</w:t>
            </w:r>
          </w:p>
        </w:tc>
        <w:tc>
          <w:tcPr>
            <w:tcW w:w="2187" w:type="dxa"/>
          </w:tcPr>
          <w:p>
            <w:pPr>
              <w:snapToGrid w:val="0"/>
              <w:jc w:val="center"/>
              <w:rPr>
                <w:sz w:val="18"/>
                <w:szCs w:val="18"/>
              </w:rPr>
            </w:pPr>
            <w:r>
              <w:rPr>
                <w:sz w:val="18"/>
                <w:szCs w:val="18"/>
              </w:rPr>
              <w:t>200</w:t>
            </w:r>
          </w:p>
        </w:tc>
      </w:tr>
      <w:tr>
        <w:trPr>
          <w:gridAfter w:val="1"/>
          <w:wAfter w:w="8" w:type="dxa"/>
          <w:cantSplit/>
        </w:trPr>
        <w:tc>
          <w:tcPr>
            <w:tcW w:w="2174" w:type="dxa"/>
          </w:tcPr>
          <w:p>
            <w:pPr>
              <w:snapToGrid w:val="0"/>
              <w:rPr>
                <w:rFonts w:eastAsia="Arial Unicode MS"/>
                <w:sz w:val="18"/>
                <w:szCs w:val="18"/>
              </w:rPr>
            </w:pPr>
          </w:p>
        </w:tc>
        <w:tc>
          <w:tcPr>
            <w:tcW w:w="3070" w:type="dxa"/>
          </w:tcPr>
          <w:p>
            <w:pPr>
              <w:snapToGrid w:val="0"/>
              <w:rPr>
                <w:sz w:val="18"/>
                <w:szCs w:val="18"/>
              </w:rPr>
            </w:pPr>
            <w:r>
              <w:rPr>
                <w:sz w:val="18"/>
                <w:szCs w:val="18"/>
              </w:rPr>
              <w:t>Sintetinės veiklios paviršinės medžiagos (anijoninės)</w:t>
            </w:r>
          </w:p>
        </w:tc>
        <w:tc>
          <w:tcPr>
            <w:tcW w:w="2109" w:type="dxa"/>
          </w:tcPr>
          <w:p>
            <w:pPr>
              <w:snapToGrid w:val="0"/>
              <w:jc w:val="center"/>
              <w:rPr>
                <w:sz w:val="18"/>
                <w:szCs w:val="18"/>
              </w:rPr>
            </w:pPr>
          </w:p>
        </w:tc>
        <w:tc>
          <w:tcPr>
            <w:tcW w:w="1216" w:type="dxa"/>
          </w:tcPr>
          <w:p>
            <w:pPr>
              <w:snapToGrid w:val="0"/>
              <w:jc w:val="center"/>
              <w:rPr>
                <w:sz w:val="18"/>
                <w:szCs w:val="18"/>
              </w:rPr>
            </w:pPr>
            <w:r>
              <w:rPr>
                <w:sz w:val="18"/>
                <w:szCs w:val="18"/>
              </w:rPr>
              <w:t>10</w:t>
            </w:r>
          </w:p>
        </w:tc>
        <w:tc>
          <w:tcPr>
            <w:tcW w:w="1142" w:type="dxa"/>
          </w:tcPr>
          <w:p>
            <w:pPr>
              <w:snapToGrid w:val="0"/>
              <w:jc w:val="center"/>
              <w:rPr>
                <w:sz w:val="18"/>
                <w:szCs w:val="18"/>
              </w:rPr>
            </w:pPr>
            <w:r>
              <w:rPr>
                <w:sz w:val="18"/>
                <w:szCs w:val="18"/>
              </w:rPr>
              <w:t>1,5</w:t>
            </w:r>
          </w:p>
        </w:tc>
        <w:tc>
          <w:tcPr>
            <w:tcW w:w="1200" w:type="dxa"/>
          </w:tcPr>
          <w:p>
            <w:pPr>
              <w:snapToGrid w:val="0"/>
              <w:jc w:val="center"/>
              <w:rPr>
                <w:sz w:val="18"/>
                <w:szCs w:val="18"/>
              </w:rPr>
            </w:pPr>
            <w:r>
              <w:rPr>
                <w:sz w:val="18"/>
                <w:szCs w:val="18"/>
              </w:rPr>
              <w:t>-</w:t>
            </w:r>
          </w:p>
        </w:tc>
        <w:tc>
          <w:tcPr>
            <w:tcW w:w="1634" w:type="dxa"/>
          </w:tcPr>
          <w:p>
            <w:pPr>
              <w:snapToGrid w:val="0"/>
              <w:jc w:val="center"/>
              <w:rPr>
                <w:sz w:val="18"/>
                <w:szCs w:val="18"/>
              </w:rPr>
            </w:pPr>
            <w:r>
              <w:rPr>
                <w:sz w:val="18"/>
                <w:szCs w:val="18"/>
              </w:rPr>
              <w:t>2</w:t>
            </w:r>
          </w:p>
        </w:tc>
        <w:tc>
          <w:tcPr>
            <w:tcW w:w="2187" w:type="dxa"/>
          </w:tcPr>
          <w:p>
            <w:pPr>
              <w:snapToGrid w:val="0"/>
              <w:jc w:val="center"/>
              <w:rPr>
                <w:sz w:val="18"/>
                <w:szCs w:val="18"/>
              </w:rPr>
            </w:pPr>
            <w:r>
              <w:rPr>
                <w:sz w:val="18"/>
                <w:szCs w:val="18"/>
              </w:rPr>
              <w:t>0,6</w:t>
            </w:r>
          </w:p>
        </w:tc>
      </w:tr>
      <w:tr>
        <w:trPr>
          <w:gridAfter w:val="1"/>
          <w:wAfter w:w="8" w:type="dxa"/>
          <w:cantSplit/>
        </w:trPr>
        <w:tc>
          <w:tcPr>
            <w:tcW w:w="2174" w:type="dxa"/>
          </w:tcPr>
          <w:p>
            <w:pPr>
              <w:snapToGrid w:val="0"/>
              <w:rPr>
                <w:rFonts w:eastAsia="Arial Unicode MS"/>
                <w:sz w:val="18"/>
                <w:szCs w:val="18"/>
              </w:rPr>
            </w:pPr>
          </w:p>
        </w:tc>
        <w:tc>
          <w:tcPr>
            <w:tcW w:w="3070" w:type="dxa"/>
          </w:tcPr>
          <w:p>
            <w:pPr>
              <w:snapToGrid w:val="0"/>
              <w:rPr>
                <w:sz w:val="18"/>
                <w:szCs w:val="18"/>
              </w:rPr>
            </w:pPr>
            <w:r>
              <w:rPr>
                <w:sz w:val="18"/>
                <w:szCs w:val="18"/>
              </w:rPr>
              <w:t>Sintetinės veiklios paviršinės medžiagos (ne joninės)</w:t>
            </w:r>
          </w:p>
        </w:tc>
        <w:tc>
          <w:tcPr>
            <w:tcW w:w="2109" w:type="dxa"/>
          </w:tcPr>
          <w:p>
            <w:pPr>
              <w:snapToGrid w:val="0"/>
              <w:jc w:val="center"/>
              <w:rPr>
                <w:sz w:val="18"/>
                <w:szCs w:val="18"/>
              </w:rPr>
            </w:pPr>
          </w:p>
        </w:tc>
        <w:tc>
          <w:tcPr>
            <w:tcW w:w="1216" w:type="dxa"/>
          </w:tcPr>
          <w:p>
            <w:pPr>
              <w:snapToGrid w:val="0"/>
              <w:jc w:val="center"/>
              <w:rPr>
                <w:sz w:val="18"/>
                <w:szCs w:val="18"/>
              </w:rPr>
            </w:pPr>
            <w:r>
              <w:rPr>
                <w:sz w:val="18"/>
                <w:szCs w:val="18"/>
              </w:rPr>
              <w:t>15</w:t>
            </w:r>
          </w:p>
        </w:tc>
        <w:tc>
          <w:tcPr>
            <w:tcW w:w="1142" w:type="dxa"/>
          </w:tcPr>
          <w:p>
            <w:pPr>
              <w:snapToGrid w:val="0"/>
              <w:jc w:val="center"/>
              <w:rPr>
                <w:sz w:val="18"/>
                <w:szCs w:val="18"/>
              </w:rPr>
            </w:pPr>
            <w:r>
              <w:rPr>
                <w:sz w:val="18"/>
                <w:szCs w:val="18"/>
              </w:rPr>
              <w:t>2</w:t>
            </w:r>
          </w:p>
        </w:tc>
        <w:tc>
          <w:tcPr>
            <w:tcW w:w="1200" w:type="dxa"/>
          </w:tcPr>
          <w:p>
            <w:pPr>
              <w:snapToGrid w:val="0"/>
              <w:jc w:val="center"/>
              <w:rPr>
                <w:sz w:val="18"/>
                <w:szCs w:val="18"/>
              </w:rPr>
            </w:pPr>
            <w:r>
              <w:rPr>
                <w:sz w:val="18"/>
                <w:szCs w:val="18"/>
              </w:rPr>
              <w:t>-</w:t>
            </w:r>
          </w:p>
        </w:tc>
        <w:tc>
          <w:tcPr>
            <w:tcW w:w="1634" w:type="dxa"/>
          </w:tcPr>
          <w:p>
            <w:pPr>
              <w:snapToGrid w:val="0"/>
              <w:jc w:val="center"/>
              <w:rPr>
                <w:sz w:val="18"/>
                <w:szCs w:val="18"/>
              </w:rPr>
            </w:pPr>
            <w:r>
              <w:rPr>
                <w:sz w:val="18"/>
                <w:szCs w:val="18"/>
              </w:rPr>
              <w:t>3</w:t>
            </w:r>
          </w:p>
        </w:tc>
        <w:tc>
          <w:tcPr>
            <w:tcW w:w="2187" w:type="dxa"/>
          </w:tcPr>
          <w:p>
            <w:pPr>
              <w:snapToGrid w:val="0"/>
              <w:jc w:val="center"/>
              <w:rPr>
                <w:sz w:val="18"/>
                <w:szCs w:val="18"/>
              </w:rPr>
            </w:pPr>
            <w:r>
              <w:rPr>
                <w:sz w:val="18"/>
                <w:szCs w:val="18"/>
              </w:rPr>
              <w:t>0,8</w:t>
            </w:r>
          </w:p>
        </w:tc>
      </w:tr>
      <w:tr>
        <w:trPr>
          <w:gridAfter w:val="1"/>
          <w:wAfter w:w="8" w:type="dxa"/>
          <w:cantSplit/>
        </w:trPr>
        <w:tc>
          <w:tcPr>
            <w:tcW w:w="2174" w:type="dxa"/>
          </w:tcPr>
          <w:p>
            <w:pPr>
              <w:snapToGrid w:val="0"/>
              <w:rPr>
                <w:rFonts w:eastAsia="Arial Unicode MS"/>
                <w:sz w:val="18"/>
                <w:szCs w:val="18"/>
              </w:rPr>
            </w:pPr>
          </w:p>
        </w:tc>
        <w:tc>
          <w:tcPr>
            <w:tcW w:w="3070" w:type="dxa"/>
          </w:tcPr>
          <w:p>
            <w:pPr>
              <w:snapToGrid w:val="0"/>
              <w:rPr>
                <w:sz w:val="18"/>
                <w:szCs w:val="18"/>
              </w:rPr>
            </w:pPr>
            <w:r>
              <w:rPr>
                <w:sz w:val="18"/>
                <w:szCs w:val="18"/>
              </w:rPr>
              <w:t>Riebalai</w:t>
            </w:r>
          </w:p>
        </w:tc>
        <w:tc>
          <w:tcPr>
            <w:tcW w:w="2109" w:type="dxa"/>
          </w:tcPr>
          <w:p>
            <w:pPr>
              <w:snapToGrid w:val="0"/>
              <w:jc w:val="center"/>
              <w:rPr>
                <w:sz w:val="18"/>
                <w:szCs w:val="18"/>
              </w:rPr>
            </w:pPr>
          </w:p>
        </w:tc>
        <w:tc>
          <w:tcPr>
            <w:tcW w:w="1216" w:type="dxa"/>
          </w:tcPr>
          <w:p>
            <w:pPr>
              <w:snapToGrid w:val="0"/>
              <w:jc w:val="center"/>
              <w:rPr>
                <w:sz w:val="18"/>
                <w:szCs w:val="18"/>
              </w:rPr>
            </w:pPr>
            <w:r>
              <w:rPr>
                <w:sz w:val="18"/>
                <w:szCs w:val="18"/>
              </w:rPr>
              <w:t>100</w:t>
            </w:r>
          </w:p>
        </w:tc>
        <w:tc>
          <w:tcPr>
            <w:tcW w:w="1142" w:type="dxa"/>
          </w:tcPr>
          <w:p>
            <w:pPr>
              <w:snapToGrid w:val="0"/>
              <w:jc w:val="center"/>
              <w:rPr>
                <w:sz w:val="18"/>
                <w:szCs w:val="18"/>
              </w:rPr>
            </w:pPr>
            <w:r>
              <w:rPr>
                <w:sz w:val="18"/>
                <w:szCs w:val="18"/>
              </w:rPr>
              <w:t xml:space="preserve">10 </w:t>
            </w:r>
          </w:p>
        </w:tc>
        <w:tc>
          <w:tcPr>
            <w:tcW w:w="1200" w:type="dxa"/>
          </w:tcPr>
          <w:p>
            <w:pPr>
              <w:snapToGrid w:val="0"/>
              <w:jc w:val="center"/>
              <w:rPr>
                <w:sz w:val="18"/>
                <w:szCs w:val="18"/>
              </w:rPr>
            </w:pPr>
            <w:r>
              <w:rPr>
                <w:sz w:val="18"/>
                <w:szCs w:val="18"/>
              </w:rPr>
              <w:t>-</w:t>
            </w:r>
          </w:p>
        </w:tc>
        <w:tc>
          <w:tcPr>
            <w:tcW w:w="1634" w:type="dxa"/>
          </w:tcPr>
          <w:p>
            <w:pPr>
              <w:snapToGrid w:val="0"/>
              <w:jc w:val="center"/>
              <w:rPr>
                <w:sz w:val="18"/>
                <w:szCs w:val="18"/>
              </w:rPr>
            </w:pPr>
            <w:r>
              <w:rPr>
                <w:sz w:val="18"/>
                <w:szCs w:val="18"/>
              </w:rPr>
              <w:t>50</w:t>
            </w:r>
          </w:p>
        </w:tc>
        <w:tc>
          <w:tcPr>
            <w:tcW w:w="2187" w:type="dxa"/>
          </w:tcPr>
          <w:p>
            <w:pPr>
              <w:snapToGrid w:val="0"/>
              <w:jc w:val="center"/>
              <w:rPr>
                <w:sz w:val="18"/>
                <w:szCs w:val="18"/>
              </w:rPr>
            </w:pPr>
            <w:r>
              <w:rPr>
                <w:sz w:val="18"/>
                <w:szCs w:val="18"/>
              </w:rPr>
              <w:t>5</w:t>
            </w:r>
          </w:p>
        </w:tc>
      </w:tr>
    </w:tbl>
    <w:p>
      <w:pPr>
        <w:ind w:firstLine="567"/>
        <w:jc w:val="both"/>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pPr>
      <w:r>
        <w:t>Pastabos:</w:t>
      </w:r>
    </w:p>
    <w:p>
      <w:pPr>
        <w:ind w:firstLine="567"/>
        <w:jc w:val="both"/>
      </w:pPr>
      <w:r>
        <w:rPr>
          <w:rFonts w:eastAsia="Courier New"/>
          <w:vertAlign w:val="superscript"/>
        </w:rPr>
        <w:t>1</w:t>
      </w:r>
      <w:r>
        <w:t xml:space="preserve"> CAS – Cheminių medžiagų santrumpų tarnybos registracijos numeris.</w:t>
      </w:r>
    </w:p>
    <w:p>
      <w:pPr>
        <w:ind w:firstLine="567"/>
        <w:jc w:val="both"/>
        <w:rPr>
          <w:iCs/>
        </w:rPr>
      </w:pPr>
      <w:r>
        <w:rPr>
          <w:iCs/>
          <w:vertAlign w:val="superscript"/>
        </w:rPr>
        <w:t xml:space="preserve">2 </w:t>
      </w:r>
      <w:r>
        <w:t xml:space="preserve">Ribinė koncentracija </w:t>
      </w:r>
      <w:r>
        <w:rPr>
          <w:iCs/>
        </w:rPr>
        <w:t>– ribinė didžiausia apskaičiuota, išmatuota arba planuojama medžiagos koncentracija, iki kurios šios medžiagos normuoti/kontroliuoti dar nereikia.</w:t>
      </w:r>
    </w:p>
    <w:p>
      <w:pPr>
        <w:tabs>
          <w:tab w:val="left" w:pos="349"/>
          <w:tab w:val="left" w:pos="1265"/>
          <w:tab w:val="left" w:pos="2181"/>
          <w:tab w:val="left" w:pos="3097"/>
          <w:tab w:val="left" w:pos="4013"/>
          <w:tab w:val="left" w:pos="4929"/>
          <w:tab w:val="left" w:pos="5845"/>
          <w:tab w:val="left" w:pos="6761"/>
          <w:tab w:val="left" w:pos="7677"/>
          <w:tab w:val="left" w:pos="8593"/>
          <w:tab w:val="left" w:pos="9509"/>
          <w:tab w:val="left" w:pos="10425"/>
          <w:tab w:val="left" w:pos="11341"/>
          <w:tab w:val="left" w:pos="12257"/>
          <w:tab w:val="left" w:pos="13173"/>
          <w:tab w:val="left" w:pos="14089"/>
        </w:tabs>
        <w:ind w:firstLine="567"/>
        <w:jc w:val="both"/>
      </w:pPr>
      <w:r>
        <w:rPr>
          <w:vertAlign w:val="superscript"/>
        </w:rPr>
        <w:t>3</w:t>
      </w:r>
      <w:r>
        <w:t xml:space="preserve"> Orientacinės vertės, taikomos po mineralinių sulfidų nustatymo metodikos patvirtinimo.</w:t>
      </w:r>
    </w:p>
    <w:p>
      <w:pPr>
        <w:tabs>
          <w:tab w:val="left" w:pos="349"/>
          <w:tab w:val="left" w:pos="1265"/>
          <w:tab w:val="left" w:pos="2181"/>
          <w:tab w:val="left" w:pos="3097"/>
          <w:tab w:val="left" w:pos="4013"/>
          <w:tab w:val="left" w:pos="4929"/>
          <w:tab w:val="left" w:pos="5845"/>
          <w:tab w:val="left" w:pos="6761"/>
          <w:tab w:val="left" w:pos="7677"/>
          <w:tab w:val="left" w:pos="8593"/>
          <w:tab w:val="left" w:pos="9509"/>
          <w:tab w:val="left" w:pos="10425"/>
          <w:tab w:val="left" w:pos="11341"/>
          <w:tab w:val="left" w:pos="12257"/>
          <w:tab w:val="left" w:pos="13173"/>
          <w:tab w:val="left" w:pos="14089"/>
        </w:tabs>
        <w:ind w:firstLine="567"/>
        <w:jc w:val="both"/>
        <w:rPr>
          <w:shd w:val="clear" w:color="auto" w:fill="FFFF00"/>
        </w:rPr>
      </w:pPr>
      <w:r>
        <w:t xml:space="preserve">* Šių medžiagų vidutinės metinės vertės paviršiniame vandens telkinyje (skirstant pagal ekologinės būklės klases)  nurodytos Paviršinių vandens telkinių būklės nustatymo metodikoje, patvirtintoje Lietuvos Respublikos aplinkos ministro 2010 m. kovo 4 d. įsakymu Nr. D1-178 (Žin., 2010, Nr. 29-1363).</w:t>
      </w:r>
    </w:p>
    <w:p>
      <w:pPr>
        <w:tabs>
          <w:tab w:val="left" w:pos="349"/>
          <w:tab w:val="left" w:pos="1265"/>
          <w:tab w:val="left" w:pos="2181"/>
          <w:tab w:val="left" w:pos="3097"/>
          <w:tab w:val="left" w:pos="4013"/>
          <w:tab w:val="left" w:pos="4929"/>
          <w:tab w:val="left" w:pos="5845"/>
          <w:tab w:val="left" w:pos="6761"/>
          <w:tab w:val="left" w:pos="7677"/>
          <w:tab w:val="left" w:pos="8593"/>
          <w:tab w:val="left" w:pos="9509"/>
          <w:tab w:val="left" w:pos="10425"/>
          <w:tab w:val="left" w:pos="11341"/>
          <w:tab w:val="left" w:pos="12257"/>
          <w:tab w:val="left" w:pos="13173"/>
          <w:tab w:val="left" w:pos="14089"/>
        </w:tabs>
        <w:ind w:firstLine="567"/>
        <w:jc w:val="both"/>
      </w:pPr>
    </w:p>
    <w:p>
      <w:pPr>
        <w:tabs>
          <w:tab w:val="left" w:pos="349"/>
          <w:tab w:val="left" w:pos="1265"/>
          <w:tab w:val="left" w:pos="2181"/>
          <w:tab w:val="left" w:pos="3097"/>
          <w:tab w:val="left" w:pos="4013"/>
          <w:tab w:val="left" w:pos="4929"/>
          <w:tab w:val="left" w:pos="5845"/>
          <w:tab w:val="left" w:pos="6761"/>
          <w:tab w:val="left" w:pos="7677"/>
          <w:tab w:val="left" w:pos="8593"/>
          <w:tab w:val="left" w:pos="9509"/>
          <w:tab w:val="left" w:pos="10425"/>
          <w:tab w:val="left" w:pos="11341"/>
          <w:tab w:val="left" w:pos="12257"/>
          <w:tab w:val="left" w:pos="13173"/>
          <w:tab w:val="left" w:pos="14089"/>
        </w:tabs>
        <w:jc w:val="center"/>
      </w:pPr>
      <w:r>
        <w:t>_________________</w:t>
      </w:r>
    </w:p>
    <w:p>
      <w:pPr>
        <w:tabs>
          <w:tab w:val="left" w:pos="825"/>
        </w:tabs>
        <w:suppressAutoHyphens/>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10FB677ADD">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2010-05-18,
Žin., 2010, Nr.
59-2938 (2010-05-22), i. k. 110301MISAK00D1-416            </w:t>
      </w:r>
    </w:p>
    <w:p/>
    <w:p>
      <w:pPr>
        <w:tabs>
          <w:tab w:val="left" w:pos="825"/>
        </w:tabs>
        <w:suppressAutoHyphens/>
        <w:ind w:firstLine="567"/>
        <w:jc w:val="both"/>
        <w:rPr>
          <w:lang w:eastAsia="ar-SA"/>
        </w:rPr>
      </w:pPr>
    </w:p>
    <w:p>
      <w:pPr>
        <w:ind w:firstLine="567"/>
        <w:jc w:val="both"/>
        <w:sectPr>
          <w:pgSz w:w="16840" w:h="11907" w:orient="landscape" w:code="9"/>
          <w:pgMar w:top="1701" w:right="1134" w:bottom="1134" w:left="1134" w:header="567" w:footer="284" w:gutter="0"/>
          <w:cols w:space="1296"/>
          <w:docGrid w:linePitch="360"/>
        </w:sectPr>
      </w:pPr>
    </w:p>
    <w:p>
      <w:pPr>
        <w:ind w:left="4535"/>
      </w:pPr>
      <w:r>
        <w:t>Nuotekų tvarkymo reglamento</w:t>
      </w:r>
    </w:p>
    <w:p>
      <w:pPr>
        <w:ind w:left="4535"/>
        <w:rPr>
          <w:iCs/>
        </w:rPr>
      </w:pPr>
      <w:r>
        <w:rPr>
          <w:iCs/>
        </w:rPr>
        <w:t>3 priedas</w:t>
      </w:r>
    </w:p>
    <w:p>
      <w:pPr>
        <w:tabs>
          <w:tab w:val="left" w:pos="825"/>
        </w:tabs>
        <w:jc w:val="center"/>
        <w:rPr>
          <w:rFonts w:eastAsia="EUAlbertina"/>
          <w:bCs/>
        </w:rPr>
      </w:pPr>
    </w:p>
    <w:p>
      <w:pPr>
        <w:tabs>
          <w:tab w:val="left" w:pos="825"/>
        </w:tabs>
        <w:jc w:val="center"/>
        <w:rPr>
          <w:rFonts w:eastAsia="EUAlbertina"/>
          <w:b/>
          <w:bCs/>
        </w:rPr>
      </w:pPr>
      <w:r>
        <w:rPr>
          <w:rFonts w:eastAsia="EUAlbertina"/>
          <w:b/>
          <w:bCs/>
        </w:rPr>
        <w:t xml:space="preserve">1 IR 2 PRIEDUOSE  NUSTATYT</w:t>
      </w:r>
      <w:r>
        <w:rPr>
          <w:rFonts w:eastAsia="EUAlbertina+01"/>
          <w:b/>
          <w:bCs/>
        </w:rPr>
        <w:t xml:space="preserve">Ų </w:t>
      </w:r>
      <w:r>
        <w:rPr>
          <w:rFonts w:eastAsia="EUAlbertina"/>
          <w:b/>
          <w:bCs/>
        </w:rPr>
        <w:t>AKS TAIKYMAS</w:t>
      </w:r>
    </w:p>
    <w:p>
      <w:pPr>
        <w:ind w:firstLine="567"/>
        <w:jc w:val="both"/>
        <w:rPr>
          <w:rFonts w:eastAsia="EUAlbertina"/>
        </w:rPr>
      </w:pPr>
    </w:p>
    <w:p>
      <w:pPr>
        <w:ind w:firstLine="567"/>
        <w:jc w:val="both"/>
        <w:rPr>
          <w:rFonts w:eastAsia="EUAlbertina"/>
        </w:rPr>
      </w:pPr>
      <w:r>
        <w:rPr>
          <w:rFonts w:eastAsia="EUAlbertina"/>
        </w:rPr>
        <w:t>1</w:t>
      </w:r>
      <w:r>
        <w:rPr>
          <w:rFonts w:eastAsia="EUAlbertina"/>
        </w:rPr>
        <w:t>. Bet kurio pavir</w:t>
      </w:r>
      <w:r>
        <w:rPr>
          <w:rFonts w:eastAsia="EUAlbertina+01"/>
        </w:rPr>
        <w:t>š</w:t>
      </w:r>
      <w:r>
        <w:rPr>
          <w:rFonts w:eastAsia="EUAlbertina"/>
        </w:rPr>
        <w:t>inio vandens telkinio atveju MV-AKS taikymas rei</w:t>
      </w:r>
      <w:r>
        <w:rPr>
          <w:rFonts w:eastAsia="EUAlbertina+01"/>
        </w:rPr>
        <w:t>š</w:t>
      </w:r>
      <w:r>
        <w:rPr>
          <w:rFonts w:eastAsia="EUAlbertina"/>
        </w:rPr>
        <w:t>kia, kad kiekviename vandens telkinio tipiniame monitoringo ta</w:t>
      </w:r>
      <w:r>
        <w:rPr>
          <w:rFonts w:eastAsia="EUAlbertina+01"/>
        </w:rPr>
        <w:t>š</w:t>
      </w:r>
      <w:r>
        <w:rPr>
          <w:rFonts w:eastAsia="EUAlbertina"/>
        </w:rPr>
        <w:t>ke vieneri</w:t>
      </w:r>
      <w:r>
        <w:rPr>
          <w:rFonts w:eastAsia="EUAlbertina+01"/>
        </w:rPr>
        <w:t xml:space="preserve">ų </w:t>
      </w:r>
      <w:r>
        <w:rPr>
          <w:rFonts w:eastAsia="EUAlbertina"/>
        </w:rPr>
        <w:t>met</w:t>
      </w:r>
      <w:r>
        <w:rPr>
          <w:rFonts w:eastAsia="EUAlbertina+01"/>
        </w:rPr>
        <w:t xml:space="preserve">ų </w:t>
      </w:r>
      <w:r>
        <w:rPr>
          <w:rFonts w:eastAsia="EUAlbertina"/>
        </w:rPr>
        <w:t>laikotarpiu skirtingu metu i</w:t>
      </w:r>
      <w:r>
        <w:rPr>
          <w:rFonts w:eastAsia="EUAlbertina+01"/>
        </w:rPr>
        <w:t>š</w:t>
      </w:r>
      <w:r>
        <w:rPr>
          <w:rFonts w:eastAsia="EUAlbertina"/>
        </w:rPr>
        <w:t>matuotos koncentracijos aritmetinis vidurkis nevir</w:t>
      </w:r>
      <w:r>
        <w:rPr>
          <w:rFonts w:eastAsia="EUAlbertina+01"/>
        </w:rPr>
        <w:t>š</w:t>
      </w:r>
      <w:r>
        <w:rPr>
          <w:rFonts w:eastAsia="EUAlbertina"/>
        </w:rPr>
        <w:t>ija standarto.</w:t>
      </w:r>
    </w:p>
    <w:p>
      <w:pPr>
        <w:ind w:firstLine="567"/>
        <w:jc w:val="both"/>
        <w:rPr>
          <w:rFonts w:eastAsia="EUAlbertina"/>
        </w:rPr>
      </w:pPr>
      <w:r>
        <w:rPr>
          <w:rFonts w:eastAsia="EUAlbertina"/>
        </w:rPr>
        <w:t>Aritmetinio vidurkio skai</w:t>
      </w:r>
      <w:r>
        <w:rPr>
          <w:rFonts w:eastAsia="EUAlbertina+01"/>
        </w:rPr>
        <w:t>č</w:t>
      </w:r>
      <w:r>
        <w:rPr>
          <w:rFonts w:eastAsia="EUAlbertina"/>
        </w:rPr>
        <w:t>iavimas, analitinio metodo taikymas, kai nėra tinkamo analitinio metodo, atitinkan</w:t>
      </w:r>
      <w:r>
        <w:rPr>
          <w:rFonts w:eastAsia="EUAlbertina+01"/>
        </w:rPr>
        <w:t>č</w:t>
      </w:r>
      <w:r>
        <w:rPr>
          <w:rFonts w:eastAsia="EUAlbertina"/>
        </w:rPr>
        <w:t>io b</w:t>
      </w:r>
      <w:r>
        <w:rPr>
          <w:rFonts w:eastAsia="EUAlbertina+01"/>
        </w:rPr>
        <w:t>ū</w:t>
      </w:r>
      <w:r>
        <w:rPr>
          <w:rFonts w:eastAsia="EUAlbertina"/>
        </w:rPr>
        <w:t xml:space="preserve">tiniausius veikimo kriterijus, AKS taikymo metodas </w:t>
      </w:r>
      <w:r>
        <w:t>turi atitikti įgyvendinimo aktus dėl cheminės stebėsenos techninių specifikacijų ir analizės rezultatų kokybės pagal Europos Parlamento ir Tarybos direktyvą 2000/60/EB.</w:t>
      </w:r>
    </w:p>
    <w:p>
      <w:pPr>
        <w:ind w:firstLine="567"/>
        <w:jc w:val="both"/>
        <w:rPr>
          <w:rFonts w:eastAsia="EUAlbertina"/>
        </w:rPr>
      </w:pPr>
      <w:r>
        <w:rPr>
          <w:rFonts w:eastAsia="EUAlbertina"/>
        </w:rPr>
        <w:t>2</w:t>
      </w:r>
      <w:r>
        <w:rPr>
          <w:rFonts w:eastAsia="EUAlbertina"/>
        </w:rPr>
        <w:t>. Bet kurio pavir</w:t>
      </w:r>
      <w:r>
        <w:rPr>
          <w:rFonts w:eastAsia="EUAlbertina+01"/>
        </w:rPr>
        <w:t>š</w:t>
      </w:r>
      <w:r>
        <w:rPr>
          <w:rFonts w:eastAsia="EUAlbertina"/>
        </w:rPr>
        <w:t>inio vandens telkinio atveju DLK-AKS taikymas rei</w:t>
      </w:r>
      <w:r>
        <w:rPr>
          <w:rFonts w:eastAsia="EUAlbertina+01"/>
        </w:rPr>
        <w:t>š</w:t>
      </w:r>
      <w:r>
        <w:rPr>
          <w:rFonts w:eastAsia="EUAlbertina"/>
        </w:rPr>
        <w:t>kia, kad bet kurio atitinkamo pavir</w:t>
      </w:r>
      <w:r>
        <w:rPr>
          <w:rFonts w:eastAsia="EUAlbertina+01"/>
        </w:rPr>
        <w:t>š</w:t>
      </w:r>
      <w:r>
        <w:rPr>
          <w:rFonts w:eastAsia="EUAlbertina"/>
        </w:rPr>
        <w:t>inio vandens telkinio kiekviename vandens telkinio tipiniame monitoringo ta</w:t>
      </w:r>
      <w:r>
        <w:rPr>
          <w:rFonts w:eastAsia="EUAlbertina+01"/>
        </w:rPr>
        <w:t>š</w:t>
      </w:r>
      <w:r>
        <w:rPr>
          <w:rFonts w:eastAsia="EUAlbertina"/>
        </w:rPr>
        <w:t>ke i</w:t>
      </w:r>
      <w:r>
        <w:rPr>
          <w:rFonts w:eastAsia="EUAlbertina+01"/>
        </w:rPr>
        <w:t>š</w:t>
      </w:r>
      <w:r>
        <w:rPr>
          <w:rFonts w:eastAsia="EUAlbertina"/>
        </w:rPr>
        <w:t>matuota koncentracija nevir</w:t>
      </w:r>
      <w:r>
        <w:rPr>
          <w:rFonts w:eastAsia="EUAlbertina+01"/>
        </w:rPr>
        <w:t>š</w:t>
      </w:r>
      <w:r>
        <w:rPr>
          <w:rFonts w:eastAsia="EUAlbertina"/>
        </w:rPr>
        <w:t>ija standarto.</w:t>
      </w:r>
    </w:p>
    <w:p>
      <w:pPr>
        <w:ind w:firstLine="567"/>
        <w:jc w:val="both"/>
      </w:pPr>
      <w:r>
        <w:t>Pagal Direktyvos 2000/60/EB V priedo 1.3.4 punkto nuostatas gali būti nustatomi statistiniai metodai, tokie kaip procentilio skaičiavimas, siekiant užtikrinti priimtiną patikimumo bei tikslumo lygį nustatant, ar laikomasi DLK-AKS. Jeigu tokie statistiniai metodai nustatomi, tai jie turi atitikti išsamias taisykles, nustatytas pagal Europos Parlamento ir Tarybos direktyvos 2008/105/EB 9 straipsnio 2 dalyje nurodytą reguliavimo procedūrą.</w:t>
      </w:r>
    </w:p>
    <w:p>
      <w:pPr>
        <w:ind w:firstLine="567"/>
        <w:jc w:val="both"/>
        <w:rPr>
          <w:rFonts w:eastAsia="EUAlbertina"/>
        </w:rPr>
      </w:pPr>
      <w:r>
        <w:rPr>
          <w:rFonts w:eastAsia="EUAlbertina"/>
        </w:rPr>
        <w:t>3</w:t>
      </w:r>
      <w:r>
        <w:rPr>
          <w:rFonts w:eastAsia="EUAlbertina"/>
        </w:rPr>
        <w:t>. I</w:t>
      </w:r>
      <w:r>
        <w:rPr>
          <w:rFonts w:eastAsia="EUAlbertina+01"/>
        </w:rPr>
        <w:t>š</w:t>
      </w:r>
      <w:r>
        <w:rPr>
          <w:rFonts w:eastAsia="EUAlbertina"/>
        </w:rPr>
        <w:t>skyrus kadm</w:t>
      </w:r>
      <w:r>
        <w:rPr>
          <w:rFonts w:eastAsia="EUAlbertina+01"/>
        </w:rPr>
        <w:t>į</w:t>
      </w:r>
      <w:r>
        <w:rPr>
          <w:rFonts w:eastAsia="EUAlbertina"/>
        </w:rPr>
        <w:t xml:space="preserve">, </w:t>
      </w:r>
      <w:r>
        <w:rPr>
          <w:rFonts w:eastAsia="EUAlbertina+01"/>
        </w:rPr>
        <w:t>š</w:t>
      </w:r>
      <w:r>
        <w:rPr>
          <w:rFonts w:eastAsia="EUAlbertina"/>
        </w:rPr>
        <w:t>vin</w:t>
      </w:r>
      <w:r>
        <w:rPr>
          <w:rFonts w:eastAsia="EUAlbertina+01"/>
        </w:rPr>
        <w:t>ą</w:t>
      </w:r>
      <w:r>
        <w:rPr>
          <w:rFonts w:eastAsia="EUAlbertina"/>
        </w:rPr>
        <w:t>, gyvsidabr</w:t>
      </w:r>
      <w:r>
        <w:rPr>
          <w:rFonts w:eastAsia="EUAlbertina+01"/>
        </w:rPr>
        <w:t xml:space="preserve">į </w:t>
      </w:r>
      <w:r>
        <w:rPr>
          <w:rFonts w:eastAsia="EUAlbertina"/>
        </w:rPr>
        <w:t>ir nikel</w:t>
      </w:r>
      <w:r>
        <w:rPr>
          <w:rFonts w:eastAsia="EUAlbertina+01"/>
        </w:rPr>
        <w:t xml:space="preserve">į </w:t>
      </w:r>
      <w:r>
        <w:rPr>
          <w:rFonts w:eastAsia="EUAlbertina"/>
        </w:rPr>
        <w:t xml:space="preserve">(toliau </w:t>
      </w:r>
      <w:r>
        <w:rPr>
          <w:rFonts w:eastAsia="EUAlbertina+20"/>
        </w:rPr>
        <w:t xml:space="preserve">– </w:t>
      </w:r>
      <w:r>
        <w:rPr>
          <w:rFonts w:eastAsia="EUAlbertina"/>
        </w:rPr>
        <w:t xml:space="preserve">Metalai), </w:t>
      </w:r>
      <w:r>
        <w:rPr>
          <w:rFonts w:eastAsia="EUAlbertina+01"/>
        </w:rPr>
        <w:t>š</w:t>
      </w:r>
      <w:r>
        <w:rPr>
          <w:rFonts w:eastAsia="EUAlbertina"/>
        </w:rPr>
        <w:t>iuose prieduose nustatyti AKS yra i</w:t>
      </w:r>
      <w:r>
        <w:rPr>
          <w:rFonts w:eastAsia="EUAlbertina+01"/>
        </w:rPr>
        <w:t>š</w:t>
      </w:r>
      <w:r>
        <w:rPr>
          <w:rFonts w:eastAsia="EUAlbertina"/>
        </w:rPr>
        <w:t>reik</w:t>
      </w:r>
      <w:r>
        <w:rPr>
          <w:rFonts w:eastAsia="EUAlbertina+01"/>
        </w:rPr>
        <w:t>š</w:t>
      </w:r>
      <w:r>
        <w:rPr>
          <w:rFonts w:eastAsia="EUAlbertina"/>
        </w:rPr>
        <w:t>ti kaip bendros koncentracijos visame vandens m</w:t>
      </w:r>
      <w:r>
        <w:rPr>
          <w:rFonts w:eastAsia="EUAlbertina+01"/>
        </w:rPr>
        <w:t>ė</w:t>
      </w:r>
      <w:r>
        <w:rPr>
          <w:rFonts w:eastAsia="EUAlbertina"/>
        </w:rPr>
        <w:t>ginyje. Metal</w:t>
      </w:r>
      <w:r>
        <w:rPr>
          <w:rFonts w:eastAsia="EUAlbertina+01"/>
        </w:rPr>
        <w:t xml:space="preserve">ų </w:t>
      </w:r>
      <w:r>
        <w:rPr>
          <w:rFonts w:eastAsia="EUAlbertina"/>
        </w:rPr>
        <w:t>atveju AKS nurodo i</w:t>
      </w:r>
      <w:r>
        <w:rPr>
          <w:rFonts w:eastAsia="EUAlbertina+01"/>
        </w:rPr>
        <w:t>š</w:t>
      </w:r>
      <w:r>
        <w:rPr>
          <w:rFonts w:eastAsia="EUAlbertina"/>
        </w:rPr>
        <w:t>tirpusi</w:t>
      </w:r>
      <w:r>
        <w:rPr>
          <w:rFonts w:eastAsia="EUAlbertina+01"/>
        </w:rPr>
        <w:t xml:space="preserve">ų </w:t>
      </w:r>
      <w:r>
        <w:rPr>
          <w:rFonts w:eastAsia="EUAlbertina"/>
        </w:rPr>
        <w:t>Metal</w:t>
      </w:r>
      <w:r>
        <w:rPr>
          <w:rFonts w:eastAsia="EUAlbertina+01"/>
        </w:rPr>
        <w:t xml:space="preserve">ų </w:t>
      </w:r>
      <w:r>
        <w:rPr>
          <w:rFonts w:eastAsia="EUAlbertina"/>
        </w:rPr>
        <w:t>koncentracij</w:t>
      </w:r>
      <w:r>
        <w:rPr>
          <w:rFonts w:eastAsia="EUAlbertina+01"/>
        </w:rPr>
        <w:t>ą</w:t>
      </w:r>
      <w:r>
        <w:rPr>
          <w:rFonts w:eastAsia="EUAlbertina"/>
        </w:rPr>
        <w:t>, t. y. i</w:t>
      </w:r>
      <w:r>
        <w:rPr>
          <w:rFonts w:eastAsia="EUAlbertina+01"/>
        </w:rPr>
        <w:t>š</w:t>
      </w:r>
      <w:r>
        <w:rPr>
          <w:rFonts w:eastAsia="EUAlbertina"/>
        </w:rPr>
        <w:t>tirpinto vandens m</w:t>
      </w:r>
      <w:r>
        <w:rPr>
          <w:rFonts w:eastAsia="EUAlbertina+01"/>
        </w:rPr>
        <w:t>ė</w:t>
      </w:r>
      <w:r>
        <w:rPr>
          <w:rFonts w:eastAsia="EUAlbertina"/>
        </w:rPr>
        <w:t>ginio faz</w:t>
      </w:r>
      <w:r>
        <w:rPr>
          <w:rFonts w:eastAsia="EUAlbertina+01"/>
        </w:rPr>
        <w:t>ę</w:t>
      </w:r>
      <w:r>
        <w:rPr>
          <w:rFonts w:eastAsia="EUAlbertina"/>
        </w:rPr>
        <w:t>, gaunam</w:t>
      </w:r>
      <w:r>
        <w:rPr>
          <w:rFonts w:eastAsia="EUAlbertina+01"/>
        </w:rPr>
        <w:t xml:space="preserve">ą </w:t>
      </w:r>
      <w:r>
        <w:rPr>
          <w:rFonts w:eastAsia="EUAlbertina"/>
        </w:rPr>
        <w:t xml:space="preserve">filtruojant 0,45 </w:t>
      </w:r>
      <w:r>
        <w:rPr>
          <w:rFonts w:eastAsia="EUAlbertina+03"/>
        </w:rPr>
        <w:t>?</w:t>
      </w:r>
      <w:r>
        <w:rPr>
          <w:rFonts w:eastAsia="EUAlbertina"/>
        </w:rPr>
        <w:t>m filtru arba taikant bet kok</w:t>
      </w:r>
      <w:r>
        <w:rPr>
          <w:rFonts w:eastAsia="EUAlbertina+01"/>
        </w:rPr>
        <w:t xml:space="preserve">į </w:t>
      </w:r>
      <w:r>
        <w:rPr>
          <w:rFonts w:eastAsia="EUAlbertina"/>
        </w:rPr>
        <w:t>lygiavert</w:t>
      </w:r>
      <w:r>
        <w:rPr>
          <w:rFonts w:eastAsia="EUAlbertina+01"/>
        </w:rPr>
        <w:t xml:space="preserve">į </w:t>
      </w:r>
      <w:r>
        <w:rPr>
          <w:rFonts w:eastAsia="EUAlbertina"/>
        </w:rPr>
        <w:t>pradinio apdorojimo b</w:t>
      </w:r>
      <w:r>
        <w:rPr>
          <w:rFonts w:eastAsia="EUAlbertina+01"/>
        </w:rPr>
        <w:t>ū</w:t>
      </w:r>
      <w:r>
        <w:rPr>
          <w:rFonts w:eastAsia="EUAlbertina"/>
        </w:rPr>
        <w:t>d</w:t>
      </w:r>
      <w:r>
        <w:rPr>
          <w:rFonts w:eastAsia="EUAlbertina+01"/>
        </w:rPr>
        <w:t>ą</w:t>
      </w:r>
      <w:r>
        <w:rPr>
          <w:rFonts w:eastAsia="EUAlbertina"/>
        </w:rPr>
        <w:t>.</w:t>
      </w:r>
    </w:p>
    <w:p>
      <w:pPr>
        <w:ind w:firstLine="567"/>
        <w:jc w:val="both"/>
        <w:rPr>
          <w:rFonts w:eastAsia="EUAlbertina"/>
        </w:rPr>
      </w:pPr>
      <w:r>
        <w:rPr>
          <w:rFonts w:eastAsia="EUAlbertina"/>
        </w:rPr>
        <w:t>Lyginant stebėsenos rezultatus su AKS, gali būti atsi</w:t>
      </w:r>
      <w:r>
        <w:rPr>
          <w:rFonts w:eastAsia="EUAlbertina+01"/>
        </w:rPr>
        <w:t>ž</w:t>
      </w:r>
      <w:r>
        <w:rPr>
          <w:rFonts w:eastAsia="EUAlbertina"/>
        </w:rPr>
        <w:t xml:space="preserve">velgiama </w:t>
      </w:r>
      <w:r>
        <w:rPr>
          <w:rFonts w:eastAsia="EUAlbertina+01"/>
        </w:rPr>
        <w:t>į</w:t>
      </w:r>
      <w:r>
        <w:rPr>
          <w:rFonts w:eastAsia="EUAlbertina"/>
        </w:rPr>
        <w:t>:</w:t>
      </w:r>
    </w:p>
    <w:p>
      <w:pPr>
        <w:ind w:firstLine="567"/>
        <w:jc w:val="both"/>
        <w:rPr>
          <w:rFonts w:eastAsia="EUAlbertina"/>
        </w:rPr>
      </w:pPr>
      <w:r>
        <w:rPr>
          <w:rFonts w:eastAsia="EUAlbertina"/>
        </w:rPr>
        <w:t>a) nat</w:t>
      </w:r>
      <w:r>
        <w:rPr>
          <w:rFonts w:eastAsia="EUAlbertina+01"/>
        </w:rPr>
        <w:t>ū</w:t>
      </w:r>
      <w:r>
        <w:rPr>
          <w:rFonts w:eastAsia="EUAlbertina"/>
        </w:rPr>
        <w:t>rali</w:t>
      </w:r>
      <w:r>
        <w:rPr>
          <w:rFonts w:eastAsia="EUAlbertina+01"/>
        </w:rPr>
        <w:t xml:space="preserve">ą </w:t>
      </w:r>
      <w:r>
        <w:rPr>
          <w:rFonts w:eastAsia="EUAlbertina"/>
        </w:rPr>
        <w:t>fonin</w:t>
      </w:r>
      <w:r>
        <w:rPr>
          <w:rFonts w:eastAsia="EUAlbertina+01"/>
        </w:rPr>
        <w:t xml:space="preserve">ę </w:t>
      </w:r>
      <w:r>
        <w:rPr>
          <w:rFonts w:eastAsia="EUAlbertina"/>
        </w:rPr>
        <w:t>Metal</w:t>
      </w:r>
      <w:r>
        <w:rPr>
          <w:rFonts w:eastAsia="EUAlbertina+01"/>
        </w:rPr>
        <w:t xml:space="preserve">ų </w:t>
      </w:r>
      <w:r>
        <w:rPr>
          <w:rFonts w:eastAsia="EUAlbertina"/>
        </w:rPr>
        <w:t>ir j</w:t>
      </w:r>
      <w:r>
        <w:rPr>
          <w:rFonts w:eastAsia="EUAlbertina+01"/>
        </w:rPr>
        <w:t xml:space="preserve">ų </w:t>
      </w:r>
      <w:r>
        <w:rPr>
          <w:rFonts w:eastAsia="EUAlbertina"/>
        </w:rPr>
        <w:t>jungini</w:t>
      </w:r>
      <w:r>
        <w:rPr>
          <w:rFonts w:eastAsia="EUAlbertina+01"/>
        </w:rPr>
        <w:t xml:space="preserve">ų </w:t>
      </w:r>
      <w:r>
        <w:rPr>
          <w:rFonts w:eastAsia="EUAlbertina"/>
        </w:rPr>
        <w:t>koncentracij</w:t>
      </w:r>
      <w:r>
        <w:rPr>
          <w:rFonts w:eastAsia="EUAlbertina+01"/>
        </w:rPr>
        <w:t>ą</w:t>
      </w:r>
      <w:r>
        <w:rPr>
          <w:rFonts w:eastAsia="EUAlbertina"/>
        </w:rPr>
        <w:t>, jeigu ji trukdo laikytis AKS vert</w:t>
      </w:r>
      <w:r>
        <w:rPr>
          <w:rFonts w:eastAsia="EUAlbertina+01"/>
        </w:rPr>
        <w:t>ė</w:t>
      </w:r>
      <w:r>
        <w:rPr>
          <w:rFonts w:eastAsia="EUAlbertina"/>
        </w:rPr>
        <w:t xml:space="preserve">s; </w:t>
      </w:r>
    </w:p>
    <w:p>
      <w:pPr>
        <w:ind w:firstLine="567"/>
        <w:jc w:val="both"/>
        <w:rPr>
          <w:bCs/>
          <w:lang w:eastAsia="ar-SA"/>
        </w:rPr>
      </w:pPr>
      <w:r>
        <w:rPr>
          <w:rFonts w:eastAsia="EUAlbertina"/>
        </w:rPr>
        <w:t>b) vandens kietum</w:t>
      </w:r>
      <w:r>
        <w:rPr>
          <w:rFonts w:eastAsia="EUAlbertina+01"/>
        </w:rPr>
        <w:t>ą</w:t>
      </w:r>
      <w:r>
        <w:rPr>
          <w:rFonts w:eastAsia="EUAlbertina"/>
        </w:rPr>
        <w:t>, pH arba kitus vandens kokyb</w:t>
      </w:r>
      <w:r>
        <w:rPr>
          <w:rFonts w:eastAsia="EUAlbertina+01"/>
        </w:rPr>
        <w:t>ė</w:t>
      </w:r>
      <w:r>
        <w:rPr>
          <w:rFonts w:eastAsia="EUAlbertina"/>
        </w:rPr>
        <w:t>s parametrus, kurie daro poveik</w:t>
      </w:r>
      <w:r>
        <w:rPr>
          <w:rFonts w:eastAsia="EUAlbertina+01"/>
        </w:rPr>
        <w:t xml:space="preserve">į </w:t>
      </w:r>
      <w:r>
        <w:rPr>
          <w:rFonts w:eastAsia="EUAlbertina"/>
        </w:rPr>
        <w:t>Metal</w:t>
      </w:r>
      <w:r>
        <w:rPr>
          <w:rFonts w:eastAsia="EUAlbertina+01"/>
        </w:rPr>
        <w:t xml:space="preserve">ų </w:t>
      </w:r>
      <w:r>
        <w:rPr>
          <w:rFonts w:eastAsia="EUAlbertina"/>
        </w:rPr>
        <w:t>biotinkamumui.</w:t>
      </w:r>
    </w:p>
    <w:p>
      <w:pPr>
        <w:tabs>
          <w:tab w:val="left" w:pos="825"/>
        </w:tabs>
        <w:suppressAutoHyphens/>
        <w:jc w:val="center"/>
      </w:pPr>
      <w:r>
        <w:rPr>
          <w:bCs/>
          <w:lang w:eastAsia="ar-SA"/>
        </w:rP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10FB677ADD">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2010-05-18,
Žin., 2010, Nr.
59-2938 (2010-05-22), i. k. 110301MISAK00D1-416        </w:t>
      </w:r>
    </w:p>
    <w:p/>
    <w:p>
      <w:pPr>
        <w:widowControl w:val="0"/>
        <w:ind w:left="5102"/>
        <w:sectPr>
          <w:headerReference w:type="even" r:id="rId33"/>
          <w:headerReference w:type="default" r:id="rId34"/>
          <w:footerReference w:type="even" r:id="rId35"/>
          <w:footerReference w:type="default" r:id="rId36"/>
          <w:headerReference w:type="first" r:id="rId37"/>
          <w:footerReference w:type="first" r:id="rId38"/>
          <w:pgSz w:w="11907" w:h="16839"/>
          <w:pgMar w:top="1134" w:right="567" w:bottom="1134" w:left="1701" w:header="567" w:footer="567" w:gutter="0"/>
          <w:cols w:space="60"/>
          <w:noEndnote/>
          <w:titlePg/>
          <w:docGrid w:linePitch="326"/>
        </w:sectPr>
      </w:pPr>
    </w:p>
    <w:p>
      <w:pPr>
        <w:widowControl w:val="0"/>
        <w:ind w:left="5102"/>
      </w:pPr>
      <w:r>
        <w:t xml:space="preserve">Nuotekų tvarkymo reglamento </w:t>
      </w:r>
    </w:p>
    <w:p>
      <w:pPr>
        <w:widowControl w:val="0"/>
        <w:ind w:firstLine="5102"/>
      </w:pPr>
      <w:r>
        <w:t>4</w:t>
      </w:r>
      <w:r>
        <w:t xml:space="preserve"> priedas</w:t>
      </w:r>
    </w:p>
    <w:p>
      <w:pPr>
        <w:ind w:firstLine="709"/>
      </w:pPr>
    </w:p>
    <w:p>
      <w:pPr>
        <w:widowControl w:val="0"/>
        <w:jc w:val="center"/>
      </w:pPr>
      <w:r>
        <w:rPr>
          <w:b/>
          <w:bCs/>
        </w:rPr>
        <w:t>GAMYBINIŲ NUOTEKŲ KONTROLIUOJAMI PARAMETRAI PAGAL TARŠOS ŠALTINIŲ TIPUS</w:t>
      </w:r>
    </w:p>
    <w:p>
      <w:pPr>
        <w:ind w:firstLine="709"/>
      </w:pPr>
    </w:p>
    <w:tbl>
      <w:tblPr>
        <w:tblW w:w="9637" w:type="dxa"/>
        <w:tblLayout w:type="fixed"/>
        <w:tblCellMar>
          <w:left w:w="40" w:type="dxa"/>
          <w:right w:w="40" w:type="dxa"/>
        </w:tblCellMar>
        <w:tblLook w:val="0000" w:firstRow="0" w:lastRow="0" w:firstColumn="0" w:lastColumn="0" w:noHBand="0" w:noVBand="0"/>
      </w:tblPr>
      <w:tblGrid>
        <w:gridCol w:w="734"/>
        <w:gridCol w:w="2644"/>
        <w:gridCol w:w="6259"/>
      </w:tblGrid>
      <w:tr>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NACE kodas</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Pramonės šaka</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Parametrai</w:t>
            </w:r>
          </w:p>
        </w:tc>
      </w:tr>
      <w:tr>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23.00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Naftos perdirbimo pramonės gamyklos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ChDS, BDS, visuminis organinis anglingumas (bendroji organinė anglis) (VOA), fenolio junginiai, naftos produktai, sulfidai, bendras azotas</w:t>
            </w:r>
          </w:p>
        </w:tc>
      </w:tr>
      <w:tr>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24.20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Pesticidų gamyklos (kurios gamina daugiau negu 5 t/metus veikliųjų medžiagų)</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Adsorbuojami organiniai halogenai (AOH) ir, jeigu egzistuoja šių teršalų tikimybė nuotekose:</w:t>
            </w:r>
          </w:p>
          <w:p>
            <w:pPr>
              <w:widowControl w:val="0"/>
              <w:rPr>
                <w:sz w:val="20"/>
              </w:rPr>
            </w:pPr>
            <w:r>
              <w:rPr>
                <w:sz w:val="20"/>
              </w:rPr>
              <w:t>– varis, bendras chromas, chromas (VI), cinkas, arsenas;</w:t>
            </w:r>
          </w:p>
          <w:p>
            <w:pPr>
              <w:widowControl w:val="0"/>
              <w:rPr>
                <w:sz w:val="20"/>
              </w:rPr>
            </w:pPr>
            <w:r>
              <w:rPr>
                <w:sz w:val="20"/>
              </w:rPr>
              <w:t>– toksiškumo testas</w:t>
            </w:r>
          </w:p>
        </w:tc>
      </w:tr>
      <w:tr>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26.10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Stiklo pramonės įmonės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švinas, arsenas, stibis, fluoridai</w:t>
            </w:r>
          </w:p>
        </w:tc>
      </w:tr>
      <w:tr>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24.00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Chemijos pramonės įmonės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pH, ištirpęs deguonis, ChDS, VOA, AOH, gyvsidabris, kadmis, varis, nikelis, švinas, bendras chromas, chromas (VI), cinkas; tributilalavas, ftalatai, bromintibifenileteriai, oktilfenolis, nonilfenolis, nonilfenoletoksilatas, oktilfenoletoksilatas (parametrai gali būti koreguojami priklausomai nuo naudojamų technologijų ir žaliavų); atliekamas toksiškumo testas</w:t>
            </w:r>
          </w:p>
        </w:tc>
      </w:tr>
      <w:tr>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27.00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Paviršių padengimo metalais (galvanikos) įmonės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pH, kadmis, gyvsidabris, bendras chromas, chromas (VI), cinkas, alavas, varis, švinas, nikelis, sidabras, cianidai, lakūs organiniai halogeninti junginiai (parametrai gali būti koreguojami priklausomai nuo naudojamų technologijų ir žaliavų)</w:t>
            </w:r>
          </w:p>
        </w:tc>
      </w:tr>
      <w:tr>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19.00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Odų pramonės įmonės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bendras chromas, ChDS, bendras azotas, sulfidai, nonilfenoletoksilatas, oktilfenoletoksilatas</w:t>
            </w:r>
          </w:p>
        </w:tc>
      </w:tr>
      <w:tr>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17.00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Tekstilės pramonės įmonės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pH, ChDS, bendras fosforas, aktyvusis chloras, AOH, bendras chromas, chromas (VI), varis, cinkas; bromintibifenileteriai, oktilfenolis, nonilfenolis, nonilfenoletoksilatas, oktilfenoletoksilatas; atliekamas toksiškumo testas</w:t>
            </w:r>
          </w:p>
        </w:tc>
      </w:tr>
      <w:tr>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24.00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Trąšų pramonės gamyklos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bendras azotas, fosfatai, fluoridai, kadmis, gyvsidabris, cinkas</w:t>
            </w:r>
          </w:p>
        </w:tc>
      </w:tr>
      <w:tr>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23.00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Celiuliozės pramonės įmonės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ChDS, AOH</w:t>
            </w:r>
            <w:r>
              <w:rPr>
                <w:sz w:val="20"/>
                <w:vertAlign w:val="superscript"/>
              </w:rPr>
              <w:t>3</w:t>
            </w:r>
            <w:r>
              <w:rPr>
                <w:sz w:val="20"/>
              </w:rPr>
              <w:t>, bendras azotas, bendras fosforas</w:t>
            </w:r>
          </w:p>
        </w:tc>
      </w:tr>
      <w:tr>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15.00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Maisto pramonės įmonės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ChDS, bendras azotas, BDS, bendras fosforas</w:t>
            </w:r>
            <w:r>
              <w:rPr>
                <w:sz w:val="20"/>
                <w:vertAlign w:val="superscript"/>
              </w:rPr>
              <w:t>2</w:t>
            </w:r>
            <w:r>
              <w:rPr>
                <w:sz w:val="20"/>
              </w:rPr>
              <w:t>, amonio azotas, riebalai, chloridai, chloras (aktyvusis); nonilfenolis, oktilfenolis, nonilfenoletoksilatas, oktilfenoletoksilatas</w:t>
            </w:r>
          </w:p>
        </w:tc>
      </w:tr>
      <w:tr>
        <w:trPr>
          <w:cantSplit/>
          <w:trHeight w:val="23"/>
        </w:trPr>
        <w:tc>
          <w:tcPr>
            <w:tcW w:w="1066" w:type="dxa"/>
            <w:tcBorders>
              <w:top w:val="single" w:sz="6" w:space="0" w:color="auto"/>
              <w:left w:val="single" w:sz="6" w:space="0" w:color="auto"/>
              <w:right w:val="single" w:sz="6" w:space="0" w:color="auto"/>
            </w:tcBorders>
            <w:shd w:val="clear" w:color="auto" w:fill="FFFFFF"/>
            <w:vAlign w:val="center"/>
          </w:tcPr>
          <w:p>
            <w:pPr>
              <w:widowControl w:val="0"/>
              <w:rPr>
                <w:sz w:val="20"/>
              </w:rPr>
            </w:pPr>
            <w:r>
              <w:rPr>
                <w:sz w:val="20"/>
              </w:rPr>
              <w:t>55.00</w:t>
            </w:r>
          </w:p>
          <w:p>
            <w:pPr>
              <w:widowControl w:val="0"/>
              <w:rPr>
                <w:sz w:val="20"/>
              </w:rPr>
            </w:pPr>
            <w:r>
              <w:rPr>
                <w:sz w:val="20"/>
              </w:rPr>
              <w:t>92.00</w:t>
            </w:r>
          </w:p>
          <w:p>
            <w:pPr>
              <w:widowControl w:val="0"/>
              <w:rPr>
                <w:sz w:val="20"/>
              </w:rPr>
            </w:pPr>
            <w:r>
              <w:rPr>
                <w:sz w:val="20"/>
              </w:rPr>
              <w:t>(80.00 95.00)</w:t>
            </w:r>
          </w:p>
          <w:p>
            <w:pPr>
              <w:widowControl w:val="0"/>
              <w:rPr>
                <w:sz w:val="20"/>
              </w:rPr>
            </w:pPr>
            <w:r>
              <w:rPr>
                <w:sz w:val="20"/>
              </w:rPr>
              <w:t>85.00</w:t>
            </w:r>
          </w:p>
        </w:tc>
        <w:tc>
          <w:tcPr>
            <w:tcW w:w="3974" w:type="dxa"/>
            <w:tcBorders>
              <w:top w:val="single" w:sz="6" w:space="0" w:color="auto"/>
              <w:left w:val="single" w:sz="6" w:space="0" w:color="auto"/>
              <w:right w:val="single" w:sz="6" w:space="0" w:color="auto"/>
            </w:tcBorders>
            <w:shd w:val="clear" w:color="auto" w:fill="FFFFFF"/>
          </w:tcPr>
          <w:p>
            <w:pPr>
              <w:widowControl w:val="0"/>
              <w:rPr>
                <w:sz w:val="20"/>
              </w:rPr>
            </w:pPr>
            <w:r>
              <w:rPr>
                <w:sz w:val="20"/>
              </w:rPr>
              <w:t>Visuomeniniai pastatai, kuriuose įrengti visų tipų plaukimo/ maudymosi baseinai, pirtys;</w:t>
            </w:r>
          </w:p>
          <w:p>
            <w:pPr>
              <w:widowControl w:val="0"/>
              <w:rPr>
                <w:sz w:val="20"/>
              </w:rPr>
            </w:pPr>
            <w:r>
              <w:rPr>
                <w:sz w:val="20"/>
              </w:rPr>
              <w:t>Viešbučiai ir restoranai;</w:t>
            </w:r>
          </w:p>
          <w:p>
            <w:pPr>
              <w:widowControl w:val="0"/>
              <w:rPr>
                <w:sz w:val="20"/>
              </w:rPr>
            </w:pPr>
            <w:r>
              <w:rPr>
                <w:sz w:val="20"/>
              </w:rPr>
              <w:t>Įmonės ir organizacijos, kuriose vykdoma poilsio organizavimo, kultūrinė ir sporto veikla;</w:t>
            </w:r>
          </w:p>
          <w:p>
            <w:pPr>
              <w:widowControl w:val="0"/>
              <w:rPr>
                <w:sz w:val="20"/>
              </w:rPr>
            </w:pPr>
            <w:r>
              <w:rPr>
                <w:sz w:val="20"/>
              </w:rPr>
              <w:t>Įmonės ir organizacijos, kuriose vykdoma sveikatos priežiūra ir socialinis darbas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pH, ChDS, BDS, chloras (aktyvusis)</w:t>
            </w:r>
          </w:p>
        </w:tc>
      </w:tr>
      <w:tr>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93.01.10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Skalbimo paslaugas teikiančios įmonės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pH, ChDS, BDS, chloras (aktyvusis), sintetinės veiklios paviršinės medžiagos; nonilfenolis, oktilfenolis, nonilfenoletoksilatas, oktilfenoletoksilatas</w:t>
            </w:r>
          </w:p>
        </w:tc>
      </w:tr>
      <w:tr>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93.01.20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Cheminio valymo paslaugas teikiančios įmonės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pH, ChDS, BDS, chloras (aktyvusis), tetrachlormetanas, trichlormetanas, heksachlorbenzenas, heksachlorbutadienas; nonilfenolis, oktilfenolis, nonilfenoletoksilatas, oktilfenoletoksilatas</w:t>
            </w:r>
          </w:p>
        </w:tc>
      </w:tr>
    </w:tbl>
    <w:p>
      <w:pPr>
        <w:widowControl w:val="0"/>
        <w:ind w:firstLine="709"/>
      </w:pPr>
      <w:r>
        <w:t>Pastabos:</w:t>
      </w:r>
    </w:p>
    <w:p>
      <w:pPr>
        <w:widowControl w:val="0"/>
        <w:ind w:firstLine="709"/>
      </w:pPr>
      <w:r>
        <w:rPr>
          <w:vertAlign w:val="superscript"/>
        </w:rPr>
        <w:t xml:space="preserve">1 </w:t>
      </w:r>
      <w:r>
        <w:t>NACE – pramonės šakos kodas pagal NACE sistemą (pirmieji du kodo skaitmenys).</w:t>
      </w:r>
    </w:p>
    <w:p>
      <w:pPr>
        <w:widowControl w:val="0"/>
        <w:ind w:firstLine="709"/>
      </w:pPr>
      <w:r>
        <w:rPr>
          <w:vertAlign w:val="superscript"/>
        </w:rPr>
        <w:t xml:space="preserve">2 </w:t>
      </w:r>
      <w:r>
        <w:t>Įmonėms, išleidžiančioms daugiau kaip 500 m</w:t>
      </w:r>
      <w:r>
        <w:rPr>
          <w:vertAlign w:val="superscript"/>
        </w:rPr>
        <w:t>3</w:t>
      </w:r>
      <w:r>
        <w:t>/d nuotekų.</w:t>
      </w:r>
    </w:p>
    <w:p>
      <w:pPr>
        <w:widowControl w:val="0"/>
        <w:ind w:firstLine="709"/>
      </w:pPr>
      <w:r>
        <w:rPr>
          <w:vertAlign w:val="superscript"/>
        </w:rPr>
        <w:t xml:space="preserve">3 </w:t>
      </w:r>
      <w:r>
        <w:t>AOH kontroliuojamas tose celiuliozės įmonėse, kuriose technologiniame procese naudojamas chloras.</w:t>
      </w:r>
    </w:p>
    <w:p>
      <w:pPr>
        <w:pStyle w:val="PlainText"/>
        <w:rPr>
          <w:rFonts w:ascii="Times New Roman" w:eastAsia="MS Mincho" w:hAnsi="Times New Roman"/>
          <w:sz w:val="20"/>
          <w:i/>
          <w:iCs/>
        </w:rPr>
      </w:pPr>
      <w:r>
        <w:rPr>
          <w:rFonts w:ascii="Times New Roman" w:eastAsia="MS Mincho" w:hAnsi="Times New Roman"/>
          <w:sz w:val="20"/>
          <w:i/>
          <w:iCs/>
        </w:rPr>
        <w:t>Priedo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10FB677ADD">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2010-05-18,
Žin., 2010, Nr.
59-2938 (2010-05-22), i. k. 110301MISAK00D1-416        </w:t>
      </w:r>
    </w:p>
    <w:p/>
    <w:p>
      <w:pPr>
        <w:widowControl w:val="0"/>
        <w:ind w:firstLine="3686"/>
      </w:pPr>
      <w: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24BBACA8125">
        <w:r w:rsidRPr="00532B9F">
          <w:rPr>
            <w:rFonts w:ascii="Times New Roman" w:eastAsia="MS Mincho" w:hAnsi="Times New Roman"/>
            <w:sz w:val="20"/>
            <w:iCs/>
            <w:color w:val="0000FF" w:themeColor="hyperlink"/>
            <w:u w:val="single"/>
          </w:rPr>
          <w:t>D1-515</w:t>
        </w:r>
      </w:fldSimple>
      <w:r>
        <w:rPr>
          <w:rFonts w:ascii="Times New Roman" w:eastAsia="MS Mincho" w:hAnsi="Times New Roman"/>
          <w:sz w:val="20"/>
          <w:iCs/>
        </w:rPr>
        <w:t>,
2007-10-08,
Žin., 2007, Nr.
110-4522 (2007-10-25), i. k. 107301MISAK00D1-515                </w:t>
      </w:r>
    </w:p>
    <w:p>
      <w:pPr>
        <w:jc w:val="both"/>
        <w:rPr>
          <w:rFonts w:ascii="Times New Roman" w:hAnsi="Times New Roman"/>
        </w:rPr>
      </w:pPr>
      <w:r>
        <w:rPr>
          <w:rFonts w:ascii="Times New Roman" w:hAnsi="Times New Roman"/>
          <w:sz w:val="20"/>
        </w:rPr>
        <w:t>Dėl aplinkos ministro 2006 m. gegužės 17 d. įsakymo Nr. D1-236 "Dėl Nuotekų tvarkymo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779405D8A4F">
        <w:r w:rsidRPr="00532B9F">
          <w:rPr>
            <w:rFonts w:ascii="Times New Roman" w:eastAsia="MS Mincho" w:hAnsi="Times New Roman"/>
            <w:sz w:val="20"/>
            <w:iCs/>
            <w:color w:val="0000FF" w:themeColor="hyperlink"/>
            <w:u w:val="single"/>
          </w:rPr>
          <w:t>D1-386</w:t>
        </w:r>
      </w:fldSimple>
      <w:r>
        <w:rPr>
          <w:rFonts w:ascii="Times New Roman" w:eastAsia="MS Mincho" w:hAnsi="Times New Roman"/>
          <w:sz w:val="20"/>
          <w:iCs/>
        </w:rPr>
        <w:t>,
2009-07-03,
Žin., 2009, Nr.
83-3473 (2009-07-14), i. k. 109301MISAK00D1-386                </w:t>
      </w:r>
    </w:p>
    <w:p>
      <w:pPr>
        <w:jc w:val="both"/>
        <w:rPr>
          <w:rFonts w:ascii="Times New Roman" w:hAnsi="Times New Roman"/>
        </w:rPr>
      </w:pPr>
      <w:r>
        <w:rPr>
          <w:rFonts w:ascii="Times New Roman" w:hAnsi="Times New Roman"/>
          <w:sz w:val="20"/>
        </w:rPr>
        <w:t>Dėl aplinkos ministro 2006 m. gegužės 17 d. įsakymo Nr. D1-236 "Dėl Nuotekų tvarkymo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4B3EBC87DC5">
        <w:r w:rsidRPr="00532B9F">
          <w:rPr>
            <w:rFonts w:ascii="Times New Roman" w:eastAsia="MS Mincho" w:hAnsi="Times New Roman"/>
            <w:sz w:val="20"/>
            <w:iCs/>
            <w:color w:val="0000FF" w:themeColor="hyperlink"/>
            <w:u w:val="single"/>
          </w:rPr>
          <w:t>D1-830</w:t>
        </w:r>
      </w:fldSimple>
      <w:r>
        <w:rPr>
          <w:rFonts w:ascii="Times New Roman" w:eastAsia="MS Mincho" w:hAnsi="Times New Roman"/>
          <w:sz w:val="20"/>
          <w:iCs/>
        </w:rPr>
        <w:t>,
2009-12-29,
Žin., 2009, Nr.
159-7267 (2009-12-31), i. k. 109301MISAK00D1-830                </w:t>
      </w:r>
    </w:p>
    <w:p>
      <w:pPr>
        <w:jc w:val="both"/>
        <w:rPr>
          <w:rFonts w:ascii="Times New Roman" w:hAnsi="Times New Roman"/>
        </w:rPr>
      </w:pPr>
      <w:r>
        <w:rPr>
          <w:rFonts w:ascii="Times New Roman" w:hAnsi="Times New Roman"/>
          <w:sz w:val="20"/>
        </w:rPr>
        <w:t>Dėl aplinkos ministro 2006 m. gegužės 17 d. įsakymo Nr. D1-236 "Dėl Nuotekų tvarkymo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510FB677ADD">
        <w:r w:rsidRPr="00532B9F">
          <w:rPr>
            <w:rFonts w:ascii="Times New Roman" w:eastAsia="MS Mincho" w:hAnsi="Times New Roman"/>
            <w:sz w:val="20"/>
            <w:iCs/>
            <w:color w:val="0000FF" w:themeColor="hyperlink"/>
            <w:u w:val="single"/>
          </w:rPr>
          <w:t>D1-416</w:t>
        </w:r>
      </w:fldSimple>
      <w:r>
        <w:rPr>
          <w:rFonts w:ascii="Times New Roman" w:eastAsia="MS Mincho" w:hAnsi="Times New Roman"/>
          <w:sz w:val="20"/>
          <w:iCs/>
        </w:rPr>
        <w:t>,
2010-05-18,
Žin., 2010, Nr.
59-2938 (2010-05-22), i. k. 110301MISAK00D1-416                </w:t>
      </w:r>
    </w:p>
    <w:p>
      <w:pPr>
        <w:jc w:val="both"/>
        <w:rPr>
          <w:rFonts w:ascii="Times New Roman" w:hAnsi="Times New Roman"/>
        </w:rPr>
      </w:pPr>
      <w:r>
        <w:rPr>
          <w:rFonts w:ascii="Times New Roman" w:hAnsi="Times New Roman"/>
          <w:sz w:val="20"/>
        </w:rPr>
        <w:t>Dėl Lietuvos Respublikos aplinkos ministro 2006 m. gegužės 17 d. įsakymo Nr. D1-236 "Dėl Nuotekų tvarkymo reglamento patvirtinimo" pakeitimo ir dėl kai kurių Lietuvos Respublikos aplinkos ministro įsakymų punktų ir 2001 m. gruodžio 21 d. įsakymo Nr. 623 "Dėl Vandenų taršos prioritetinėmis pavojingomis medžiagomis mažinimo taisyklių patvirtinimo" pripažinimo netekusiais galios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DF02D007A33">
        <w:r w:rsidRPr="00532B9F">
          <w:rPr>
            <w:rFonts w:ascii="Times New Roman" w:eastAsia="MS Mincho" w:hAnsi="Times New Roman"/>
            <w:sz w:val="20"/>
            <w:iCs/>
            <w:color w:val="0000FF" w:themeColor="hyperlink"/>
            <w:u w:val="single"/>
          </w:rPr>
          <w:t>D1-261</w:t>
        </w:r>
      </w:fldSimple>
      <w:r>
        <w:rPr>
          <w:rFonts w:ascii="Times New Roman" w:eastAsia="MS Mincho" w:hAnsi="Times New Roman"/>
          <w:sz w:val="20"/>
          <w:iCs/>
        </w:rPr>
        <w:t>,
2011-03-30,
Žin., 2011, Nr.
39-1888 (2011-04-02), i. k. 111301MISAK00D1-261                </w:t>
      </w:r>
    </w:p>
    <w:p>
      <w:pPr>
        <w:jc w:val="both"/>
        <w:rPr>
          <w:rFonts w:ascii="Times New Roman" w:hAnsi="Times New Roman"/>
        </w:rPr>
      </w:pPr>
      <w:r>
        <w:rPr>
          <w:rFonts w:ascii="Times New Roman" w:hAnsi="Times New Roman"/>
          <w:sz w:val="20"/>
        </w:rPr>
        <w:t>Dėl Lietuvos Respublikos aplinkos ministro 2006 m. gegužės 17 d. įsakymo Nr. D1-236 "Dėl Nuotekų tvarkymo reglamento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cols w:space="60"/>
      <w:noEndnote/>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EUAlbertina+22">
    <w:altName w:val="MS Mincho"/>
    <w:charset w:val="80"/>
    <w:family w:val="auto"/>
    <w:pitch w:val="default"/>
  </w:font>
  <w:font w:name="EUAlbertina">
    <w:altName w:val="Times New Roman"/>
    <w:charset w:val="00"/>
    <w:family w:val="roman"/>
    <w:pitch w:val="default"/>
    <w:sig w:usb0="00000007" w:usb1="00000000" w:usb2="00000000" w:usb3="00000000" w:csb0="00000003" w:csb1="00000000"/>
  </w:font>
  <w:font w:name="EUAlbertina+01">
    <w:panose1 w:val="00000000000000000000"/>
    <w:charset w:val="BA"/>
    <w:family w:val="auto"/>
    <w:notTrueType/>
    <w:pitch w:val="default"/>
    <w:sig w:usb0="00000005" w:usb1="00000000" w:usb2="00000000" w:usb3="00000000" w:csb0="00000080" w:csb1="00000000"/>
  </w:font>
  <w:font w:name="Arial Unicode MS">
    <w:panose1 w:val="020B0604020202020204"/>
    <w:charset w:val="00"/>
    <w:family w:val="roman"/>
    <w:notTrueType/>
    <w:pitch w:val="variable"/>
    <w:sig w:usb0="00000003" w:usb1="00000000" w:usb2="00000000" w:usb3="00000000" w:csb0="00000001" w:csb1="00000000"/>
  </w:font>
  <w:font w:name="EUAlbertina+20">
    <w:altName w:val="Arial"/>
    <w:charset w:val="00"/>
    <w:family w:val="swiss"/>
    <w:pitch w:val="default"/>
    <w:sig w:usb0="00000003" w:usb1="00000000" w:usb2="00000000" w:usb3="00000000" w:csb0="00000001" w:csb1="00000000"/>
  </w:font>
  <w:font w:name="EUAlbertina+03">
    <w:charset w:val="BA"/>
    <w:family w:val="auto"/>
    <w:pitch w:val="default"/>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27</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8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2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152BE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E2780B68DE62"/>
  <Relationship Id="rId18" Type="http://schemas.openxmlformats.org/officeDocument/2006/relationships/hyperlink" TargetMode="External" Target="https://www.e-tar.lt/portal/lt/legalAct/TAR.A497A19DF124"/>
  <Relationship Id="rId19" Type="http://schemas.openxmlformats.org/officeDocument/2006/relationships/hyperlink" TargetMode="External" Target="https://www.e-tar.lt/portal/lt/legalAct/TAR.3D555BF4BF16"/>
  <Relationship Id="rId2" Type="http://schemas.openxmlformats.org/officeDocument/2006/relationships/fontTable" Target="fontTable.xml"/>
  <Relationship Id="rId20" Type="http://schemas.openxmlformats.org/officeDocument/2006/relationships/hyperlink" TargetMode="External" Target="https://www.e-tar.lt/portal/lt/legalAct/TAR.F6BF0759BD62"/>
  <Relationship Id="rId21" Type="http://schemas.openxmlformats.org/officeDocument/2006/relationships/hyperlink" TargetMode="External" Target="https://www.e-tar.lt/portal/lt/legalAct/TAR.84CF9F27446F"/>
  <Relationship Id="rId22" Type="http://schemas.openxmlformats.org/officeDocument/2006/relationships/hyperlink" TargetMode="External" Target="https://www.e-tar.lt/portal/lt/legalAct/TAR.247DAE8A3F57"/>
  <Relationship Id="rId23" Type="http://schemas.openxmlformats.org/officeDocument/2006/relationships/hyperlink" TargetMode="External" Target="https://www.e-tar.lt/portal/lt/legalAct/TAR.B3CC2C0B9BD2"/>
  <Relationship Id="rId24" Type="http://schemas.openxmlformats.org/officeDocument/2006/relationships/hyperlink" TargetMode="External" Target="https://www.e-tar.lt/portal/lt/legalAct/TAR.BE064673D1CE"/>
  <Relationship Id="rId25" Type="http://schemas.openxmlformats.org/officeDocument/2006/relationships/hyperlink" TargetMode="External" Target="https://www.e-tar.lt/portal/lt/legalAct/TAR.E0D6216EC098"/>
  <Relationship Id="rId26" Type="http://schemas.openxmlformats.org/officeDocument/2006/relationships/hyperlink" TargetMode="External" Target="https://www.e-tar.lt/portal/lt/legalAct/TAR.7FE25E8A4841"/>
  <Relationship Id="rId27" Type="http://schemas.openxmlformats.org/officeDocument/2006/relationships/header" Target="header4.xml"/>
  <Relationship Id="rId28" Type="http://schemas.openxmlformats.org/officeDocument/2006/relationships/header" Target="header5.xml"/>
  <Relationship Id="rId29" Type="http://schemas.openxmlformats.org/officeDocument/2006/relationships/footer" Target="footer4.xml"/>
  <Relationship Id="rId3" Type="http://schemas.openxmlformats.org/officeDocument/2006/relationships/footer" Target="footer1.xml"/>
  <Relationship Id="rId30" Type="http://schemas.openxmlformats.org/officeDocument/2006/relationships/footer" Target="footer5.xml"/>
  <Relationship Id="rId31" Type="http://schemas.openxmlformats.org/officeDocument/2006/relationships/header" Target="header6.xml"/>
  <Relationship Id="rId32" Type="http://schemas.openxmlformats.org/officeDocument/2006/relationships/footer" Target="footer6.xml"/>
  <Relationship Id="rId33" Type="http://schemas.openxmlformats.org/officeDocument/2006/relationships/header" Target="header7.xml"/>
  <Relationship Id="rId34" Type="http://schemas.openxmlformats.org/officeDocument/2006/relationships/header" Target="header8.xml"/>
  <Relationship Id="rId35" Type="http://schemas.openxmlformats.org/officeDocument/2006/relationships/footer" Target="footer7.xml"/>
  <Relationship Id="rId36" Type="http://schemas.openxmlformats.org/officeDocument/2006/relationships/footer" Target="footer8.xml"/>
  <Relationship Id="rId37" Type="http://schemas.openxmlformats.org/officeDocument/2006/relationships/header" Target="header9.xml"/>
  <Relationship Id="rId38" Type="http://schemas.openxmlformats.org/officeDocument/2006/relationships/footer" Target="footer9.xml"/>
  <Relationship Id="rId39" Type="http://schemas.openxmlformats.org/officeDocument/2006/relationships/hyperlink" TargetMode="External" Target="https://www.e-tar.lt/portal/lt/legalAct/TAR.B3CC2C0B9BD2"/>
  <Relationship Id="rId4" Type="http://schemas.openxmlformats.org/officeDocument/2006/relationships/footer" Target="footer2.xml"/>
  <Relationship Id="rId40" Type="http://schemas.openxmlformats.org/officeDocument/2006/relationships/hyperlink" TargetMode="External" Target="https://www.e-tar.lt/portal/lt/legalAct/TAR.23F8D92B723F"/>
  <Relationship Id="rId41" Type="http://schemas.openxmlformats.org/officeDocument/2006/relationships/hyperlink" TargetMode="External" Target="https://www.e-tar.lt/portal/lt/legalAct/TAR.0AE0464E0EDE"/>
  <Relationship Id="rId42" Type="http://schemas.openxmlformats.org/officeDocument/2006/relationships/image" Target="media/image2.png"/>
  <Relationship Id="rId43" Type="http://schemas.openxmlformats.org/officeDocument/2006/relationships/hyperlink" TargetMode="External" Target="https://www.e-tar.lt/portal/lt/legalAct/TAR.C522C0EA728C"/>
  <Relationship Id="rId44" Type="http://schemas.openxmlformats.org/officeDocument/2006/relationships/image" Target="media/image3.png"/>
  <Relationship Id="rId45" Type="http://schemas.openxmlformats.org/officeDocument/2006/relationships/image" Target="media/image4.png"/>
  <Relationship Id="rId46" Type="http://schemas.openxmlformats.org/officeDocument/2006/relationships/image" Target="media/image5.png"/>
  <Relationship Id="rId47" Type="http://schemas.openxmlformats.org/officeDocument/2006/relationships/hyperlink" TargetMode="External" Target="https://www.e-tar.lt/portal/lt/legalAct/TAR.B3CC2C0B9BD2"/>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66</TotalTime>
  <Pages>24</Pages>
  <Words>42282</Words>
  <Characters>24101</Characters>
  <Application>Microsoft Office Word</Application>
  <DocSecurity>0</DocSecurity>
  <Lines>200</Lines>
  <Paragraphs>132</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APLINKOS MINISTRAS</vt:lpstr>
    </vt:vector>
  </TitlesOfParts>
  <Company>Teisines informacijos centras</Company>
  <LinksUpToDate>false</LinksUpToDate>
  <CharactersWithSpaces>66251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2015-07-04T12:22:00Z</dcterms:created>
  <dc:creator>Sandra</dc:creator>
  <lastModifiedBy>DRAZDAUSKIENĖ Nijolė</lastModifiedBy>
  <dcterms:modified xsi:type="dcterms:W3CDTF">2016-05-04T05:09:00Z</dcterms:modified>
  <revision>11</revision>
  <dc:title>LIETUVOS RESPUBLIKOS APLINKOS MINISTRAS</dc:title>
</coreProperties>
</file>