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1999-09-30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Protokolas paskelbtas: , i. k. 092517VPROT0010(24)</w:t>
      </w:r>
    </w:p>
    <w:p>
      <w:pPr>
        <w:jc w:val="both"/>
        <w:rPr>
          <w:rFonts w:ascii="Times New Roman" w:hAnsi="Times New Roman"/>
          <w:sz w:val="20"/>
        </w:rPr>
      </w:pPr>
    </w:p>
    <w:p>
      <w:pPr>
        <w:tabs>
          <w:tab w:val="center" w:pos="4153"/>
          <w:tab w:val="right" w:pos="8306"/>
        </w:tabs>
        <w:rPr>
          <w:lang w:val="en-GB"/>
        </w:rPr>
      </w:pPr>
    </w:p>
    <w:p>
      <w:pPr>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w:t>
      </w:r>
    </w:p>
    <w:p>
      <w:pPr>
        <w:jc w:val="center"/>
        <w:rPr>
          <w:b/>
          <w:color w:val="000000"/>
        </w:rPr>
      </w:pPr>
      <w:r>
        <w:rPr>
          <w:b/>
          <w:color w:val="000000"/>
        </w:rPr>
        <w:t>VALSTYBINĖ GEOLOGIJOS TARNYBA</w:t>
      </w:r>
    </w:p>
    <w:p>
      <w:pPr>
        <w:jc w:val="center"/>
        <w:rPr>
          <w:b/>
          <w:color w:val="000000"/>
        </w:rPr>
      </w:pPr>
      <w:r>
        <w:rPr>
          <w:b/>
          <w:color w:val="000000"/>
        </w:rPr>
        <w:t>VALSTYBINĖ NAUDINGŲJŲ IŠKASENŲ IŠTEKLIŲ KOMISIJA</w:t>
      </w:r>
    </w:p>
    <w:p>
      <w:pPr>
        <w:jc w:val="center"/>
        <w:rPr>
          <w:b/>
          <w:color w:val="000000"/>
          <w:spacing w:val="60"/>
        </w:rPr>
      </w:pPr>
      <w:r>
        <w:rPr>
          <w:b/>
          <w:color w:val="000000"/>
          <w:spacing w:val="60"/>
        </w:rPr>
        <w:t>PROTOKOLAS</w:t>
      </w:r>
    </w:p>
    <w:p>
      <w:pPr>
        <w:ind w:firstLine="709"/>
        <w:rPr>
          <w:color w:val="000000"/>
        </w:rPr>
      </w:pPr>
    </w:p>
    <w:p>
      <w:pPr>
        <w:jc w:val="center"/>
        <w:rPr>
          <w:color w:val="000000"/>
        </w:rPr>
      </w:pPr>
      <w:r>
        <w:rPr>
          <w:color w:val="000000"/>
        </w:rPr>
        <w:t>1992 m. lapkričio 12 d. Nr. 10(24)</w:t>
      </w:r>
    </w:p>
    <w:p>
      <w:pPr>
        <w:jc w:val="center"/>
        <w:rPr>
          <w:color w:val="000000"/>
        </w:rPr>
      </w:pPr>
      <w:r>
        <w:rPr>
          <w:color w:val="000000"/>
        </w:rPr>
        <w:t>Vilnius</w:t>
      </w:r>
    </w:p>
    <w:p>
      <w:pPr>
        <w:rPr>
          <w:color w:val="000000"/>
        </w:rPr>
      </w:pPr>
    </w:p>
    <w:p>
      <w:pPr>
        <w:rPr>
          <w:color w:val="000000"/>
        </w:rPr>
      </w:pPr>
    </w:p>
    <w:p>
      <w:pPr>
        <w:ind w:firstLine="709"/>
        <w:jc w:val="both"/>
        <w:rPr>
          <w:color w:val="000000"/>
        </w:rPr>
      </w:pPr>
      <w:r>
        <w:rPr>
          <w:color w:val="000000"/>
        </w:rPr>
        <w:t>Dalyvavo:</w:t>
      </w:r>
    </w:p>
    <w:p>
      <w:pPr>
        <w:ind w:firstLine="709"/>
        <w:jc w:val="both"/>
        <w:rPr>
          <w:color w:val="000000"/>
        </w:rPr>
      </w:pPr>
      <w:r>
        <w:rPr>
          <w:color w:val="000000"/>
        </w:rPr>
        <w:t>VIK pirmininkas R. Rajeckas</w:t>
      </w:r>
    </w:p>
    <w:p>
      <w:pPr>
        <w:ind w:firstLine="709"/>
        <w:jc w:val="both"/>
        <w:rPr>
          <w:color w:val="000000"/>
        </w:rPr>
      </w:pPr>
      <w:r>
        <w:rPr>
          <w:color w:val="000000"/>
        </w:rPr>
        <w:t>VIK pirmininko pavaduotojas G. Juozapavičius</w:t>
      </w:r>
    </w:p>
    <w:p>
      <w:pPr>
        <w:ind w:firstLine="709"/>
        <w:jc w:val="both"/>
        <w:rPr>
          <w:color w:val="000000"/>
        </w:rPr>
      </w:pPr>
      <w:r>
        <w:rPr>
          <w:color w:val="000000"/>
        </w:rPr>
        <w:t>VIK nariai ekspertai: K. Sakalauskas, O. Zdanavičiūtė, J. Laškovas, B. Paukštys, A. Vaznonis, A. Jurgaitis, V. Gasiūnienė</w:t>
      </w:r>
    </w:p>
    <w:p>
      <w:pPr>
        <w:ind w:firstLine="709"/>
        <w:jc w:val="both"/>
        <w:rPr>
          <w:color w:val="000000"/>
        </w:rPr>
      </w:pPr>
      <w:r>
        <w:rPr>
          <w:color w:val="000000"/>
        </w:rPr>
        <w:t>Tarnybos tyrimų skyriaus naftos geologijos ekspertas J. Jacyna</w:t>
      </w:r>
    </w:p>
    <w:p>
      <w:pPr>
        <w:ind w:firstLine="709"/>
        <w:jc w:val="both"/>
        <w:rPr>
          <w:color w:val="000000"/>
        </w:rPr>
      </w:pPr>
      <w:r>
        <w:rPr>
          <w:color w:val="000000"/>
        </w:rPr>
        <w:t>Svarstyta Lietuvos Respublikos naudingųjų iškasenų išteklių klasifikacijos projektas.</w:t>
      </w:r>
    </w:p>
    <w:p>
      <w:pPr>
        <w:ind w:firstLine="709"/>
        <w:jc w:val="both"/>
        <w:rPr>
          <w:color w:val="000000"/>
        </w:rPr>
      </w:pPr>
      <w:r>
        <w:rPr>
          <w:color w:val="000000"/>
        </w:rPr>
        <w:t>Naudingųjų iškasenų išteklių klasifikacija Komisijoje buvo aptariama keletą kartų. Šis projektas paruoštas, atsižvelgiant į anksčiau pareikštas Komisijos narių ekspertų ir Geologijos instituto bei įmonių specialistų nuomones. Klasifikacija nustato vieningus kietųjų naudingųjų iškasenų ir naftos bei dujų telkinių tyrimo ir išteklių vertinimo principus.</w:t>
      </w:r>
    </w:p>
    <w:p>
      <w:pPr>
        <w:ind w:firstLine="709"/>
        <w:jc w:val="both"/>
        <w:rPr>
          <w:color w:val="000000"/>
        </w:rPr>
      </w:pPr>
      <w:r>
        <w:rPr>
          <w:color w:val="000000"/>
        </w:rPr>
        <w:t xml:space="preserve">Apsvarsčiusi pateiktą projektą, VIK </w:t>
      </w:r>
      <w:r>
        <w:rPr>
          <w:color w:val="000000"/>
          <w:spacing w:val="60"/>
        </w:rPr>
        <w:t>nutari</w:t>
      </w:r>
      <w:r>
        <w:rPr>
          <w:color w:val="000000"/>
        </w:rPr>
        <w:t>a:</w:t>
      </w:r>
    </w:p>
    <w:p>
      <w:pPr>
        <w:ind w:firstLine="709"/>
        <w:jc w:val="both"/>
        <w:rPr>
          <w:color w:val="000000"/>
        </w:rPr>
      </w:pPr>
      <w:r>
        <w:rPr>
          <w:color w:val="000000"/>
        </w:rPr>
        <w:t>1</w:t>
      </w:r>
      <w:r>
        <w:rPr>
          <w:color w:val="000000"/>
        </w:rPr>
        <w:t>. Patvirtinti Lietuvos Respublikos naudingųjų iškasenų išteklių klasifikaciją (pridedama).</w:t>
      </w:r>
    </w:p>
    <w:p>
      <w:pPr>
        <w:ind w:firstLine="709"/>
        <w:jc w:val="both"/>
        <w:rPr>
          <w:color w:val="000000"/>
        </w:rPr>
      </w:pPr>
      <w:r>
        <w:rPr>
          <w:color w:val="000000"/>
        </w:rPr>
        <w:t>2</w:t>
      </w:r>
      <w:r>
        <w:rPr>
          <w:color w:val="000000"/>
        </w:rPr>
        <w:t>. Siūlyti Valstybinės geologijos tarnybos direktoriui Klasifikacijos įsigaliojimo laiką nustatyti 1993 m. sausio 1 dieną.</w:t>
      </w:r>
    </w:p>
    <w:p>
      <w:pPr>
        <w:ind w:firstLine="709"/>
        <w:rPr>
          <w:color w:val="000000"/>
        </w:rPr>
      </w:pPr>
    </w:p>
    <w:p>
      <w:pPr>
        <w:ind w:firstLine="709"/>
        <w:rPr>
          <w:color w:val="000000"/>
        </w:rPr>
      </w:pPr>
    </w:p>
    <w:p>
      <w:pPr>
        <w:ind w:firstLine="709"/>
        <w:rPr>
          <w:color w:val="000000"/>
        </w:rPr>
      </w:pPr>
    </w:p>
    <w:p>
      <w:pPr>
        <w:tabs>
          <w:tab w:val="right" w:pos="9639"/>
        </w:tabs>
        <w:rPr>
          <w:caps/>
        </w:rPr>
      </w:pPr>
      <w:r>
        <w:rPr>
          <w:caps/>
        </w:rPr>
        <w:t>VIK PIRMININKAS</w:t>
        <w:tab/>
        <w:t>R. RAJECKAS</w:t>
      </w:r>
    </w:p>
    <w:p>
      <w:pPr>
        <w:ind w:firstLine="5102"/>
        <w:rPr>
          <w:color w:val="000000"/>
        </w:rPr>
      </w:pPr>
      <w:r>
        <w:rPr>
          <w:color w:val="000000"/>
        </w:rPr>
        <w:br w:type="page"/>
      </w:r>
    </w:p>
    <w:p>
      <w:pPr>
        <w:ind w:firstLine="5102"/>
        <w:rPr>
          <w:color w:val="000000"/>
        </w:rPr>
      </w:pPr>
      <w:r>
        <w:rPr>
          <w:color w:val="000000"/>
        </w:rPr>
        <w:t>PATVIRTINTA</w:t>
      </w:r>
    </w:p>
    <w:p>
      <w:pPr>
        <w:ind w:firstLine="5102"/>
        <w:rPr>
          <w:color w:val="000000"/>
        </w:rPr>
      </w:pPr>
      <w:r>
        <w:rPr>
          <w:color w:val="000000"/>
        </w:rPr>
        <w:t>Valstybinės geologijos tarnybos</w:t>
      </w:r>
    </w:p>
    <w:p>
      <w:pPr>
        <w:ind w:firstLine="5102"/>
        <w:rPr>
          <w:color w:val="000000"/>
        </w:rPr>
      </w:pPr>
      <w:r>
        <w:rPr>
          <w:color w:val="000000"/>
        </w:rPr>
        <w:t xml:space="preserve">Valstybinės naudingųjų iškasenų išteklių </w:t>
      </w:r>
    </w:p>
    <w:p>
      <w:pPr>
        <w:ind w:firstLine="5102"/>
        <w:rPr>
          <w:color w:val="000000"/>
        </w:rPr>
      </w:pPr>
      <w:r>
        <w:rPr>
          <w:color w:val="000000"/>
        </w:rPr>
        <w:t xml:space="preserve">komisijos 1992 m. lapkričio 12 d. protokolu </w:t>
      </w:r>
    </w:p>
    <w:p>
      <w:pPr>
        <w:ind w:firstLine="5102"/>
        <w:rPr>
          <w:color w:val="000000"/>
        </w:rPr>
      </w:pPr>
      <w:r>
        <w:rPr>
          <w:color w:val="000000"/>
        </w:rPr>
        <w:t>Nr. 10(24)</w:t>
      </w:r>
    </w:p>
    <w:p>
      <w:pPr>
        <w:ind w:firstLine="709"/>
        <w:rPr>
          <w:color w:val="000000"/>
        </w:rPr>
      </w:pPr>
    </w:p>
    <w:p>
      <w:pPr>
        <w:jc w:val="center"/>
        <w:rPr>
          <w:b/>
          <w:color w:val="000000"/>
        </w:rPr>
      </w:pPr>
      <w:r>
        <w:rPr>
          <w:b/>
          <w:color w:val="000000"/>
        </w:rPr>
        <w:t>LIETUVOS RESPUBLIKOS NAUDINGŲJŲ IŠKASENŲ IŠTEKLIŲ KLASIFIKACIJA</w:t>
      </w:r>
    </w:p>
    <w:p>
      <w:pPr>
        <w:jc w:val="center"/>
        <w:rPr>
          <w:b/>
          <w:color w:val="000000"/>
        </w:rPr>
      </w:pPr>
    </w:p>
    <w:p>
      <w:pPr>
        <w:jc w:val="center"/>
        <w:rPr>
          <w:b/>
          <w:color w:val="000000"/>
        </w:rPr>
      </w:pPr>
      <w:r>
        <w:rPr>
          <w:b/>
          <w:color w:val="000000"/>
        </w:rPr>
        <w:t>I</w:t>
      </w:r>
      <w:r>
        <w:rPr>
          <w:b/>
          <w:color w:val="000000"/>
        </w:rPr>
        <w:t xml:space="preserve">. </w:t>
      </w:r>
      <w:r>
        <w:rPr>
          <w:b/>
          <w:color w:val="000000"/>
        </w:rPr>
        <w:t>Bendroji dalis</w:t>
      </w:r>
    </w:p>
    <w:p>
      <w:pPr>
        <w:jc w:val="center"/>
        <w:rPr>
          <w:b/>
          <w:color w:val="000000"/>
        </w:rPr>
      </w:pPr>
    </w:p>
    <w:p>
      <w:pPr>
        <w:ind w:firstLine="709"/>
        <w:jc w:val="both"/>
        <w:rPr>
          <w:color w:val="000000"/>
        </w:rPr>
      </w:pPr>
      <w:r>
        <w:rPr>
          <w:color w:val="000000"/>
        </w:rPr>
        <w:t>1</w:t>
      </w:r>
      <w:r>
        <w:rPr>
          <w:color w:val="000000"/>
        </w:rPr>
        <w:t>. Naudingųjų iškasenų išteklių klasifikacija (toliau Klasifikacija) nustato vieningus kietųjų naudingųjų iškasenų, naftos, dujų ir jų telkinių tyrimo bei išteklių vertinimo principus, kurie privalomi visiems juridiniams ir fiziniams asmenims, vykdantiems geologinį prognozavimą, telkinių paiešką, žvalgybą, eksploataciją ir išteklių apskaitą.</w:t>
      </w:r>
    </w:p>
    <w:p>
      <w:pPr>
        <w:ind w:firstLine="709"/>
        <w:jc w:val="both"/>
        <w:rPr>
          <w:color w:val="000000"/>
        </w:rPr>
      </w:pPr>
      <w:r>
        <w:rPr>
          <w:color w:val="000000"/>
        </w:rPr>
        <w:t>Požeminio vandens ištekliai vertinami pagal atskirą klasifikaciją.</w:t>
      </w:r>
    </w:p>
    <w:p>
      <w:pPr>
        <w:ind w:firstLine="709"/>
        <w:jc w:val="both"/>
        <w:rPr>
          <w:color w:val="000000"/>
        </w:rPr>
      </w:pPr>
      <w:r>
        <w:rPr>
          <w:color w:val="000000"/>
        </w:rPr>
        <w:t>2</w:t>
      </w:r>
      <w:r>
        <w:rPr>
          <w:color w:val="000000"/>
        </w:rPr>
        <w:t>. Klasifikacija atspindi tris svarbiausius elementus:</w:t>
      </w:r>
    </w:p>
    <w:p>
      <w:pPr>
        <w:ind w:firstLine="709"/>
        <w:jc w:val="both"/>
        <w:rPr>
          <w:color w:val="000000"/>
        </w:rPr>
      </w:pPr>
      <w:r>
        <w:rPr>
          <w:color w:val="000000"/>
        </w:rPr>
        <w:t>- perspektyvaus ploto arba telkinio ištyrimo (išteklių patikimumo) laipsnį;</w:t>
      </w:r>
    </w:p>
    <w:p>
      <w:pPr>
        <w:ind w:firstLine="709"/>
        <w:jc w:val="both"/>
        <w:rPr>
          <w:color w:val="000000"/>
        </w:rPr>
      </w:pPr>
      <w:r>
        <w:rPr>
          <w:color w:val="000000"/>
        </w:rPr>
        <w:t>- naudingųjų iškasenų išteklių tyrimų seką ir ekonominę vertę;</w:t>
      </w:r>
    </w:p>
    <w:p>
      <w:pPr>
        <w:ind w:firstLine="709"/>
        <w:jc w:val="both"/>
        <w:rPr>
          <w:color w:val="000000"/>
        </w:rPr>
      </w:pPr>
      <w:r>
        <w:rPr>
          <w:color w:val="000000"/>
        </w:rPr>
        <w:t>- naudingųjų iškasenų išteklių naudojimo galimybes.</w:t>
      </w:r>
    </w:p>
    <w:p>
      <w:pPr>
        <w:ind w:firstLine="709"/>
        <w:jc w:val="both"/>
        <w:rPr>
          <w:color w:val="000000"/>
        </w:rPr>
      </w:pPr>
      <w:r>
        <w:rPr>
          <w:color w:val="000000"/>
        </w:rPr>
        <w:t>Visi šie elementai sudaro vieningą sistemą (priedėlis 1).</w:t>
      </w:r>
    </w:p>
    <w:p>
      <w:pPr>
        <w:ind w:firstLine="709"/>
        <w:jc w:val="both"/>
        <w:rPr>
          <w:color w:val="000000"/>
        </w:rPr>
      </w:pPr>
      <w:r>
        <w:rPr>
          <w:color w:val="000000"/>
        </w:rPr>
        <w:t>3</w:t>
      </w:r>
      <w:r>
        <w:rPr>
          <w:color w:val="000000"/>
        </w:rPr>
        <w:t>. Kietųjų naudingųjų iškasenų ištekliai (geologiniai) skaičiuojami ir jų apskaita atliekama masės arba tūrio matais.</w:t>
      </w:r>
    </w:p>
    <w:p>
      <w:pPr>
        <w:ind w:firstLine="709"/>
        <w:jc w:val="both"/>
        <w:rPr>
          <w:color w:val="000000"/>
        </w:rPr>
      </w:pPr>
      <w:r>
        <w:rPr>
          <w:color w:val="000000"/>
        </w:rPr>
        <w:t>Naftos geologiniai ir išgaunami ištekliai skaičiuojami ir jų apskaita atliekama masės matais, o dujų – tūrio matais.</w:t>
      </w:r>
    </w:p>
    <w:p>
      <w:pPr>
        <w:ind w:firstLine="709"/>
        <w:jc w:val="both"/>
        <w:rPr>
          <w:color w:val="000000"/>
        </w:rPr>
      </w:pPr>
      <w:r>
        <w:rPr>
          <w:color w:val="000000"/>
        </w:rPr>
        <w:t>Išgaunami ištekliai – tai geologinių išteklių dalis, kurią šiuolaikine technika bei technologija, nepažeidžiant gamtinės aplinkos pusiausvyros, galima racionaliai išgauti iš žemės gelmių.</w:t>
      </w:r>
    </w:p>
    <w:p>
      <w:pPr>
        <w:ind w:firstLine="709"/>
        <w:jc w:val="both"/>
        <w:rPr>
          <w:color w:val="000000"/>
        </w:rPr>
      </w:pPr>
      <w:r>
        <w:rPr>
          <w:color w:val="000000"/>
        </w:rPr>
        <w:t>4</w:t>
      </w:r>
      <w:r>
        <w:rPr>
          <w:color w:val="000000"/>
        </w:rPr>
        <w:t>. Atitinkamų naudingųjų iškasenų arba jų grupių telkinių tyrimui ir išteklių vertinimui pritaikant šią klasifikaciją naudojamos Valstybinės išteklių komisijos patvirtintos rekomendacijos.</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Naudingųjų iškasenų išteklių klasifikacija pagal ištyrimo laipsnį</w:t>
      </w:r>
    </w:p>
    <w:p>
      <w:pPr>
        <w:ind w:firstLine="709"/>
        <w:jc w:val="both"/>
        <w:rPr>
          <w:color w:val="000000"/>
        </w:rPr>
      </w:pPr>
    </w:p>
    <w:p>
      <w:pPr>
        <w:ind w:firstLine="709"/>
        <w:jc w:val="both"/>
        <w:rPr>
          <w:color w:val="000000"/>
        </w:rPr>
      </w:pPr>
      <w:r>
        <w:rPr>
          <w:color w:val="000000"/>
        </w:rPr>
        <w:t>5</w:t>
      </w:r>
      <w:r>
        <w:rPr>
          <w:color w:val="000000"/>
        </w:rPr>
        <w:t>. Naudingųjų iškasenų ištekliai pagal ištyrimo laipsnį klasifikuojami į prognozinius, įvertintus ir išžvalgytus. Ištyrimo laipsnis atspindi išteklių patikimumą ir tapatinamas su kategorijomis, žymint jas sutartiniais simboliais.</w:t>
      </w:r>
    </w:p>
    <w:p>
      <w:pPr>
        <w:ind w:firstLine="709"/>
        <w:jc w:val="both"/>
        <w:rPr>
          <w:color w:val="000000"/>
        </w:rPr>
      </w:pPr>
      <w:r>
        <w:rPr>
          <w:color w:val="000000"/>
        </w:rPr>
        <w:t>Priedėliuose 2 ir 3 pateikiamas šios ir kai kurių valstybių naudingųjų iškasenų išteklių klasifikacijų palyginimas.</w:t>
      </w:r>
    </w:p>
    <w:p>
      <w:pPr>
        <w:ind w:firstLine="709"/>
        <w:jc w:val="both"/>
        <w:rPr>
          <w:color w:val="000000"/>
        </w:rPr>
      </w:pPr>
      <w:r>
        <w:rPr>
          <w:color w:val="000000"/>
        </w:rPr>
        <w:t>6</w:t>
      </w:r>
      <w:r>
        <w:rPr>
          <w:color w:val="000000"/>
        </w:rPr>
        <w:t>. Prognoziniai ištekliai – tai perspektyvių teritorijų naudingųjų iškasenų galimi ištekliai.</w:t>
      </w:r>
    </w:p>
    <w:p>
      <w:pPr>
        <w:ind w:firstLine="709"/>
        <w:jc w:val="both"/>
        <w:rPr>
          <w:color w:val="000000"/>
        </w:rPr>
      </w:pPr>
      <w:r>
        <w:rPr>
          <w:color w:val="000000"/>
        </w:rPr>
        <w:t>7</w:t>
      </w:r>
      <w:r>
        <w:rPr>
          <w:color w:val="000000"/>
        </w:rPr>
        <w:t>. Kietųjų naudingųjų iškasenų prognoziniai ištekliai skirstomi į spėjamus – Ps kategoriją ir aptiktus – Pa kategoriją, o naftos ir dujų – į regioninius – Pr kategoriją ir lokalius – Pl kategoriją.</w:t>
      </w:r>
    </w:p>
    <w:p>
      <w:pPr>
        <w:ind w:firstLine="709"/>
        <w:jc w:val="both"/>
        <w:rPr>
          <w:color w:val="000000"/>
        </w:rPr>
      </w:pPr>
      <w:r>
        <w:rPr>
          <w:color w:val="000000"/>
        </w:rPr>
        <w:t>7.1</w:t>
      </w:r>
      <w:r>
        <w:rPr>
          <w:color w:val="000000"/>
        </w:rPr>
        <w:t>. Spėjamiems prognoziniams Ps kategorijos ištekliams priskiriami geologinių baseinų, rūdinių zonų, stratigrafinių horizontų naudingųjų iškasenų ištekliai, kurių buvimas ir kiekis nustatomi pagal įvairiais metodais gautus netiesioginius požymius arba iš analogijos su kitomis geriau ištirtomis žemės plutos struktūromis.</w:t>
      </w:r>
    </w:p>
    <w:p>
      <w:pPr>
        <w:ind w:firstLine="709"/>
        <w:jc w:val="both"/>
        <w:rPr>
          <w:color w:val="000000"/>
        </w:rPr>
      </w:pPr>
      <w:r>
        <w:rPr>
          <w:color w:val="000000"/>
        </w:rPr>
        <w:t>7.2</w:t>
      </w:r>
      <w:r>
        <w:rPr>
          <w:color w:val="000000"/>
        </w:rPr>
        <w:t>. Aptiktiems prognoziniams Pa kategorijos ištekliams priskiriami lokalių struktūrų arba apribotų zonų naudingųjų iškasenų ištekliai, kurių kiekis ir kokybė nustatomi pagal bent viename gręžinyje ar kasinyje gautus tiesioginius naudingosios iškasenos požymius, o struktūros arba zonos išplitimo ribos pagrįstos geologine ekstrapoliacija.</w:t>
      </w:r>
    </w:p>
    <w:p>
      <w:pPr>
        <w:ind w:firstLine="709"/>
        <w:jc w:val="both"/>
        <w:rPr>
          <w:color w:val="000000"/>
        </w:rPr>
      </w:pPr>
      <w:r>
        <w:rPr>
          <w:color w:val="000000"/>
        </w:rPr>
        <w:t>7.3</w:t>
      </w:r>
      <w:r>
        <w:rPr>
          <w:color w:val="000000"/>
        </w:rPr>
        <w:t>. Regioniniams prognoziniams Pr kategorijos ištekliams priskiriami perspektyvių teritorijų (tektoninių arba facijinių litologinių naftingųjų kompleksų bei zonų) naftos ir dujų ištekliai, kurie nustatomi pagal įvairiais metodais gautus netiesioginius požymius arba iš analogijos su kitais geriau ištirtais regionais, kaupavietėmis ar telkiniais.</w:t>
      </w:r>
    </w:p>
    <w:p>
      <w:pPr>
        <w:ind w:firstLine="709"/>
        <w:jc w:val="both"/>
        <w:rPr>
          <w:color w:val="000000"/>
        </w:rPr>
      </w:pPr>
      <w:r>
        <w:rPr>
          <w:color w:val="000000"/>
        </w:rPr>
        <w:t>7.4</w:t>
      </w:r>
      <w:r>
        <w:rPr>
          <w:color w:val="000000"/>
        </w:rPr>
        <w:t>. Lokaliems prognoziniams Pl kategorijos ištekliams priskiriami lokalių struktūrų ir kitų tipų kaupaviečių naftos ir dujų ištekliai, kurie nustatomi geofiziniais arba geologiniais metodais.</w:t>
      </w:r>
    </w:p>
    <w:p>
      <w:pPr>
        <w:ind w:firstLine="709"/>
        <w:jc w:val="both"/>
        <w:rPr>
          <w:color w:val="000000"/>
        </w:rPr>
      </w:pPr>
      <w:r>
        <w:rPr>
          <w:color w:val="000000"/>
        </w:rPr>
        <w:t>8</w:t>
      </w:r>
      <w:r>
        <w:rPr>
          <w:color w:val="000000"/>
        </w:rPr>
        <w:t>. Įvertinti ir išžvalgyti ištekliai – tai ištirtų žemės gelmių kūnų, struktūrų, kaupaviečių, sudarančių telkinius, ištekliai.</w:t>
      </w:r>
    </w:p>
    <w:p>
      <w:pPr>
        <w:ind w:firstLine="709"/>
        <w:jc w:val="both"/>
        <w:rPr>
          <w:color w:val="000000"/>
        </w:rPr>
      </w:pPr>
      <w:r>
        <w:rPr>
          <w:color w:val="000000"/>
        </w:rPr>
        <w:t>9</w:t>
      </w:r>
      <w:r>
        <w:rPr>
          <w:color w:val="000000"/>
        </w:rPr>
        <w:t>. Kietųjų naudingųjų iškasenų bei naftos ir dujų įvertinti ištekliai žymimi C kategorija, išžvalgyti kietųjų naudingųjų iškasenų ištekliai – A ir B kategorijomis, o naftos ir dujų – A kategorija.</w:t>
      </w:r>
    </w:p>
    <w:p>
      <w:pPr>
        <w:ind w:firstLine="709"/>
        <w:jc w:val="both"/>
        <w:rPr>
          <w:color w:val="000000"/>
        </w:rPr>
      </w:pPr>
      <w:r>
        <w:rPr>
          <w:color w:val="000000"/>
        </w:rPr>
        <w:t>9.1</w:t>
      </w:r>
      <w:r>
        <w:rPr>
          <w:color w:val="000000"/>
        </w:rPr>
        <w:t>. Įvertintiems C kategorijos ištekliams priskiriami lokalios struktūros, kaupavietės, ploto ir geologinio kūno, prisišliejusio prie išžvalgyto telkinio kontūro, ištekliai, kurių kiekis ir kokybė nustatomi pagal pavienių gręžinių (kasinių) arba naftos ir dujų pritekėjimo tyrimų duomenis. Šios kategorijos kietųjų naudingųjų iškasenų išteklių kasybos sąlygos ir jų poveikis gamtinei aplinkai nustatomi pavieniais tyrimais arba iš analogijos su išžvalgytais telkiniais. Telkinio ribos nustatomos gręžiniais (kasiniais) ir geofiziniais bei geologiniais metodais gautų faktų interpoliacija.</w:t>
      </w:r>
    </w:p>
    <w:p>
      <w:pPr>
        <w:ind w:firstLine="709"/>
        <w:jc w:val="both"/>
        <w:rPr>
          <w:color w:val="000000"/>
        </w:rPr>
      </w:pPr>
      <w:r>
        <w:rPr>
          <w:color w:val="000000"/>
        </w:rPr>
        <w:t>9.2</w:t>
      </w:r>
      <w:r>
        <w:rPr>
          <w:color w:val="000000"/>
        </w:rPr>
        <w:t>. Kietųjų naudingųjų iškasenų išžvalgytiems ištekliams priskiriami geologinių kūnų ištekliai, kurie nustatomi pagal grupės gręžinių (kasinių) kompleksinių tyrimų duomenis. Telkinio arba išteklių kategorijų ribos nustatomos pagal taškus, kuriuose įrodytas naudingosios iškasenos buvimas, ir geologinių faktų interpoliaciją.</w:t>
      </w:r>
    </w:p>
    <w:p>
      <w:pPr>
        <w:ind w:firstLine="709"/>
        <w:jc w:val="both"/>
        <w:rPr>
          <w:color w:val="000000"/>
        </w:rPr>
      </w:pPr>
      <w:r>
        <w:rPr>
          <w:color w:val="000000"/>
        </w:rPr>
        <w:t>9.2.1</w:t>
      </w:r>
      <w:r>
        <w:rPr>
          <w:color w:val="000000"/>
        </w:rPr>
        <w:t>. Išžvalgytiems A kategorijos ištekliams priskiriami telkinio ar jo dalies ištekliai, kuriame naudingosios iškasenos rūšių ir atmainų išplitimas, sudėtis, fizinės techninės bei technologinės savybės, kasybos sąlygos ir poveikis gamtinei aplinkai tiriami detaliai. Šiais tyrimais turi būti gauti visi duomenys naudingosios iškasenos perdirbimo technologijos, gavybos ir telkinio rekultivacijos projektams paruošti.</w:t>
      </w:r>
    </w:p>
    <w:p>
      <w:pPr>
        <w:ind w:firstLine="709"/>
        <w:jc w:val="both"/>
        <w:rPr>
          <w:color w:val="000000"/>
        </w:rPr>
      </w:pPr>
      <w:r>
        <w:rPr>
          <w:color w:val="000000"/>
        </w:rPr>
        <w:t>9.2.2</w:t>
      </w:r>
      <w:r>
        <w:rPr>
          <w:color w:val="000000"/>
        </w:rPr>
        <w:t>. Išžvalgytiems B kategorijos ištekliams priskiriami telkinio dalies ištekliai, kurioje nustatomi tik bendrieji naudingosios iškasenos kokybės kaitos dėsningumai ir kasybos sąlygų bei poveikio gamtinei aplinkai rodikliai.</w:t>
      </w:r>
    </w:p>
    <w:p>
      <w:pPr>
        <w:ind w:firstLine="709"/>
        <w:jc w:val="both"/>
        <w:rPr>
          <w:color w:val="000000"/>
        </w:rPr>
      </w:pPr>
      <w:r>
        <w:rPr>
          <w:color w:val="000000"/>
        </w:rPr>
        <w:t>Telkinių, kurių naudingoji iškasena naudojama be perdirbimo, ištekliai priskiriami taip pat B kategorijai, bet kasybos sąlygos ir poveikis gamtinei aplinkai tiriami detaliai.</w:t>
      </w:r>
    </w:p>
    <w:p>
      <w:pPr>
        <w:ind w:firstLine="709"/>
        <w:jc w:val="both"/>
        <w:rPr>
          <w:color w:val="000000"/>
        </w:rPr>
      </w:pPr>
      <w:r>
        <w:rPr>
          <w:color w:val="000000"/>
        </w:rPr>
        <w:t>9.3</w:t>
      </w:r>
      <w:r>
        <w:rPr>
          <w:color w:val="000000"/>
        </w:rPr>
        <w:t>. Naftos ir dujų išžvalgytiems A kategorijos ištekliams priskiriami tokie ištekliai, kurie nustatomi pagal jų pritekėjimo gręžiniuose duomenis. Telkinio tipas, forma ir dydis, produktyvi storymė, kolektorių tipas ir jų savybių kaita, naftos ir dujų sudėtis, savybės ir kiti parametrai bei ypatumai, bei gavybos poveikis gamtinei aplinkai ištirti taip, kad duomenų pakaktų eksploatacijos projektui paruošti.</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Naudingųjų iškasenų išteklių tyrimų seka ir ekonominė vertė</w:t>
      </w:r>
    </w:p>
    <w:p>
      <w:pPr>
        <w:ind w:firstLine="709"/>
        <w:jc w:val="both"/>
        <w:rPr>
          <w:color w:val="000000"/>
        </w:rPr>
      </w:pPr>
    </w:p>
    <w:p>
      <w:pPr>
        <w:ind w:firstLine="709"/>
        <w:jc w:val="both"/>
        <w:rPr>
          <w:color w:val="000000"/>
        </w:rPr>
      </w:pPr>
      <w:r>
        <w:rPr>
          <w:color w:val="000000"/>
        </w:rPr>
        <w:t>10</w:t>
      </w:r>
      <w:r>
        <w:rPr>
          <w:color w:val="000000"/>
        </w:rPr>
        <w:t>. Kietųjų naudingųjų iškasenų spėjami Ps kategorijos ir naftos bei dujų regioniniai Pr kategorijos prognoziniai ištekliai yra prielaida moksliniams tyrimams ir geologinei nuotraukai, kurių metu išskiriami perspektyvūs plotai, zonos, lokalios struktūros ir nustatomi aptikti Pa kategorijos ar lokalūs Pl kategorijos prognoziniai ištekliai.</w:t>
      </w:r>
    </w:p>
    <w:p>
      <w:pPr>
        <w:ind w:firstLine="709"/>
        <w:jc w:val="both"/>
        <w:rPr>
          <w:color w:val="000000"/>
        </w:rPr>
      </w:pPr>
      <w:r>
        <w:rPr>
          <w:color w:val="000000"/>
        </w:rPr>
        <w:t>11</w:t>
      </w:r>
      <w:r>
        <w:rPr>
          <w:color w:val="000000"/>
        </w:rPr>
        <w:t>. Kietųjų naudingųjų iškasenų aptikti Pa kategorijos ir naftos bei dujų lokalūs Pl kategorijos prognoziniai ištekliai yra pagrindas geologinei paieškai, kurios metu nustatomas telkinio buvimas, o esantys ištekliai įvertinami C kategorija.</w:t>
      </w:r>
    </w:p>
    <w:p>
      <w:pPr>
        <w:ind w:firstLine="709"/>
        <w:jc w:val="both"/>
        <w:rPr>
          <w:color w:val="000000"/>
        </w:rPr>
      </w:pPr>
      <w:r>
        <w:rPr>
          <w:color w:val="000000"/>
        </w:rPr>
        <w:t>12</w:t>
      </w:r>
      <w:r>
        <w:rPr>
          <w:color w:val="000000"/>
        </w:rPr>
        <w:t>. Įvertintų C kategorijos išteklių pagrindu atliekama telkinio žvalgyba, o ištekliai skaičiuojami A ir B kategorijomis.</w:t>
      </w:r>
    </w:p>
    <w:p>
      <w:pPr>
        <w:ind w:firstLine="709"/>
        <w:jc w:val="both"/>
        <w:rPr>
          <w:color w:val="000000"/>
        </w:rPr>
      </w:pPr>
      <w:r>
        <w:rPr>
          <w:color w:val="000000"/>
        </w:rPr>
        <w:t>13</w:t>
      </w:r>
      <w:r>
        <w:rPr>
          <w:color w:val="000000"/>
        </w:rPr>
        <w:t>. Išžvalgytų A ir B kategorijų išteklių pagrindu sudaromas telkinio eksploatacijos ir rekultivacijos projektas.</w:t>
      </w:r>
    </w:p>
    <w:p>
      <w:pPr>
        <w:ind w:firstLine="709"/>
        <w:jc w:val="both"/>
        <w:rPr>
          <w:color w:val="000000"/>
        </w:rPr>
      </w:pPr>
      <w:r>
        <w:rPr>
          <w:color w:val="000000"/>
        </w:rPr>
        <w:t>14</w:t>
      </w:r>
      <w:r>
        <w:rPr>
          <w:color w:val="000000"/>
        </w:rPr>
        <w:t>. Įvertintų arba išžvalgytų telkinių ištekliai pagal naudingosios iškasenos gavybos ekonominius rodiklius skirstomi į nerentabilius, rizikingo rentabilumo ir rentabilius.</w:t>
      </w:r>
    </w:p>
    <w:p>
      <w:pPr>
        <w:ind w:firstLine="709"/>
        <w:jc w:val="both"/>
        <w:rPr>
          <w:color w:val="000000"/>
        </w:rPr>
      </w:pPr>
      <w:r>
        <w:rPr>
          <w:color w:val="000000"/>
        </w:rPr>
        <w:t>14.1</w:t>
      </w:r>
      <w:r>
        <w:rPr>
          <w:color w:val="000000"/>
        </w:rPr>
        <w:t>. Nerentabilūs naudingųjų iškasenų ištekliai yra tokie, kurių gavyba yra nepelninga arba esama technika ir technologija ją išgauti bei perdirbti negalima, bet ateityje gali būti panaudota.</w:t>
      </w:r>
    </w:p>
    <w:p>
      <w:pPr>
        <w:ind w:firstLine="709"/>
        <w:jc w:val="both"/>
        <w:rPr>
          <w:color w:val="000000"/>
        </w:rPr>
      </w:pPr>
      <w:r>
        <w:rPr>
          <w:color w:val="000000"/>
        </w:rPr>
        <w:t>14.2</w:t>
      </w:r>
      <w:r>
        <w:rPr>
          <w:color w:val="000000"/>
        </w:rPr>
        <w:t>. Rizikingo rentabilumo naudingųjų iškasenų ištekliai yra tokie, kurių gavybos kaštai nedaug viršija išgaunamos žaliavos kainą rinkoje arba ją galima atsivežti iš kito telkinio.</w:t>
      </w:r>
    </w:p>
    <w:p>
      <w:pPr>
        <w:ind w:firstLine="709"/>
        <w:jc w:val="both"/>
        <w:rPr>
          <w:color w:val="000000"/>
        </w:rPr>
      </w:pPr>
      <w:r>
        <w:rPr>
          <w:color w:val="000000"/>
        </w:rPr>
        <w:t>14.3</w:t>
      </w:r>
      <w:r>
        <w:rPr>
          <w:color w:val="000000"/>
        </w:rPr>
        <w:t>. Rentabilūs naudingųjų iškasenų ištekliai yra tokie, kai naudingosios iškasenos gavyba pelninga.</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Naudingųjų iškasenų išteklių bazės</w:t>
      </w:r>
    </w:p>
    <w:p>
      <w:pPr>
        <w:ind w:firstLine="709"/>
        <w:jc w:val="both"/>
        <w:rPr>
          <w:color w:val="000000"/>
        </w:rPr>
      </w:pPr>
    </w:p>
    <w:p>
      <w:pPr>
        <w:ind w:firstLine="709"/>
        <w:jc w:val="both"/>
        <w:rPr>
          <w:color w:val="000000"/>
        </w:rPr>
      </w:pPr>
      <w:r>
        <w:rPr>
          <w:color w:val="000000"/>
        </w:rPr>
        <w:t>15</w:t>
      </w:r>
      <w:r>
        <w:rPr>
          <w:color w:val="000000"/>
        </w:rPr>
        <w:t>. Naudingųjų iškasenų išteklių, esančių žemės gelmėse, visuma sudaro šalies (regiono, rajono, apskrities) išteklių bazę, kuri skirstoma į potencinę, perspektyvią ir realią.</w:t>
      </w:r>
    </w:p>
    <w:p>
      <w:pPr>
        <w:ind w:firstLine="709"/>
        <w:jc w:val="both"/>
        <w:rPr>
          <w:color w:val="000000"/>
        </w:rPr>
      </w:pPr>
      <w:r>
        <w:rPr>
          <w:color w:val="000000"/>
        </w:rPr>
        <w:t>15.1</w:t>
      </w:r>
      <w:r>
        <w:rPr>
          <w:color w:val="000000"/>
        </w:rPr>
        <w:t>. Potencinę naudingųjų iškasenų išteklių bazę sudaro prognoziniai ištekliai.</w:t>
      </w:r>
    </w:p>
    <w:p>
      <w:pPr>
        <w:ind w:firstLine="709"/>
        <w:jc w:val="both"/>
        <w:rPr>
          <w:color w:val="000000"/>
        </w:rPr>
      </w:pPr>
      <w:r>
        <w:rPr>
          <w:color w:val="000000"/>
        </w:rPr>
        <w:t>15.2</w:t>
      </w:r>
      <w:r>
        <w:rPr>
          <w:color w:val="000000"/>
        </w:rPr>
        <w:t>. Perspektyvią išteklių bazę, sudaro įvertintų ir valstybės fondui priskirtų išžvalgytų kietųjų naudingųjų iškasenų telkinių ištekliai bei naftos ir dujų telkinių geologiniai ištekliai. Šiai bazei taip pat skiriami išžvalgytų ar įvertintų telkinių, kurių eksploatacija draudžiama atitinkamais juridiniais dokumentais, ištekliai.</w:t>
      </w:r>
    </w:p>
    <w:p>
      <w:pPr>
        <w:ind w:firstLine="709"/>
        <w:jc w:val="both"/>
        <w:rPr>
          <w:color w:val="000000"/>
        </w:rPr>
      </w:pPr>
      <w:r>
        <w:rPr>
          <w:color w:val="000000"/>
        </w:rPr>
        <w:t>15.3</w:t>
      </w:r>
      <w:r>
        <w:rPr>
          <w:color w:val="000000"/>
        </w:rPr>
        <w:t>. Realią išteklių bazę sudaro įmonių fondui priskirtų išžvalgytų eksploatuojamų arba rentabilūs dar neeksploatuojamų kietųjų naudingųjų iškasenų telkinių ištekliai, o taip pat rentabilūs naftos ir dujų išžvalgytų telkinių išgaunamieji ištekliai.</w:t>
      </w:r>
    </w:p>
    <w:p>
      <w:pPr>
        <w:jc w:val="center"/>
        <w:rPr>
          <w:color w:val="000000"/>
        </w:rPr>
      </w:pPr>
      <w:r>
        <w:rPr>
          <w:color w:val="000000"/>
        </w:rPr>
        <w:t>______________</w:t>
      </w:r>
    </w:p>
    <w:p>
      <w:pPr>
        <w:ind w:firstLine="5102"/>
        <w:rPr>
          <w:color w:val="000000"/>
        </w:rPr>
      </w:pPr>
      <w:r>
        <w:rPr>
          <w:color w:val="000000"/>
        </w:rPr>
        <w:br w:type="page"/>
      </w:r>
    </w:p>
    <w:p>
      <w:pPr>
        <w:ind w:firstLine="5102"/>
        <w:rPr>
          <w:color w:val="000000"/>
        </w:rPr>
      </w:pPr>
      <w:r>
        <w:rPr>
          <w:color w:val="000000"/>
        </w:rPr>
        <w:t xml:space="preserve">Naudingųjų iškasenų išteklių klasifikacijos </w:t>
      </w:r>
    </w:p>
    <w:p>
      <w:pPr>
        <w:ind w:firstLine="5102"/>
        <w:rPr>
          <w:color w:val="000000"/>
        </w:rPr>
      </w:pPr>
      <w:r>
        <w:rPr>
          <w:color w:val="000000"/>
        </w:rPr>
        <w:t xml:space="preserve">priedėlis </w:t>
      </w:r>
      <w:r>
        <w:rPr>
          <w:color w:val="000000"/>
        </w:rPr>
        <w:t>2</w:t>
      </w:r>
    </w:p>
    <w:p>
      <w:pPr>
        <w:ind w:firstLine="709"/>
        <w:rPr>
          <w:color w:val="000000"/>
        </w:rPr>
      </w:pPr>
    </w:p>
    <w:p>
      <w:pPr>
        <w:jc w:val="center"/>
        <w:rPr>
          <w:b/>
          <w:color w:val="000000"/>
        </w:rPr>
      </w:pPr>
      <w:r>
        <w:rPr>
          <w:b/>
          <w:color w:val="000000"/>
        </w:rPr>
        <w:t>LIETUVOS RESPUBLIKOS IR KAI KURIŲ KITŲ VALSTYBIŲ KIETŲJŲ NAUDINGŲJŲ IŠKASENŲ KLASIFIKACIJŲ PALYGINIMAS</w:t>
      </w:r>
    </w:p>
    <w:p>
      <w:pPr>
        <w:ind w:firstLine="709"/>
        <w:rPr>
          <w:color w:val="000000"/>
        </w:rPr>
      </w:pPr>
    </w:p>
    <w:tbl>
      <w:tblPr>
        <w:tblW w:w="9637" w:type="dxa"/>
        <w:tblLook w:val="01E0" w:firstRow="1" w:lastRow="1" w:firstColumn="1" w:lastColumn="1" w:noHBand="0" w:noVBand="0"/>
      </w:tblPr>
      <w:tblGrid>
        <w:gridCol w:w="1934"/>
        <w:gridCol w:w="967"/>
        <w:gridCol w:w="964"/>
        <w:gridCol w:w="1925"/>
        <w:gridCol w:w="1922"/>
        <w:gridCol w:w="1925"/>
      </w:tblGrid>
      <w:tr>
        <w:tc>
          <w:tcPr>
            <w:tcW w:w="1970" w:type="dxa"/>
            <w:vMerge w:val="restart"/>
            <w:tcBorders>
              <w:top w:val="single" w:sz="4" w:space="0" w:color="auto"/>
            </w:tcBorders>
          </w:tcPr>
          <w:p>
            <w:pPr>
              <w:jc w:val="center"/>
              <w:rPr>
                <w:color w:val="000000"/>
                <w:sz w:val="20"/>
              </w:rPr>
            </w:pPr>
            <w:r>
              <w:rPr>
                <w:color w:val="000000"/>
                <w:sz w:val="20"/>
              </w:rPr>
              <w:t>Lietuvos Respublika</w:t>
            </w:r>
          </w:p>
          <w:p>
            <w:pPr>
              <w:jc w:val="center"/>
              <w:rPr>
                <w:color w:val="000000"/>
                <w:sz w:val="20"/>
              </w:rPr>
            </w:pPr>
            <w:r>
              <w:rPr>
                <w:color w:val="000000"/>
                <w:sz w:val="20"/>
              </w:rPr>
              <w:t>1992</w:t>
            </w:r>
          </w:p>
        </w:tc>
        <w:tc>
          <w:tcPr>
            <w:tcW w:w="3942" w:type="dxa"/>
            <w:gridSpan w:val="3"/>
            <w:tcBorders>
              <w:top w:val="single" w:sz="4" w:space="0" w:color="auto"/>
              <w:bottom w:val="single" w:sz="4" w:space="0" w:color="auto"/>
            </w:tcBorders>
          </w:tcPr>
          <w:p>
            <w:pPr>
              <w:jc w:val="center"/>
              <w:rPr>
                <w:color w:val="000000"/>
                <w:sz w:val="20"/>
              </w:rPr>
            </w:pPr>
            <w:r>
              <w:rPr>
                <w:color w:val="000000"/>
                <w:sz w:val="20"/>
              </w:rPr>
              <w:t>Telkinių ištekliai</w:t>
            </w:r>
          </w:p>
        </w:tc>
        <w:tc>
          <w:tcPr>
            <w:tcW w:w="3942" w:type="dxa"/>
            <w:gridSpan w:val="2"/>
            <w:tcBorders>
              <w:top w:val="single" w:sz="4" w:space="0" w:color="auto"/>
              <w:bottom w:val="single" w:sz="4" w:space="0" w:color="auto"/>
            </w:tcBorders>
          </w:tcPr>
          <w:p>
            <w:pPr>
              <w:jc w:val="center"/>
              <w:rPr>
                <w:color w:val="000000"/>
                <w:sz w:val="20"/>
              </w:rPr>
            </w:pPr>
            <w:r>
              <w:rPr>
                <w:color w:val="000000"/>
                <w:sz w:val="20"/>
              </w:rPr>
              <w:t>Prognoziniai ištekliai</w:t>
            </w:r>
          </w:p>
        </w:tc>
      </w:tr>
      <w:tr>
        <w:tc>
          <w:tcPr>
            <w:tcW w:w="1970" w:type="dxa"/>
            <w:vMerge/>
          </w:tcPr>
          <w:p>
            <w:pPr>
              <w:jc w:val="center"/>
              <w:rPr>
                <w:color w:val="000000"/>
                <w:sz w:val="20"/>
              </w:rPr>
            </w:pPr>
          </w:p>
        </w:tc>
        <w:tc>
          <w:tcPr>
            <w:tcW w:w="1971" w:type="dxa"/>
            <w:gridSpan w:val="2"/>
            <w:tcBorders>
              <w:top w:val="single" w:sz="4" w:space="0" w:color="auto"/>
              <w:bottom w:val="single" w:sz="4" w:space="0" w:color="auto"/>
            </w:tcBorders>
          </w:tcPr>
          <w:p>
            <w:pPr>
              <w:jc w:val="center"/>
              <w:rPr>
                <w:color w:val="000000"/>
                <w:sz w:val="20"/>
              </w:rPr>
            </w:pPr>
            <w:r>
              <w:rPr>
                <w:color w:val="000000"/>
                <w:sz w:val="20"/>
              </w:rPr>
              <w:t>Išžvalgyti</w:t>
            </w:r>
          </w:p>
        </w:tc>
        <w:tc>
          <w:tcPr>
            <w:tcW w:w="1971" w:type="dxa"/>
            <w:tcBorders>
              <w:top w:val="single" w:sz="4" w:space="0" w:color="auto"/>
              <w:bottom w:val="single" w:sz="4" w:space="0" w:color="auto"/>
            </w:tcBorders>
          </w:tcPr>
          <w:p>
            <w:pPr>
              <w:jc w:val="center"/>
              <w:rPr>
                <w:color w:val="000000"/>
                <w:sz w:val="20"/>
              </w:rPr>
            </w:pPr>
            <w:r>
              <w:rPr>
                <w:color w:val="000000"/>
                <w:sz w:val="20"/>
              </w:rPr>
              <w:t>Įvertinti</w:t>
            </w:r>
          </w:p>
        </w:tc>
        <w:tc>
          <w:tcPr>
            <w:tcW w:w="1971" w:type="dxa"/>
            <w:tcBorders>
              <w:top w:val="single" w:sz="4" w:space="0" w:color="auto"/>
              <w:bottom w:val="single" w:sz="4" w:space="0" w:color="auto"/>
            </w:tcBorders>
          </w:tcPr>
          <w:p>
            <w:pPr>
              <w:jc w:val="center"/>
              <w:rPr>
                <w:color w:val="000000"/>
                <w:sz w:val="20"/>
              </w:rPr>
            </w:pPr>
            <w:r>
              <w:rPr>
                <w:color w:val="000000"/>
                <w:sz w:val="20"/>
              </w:rPr>
              <w:t>Aptikti</w:t>
            </w:r>
          </w:p>
        </w:tc>
        <w:tc>
          <w:tcPr>
            <w:tcW w:w="1971" w:type="dxa"/>
            <w:tcBorders>
              <w:top w:val="single" w:sz="4" w:space="0" w:color="auto"/>
              <w:bottom w:val="single" w:sz="4" w:space="0" w:color="auto"/>
            </w:tcBorders>
          </w:tcPr>
          <w:p>
            <w:pPr>
              <w:jc w:val="center"/>
              <w:rPr>
                <w:color w:val="000000"/>
                <w:sz w:val="20"/>
              </w:rPr>
            </w:pPr>
            <w:r>
              <w:rPr>
                <w:color w:val="000000"/>
                <w:sz w:val="20"/>
              </w:rPr>
              <w:t>Spėjami</w:t>
            </w:r>
          </w:p>
        </w:tc>
      </w:tr>
      <w:tr>
        <w:tc>
          <w:tcPr>
            <w:tcW w:w="1970" w:type="dxa"/>
            <w:vMerge/>
            <w:tcBorders>
              <w:bottom w:val="single" w:sz="4" w:space="0" w:color="auto"/>
            </w:tcBorders>
          </w:tcPr>
          <w:p>
            <w:pPr>
              <w:jc w:val="center"/>
              <w:rPr>
                <w:color w:val="000000"/>
                <w:sz w:val="20"/>
              </w:rPr>
            </w:pPr>
          </w:p>
        </w:tc>
        <w:tc>
          <w:tcPr>
            <w:tcW w:w="985" w:type="dxa"/>
            <w:tcBorders>
              <w:top w:val="single" w:sz="4" w:space="0" w:color="auto"/>
              <w:bottom w:val="single" w:sz="4" w:space="0" w:color="auto"/>
            </w:tcBorders>
          </w:tcPr>
          <w:p>
            <w:pPr>
              <w:jc w:val="center"/>
              <w:rPr>
                <w:color w:val="000000"/>
                <w:sz w:val="20"/>
              </w:rPr>
            </w:pPr>
            <w:r>
              <w:rPr>
                <w:color w:val="000000"/>
                <w:sz w:val="20"/>
              </w:rPr>
              <w:t>A</w:t>
            </w:r>
          </w:p>
        </w:tc>
        <w:tc>
          <w:tcPr>
            <w:tcW w:w="986" w:type="dxa"/>
            <w:tcBorders>
              <w:top w:val="single" w:sz="4" w:space="0" w:color="auto"/>
              <w:bottom w:val="single" w:sz="4" w:space="0" w:color="auto"/>
            </w:tcBorders>
          </w:tcPr>
          <w:p>
            <w:pPr>
              <w:jc w:val="center"/>
              <w:rPr>
                <w:color w:val="000000"/>
                <w:sz w:val="20"/>
              </w:rPr>
            </w:pPr>
            <w:r>
              <w:rPr>
                <w:color w:val="000000"/>
                <w:sz w:val="20"/>
              </w:rPr>
              <w:t>B</w:t>
            </w:r>
          </w:p>
        </w:tc>
        <w:tc>
          <w:tcPr>
            <w:tcW w:w="1971" w:type="dxa"/>
            <w:tcBorders>
              <w:top w:val="single" w:sz="4" w:space="0" w:color="auto"/>
              <w:bottom w:val="single" w:sz="4" w:space="0" w:color="auto"/>
            </w:tcBorders>
          </w:tcPr>
          <w:p>
            <w:pPr>
              <w:jc w:val="center"/>
              <w:rPr>
                <w:color w:val="000000"/>
                <w:sz w:val="20"/>
              </w:rPr>
            </w:pPr>
            <w:r>
              <w:rPr>
                <w:color w:val="000000"/>
                <w:sz w:val="20"/>
              </w:rPr>
              <w:t>C</w:t>
            </w:r>
          </w:p>
        </w:tc>
        <w:tc>
          <w:tcPr>
            <w:tcW w:w="1971" w:type="dxa"/>
            <w:tcBorders>
              <w:top w:val="single" w:sz="4" w:space="0" w:color="auto"/>
              <w:bottom w:val="single" w:sz="4" w:space="0" w:color="auto"/>
            </w:tcBorders>
          </w:tcPr>
          <w:p>
            <w:pPr>
              <w:jc w:val="center"/>
              <w:rPr>
                <w:color w:val="000000"/>
                <w:sz w:val="20"/>
              </w:rPr>
            </w:pPr>
            <w:r>
              <w:rPr>
                <w:color w:val="000000"/>
                <w:sz w:val="20"/>
              </w:rPr>
              <w:t>Pa</w:t>
            </w:r>
          </w:p>
        </w:tc>
        <w:tc>
          <w:tcPr>
            <w:tcW w:w="1971" w:type="dxa"/>
            <w:tcBorders>
              <w:top w:val="single" w:sz="4" w:space="0" w:color="auto"/>
              <w:bottom w:val="single" w:sz="4" w:space="0" w:color="auto"/>
            </w:tcBorders>
          </w:tcPr>
          <w:p>
            <w:pPr>
              <w:jc w:val="center"/>
              <w:rPr>
                <w:color w:val="000000"/>
                <w:sz w:val="20"/>
              </w:rPr>
            </w:pPr>
            <w:r>
              <w:rPr>
                <w:color w:val="000000"/>
                <w:sz w:val="20"/>
              </w:rPr>
              <w:t>Ps</w:t>
            </w:r>
          </w:p>
        </w:tc>
      </w:tr>
    </w:tbl>
    <w:p>
      <w:pPr>
        <w:rPr>
          <w:color w:val="000000"/>
        </w:rPr>
      </w:pPr>
    </w:p>
    <w:tbl>
      <w:tblPr>
        <w:tblW w:w="9637" w:type="dxa"/>
        <w:tblBorders>
          <w:top w:val="single" w:sz="4" w:space="0" w:color="auto"/>
          <w:bottom w:val="single" w:sz="4" w:space="0" w:color="auto"/>
        </w:tblBorders>
        <w:tblLayout w:type="fixed"/>
        <w:tblLook w:val="01E0" w:firstRow="1" w:lastRow="1" w:firstColumn="1" w:lastColumn="1" w:noHBand="0" w:noVBand="0"/>
      </w:tblPr>
      <w:tblGrid>
        <w:gridCol w:w="1922"/>
        <w:gridCol w:w="646"/>
        <w:gridCol w:w="646"/>
        <w:gridCol w:w="646"/>
        <w:gridCol w:w="2056"/>
        <w:gridCol w:w="1232"/>
        <w:gridCol w:w="1232"/>
        <w:gridCol w:w="1257"/>
      </w:tblGrid>
      <w:tr>
        <w:tc>
          <w:tcPr>
            <w:tcW w:w="1970" w:type="dxa"/>
            <w:vMerge w:val="restart"/>
          </w:tcPr>
          <w:p>
            <w:pPr>
              <w:jc w:val="center"/>
              <w:rPr>
                <w:color w:val="000000"/>
                <w:sz w:val="20"/>
              </w:rPr>
            </w:pPr>
            <w:r>
              <w:rPr>
                <w:color w:val="000000"/>
                <w:sz w:val="20"/>
              </w:rPr>
              <w:t>Lietuvos Respublika (naudota buvusios SSSR) 1981</w:t>
            </w:r>
          </w:p>
        </w:tc>
        <w:tc>
          <w:tcPr>
            <w:tcW w:w="4078" w:type="dxa"/>
            <w:gridSpan w:val="4"/>
            <w:tcBorders>
              <w:bottom w:val="single" w:sz="4" w:space="0" w:color="auto"/>
            </w:tcBorders>
          </w:tcPr>
          <w:p>
            <w:pPr>
              <w:jc w:val="center"/>
              <w:rPr>
                <w:color w:val="000000"/>
                <w:sz w:val="20"/>
              </w:rPr>
            </w:pPr>
            <w:r>
              <w:rPr>
                <w:color w:val="000000"/>
                <w:sz w:val="20"/>
              </w:rPr>
              <w:t>Ištekliai</w:t>
            </w:r>
          </w:p>
        </w:tc>
        <w:tc>
          <w:tcPr>
            <w:tcW w:w="3806" w:type="dxa"/>
            <w:gridSpan w:val="3"/>
            <w:tcBorders>
              <w:bottom w:val="single" w:sz="4" w:space="0" w:color="auto"/>
            </w:tcBorders>
          </w:tcPr>
          <w:p>
            <w:pPr>
              <w:jc w:val="center"/>
              <w:rPr>
                <w:color w:val="000000"/>
                <w:sz w:val="20"/>
              </w:rPr>
            </w:pPr>
            <w:r>
              <w:rPr>
                <w:color w:val="000000"/>
                <w:sz w:val="20"/>
              </w:rPr>
              <w:t>Prognoziniai ištekliai</w:t>
            </w:r>
          </w:p>
        </w:tc>
      </w:tr>
      <w:tr>
        <w:tc>
          <w:tcPr>
            <w:tcW w:w="1970" w:type="dxa"/>
            <w:vMerge/>
          </w:tcPr>
          <w:p>
            <w:pPr>
              <w:jc w:val="center"/>
              <w:rPr>
                <w:color w:val="000000"/>
                <w:sz w:val="20"/>
              </w:rPr>
            </w:pPr>
          </w:p>
        </w:tc>
        <w:tc>
          <w:tcPr>
            <w:tcW w:w="1971" w:type="dxa"/>
            <w:gridSpan w:val="3"/>
            <w:tcBorders>
              <w:top w:val="single" w:sz="4" w:space="0" w:color="auto"/>
              <w:bottom w:val="single" w:sz="4" w:space="0" w:color="auto"/>
            </w:tcBorders>
          </w:tcPr>
          <w:p>
            <w:pPr>
              <w:jc w:val="center"/>
              <w:rPr>
                <w:color w:val="000000"/>
                <w:sz w:val="20"/>
              </w:rPr>
            </w:pPr>
            <w:r>
              <w:rPr>
                <w:color w:val="000000"/>
                <w:sz w:val="20"/>
              </w:rPr>
              <w:t>Išžvalgyti</w:t>
            </w:r>
          </w:p>
        </w:tc>
        <w:tc>
          <w:tcPr>
            <w:tcW w:w="2107" w:type="dxa"/>
            <w:tcBorders>
              <w:top w:val="single" w:sz="4" w:space="0" w:color="auto"/>
              <w:bottom w:val="single" w:sz="4" w:space="0" w:color="auto"/>
            </w:tcBorders>
          </w:tcPr>
          <w:p>
            <w:pPr>
              <w:jc w:val="center"/>
              <w:rPr>
                <w:color w:val="000000"/>
                <w:sz w:val="20"/>
              </w:rPr>
            </w:pPr>
            <w:r>
              <w:rPr>
                <w:color w:val="000000"/>
                <w:sz w:val="20"/>
              </w:rPr>
              <w:t>Parengtinai įvertinti</w:t>
            </w:r>
          </w:p>
        </w:tc>
        <w:tc>
          <w:tcPr>
            <w:tcW w:w="1260" w:type="dxa"/>
            <w:vMerge w:val="restart"/>
            <w:tcBorders>
              <w:top w:val="single" w:sz="4" w:space="0" w:color="auto"/>
              <w:bottom w:val="nil"/>
            </w:tcBorders>
          </w:tcPr>
          <w:p>
            <w:pPr>
              <w:jc w:val="center"/>
              <w:rPr>
                <w:color w:val="000000"/>
                <w:sz w:val="20"/>
              </w:rPr>
            </w:pPr>
            <w:r>
              <w:rPr>
                <w:color w:val="000000"/>
                <w:sz w:val="20"/>
              </w:rPr>
              <w:t>P1</w:t>
            </w:r>
          </w:p>
        </w:tc>
        <w:tc>
          <w:tcPr>
            <w:tcW w:w="1260" w:type="dxa"/>
            <w:vMerge w:val="restart"/>
            <w:tcBorders>
              <w:top w:val="single" w:sz="4" w:space="0" w:color="auto"/>
              <w:bottom w:val="nil"/>
            </w:tcBorders>
          </w:tcPr>
          <w:p>
            <w:pPr>
              <w:jc w:val="center"/>
              <w:rPr>
                <w:color w:val="000000"/>
                <w:sz w:val="20"/>
              </w:rPr>
            </w:pPr>
            <w:r>
              <w:rPr>
                <w:color w:val="000000"/>
                <w:sz w:val="20"/>
              </w:rPr>
              <w:t>P2</w:t>
            </w:r>
          </w:p>
        </w:tc>
        <w:tc>
          <w:tcPr>
            <w:tcW w:w="1286" w:type="dxa"/>
            <w:vMerge w:val="restart"/>
            <w:tcBorders>
              <w:top w:val="single" w:sz="4" w:space="0" w:color="auto"/>
              <w:bottom w:val="nil"/>
            </w:tcBorders>
          </w:tcPr>
          <w:p>
            <w:pPr>
              <w:jc w:val="center"/>
              <w:rPr>
                <w:color w:val="000000"/>
                <w:sz w:val="20"/>
              </w:rPr>
            </w:pPr>
            <w:r>
              <w:rPr>
                <w:color w:val="000000"/>
                <w:sz w:val="20"/>
              </w:rPr>
              <w:t>P3</w:t>
            </w:r>
          </w:p>
        </w:tc>
      </w:tr>
      <w:tr>
        <w:tc>
          <w:tcPr>
            <w:tcW w:w="1970" w:type="dxa"/>
            <w:vMerge/>
          </w:tcPr>
          <w:p>
            <w:pPr>
              <w:jc w:val="center"/>
              <w:rPr>
                <w:color w:val="000000"/>
                <w:sz w:val="20"/>
              </w:rPr>
            </w:pPr>
          </w:p>
        </w:tc>
        <w:tc>
          <w:tcPr>
            <w:tcW w:w="657" w:type="dxa"/>
            <w:tcBorders>
              <w:top w:val="single" w:sz="4" w:space="0" w:color="auto"/>
            </w:tcBorders>
          </w:tcPr>
          <w:p>
            <w:pPr>
              <w:jc w:val="center"/>
              <w:rPr>
                <w:color w:val="000000"/>
                <w:sz w:val="20"/>
              </w:rPr>
            </w:pPr>
            <w:r>
              <w:rPr>
                <w:color w:val="000000"/>
                <w:sz w:val="20"/>
              </w:rPr>
              <w:t>A</w:t>
            </w:r>
          </w:p>
        </w:tc>
        <w:tc>
          <w:tcPr>
            <w:tcW w:w="657" w:type="dxa"/>
            <w:tcBorders>
              <w:top w:val="single" w:sz="4" w:space="0" w:color="auto"/>
            </w:tcBorders>
          </w:tcPr>
          <w:p>
            <w:pPr>
              <w:jc w:val="center"/>
              <w:rPr>
                <w:color w:val="000000"/>
                <w:sz w:val="20"/>
              </w:rPr>
            </w:pPr>
            <w:r>
              <w:rPr>
                <w:color w:val="000000"/>
                <w:sz w:val="20"/>
              </w:rPr>
              <w:t>B</w:t>
            </w:r>
          </w:p>
        </w:tc>
        <w:tc>
          <w:tcPr>
            <w:tcW w:w="657" w:type="dxa"/>
            <w:tcBorders>
              <w:top w:val="single" w:sz="4" w:space="0" w:color="auto"/>
            </w:tcBorders>
          </w:tcPr>
          <w:p>
            <w:pPr>
              <w:jc w:val="center"/>
              <w:rPr>
                <w:color w:val="000000"/>
                <w:sz w:val="20"/>
              </w:rPr>
            </w:pPr>
            <w:r>
              <w:rPr>
                <w:color w:val="000000"/>
                <w:sz w:val="20"/>
              </w:rPr>
              <w:t>C1</w:t>
            </w:r>
          </w:p>
        </w:tc>
        <w:tc>
          <w:tcPr>
            <w:tcW w:w="2107" w:type="dxa"/>
            <w:tcBorders>
              <w:top w:val="single" w:sz="4" w:space="0" w:color="auto"/>
            </w:tcBorders>
          </w:tcPr>
          <w:p>
            <w:pPr>
              <w:jc w:val="center"/>
              <w:rPr>
                <w:color w:val="000000"/>
                <w:sz w:val="20"/>
              </w:rPr>
            </w:pPr>
            <w:r>
              <w:rPr>
                <w:color w:val="000000"/>
                <w:sz w:val="20"/>
              </w:rPr>
              <w:t>C2</w:t>
            </w:r>
          </w:p>
        </w:tc>
        <w:tc>
          <w:tcPr>
            <w:tcW w:w="1260" w:type="dxa"/>
            <w:vMerge/>
            <w:tcBorders>
              <w:top w:val="nil"/>
            </w:tcBorders>
          </w:tcPr>
          <w:p>
            <w:pPr>
              <w:jc w:val="center"/>
              <w:rPr>
                <w:color w:val="000000"/>
                <w:sz w:val="20"/>
              </w:rPr>
            </w:pPr>
          </w:p>
        </w:tc>
        <w:tc>
          <w:tcPr>
            <w:tcW w:w="1260" w:type="dxa"/>
            <w:vMerge/>
            <w:tcBorders>
              <w:top w:val="nil"/>
            </w:tcBorders>
          </w:tcPr>
          <w:p>
            <w:pPr>
              <w:jc w:val="center"/>
              <w:rPr>
                <w:color w:val="000000"/>
                <w:sz w:val="20"/>
              </w:rPr>
            </w:pPr>
          </w:p>
        </w:tc>
        <w:tc>
          <w:tcPr>
            <w:tcW w:w="1286" w:type="dxa"/>
            <w:vMerge/>
            <w:tcBorders>
              <w:top w:val="nil"/>
            </w:tcBorders>
          </w:tcPr>
          <w:p>
            <w:pPr>
              <w:jc w:val="center"/>
              <w:rPr>
                <w:color w:val="000000"/>
                <w:sz w:val="20"/>
              </w:rPr>
            </w:pPr>
          </w:p>
        </w:tc>
      </w:tr>
    </w:tbl>
    <w:p>
      <w:pPr>
        <w:ind w:firstLine="709"/>
        <w:jc w:val="center"/>
        <w:rPr>
          <w:color w:val="000000"/>
        </w:rPr>
      </w:pPr>
    </w:p>
    <w:tbl>
      <w:tblPr>
        <w:tblW w:w="9637" w:type="dxa"/>
        <w:tblBorders>
          <w:top w:val="single" w:sz="4" w:space="0" w:color="auto"/>
          <w:bottom w:val="single" w:sz="4" w:space="0" w:color="auto"/>
        </w:tblBorders>
        <w:tblLook w:val="01E0" w:firstRow="1" w:lastRow="1" w:firstColumn="1" w:lastColumn="1" w:noHBand="0" w:noVBand="0"/>
      </w:tblPr>
      <w:tblGrid>
        <w:gridCol w:w="1221"/>
        <w:gridCol w:w="1689"/>
        <w:gridCol w:w="1860"/>
        <w:gridCol w:w="742"/>
        <w:gridCol w:w="755"/>
        <w:gridCol w:w="1858"/>
        <w:gridCol w:w="1512"/>
      </w:tblGrid>
      <w:tr>
        <w:tc>
          <w:tcPr>
            <w:tcW w:w="1264" w:type="dxa"/>
            <w:vMerge w:val="restart"/>
          </w:tcPr>
          <w:p>
            <w:pPr>
              <w:rPr>
                <w:color w:val="000000"/>
                <w:sz w:val="20"/>
              </w:rPr>
            </w:pPr>
            <w:r>
              <w:rPr>
                <w:color w:val="000000"/>
                <w:sz w:val="20"/>
              </w:rPr>
              <w:t xml:space="preserve">JAV </w:t>
            </w:r>
          </w:p>
          <w:p>
            <w:pPr>
              <w:rPr>
                <w:color w:val="000000"/>
                <w:sz w:val="20"/>
              </w:rPr>
            </w:pPr>
            <w:r>
              <w:rPr>
                <w:color w:val="000000"/>
                <w:sz w:val="20"/>
              </w:rPr>
              <w:t>1980</w:t>
            </w:r>
          </w:p>
        </w:tc>
        <w:tc>
          <w:tcPr>
            <w:tcW w:w="4377" w:type="dxa"/>
            <w:gridSpan w:val="3"/>
            <w:tcBorders>
              <w:top w:val="single" w:sz="4" w:space="0" w:color="auto"/>
              <w:bottom w:val="single" w:sz="4" w:space="0" w:color="auto"/>
            </w:tcBorders>
            <w:vAlign w:val="center"/>
          </w:tcPr>
          <w:p>
            <w:pPr>
              <w:jc w:val="center"/>
              <w:rPr>
                <w:color w:val="000000"/>
                <w:sz w:val="20"/>
              </w:rPr>
            </w:pPr>
            <w:r>
              <w:rPr>
                <w:color w:val="000000"/>
                <w:sz w:val="20"/>
              </w:rPr>
              <w:t>Identied Resources</w:t>
            </w:r>
          </w:p>
          <w:p>
            <w:pPr>
              <w:jc w:val="center"/>
              <w:rPr>
                <w:color w:val="000000"/>
                <w:sz w:val="20"/>
              </w:rPr>
            </w:pPr>
            <w:r>
              <w:rPr>
                <w:color w:val="000000"/>
                <w:sz w:val="20"/>
              </w:rPr>
              <w:t>(išaiškinti ištekliai)</w:t>
            </w:r>
          </w:p>
        </w:tc>
        <w:tc>
          <w:tcPr>
            <w:tcW w:w="4214" w:type="dxa"/>
            <w:gridSpan w:val="3"/>
            <w:tcBorders>
              <w:top w:val="single" w:sz="4" w:space="0" w:color="auto"/>
              <w:bottom w:val="single" w:sz="4" w:space="0" w:color="auto"/>
            </w:tcBorders>
            <w:vAlign w:val="center"/>
          </w:tcPr>
          <w:p>
            <w:pPr>
              <w:jc w:val="center"/>
              <w:rPr>
                <w:color w:val="000000"/>
                <w:sz w:val="20"/>
              </w:rPr>
            </w:pPr>
            <w:r>
              <w:rPr>
                <w:color w:val="000000"/>
                <w:sz w:val="20"/>
              </w:rPr>
              <w:t>Undiscovered Resources</w:t>
            </w:r>
          </w:p>
          <w:p>
            <w:pPr>
              <w:jc w:val="center"/>
              <w:rPr>
                <w:color w:val="000000"/>
                <w:sz w:val="20"/>
              </w:rPr>
            </w:pPr>
            <w:r>
              <w:rPr>
                <w:color w:val="000000"/>
                <w:sz w:val="20"/>
              </w:rPr>
              <w:t>Neaptikti ištekliai)</w:t>
            </w:r>
          </w:p>
        </w:tc>
      </w:tr>
      <w:tr>
        <w:tc>
          <w:tcPr>
            <w:tcW w:w="1264" w:type="dxa"/>
            <w:vMerge/>
          </w:tcPr>
          <w:p>
            <w:pPr>
              <w:rPr>
                <w:color w:val="000000"/>
                <w:sz w:val="20"/>
              </w:rPr>
            </w:pPr>
          </w:p>
        </w:tc>
        <w:tc>
          <w:tcPr>
            <w:tcW w:w="3627" w:type="dxa"/>
            <w:gridSpan w:val="2"/>
            <w:tcBorders>
              <w:top w:val="single" w:sz="4" w:space="0" w:color="auto"/>
              <w:bottom w:val="single" w:sz="4" w:space="0" w:color="auto"/>
            </w:tcBorders>
            <w:vAlign w:val="center"/>
          </w:tcPr>
          <w:p>
            <w:pPr>
              <w:jc w:val="center"/>
              <w:rPr>
                <w:color w:val="000000"/>
                <w:sz w:val="20"/>
              </w:rPr>
            </w:pPr>
            <w:r>
              <w:rPr>
                <w:color w:val="000000"/>
                <w:sz w:val="20"/>
              </w:rPr>
              <w:t>Demonstrated</w:t>
            </w:r>
          </w:p>
          <w:p>
            <w:pPr>
              <w:jc w:val="center"/>
              <w:rPr>
                <w:color w:val="000000"/>
                <w:sz w:val="20"/>
              </w:rPr>
            </w:pPr>
            <w:r>
              <w:rPr>
                <w:color w:val="000000"/>
                <w:sz w:val="20"/>
              </w:rPr>
              <w:t>(Patvirtinti)</w:t>
            </w:r>
          </w:p>
        </w:tc>
        <w:tc>
          <w:tcPr>
            <w:tcW w:w="1530" w:type="dxa"/>
            <w:gridSpan w:val="2"/>
            <w:vMerge w:val="restart"/>
            <w:tcBorders>
              <w:top w:val="single" w:sz="4" w:space="0" w:color="auto"/>
            </w:tcBorders>
            <w:vAlign w:val="center"/>
          </w:tcPr>
          <w:p>
            <w:pPr>
              <w:jc w:val="center"/>
              <w:rPr>
                <w:color w:val="000000"/>
                <w:sz w:val="20"/>
              </w:rPr>
            </w:pPr>
            <w:r>
              <w:rPr>
                <w:color w:val="000000"/>
                <w:sz w:val="20"/>
              </w:rPr>
              <w:t>Inferred</w:t>
            </w:r>
          </w:p>
          <w:p>
            <w:pPr>
              <w:jc w:val="center"/>
              <w:rPr>
                <w:color w:val="000000"/>
                <w:sz w:val="20"/>
              </w:rPr>
            </w:pPr>
            <w:r>
              <w:rPr>
                <w:color w:val="000000"/>
                <w:sz w:val="20"/>
              </w:rPr>
              <w:t>(Manomi)</w:t>
            </w:r>
          </w:p>
        </w:tc>
        <w:tc>
          <w:tcPr>
            <w:tcW w:w="3434" w:type="dxa"/>
            <w:gridSpan w:val="2"/>
            <w:tcBorders>
              <w:top w:val="single" w:sz="4" w:space="0" w:color="auto"/>
              <w:bottom w:val="single" w:sz="4" w:space="0" w:color="auto"/>
            </w:tcBorders>
            <w:vAlign w:val="center"/>
          </w:tcPr>
          <w:p>
            <w:pPr>
              <w:jc w:val="center"/>
              <w:rPr>
                <w:color w:val="000000"/>
                <w:sz w:val="20"/>
              </w:rPr>
            </w:pPr>
            <w:r>
              <w:rPr>
                <w:color w:val="000000"/>
                <w:sz w:val="20"/>
              </w:rPr>
              <w:t>Probability range</w:t>
            </w:r>
          </w:p>
          <w:p>
            <w:pPr>
              <w:jc w:val="center"/>
              <w:rPr>
                <w:color w:val="000000"/>
                <w:sz w:val="20"/>
              </w:rPr>
            </w:pPr>
            <w:r>
              <w:rPr>
                <w:color w:val="000000"/>
                <w:sz w:val="20"/>
              </w:rPr>
              <w:t>(Tikimybės laipsnis)</w:t>
            </w:r>
          </w:p>
        </w:tc>
      </w:tr>
      <w:tr>
        <w:tc>
          <w:tcPr>
            <w:tcW w:w="1264" w:type="dxa"/>
            <w:vMerge/>
          </w:tcPr>
          <w:p>
            <w:pPr>
              <w:rPr>
                <w:color w:val="000000"/>
                <w:sz w:val="20"/>
              </w:rPr>
            </w:pPr>
          </w:p>
        </w:tc>
        <w:tc>
          <w:tcPr>
            <w:tcW w:w="1730" w:type="dxa"/>
            <w:tcBorders>
              <w:top w:val="single" w:sz="4" w:space="0" w:color="auto"/>
            </w:tcBorders>
            <w:vAlign w:val="center"/>
          </w:tcPr>
          <w:p>
            <w:pPr>
              <w:jc w:val="center"/>
              <w:rPr>
                <w:color w:val="000000"/>
                <w:sz w:val="20"/>
              </w:rPr>
            </w:pPr>
            <w:r>
              <w:rPr>
                <w:color w:val="000000"/>
                <w:sz w:val="20"/>
              </w:rPr>
              <w:t>Measured</w:t>
            </w:r>
          </w:p>
          <w:p>
            <w:pPr>
              <w:jc w:val="center"/>
              <w:rPr>
                <w:color w:val="000000"/>
                <w:sz w:val="20"/>
              </w:rPr>
            </w:pPr>
            <w:r>
              <w:rPr>
                <w:color w:val="000000"/>
                <w:sz w:val="20"/>
              </w:rPr>
              <w:t>(Išmatuoti)</w:t>
            </w:r>
          </w:p>
        </w:tc>
        <w:tc>
          <w:tcPr>
            <w:tcW w:w="1897" w:type="dxa"/>
            <w:tcBorders>
              <w:top w:val="single" w:sz="4" w:space="0" w:color="auto"/>
            </w:tcBorders>
            <w:vAlign w:val="center"/>
          </w:tcPr>
          <w:p>
            <w:pPr>
              <w:jc w:val="center"/>
              <w:rPr>
                <w:color w:val="000000"/>
                <w:sz w:val="20"/>
              </w:rPr>
            </w:pPr>
            <w:r>
              <w:rPr>
                <w:color w:val="000000"/>
                <w:sz w:val="20"/>
              </w:rPr>
              <w:t>Indicated</w:t>
            </w:r>
          </w:p>
          <w:p>
            <w:pPr>
              <w:jc w:val="center"/>
              <w:rPr>
                <w:color w:val="000000"/>
                <w:sz w:val="20"/>
              </w:rPr>
            </w:pPr>
            <w:r>
              <w:rPr>
                <w:color w:val="000000"/>
                <w:sz w:val="20"/>
              </w:rPr>
              <w:t>(Paskaičiuoti)</w:t>
            </w:r>
          </w:p>
        </w:tc>
        <w:tc>
          <w:tcPr>
            <w:tcW w:w="1530" w:type="dxa"/>
            <w:gridSpan w:val="2"/>
            <w:vMerge/>
            <w:vAlign w:val="center"/>
          </w:tcPr>
          <w:p>
            <w:pPr>
              <w:jc w:val="center"/>
              <w:rPr>
                <w:color w:val="000000"/>
                <w:sz w:val="20"/>
              </w:rPr>
            </w:pPr>
          </w:p>
        </w:tc>
        <w:tc>
          <w:tcPr>
            <w:tcW w:w="1897" w:type="dxa"/>
            <w:vAlign w:val="center"/>
          </w:tcPr>
          <w:p>
            <w:pPr>
              <w:jc w:val="center"/>
              <w:rPr>
                <w:color w:val="000000"/>
                <w:sz w:val="20"/>
              </w:rPr>
            </w:pPr>
            <w:r>
              <w:rPr>
                <w:color w:val="000000"/>
                <w:sz w:val="20"/>
              </w:rPr>
              <w:t>Hypothetical</w:t>
            </w:r>
          </w:p>
          <w:p>
            <w:pPr>
              <w:jc w:val="center"/>
              <w:rPr>
                <w:color w:val="000000"/>
                <w:sz w:val="20"/>
              </w:rPr>
            </w:pPr>
            <w:r>
              <w:rPr>
                <w:color w:val="000000"/>
                <w:sz w:val="20"/>
              </w:rPr>
              <w:t>(Hipotetiniai)</w:t>
            </w:r>
          </w:p>
        </w:tc>
        <w:tc>
          <w:tcPr>
            <w:tcW w:w="1537" w:type="dxa"/>
            <w:vAlign w:val="center"/>
          </w:tcPr>
          <w:p>
            <w:pPr>
              <w:jc w:val="center"/>
              <w:rPr>
                <w:color w:val="000000"/>
                <w:sz w:val="20"/>
              </w:rPr>
            </w:pPr>
            <w:r>
              <w:rPr>
                <w:color w:val="000000"/>
                <w:sz w:val="20"/>
              </w:rPr>
              <w:t>Speculative</w:t>
            </w:r>
          </w:p>
          <w:p>
            <w:pPr>
              <w:jc w:val="center"/>
              <w:rPr>
                <w:color w:val="000000"/>
                <w:sz w:val="20"/>
              </w:rPr>
            </w:pPr>
            <w:r>
              <w:rPr>
                <w:color w:val="000000"/>
                <w:sz w:val="20"/>
              </w:rPr>
              <w:t>(Teoriniai)</w:t>
            </w:r>
          </w:p>
        </w:tc>
      </w:tr>
    </w:tbl>
    <w:p>
      <w:pPr>
        <w:jc w:val="center"/>
        <w:rPr>
          <w:color w:val="000000"/>
        </w:rPr>
      </w:pPr>
      <w:r>
        <w:rPr>
          <w:color w:val="000000"/>
        </w:rPr>
        <w:t>______________</w:t>
      </w:r>
    </w:p>
    <w:p>
      <w:pPr>
        <w:rPr>
          <w:color w:val="000000"/>
        </w:rPr>
      </w:pPr>
    </w:p>
    <w:p>
      <w:pPr>
        <w:ind w:firstLine="5102"/>
        <w:rPr>
          <w:color w:val="000000"/>
        </w:rPr>
      </w:pPr>
      <w:r>
        <w:rPr>
          <w:color w:val="000000"/>
        </w:rPr>
        <w:br w:type="page"/>
      </w:r>
    </w:p>
    <w:p>
      <w:pPr>
        <w:ind w:firstLine="5102"/>
        <w:rPr>
          <w:color w:val="000000"/>
        </w:rPr>
      </w:pPr>
      <w:r>
        <w:rPr>
          <w:color w:val="000000"/>
        </w:rPr>
        <w:t xml:space="preserve">Naudingųjų iškasenų išteklių klasifikacijos </w:t>
      </w:r>
    </w:p>
    <w:p>
      <w:pPr>
        <w:ind w:firstLine="5102"/>
        <w:rPr>
          <w:color w:val="000000"/>
        </w:rPr>
      </w:pPr>
      <w:r>
        <w:rPr>
          <w:color w:val="000000"/>
        </w:rPr>
        <w:t xml:space="preserve">priedėlis </w:t>
      </w:r>
      <w:r>
        <w:rPr>
          <w:color w:val="000000"/>
        </w:rPr>
        <w:t>3</w:t>
      </w:r>
    </w:p>
    <w:p>
      <w:pPr>
        <w:ind w:firstLine="709"/>
        <w:rPr>
          <w:color w:val="000000"/>
        </w:rPr>
      </w:pPr>
    </w:p>
    <w:p>
      <w:pPr>
        <w:jc w:val="center"/>
        <w:rPr>
          <w:b/>
          <w:color w:val="000000"/>
        </w:rPr>
      </w:pPr>
      <w:r>
        <w:rPr>
          <w:b/>
          <w:color w:val="000000"/>
        </w:rPr>
        <w:t>LIETUVOS RESPUBLIKOS IR KAI KURIŲ KITŲ VALSTYBIŲ NAFTOS IR DUJŲ IŠTEKLIŲ KLASIFIKACIJŲ PALYGINIMAS</w:t>
      </w:r>
    </w:p>
    <w:p>
      <w:pPr>
        <w:jc w:val="center"/>
        <w:rPr>
          <w:b/>
          <w:color w:val="000000"/>
        </w:rPr>
      </w:pPr>
    </w:p>
    <w:tbl>
      <w:tblPr>
        <w:tblW w:w="9637" w:type="dxa"/>
        <w:tblBorders>
          <w:top w:val="single" w:sz="4" w:space="0" w:color="auto"/>
          <w:bottom w:val="single" w:sz="4" w:space="0" w:color="auto"/>
        </w:tblBorders>
        <w:tblLook w:val="01E0" w:firstRow="1" w:lastRow="1" w:firstColumn="1" w:lastColumn="1" w:noHBand="0" w:noVBand="0"/>
      </w:tblPr>
      <w:tblGrid>
        <w:gridCol w:w="1925"/>
        <w:gridCol w:w="1930"/>
        <w:gridCol w:w="1923"/>
        <w:gridCol w:w="1923"/>
        <w:gridCol w:w="1936"/>
      </w:tblGrid>
      <w:tr>
        <w:tc>
          <w:tcPr>
            <w:tcW w:w="1970" w:type="dxa"/>
            <w:vMerge w:val="restart"/>
          </w:tcPr>
          <w:p>
            <w:pPr>
              <w:jc w:val="center"/>
              <w:rPr>
                <w:color w:val="000000"/>
                <w:sz w:val="20"/>
              </w:rPr>
            </w:pPr>
            <w:r>
              <w:rPr>
                <w:color w:val="000000"/>
                <w:sz w:val="20"/>
              </w:rPr>
              <w:t>Lietuvos Respubl.</w:t>
            </w:r>
          </w:p>
          <w:p>
            <w:pPr>
              <w:jc w:val="center"/>
              <w:rPr>
                <w:color w:val="000000"/>
                <w:sz w:val="20"/>
              </w:rPr>
            </w:pPr>
            <w:r>
              <w:rPr>
                <w:color w:val="000000"/>
                <w:sz w:val="20"/>
              </w:rPr>
              <w:t>1992</w:t>
            </w:r>
          </w:p>
        </w:tc>
        <w:tc>
          <w:tcPr>
            <w:tcW w:w="3942" w:type="dxa"/>
            <w:gridSpan w:val="2"/>
            <w:tcBorders>
              <w:top w:val="single" w:sz="4" w:space="0" w:color="auto"/>
              <w:bottom w:val="single" w:sz="4" w:space="0" w:color="auto"/>
            </w:tcBorders>
          </w:tcPr>
          <w:p>
            <w:pPr>
              <w:jc w:val="center"/>
              <w:rPr>
                <w:color w:val="000000"/>
                <w:sz w:val="20"/>
              </w:rPr>
            </w:pPr>
            <w:r>
              <w:rPr>
                <w:color w:val="000000"/>
                <w:sz w:val="20"/>
              </w:rPr>
              <w:t>Telkinių ištekliai</w:t>
            </w:r>
          </w:p>
        </w:tc>
        <w:tc>
          <w:tcPr>
            <w:tcW w:w="3942" w:type="dxa"/>
            <w:gridSpan w:val="2"/>
            <w:tcBorders>
              <w:top w:val="single" w:sz="4" w:space="0" w:color="auto"/>
              <w:bottom w:val="single" w:sz="4" w:space="0" w:color="auto"/>
            </w:tcBorders>
          </w:tcPr>
          <w:p>
            <w:pPr>
              <w:jc w:val="center"/>
              <w:rPr>
                <w:color w:val="000000"/>
                <w:sz w:val="20"/>
              </w:rPr>
            </w:pPr>
            <w:r>
              <w:rPr>
                <w:color w:val="000000"/>
                <w:sz w:val="20"/>
              </w:rPr>
              <w:t>Prognoziniai ištekliai</w:t>
            </w:r>
          </w:p>
        </w:tc>
      </w:tr>
      <w:tr>
        <w:tc>
          <w:tcPr>
            <w:tcW w:w="1970" w:type="dxa"/>
            <w:vMerge/>
          </w:tcPr>
          <w:p>
            <w:pPr>
              <w:jc w:val="center"/>
              <w:rPr>
                <w:color w:val="000000"/>
                <w:sz w:val="20"/>
              </w:rPr>
            </w:pPr>
          </w:p>
        </w:tc>
        <w:tc>
          <w:tcPr>
            <w:tcW w:w="1971" w:type="dxa"/>
            <w:tcBorders>
              <w:top w:val="single" w:sz="4" w:space="0" w:color="auto"/>
              <w:bottom w:val="single" w:sz="4" w:space="0" w:color="auto"/>
            </w:tcBorders>
          </w:tcPr>
          <w:p>
            <w:pPr>
              <w:jc w:val="center"/>
              <w:rPr>
                <w:color w:val="000000"/>
                <w:sz w:val="20"/>
              </w:rPr>
            </w:pPr>
            <w:r>
              <w:rPr>
                <w:color w:val="000000"/>
                <w:sz w:val="20"/>
              </w:rPr>
              <w:t>Išžvalgyti</w:t>
            </w:r>
          </w:p>
        </w:tc>
        <w:tc>
          <w:tcPr>
            <w:tcW w:w="1971" w:type="dxa"/>
            <w:tcBorders>
              <w:top w:val="single" w:sz="4" w:space="0" w:color="auto"/>
              <w:bottom w:val="single" w:sz="4" w:space="0" w:color="auto"/>
            </w:tcBorders>
          </w:tcPr>
          <w:p>
            <w:pPr>
              <w:jc w:val="center"/>
              <w:rPr>
                <w:color w:val="000000"/>
                <w:sz w:val="20"/>
              </w:rPr>
            </w:pPr>
            <w:r>
              <w:rPr>
                <w:color w:val="000000"/>
                <w:sz w:val="20"/>
              </w:rPr>
              <w:t>Įvertinti</w:t>
            </w:r>
          </w:p>
        </w:tc>
        <w:tc>
          <w:tcPr>
            <w:tcW w:w="1971" w:type="dxa"/>
            <w:tcBorders>
              <w:top w:val="single" w:sz="4" w:space="0" w:color="auto"/>
              <w:bottom w:val="single" w:sz="4" w:space="0" w:color="auto"/>
            </w:tcBorders>
          </w:tcPr>
          <w:p>
            <w:pPr>
              <w:jc w:val="center"/>
              <w:rPr>
                <w:color w:val="000000"/>
                <w:sz w:val="20"/>
              </w:rPr>
            </w:pPr>
            <w:r>
              <w:rPr>
                <w:color w:val="000000"/>
                <w:sz w:val="20"/>
              </w:rPr>
              <w:t>Lokalūs</w:t>
            </w:r>
          </w:p>
        </w:tc>
        <w:tc>
          <w:tcPr>
            <w:tcW w:w="1971" w:type="dxa"/>
            <w:tcBorders>
              <w:top w:val="single" w:sz="4" w:space="0" w:color="auto"/>
              <w:bottom w:val="single" w:sz="4" w:space="0" w:color="auto"/>
            </w:tcBorders>
          </w:tcPr>
          <w:p>
            <w:pPr>
              <w:jc w:val="center"/>
              <w:rPr>
                <w:color w:val="000000"/>
                <w:sz w:val="20"/>
              </w:rPr>
            </w:pPr>
            <w:r>
              <w:rPr>
                <w:color w:val="000000"/>
                <w:sz w:val="20"/>
              </w:rPr>
              <w:t>Regioniniai</w:t>
            </w:r>
          </w:p>
        </w:tc>
      </w:tr>
      <w:tr>
        <w:tc>
          <w:tcPr>
            <w:tcW w:w="1970" w:type="dxa"/>
            <w:vMerge/>
          </w:tcPr>
          <w:p>
            <w:pPr>
              <w:jc w:val="center"/>
              <w:rPr>
                <w:color w:val="000000"/>
                <w:sz w:val="20"/>
              </w:rPr>
            </w:pPr>
          </w:p>
        </w:tc>
        <w:tc>
          <w:tcPr>
            <w:tcW w:w="1971" w:type="dxa"/>
            <w:tcBorders>
              <w:top w:val="single" w:sz="4" w:space="0" w:color="auto"/>
            </w:tcBorders>
          </w:tcPr>
          <w:p>
            <w:pPr>
              <w:jc w:val="center"/>
              <w:rPr>
                <w:color w:val="000000"/>
                <w:sz w:val="20"/>
              </w:rPr>
            </w:pPr>
            <w:r>
              <w:rPr>
                <w:color w:val="000000"/>
                <w:sz w:val="20"/>
              </w:rPr>
              <w:t>A</w:t>
            </w:r>
          </w:p>
        </w:tc>
        <w:tc>
          <w:tcPr>
            <w:tcW w:w="1971" w:type="dxa"/>
            <w:tcBorders>
              <w:top w:val="single" w:sz="4" w:space="0" w:color="auto"/>
            </w:tcBorders>
          </w:tcPr>
          <w:p>
            <w:pPr>
              <w:jc w:val="center"/>
              <w:rPr>
                <w:color w:val="000000"/>
                <w:sz w:val="20"/>
              </w:rPr>
            </w:pPr>
            <w:r>
              <w:rPr>
                <w:color w:val="000000"/>
                <w:sz w:val="20"/>
              </w:rPr>
              <w:t>C</w:t>
            </w:r>
          </w:p>
        </w:tc>
        <w:tc>
          <w:tcPr>
            <w:tcW w:w="1971" w:type="dxa"/>
            <w:tcBorders>
              <w:top w:val="single" w:sz="4" w:space="0" w:color="auto"/>
            </w:tcBorders>
          </w:tcPr>
          <w:p>
            <w:pPr>
              <w:jc w:val="center"/>
              <w:rPr>
                <w:color w:val="000000"/>
                <w:sz w:val="20"/>
              </w:rPr>
            </w:pPr>
            <w:r>
              <w:rPr>
                <w:color w:val="000000"/>
                <w:sz w:val="20"/>
              </w:rPr>
              <w:t>P1</w:t>
            </w:r>
          </w:p>
        </w:tc>
        <w:tc>
          <w:tcPr>
            <w:tcW w:w="1971" w:type="dxa"/>
            <w:tcBorders>
              <w:top w:val="single" w:sz="4" w:space="0" w:color="auto"/>
            </w:tcBorders>
          </w:tcPr>
          <w:p>
            <w:pPr>
              <w:jc w:val="center"/>
              <w:rPr>
                <w:color w:val="000000"/>
                <w:sz w:val="20"/>
              </w:rPr>
            </w:pPr>
            <w:r>
              <w:rPr>
                <w:color w:val="000000"/>
                <w:sz w:val="20"/>
              </w:rPr>
              <w:t>Pr</w:t>
            </w:r>
          </w:p>
        </w:tc>
      </w:tr>
    </w:tbl>
    <w:p>
      <w:pPr>
        <w:rPr>
          <w:color w:val="000000"/>
        </w:rPr>
      </w:pPr>
    </w:p>
    <w:tbl>
      <w:tblPr>
        <w:tblW w:w="9637" w:type="dxa"/>
        <w:tblLook w:val="01E0" w:firstRow="1" w:lastRow="1" w:firstColumn="1" w:lastColumn="1" w:noHBand="0" w:noVBand="0"/>
      </w:tblPr>
      <w:tblGrid>
        <w:gridCol w:w="1908"/>
        <w:gridCol w:w="633"/>
        <w:gridCol w:w="634"/>
        <w:gridCol w:w="641"/>
        <w:gridCol w:w="1913"/>
        <w:gridCol w:w="1985"/>
        <w:gridCol w:w="964"/>
        <w:gridCol w:w="959"/>
      </w:tblGrid>
      <w:tr>
        <w:tc>
          <w:tcPr>
            <w:tcW w:w="1954" w:type="dxa"/>
            <w:vMerge w:val="restart"/>
          </w:tcPr>
          <w:p>
            <w:pPr>
              <w:jc w:val="center"/>
              <w:rPr>
                <w:color w:val="000000"/>
                <w:sz w:val="20"/>
              </w:rPr>
            </w:pPr>
            <w:r>
              <w:rPr>
                <w:color w:val="000000"/>
                <w:sz w:val="20"/>
              </w:rPr>
              <w:t>Lietuvos Respubl. (naudota buvusios SSSR)1983</w:t>
            </w:r>
          </w:p>
        </w:tc>
        <w:tc>
          <w:tcPr>
            <w:tcW w:w="3919" w:type="dxa"/>
            <w:gridSpan w:val="4"/>
            <w:tcBorders>
              <w:bottom w:val="single" w:sz="4" w:space="0" w:color="auto"/>
            </w:tcBorders>
          </w:tcPr>
          <w:p>
            <w:pPr>
              <w:jc w:val="center"/>
              <w:rPr>
                <w:color w:val="000000"/>
                <w:sz w:val="20"/>
              </w:rPr>
            </w:pPr>
            <w:r>
              <w:rPr>
                <w:color w:val="000000"/>
                <w:sz w:val="20"/>
              </w:rPr>
              <w:t>Ištekliai</w:t>
            </w:r>
          </w:p>
        </w:tc>
        <w:tc>
          <w:tcPr>
            <w:tcW w:w="3981" w:type="dxa"/>
            <w:gridSpan w:val="3"/>
            <w:tcBorders>
              <w:bottom w:val="single" w:sz="4" w:space="0" w:color="auto"/>
            </w:tcBorders>
          </w:tcPr>
          <w:p>
            <w:pPr>
              <w:jc w:val="center"/>
              <w:rPr>
                <w:color w:val="000000"/>
                <w:sz w:val="20"/>
              </w:rPr>
            </w:pPr>
            <w:r>
              <w:rPr>
                <w:color w:val="000000"/>
                <w:sz w:val="20"/>
              </w:rPr>
              <w:t>Ištekliai</w:t>
            </w:r>
          </w:p>
        </w:tc>
      </w:tr>
      <w:tr>
        <w:tc>
          <w:tcPr>
            <w:tcW w:w="1954" w:type="dxa"/>
            <w:vMerge/>
          </w:tcPr>
          <w:p>
            <w:pPr>
              <w:jc w:val="center"/>
              <w:rPr>
                <w:color w:val="000000"/>
                <w:sz w:val="20"/>
              </w:rPr>
            </w:pPr>
          </w:p>
        </w:tc>
        <w:tc>
          <w:tcPr>
            <w:tcW w:w="1958" w:type="dxa"/>
            <w:gridSpan w:val="3"/>
            <w:tcBorders>
              <w:top w:val="single" w:sz="4" w:space="0" w:color="auto"/>
              <w:bottom w:val="single" w:sz="4" w:space="0" w:color="auto"/>
            </w:tcBorders>
          </w:tcPr>
          <w:p>
            <w:pPr>
              <w:jc w:val="center"/>
              <w:rPr>
                <w:color w:val="000000"/>
                <w:sz w:val="20"/>
              </w:rPr>
            </w:pPr>
            <w:r>
              <w:rPr>
                <w:color w:val="000000"/>
                <w:sz w:val="20"/>
              </w:rPr>
              <w:t>Išžvalgyti</w:t>
            </w:r>
          </w:p>
        </w:tc>
        <w:tc>
          <w:tcPr>
            <w:tcW w:w="1961" w:type="dxa"/>
            <w:tcBorders>
              <w:top w:val="single" w:sz="4" w:space="0" w:color="auto"/>
              <w:bottom w:val="single" w:sz="4" w:space="0" w:color="auto"/>
            </w:tcBorders>
          </w:tcPr>
          <w:p>
            <w:pPr>
              <w:jc w:val="center"/>
              <w:rPr>
                <w:color w:val="000000"/>
                <w:sz w:val="20"/>
              </w:rPr>
            </w:pPr>
            <w:r>
              <w:rPr>
                <w:color w:val="000000"/>
                <w:sz w:val="20"/>
              </w:rPr>
              <w:t>Parengtinai įvertinti</w:t>
            </w:r>
          </w:p>
        </w:tc>
        <w:tc>
          <w:tcPr>
            <w:tcW w:w="2017" w:type="dxa"/>
            <w:tcBorders>
              <w:top w:val="single" w:sz="4" w:space="0" w:color="auto"/>
              <w:bottom w:val="single" w:sz="4" w:space="0" w:color="auto"/>
            </w:tcBorders>
          </w:tcPr>
          <w:p>
            <w:pPr>
              <w:jc w:val="center"/>
              <w:rPr>
                <w:color w:val="000000"/>
                <w:sz w:val="20"/>
              </w:rPr>
            </w:pPr>
            <w:r>
              <w:rPr>
                <w:color w:val="000000"/>
                <w:sz w:val="20"/>
              </w:rPr>
              <w:t>Perspektyviniai</w:t>
            </w:r>
          </w:p>
        </w:tc>
        <w:tc>
          <w:tcPr>
            <w:tcW w:w="1964" w:type="dxa"/>
            <w:gridSpan w:val="2"/>
            <w:tcBorders>
              <w:top w:val="single" w:sz="4" w:space="0" w:color="auto"/>
              <w:bottom w:val="single" w:sz="4" w:space="0" w:color="auto"/>
            </w:tcBorders>
          </w:tcPr>
          <w:p>
            <w:pPr>
              <w:jc w:val="center"/>
              <w:rPr>
                <w:color w:val="000000"/>
                <w:sz w:val="20"/>
              </w:rPr>
            </w:pPr>
            <w:r>
              <w:rPr>
                <w:color w:val="000000"/>
                <w:sz w:val="20"/>
              </w:rPr>
              <w:t>Prognoziniai</w:t>
            </w:r>
          </w:p>
        </w:tc>
      </w:tr>
      <w:tr>
        <w:tc>
          <w:tcPr>
            <w:tcW w:w="1954" w:type="dxa"/>
            <w:vMerge/>
            <w:tcBorders>
              <w:bottom w:val="single" w:sz="4" w:space="0" w:color="auto"/>
            </w:tcBorders>
          </w:tcPr>
          <w:p>
            <w:pPr>
              <w:jc w:val="center"/>
              <w:rPr>
                <w:color w:val="000000"/>
                <w:sz w:val="20"/>
              </w:rPr>
            </w:pPr>
          </w:p>
        </w:tc>
        <w:tc>
          <w:tcPr>
            <w:tcW w:w="652" w:type="dxa"/>
            <w:tcBorders>
              <w:top w:val="single" w:sz="4" w:space="0" w:color="auto"/>
              <w:bottom w:val="single" w:sz="4" w:space="0" w:color="auto"/>
            </w:tcBorders>
          </w:tcPr>
          <w:p>
            <w:pPr>
              <w:jc w:val="center"/>
              <w:rPr>
                <w:color w:val="000000"/>
                <w:sz w:val="20"/>
              </w:rPr>
            </w:pPr>
            <w:r>
              <w:rPr>
                <w:color w:val="000000"/>
                <w:sz w:val="20"/>
              </w:rPr>
              <w:t>–</w:t>
            </w:r>
          </w:p>
        </w:tc>
        <w:tc>
          <w:tcPr>
            <w:tcW w:w="653" w:type="dxa"/>
            <w:tcBorders>
              <w:top w:val="single" w:sz="4" w:space="0" w:color="auto"/>
              <w:bottom w:val="single" w:sz="4" w:space="0" w:color="auto"/>
            </w:tcBorders>
          </w:tcPr>
          <w:p>
            <w:pPr>
              <w:jc w:val="center"/>
              <w:rPr>
                <w:color w:val="000000"/>
                <w:sz w:val="20"/>
              </w:rPr>
            </w:pPr>
            <w:r>
              <w:rPr>
                <w:color w:val="000000"/>
                <w:sz w:val="20"/>
              </w:rPr>
              <w:t>–</w:t>
            </w:r>
          </w:p>
        </w:tc>
        <w:tc>
          <w:tcPr>
            <w:tcW w:w="653" w:type="dxa"/>
            <w:tcBorders>
              <w:top w:val="single" w:sz="4" w:space="0" w:color="auto"/>
              <w:bottom w:val="single" w:sz="4" w:space="0" w:color="auto"/>
            </w:tcBorders>
          </w:tcPr>
          <w:p>
            <w:pPr>
              <w:jc w:val="center"/>
              <w:rPr>
                <w:color w:val="000000"/>
                <w:sz w:val="20"/>
              </w:rPr>
            </w:pPr>
            <w:r>
              <w:rPr>
                <w:color w:val="000000"/>
                <w:sz w:val="20"/>
              </w:rPr>
              <w:t>C1</w:t>
            </w:r>
          </w:p>
        </w:tc>
        <w:tc>
          <w:tcPr>
            <w:tcW w:w="1961" w:type="dxa"/>
            <w:tcBorders>
              <w:top w:val="single" w:sz="4" w:space="0" w:color="auto"/>
              <w:bottom w:val="single" w:sz="4" w:space="0" w:color="auto"/>
            </w:tcBorders>
          </w:tcPr>
          <w:p>
            <w:pPr>
              <w:jc w:val="center"/>
              <w:rPr>
                <w:color w:val="000000"/>
                <w:sz w:val="20"/>
              </w:rPr>
            </w:pPr>
            <w:r>
              <w:rPr>
                <w:color w:val="000000"/>
                <w:sz w:val="20"/>
              </w:rPr>
              <w:t>C2</w:t>
            </w:r>
          </w:p>
        </w:tc>
        <w:tc>
          <w:tcPr>
            <w:tcW w:w="2017" w:type="dxa"/>
            <w:tcBorders>
              <w:top w:val="single" w:sz="4" w:space="0" w:color="auto"/>
              <w:bottom w:val="single" w:sz="4" w:space="0" w:color="auto"/>
            </w:tcBorders>
          </w:tcPr>
          <w:p>
            <w:pPr>
              <w:jc w:val="center"/>
              <w:rPr>
                <w:color w:val="000000"/>
                <w:sz w:val="20"/>
              </w:rPr>
            </w:pPr>
            <w:r>
              <w:rPr>
                <w:color w:val="000000"/>
                <w:sz w:val="20"/>
              </w:rPr>
              <w:t>C3</w:t>
            </w:r>
          </w:p>
        </w:tc>
        <w:tc>
          <w:tcPr>
            <w:tcW w:w="982" w:type="dxa"/>
            <w:tcBorders>
              <w:top w:val="single" w:sz="4" w:space="0" w:color="auto"/>
              <w:bottom w:val="single" w:sz="4" w:space="0" w:color="auto"/>
            </w:tcBorders>
          </w:tcPr>
          <w:p>
            <w:pPr>
              <w:jc w:val="center"/>
              <w:rPr>
                <w:color w:val="000000"/>
                <w:sz w:val="20"/>
              </w:rPr>
            </w:pPr>
            <w:r>
              <w:rPr>
                <w:color w:val="000000"/>
                <w:sz w:val="20"/>
              </w:rPr>
              <w:t>D1</w:t>
            </w:r>
          </w:p>
        </w:tc>
        <w:tc>
          <w:tcPr>
            <w:tcW w:w="982" w:type="dxa"/>
            <w:tcBorders>
              <w:top w:val="single" w:sz="4" w:space="0" w:color="auto"/>
              <w:bottom w:val="single" w:sz="4" w:space="0" w:color="auto"/>
            </w:tcBorders>
          </w:tcPr>
          <w:p>
            <w:pPr>
              <w:jc w:val="center"/>
              <w:rPr>
                <w:color w:val="000000"/>
                <w:sz w:val="20"/>
              </w:rPr>
            </w:pPr>
            <w:r>
              <w:rPr>
                <w:color w:val="000000"/>
                <w:sz w:val="20"/>
              </w:rPr>
              <w:t>D2</w:t>
            </w:r>
          </w:p>
        </w:tc>
      </w:tr>
    </w:tbl>
    <w:p>
      <w:pPr>
        <w:rPr>
          <w:color w:val="000000"/>
        </w:rPr>
      </w:pPr>
    </w:p>
    <w:tbl>
      <w:tblPr>
        <w:tblW w:w="9637" w:type="dxa"/>
        <w:tblBorders>
          <w:top w:val="single" w:sz="4" w:space="0" w:color="auto"/>
          <w:bottom w:val="single" w:sz="4" w:space="0" w:color="auto"/>
        </w:tblBorders>
        <w:tblLook w:val="01E0" w:firstRow="1" w:lastRow="1" w:firstColumn="1" w:lastColumn="1" w:noHBand="0" w:noVBand="0"/>
      </w:tblPr>
      <w:tblGrid>
        <w:gridCol w:w="1221"/>
        <w:gridCol w:w="1689"/>
        <w:gridCol w:w="1860"/>
        <w:gridCol w:w="1497"/>
        <w:gridCol w:w="1858"/>
        <w:gridCol w:w="1512"/>
      </w:tblGrid>
      <w:tr>
        <w:tc>
          <w:tcPr>
            <w:tcW w:w="1221" w:type="dxa"/>
            <w:vMerge w:val="restart"/>
          </w:tcPr>
          <w:p>
            <w:pPr>
              <w:rPr>
                <w:color w:val="000000"/>
                <w:sz w:val="20"/>
              </w:rPr>
            </w:pPr>
            <w:r>
              <w:rPr>
                <w:color w:val="000000"/>
                <w:sz w:val="20"/>
              </w:rPr>
              <w:t xml:space="preserve">JAV </w:t>
            </w:r>
          </w:p>
          <w:p>
            <w:pPr>
              <w:rPr>
                <w:color w:val="000000"/>
                <w:sz w:val="20"/>
              </w:rPr>
            </w:pPr>
            <w:r>
              <w:rPr>
                <w:color w:val="000000"/>
                <w:sz w:val="20"/>
              </w:rPr>
              <w:t>1980</w:t>
            </w:r>
          </w:p>
        </w:tc>
        <w:tc>
          <w:tcPr>
            <w:tcW w:w="8416" w:type="dxa"/>
            <w:gridSpan w:val="5"/>
            <w:tcBorders>
              <w:top w:val="single" w:sz="4" w:space="0" w:color="auto"/>
              <w:bottom w:val="single" w:sz="4" w:space="0" w:color="auto"/>
            </w:tcBorders>
            <w:vAlign w:val="center"/>
          </w:tcPr>
          <w:p>
            <w:pPr>
              <w:jc w:val="center"/>
              <w:rPr>
                <w:color w:val="000000"/>
                <w:sz w:val="20"/>
              </w:rPr>
            </w:pPr>
            <w:r>
              <w:rPr>
                <w:color w:val="000000"/>
                <w:sz w:val="20"/>
              </w:rPr>
              <w:t>Toltal Resources (Bendri ištekliai)</w:t>
            </w:r>
          </w:p>
        </w:tc>
      </w:tr>
      <w:tr>
        <w:tc>
          <w:tcPr>
            <w:tcW w:w="1221" w:type="dxa"/>
            <w:vMerge/>
          </w:tcPr>
          <w:p>
            <w:pPr>
              <w:rPr>
                <w:color w:val="000000"/>
                <w:sz w:val="20"/>
              </w:rPr>
            </w:pPr>
          </w:p>
        </w:tc>
        <w:tc>
          <w:tcPr>
            <w:tcW w:w="3549" w:type="dxa"/>
            <w:gridSpan w:val="2"/>
            <w:tcBorders>
              <w:top w:val="single" w:sz="4" w:space="0" w:color="auto"/>
              <w:bottom w:val="single" w:sz="4" w:space="0" w:color="auto"/>
            </w:tcBorders>
            <w:vAlign w:val="center"/>
          </w:tcPr>
          <w:p>
            <w:pPr>
              <w:jc w:val="center"/>
              <w:rPr>
                <w:color w:val="000000"/>
                <w:sz w:val="20"/>
              </w:rPr>
            </w:pPr>
            <w:r>
              <w:rPr>
                <w:color w:val="000000"/>
                <w:sz w:val="20"/>
              </w:rPr>
              <w:t>Identified resources</w:t>
            </w:r>
          </w:p>
          <w:p>
            <w:pPr>
              <w:jc w:val="center"/>
              <w:rPr>
                <w:color w:val="000000"/>
                <w:sz w:val="20"/>
              </w:rPr>
            </w:pPr>
            <w:r>
              <w:rPr>
                <w:color w:val="000000"/>
                <w:sz w:val="20"/>
              </w:rPr>
              <w:t>(Aptikti ištekliai)</w:t>
            </w:r>
          </w:p>
        </w:tc>
        <w:tc>
          <w:tcPr>
            <w:tcW w:w="1497" w:type="dxa"/>
            <w:tcBorders>
              <w:top w:val="single" w:sz="4" w:space="0" w:color="auto"/>
            </w:tcBorders>
            <w:vAlign w:val="center"/>
          </w:tcPr>
          <w:p>
            <w:pPr>
              <w:jc w:val="center"/>
              <w:rPr>
                <w:color w:val="000000"/>
                <w:sz w:val="20"/>
              </w:rPr>
            </w:pPr>
          </w:p>
        </w:tc>
        <w:tc>
          <w:tcPr>
            <w:tcW w:w="3370" w:type="dxa"/>
            <w:gridSpan w:val="2"/>
            <w:tcBorders>
              <w:top w:val="single" w:sz="4" w:space="0" w:color="auto"/>
            </w:tcBorders>
            <w:vAlign w:val="center"/>
          </w:tcPr>
          <w:p>
            <w:pPr>
              <w:jc w:val="center"/>
              <w:rPr>
                <w:color w:val="000000"/>
                <w:sz w:val="20"/>
              </w:rPr>
            </w:pPr>
            <w:r>
              <w:rPr>
                <w:color w:val="000000"/>
                <w:sz w:val="20"/>
              </w:rPr>
              <w:t>Undiscovered resources</w:t>
            </w:r>
          </w:p>
          <w:p>
            <w:pPr>
              <w:jc w:val="center"/>
              <w:rPr>
                <w:color w:val="000000"/>
                <w:sz w:val="20"/>
              </w:rPr>
            </w:pPr>
            <w:r>
              <w:rPr>
                <w:color w:val="000000"/>
                <w:sz w:val="20"/>
              </w:rPr>
              <w:t>(Neaptikti ištekliai)</w:t>
            </w:r>
          </w:p>
        </w:tc>
      </w:tr>
      <w:tr>
        <w:tc>
          <w:tcPr>
            <w:tcW w:w="1221" w:type="dxa"/>
            <w:vMerge/>
          </w:tcPr>
          <w:p>
            <w:pPr>
              <w:rPr>
                <w:color w:val="000000"/>
                <w:sz w:val="20"/>
              </w:rPr>
            </w:pPr>
          </w:p>
        </w:tc>
        <w:tc>
          <w:tcPr>
            <w:tcW w:w="3549" w:type="dxa"/>
            <w:gridSpan w:val="2"/>
            <w:tcBorders>
              <w:top w:val="single" w:sz="4" w:space="0" w:color="auto"/>
              <w:bottom w:val="single" w:sz="4" w:space="0" w:color="auto"/>
            </w:tcBorders>
            <w:vAlign w:val="center"/>
          </w:tcPr>
          <w:p>
            <w:pPr>
              <w:jc w:val="center"/>
              <w:rPr>
                <w:color w:val="000000"/>
                <w:sz w:val="20"/>
              </w:rPr>
            </w:pPr>
            <w:r>
              <w:rPr>
                <w:color w:val="000000"/>
                <w:sz w:val="20"/>
              </w:rPr>
              <w:t>Demonstrated</w:t>
            </w:r>
          </w:p>
          <w:p>
            <w:pPr>
              <w:jc w:val="center"/>
              <w:rPr>
                <w:color w:val="000000"/>
                <w:sz w:val="20"/>
              </w:rPr>
            </w:pPr>
            <w:r>
              <w:rPr>
                <w:color w:val="000000"/>
                <w:sz w:val="20"/>
              </w:rPr>
              <w:t>(Patvirtinti)</w:t>
            </w:r>
          </w:p>
        </w:tc>
        <w:tc>
          <w:tcPr>
            <w:tcW w:w="1497" w:type="dxa"/>
            <w:vMerge w:val="restart"/>
            <w:vAlign w:val="center"/>
          </w:tcPr>
          <w:p>
            <w:pPr>
              <w:jc w:val="center"/>
              <w:rPr>
                <w:color w:val="000000"/>
                <w:sz w:val="20"/>
              </w:rPr>
            </w:pPr>
            <w:r>
              <w:rPr>
                <w:color w:val="000000"/>
                <w:sz w:val="20"/>
              </w:rPr>
              <w:t>Inferred</w:t>
            </w:r>
          </w:p>
          <w:p>
            <w:pPr>
              <w:jc w:val="center"/>
              <w:rPr>
                <w:color w:val="000000"/>
                <w:sz w:val="20"/>
              </w:rPr>
            </w:pPr>
            <w:r>
              <w:rPr>
                <w:color w:val="000000"/>
                <w:sz w:val="20"/>
              </w:rPr>
              <w:t>(Manomi)</w:t>
            </w:r>
          </w:p>
        </w:tc>
        <w:tc>
          <w:tcPr>
            <w:tcW w:w="3370" w:type="dxa"/>
            <w:gridSpan w:val="2"/>
            <w:tcBorders>
              <w:bottom w:val="single" w:sz="4" w:space="0" w:color="auto"/>
            </w:tcBorders>
            <w:vAlign w:val="center"/>
          </w:tcPr>
          <w:p>
            <w:pPr>
              <w:jc w:val="center"/>
              <w:rPr>
                <w:color w:val="000000"/>
                <w:sz w:val="20"/>
              </w:rPr>
            </w:pPr>
          </w:p>
        </w:tc>
      </w:tr>
      <w:tr>
        <w:tc>
          <w:tcPr>
            <w:tcW w:w="1221" w:type="dxa"/>
            <w:vMerge/>
          </w:tcPr>
          <w:p>
            <w:pPr>
              <w:rPr>
                <w:color w:val="000000"/>
                <w:sz w:val="20"/>
              </w:rPr>
            </w:pPr>
          </w:p>
        </w:tc>
        <w:tc>
          <w:tcPr>
            <w:tcW w:w="1689" w:type="dxa"/>
            <w:tcBorders>
              <w:top w:val="single" w:sz="4" w:space="0" w:color="auto"/>
            </w:tcBorders>
            <w:vAlign w:val="center"/>
          </w:tcPr>
          <w:p>
            <w:pPr>
              <w:jc w:val="center"/>
              <w:rPr>
                <w:color w:val="000000"/>
                <w:sz w:val="20"/>
              </w:rPr>
            </w:pPr>
            <w:r>
              <w:rPr>
                <w:color w:val="000000"/>
                <w:sz w:val="20"/>
              </w:rPr>
              <w:t>Measured</w:t>
            </w:r>
          </w:p>
          <w:p>
            <w:pPr>
              <w:jc w:val="center"/>
              <w:rPr>
                <w:color w:val="000000"/>
                <w:sz w:val="20"/>
              </w:rPr>
            </w:pPr>
            <w:r>
              <w:rPr>
                <w:color w:val="000000"/>
                <w:sz w:val="20"/>
              </w:rPr>
              <w:t>(Išmatuoti)</w:t>
            </w:r>
          </w:p>
        </w:tc>
        <w:tc>
          <w:tcPr>
            <w:tcW w:w="1860" w:type="dxa"/>
            <w:tcBorders>
              <w:top w:val="single" w:sz="4" w:space="0" w:color="auto"/>
            </w:tcBorders>
            <w:vAlign w:val="center"/>
          </w:tcPr>
          <w:p>
            <w:pPr>
              <w:jc w:val="center"/>
              <w:rPr>
                <w:color w:val="000000"/>
                <w:sz w:val="20"/>
              </w:rPr>
            </w:pPr>
            <w:r>
              <w:rPr>
                <w:color w:val="000000"/>
                <w:sz w:val="20"/>
              </w:rPr>
              <w:t>Indicated</w:t>
            </w:r>
          </w:p>
          <w:p>
            <w:pPr>
              <w:jc w:val="center"/>
              <w:rPr>
                <w:color w:val="000000"/>
                <w:sz w:val="20"/>
              </w:rPr>
            </w:pPr>
            <w:r>
              <w:rPr>
                <w:color w:val="000000"/>
                <w:sz w:val="20"/>
              </w:rPr>
              <w:t>(Paskaičiuoti)</w:t>
            </w:r>
          </w:p>
        </w:tc>
        <w:tc>
          <w:tcPr>
            <w:tcW w:w="1497" w:type="dxa"/>
            <w:vMerge/>
            <w:vAlign w:val="center"/>
          </w:tcPr>
          <w:p>
            <w:pPr>
              <w:jc w:val="center"/>
              <w:rPr>
                <w:color w:val="000000"/>
                <w:sz w:val="20"/>
              </w:rPr>
            </w:pPr>
          </w:p>
        </w:tc>
        <w:tc>
          <w:tcPr>
            <w:tcW w:w="1858" w:type="dxa"/>
            <w:tcBorders>
              <w:top w:val="single" w:sz="4" w:space="0" w:color="auto"/>
              <w:bottom w:val="single" w:sz="4" w:space="0" w:color="auto"/>
            </w:tcBorders>
            <w:vAlign w:val="center"/>
          </w:tcPr>
          <w:p>
            <w:pPr>
              <w:jc w:val="center"/>
              <w:rPr>
                <w:color w:val="000000"/>
                <w:sz w:val="20"/>
              </w:rPr>
            </w:pPr>
            <w:r>
              <w:rPr>
                <w:color w:val="000000"/>
                <w:sz w:val="20"/>
              </w:rPr>
              <w:t>Hypothetical</w:t>
            </w:r>
          </w:p>
          <w:p>
            <w:pPr>
              <w:jc w:val="center"/>
              <w:rPr>
                <w:color w:val="000000"/>
                <w:sz w:val="20"/>
              </w:rPr>
            </w:pPr>
            <w:r>
              <w:rPr>
                <w:color w:val="000000"/>
                <w:sz w:val="20"/>
              </w:rPr>
              <w:t>(Hipotetiniai)</w:t>
            </w:r>
          </w:p>
        </w:tc>
        <w:tc>
          <w:tcPr>
            <w:tcW w:w="1512" w:type="dxa"/>
            <w:tcBorders>
              <w:top w:val="single" w:sz="4" w:space="0" w:color="auto"/>
              <w:bottom w:val="single" w:sz="4" w:space="0" w:color="auto"/>
            </w:tcBorders>
            <w:vAlign w:val="center"/>
          </w:tcPr>
          <w:p>
            <w:pPr>
              <w:jc w:val="center"/>
              <w:rPr>
                <w:color w:val="000000"/>
                <w:sz w:val="20"/>
              </w:rPr>
            </w:pPr>
            <w:r>
              <w:rPr>
                <w:color w:val="000000"/>
                <w:sz w:val="20"/>
              </w:rPr>
              <w:t>Speculative</w:t>
            </w:r>
          </w:p>
          <w:p>
            <w:pPr>
              <w:jc w:val="center"/>
              <w:rPr>
                <w:color w:val="000000"/>
                <w:sz w:val="20"/>
              </w:rPr>
            </w:pPr>
            <w:r>
              <w:rPr>
                <w:color w:val="000000"/>
                <w:sz w:val="20"/>
              </w:rPr>
              <w:t>(Teoriniai)</w:t>
            </w:r>
          </w:p>
        </w:tc>
      </w:tr>
    </w:tbl>
    <w:p>
      <w:pPr>
        <w:jc w:val="center"/>
        <w:rPr>
          <w:color w:val="000000"/>
        </w:rPr>
      </w:pPr>
      <w:r>
        <w:rPr>
          <w:color w:val="000000"/>
        </w:rPr>
        <w:t>______________</w:t>
      </w:r>
    </w:p>
    <w:p>
      <w:pPr>
        <w:ind w:firstLine="709"/>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geologijos tarnyba prie Lietuvos Respublikos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97D2F0B83D">
        <w:r w:rsidRPr="00532B9F">
          <w:rPr>
            <w:rFonts w:ascii="Times New Roman" w:eastAsia="MS Mincho" w:hAnsi="Times New Roman"/>
            <w:sz w:val="20"/>
            <w:iCs/>
            <w:color w:val="0000FF" w:themeColor="hyperlink"/>
            <w:u w:val="single"/>
          </w:rPr>
          <w:t>39</w:t>
        </w:r>
      </w:fldSimple>
      <w:r>
        <w:rPr>
          <w:rFonts w:ascii="Times New Roman" w:eastAsia="MS Mincho" w:hAnsi="Times New Roman"/>
          <w:sz w:val="20"/>
          <w:iCs/>
        </w:rPr>
        <w:t>,
1999-09-17,
Žin., 1999, Nr.
81-2407 (1999-09-29), i. k. 099517AISAK00000039                </w:t>
      </w:r>
    </w:p>
    <w:p>
      <w:pPr>
        <w:jc w:val="both"/>
        <w:rPr>
          <w:rFonts w:ascii="Times New Roman" w:hAnsi="Times New Roman"/>
        </w:rPr>
      </w:pPr>
      <w:r>
        <w:rPr>
          <w:rFonts w:ascii="Times New Roman" w:hAnsi="Times New Roman"/>
          <w:sz w:val="20"/>
        </w:rPr>
        <w:t>Dėl kietųjų naudingųjų iškasenų išteklių klasifikacijos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tabs>
          <w:tab w:val="center" w:pos="4819"/>
          <w:tab w:val="right" w:pos="9638"/>
        </w:tabs>
      </w:pPr>
      <w:r>
        <w:separator/>
      </w:r>
    </w:p>
  </w:endnote>
  <w:endnote w:type="continuationSeparator" w:id="0">
    <w:p>
      <w:pPr>
        <w:tabs>
          <w:tab w:val="center" w:pos="4819"/>
          <w:tab w:val="right" w:pos="9638"/>
        </w:tabs>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abs>
          <w:tab w:val="center" w:pos="4819"/>
          <w:tab w:val="right" w:pos="9638"/>
        </w:tabs>
      </w:pPr>
      <w:r>
        <w:separator/>
      </w:r>
    </w:p>
  </w:footnote>
  <w:footnote w:type="continuationSeparator" w:id="0">
    <w:p>
      <w:pPr>
        <w:tabs>
          <w:tab w:val="center" w:pos="4819"/>
          <w:tab w:val="right" w:pos="9638"/>
        </w:tabs>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4AA7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9A2EAA1F-A0B6-44C2-9C5D-98AB01842F5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91"/>
    <w:rsid w:val="00030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029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029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7598</Words>
  <Characters>4331</Characters>
  <Application>Microsoft Office Word</Application>
  <DocSecurity>0</DocSecurity>
  <Lines>36</Lines>
  <Paragraphs>23</Paragraphs>
  <ScaleCrop>false</ScaleCrop>
  <Company/>
  <LinksUpToDate>false</LinksUpToDate>
  <CharactersWithSpaces>11906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2015-09-07T23:40:00Z</dcterms:created>
  <dc:creator>User</dc:creator>
  <lastModifiedBy>Seimas</lastModifiedBy>
  <dcterms:modified xsi:type="dcterms:W3CDTF">2017-04-07T11:39:00Z</dcterms:modified>
  <revision>5</revision>
</coreProperties>
</file>