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2011-05-15 iki 2016-01-12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6E88564CC16B">
        <w:r w:rsidRPr="00532B9F">
          <w:rPr>
            <w:rFonts w:ascii="Times New Roman" w:eastAsia="MS Mincho" w:hAnsi="Times New Roman"/>
            <w:sz w:val="20"/>
            <w:i/>
            <w:iCs/>
            <w:color w:val="0000FF" w:themeColor="hyperlink"/>
            <w:u w:val="single"/>
          </w:rPr>
          <w:t>4-58</w:t>
        </w:r>
      </w:fldSimple>
      <w:r>
        <w:rPr>
          <w:rFonts w:ascii="Times New Roman" w:eastAsia="MS Mincho" w:hAnsi="Times New Roman"/>
          <w:sz w:val="20"/>
          <w:i/>
          <w:iCs/>
        </w:rPr>
        <w:t>, i. k. 1031100NUTA00001706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2011-05-15:</w:t>
      </w:r>
    </w:p>
    <w:p>
      <w:pPr>
        <w:rPr>
          <w:rFonts w:ascii="Times New Roman" w:hAnsi="Times New Roman"/>
          <w:sz w:val="20"/>
          <w:i/>
        </w:rPr>
      </w:pPr>
      <w:r>
        <w:rPr>
          <w:rFonts w:ascii="Times New Roman" w:hAnsi="Times New Roman"/>
          <w:sz w:val="20"/>
          <w:i/>
        </w:rPr>
        <w:t xml:space="preserve">Nr. </w:t>
      </w:r>
      <w:fldSimple w:instr="HYPERLINK https://www.e-tar.lt/portal/legalAct.html?documentId=TAR.5DCF0546F0D1">
        <w:r w:rsidRPr="00532B9F">
          <w:rPr>
            <w:rFonts w:ascii="Times New Roman" w:eastAsia="MS Mincho" w:hAnsi="Times New Roman"/>
            <w:sz w:val="20"/>
            <w:i/>
            <w:iCs/>
            <w:color w:val="0000FF" w:themeColor="hyperlink"/>
            <w:u w:val="single"/>
          </w:rPr>
          <w:t>558</w:t>
        </w:r>
      </w:fldSimple>
      <w:r>
        <w:rPr>
          <w:rFonts w:ascii="Times New Roman" w:eastAsia="MS Mincho" w:hAnsi="Times New Roman"/>
          <w:sz w:val="20"/>
          <w:i/>
          <w:iCs/>
        </w:rPr>
        <w:t>,
2011-05-11,
Žin. 2011,
Nr.
58-2769 (2011-05-14), i. k. 1111100NUTA00000558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NUOSTOLIŲ DĖL FITOSANITARIJOS PRIEMONIŲ NAUDOJIMO DALINIO KOMPENSAVIMO TAISYKLIŲ PATVIRTINIMO</w:t>
      </w:r>
    </w:p>
    <w:p>
      <w:pPr>
        <w:jc w:val="center"/>
        <w:rPr>
          <w:b/>
        </w:rPr>
      </w:pPr>
    </w:p>
    <w:p>
      <w:pPr>
        <w:jc w:val="center"/>
        <w:rPr>
          <w:b/>
        </w:rPr>
      </w:pPr>
      <w:r>
        <w:rPr>
          <w:color w:val="000000"/>
        </w:rPr>
        <w:t>2003 m. gruodžio 31 d. Nr. 1706</w:t>
      </w:r>
    </w:p>
    <w:p>
      <w:pPr>
        <w:jc w:val="center"/>
      </w:pPr>
      <w:r>
        <w:t>Vilnius</w:t>
      </w:r>
    </w:p>
    <w:p>
      <w:pPr>
        <w:ind w:firstLine="567"/>
        <w:jc w:val="both"/>
      </w:pPr>
    </w:p>
    <w:p>
      <w:pPr>
        <w:ind w:firstLine="567"/>
        <w:jc w:val="both"/>
      </w:pPr>
      <w:r>
        <w:t xml:space="preserve">Vadovaudamasi Lietuvos Respublikos fitosanitarijos įstatymo (Žin., 1999, Nr. </w:t>
      </w:r>
      <w:hyperlink r:id="rId21" w:tgtFrame="_blank" w:history="1">
        <w:r>
          <w:rPr>
            <w:color w:val="0000FF" w:themeColor="hyperlink"/>
            <w:u w:val="single"/>
          </w:rPr>
          <w:t>113-3285</w:t>
        </w:r>
      </w:hyperlink>
      <w:r>
        <w:t xml:space="preserve">; </w:t>
      </w:r>
      <w:r>
        <w:rPr>
          <w:spacing w:val="-2"/>
        </w:rPr>
        <w:t>2010, Nr. 12-559)</w:t>
      </w:r>
      <w:r>
        <w:t xml:space="preserve"> 4 straipsnio 7 dalimi, Lietuvos Respublikos Vyriausybė</w:t>
      </w:r>
      <w:r>
        <w:rPr>
          <w:spacing w:val="80"/>
        </w:rPr>
        <w:t xml:space="preserve"> </w:t>
      </w:r>
      <w:r>
        <w:rPr>
          <w:spacing w:val="60"/>
        </w:rPr>
        <w:t>nutari</w:t>
      </w:r>
      <w:r>
        <w:t>a:</w:t>
      </w:r>
    </w:p>
    <w:p>
      <w:pPr>
        <w:ind w:firstLine="567"/>
        <w:jc w:val="both"/>
      </w:pPr>
      <w:r>
        <w:t xml:space="preserve">Patvirtinti Nuostolių dėl fitosanitarijos priemonių naudojimo dalinio kompensavimo taisykles (pridedama). </w:t>
      </w:r>
    </w:p>
    <w:p>
      <w:pPr>
        <w:tabs>
          <w:tab w:val="right" w:pos="9639"/>
        </w:tabs>
      </w:pPr>
    </w:p>
    <w:p>
      <w:pPr>
        <w:tabs>
          <w:tab w:val="right" w:pos="9639"/>
        </w:tabs>
      </w:pPr>
    </w:p>
    <w:p>
      <w:pPr>
        <w:tabs>
          <w:tab w:val="right" w:pos="9639"/>
        </w:tabs>
      </w:pPr>
    </w:p>
    <w:p>
      <w:pPr>
        <w:tabs>
          <w:tab w:val="right" w:pos="9639"/>
        </w:tabs>
      </w:pPr>
      <w:r>
        <w:t>FINANSŲ MINISTRĖ,</w:t>
      </w:r>
    </w:p>
    <w:p>
      <w:pPr>
        <w:tabs>
          <w:tab w:val="right" w:pos="9639"/>
        </w:tabs>
      </w:pPr>
      <w:r>
        <w:t>PAVADUOJANTI MINISTRĄ PIRMININKĄ</w:t>
        <w:tab/>
        <w:t>DALIA GRYBAUSKAITĖ</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ind w:firstLine="5102"/>
      </w:pPr>
    </w:p>
    <w:p>
      <w:pPr/>
      <w:r>
        <w:br w:type="page"/>
      </w:r>
    </w:p>
    <w:p>
      <w:pPr>
        <w:ind w:firstLine="5102"/>
      </w:pPr>
      <w:r>
        <w:rPr>
          <w:caps/>
        </w:rPr>
        <w:t>Patvirtinta</w:t>
      </w:r>
    </w:p>
    <w:p>
      <w:pPr>
        <w:ind w:firstLine="5102"/>
      </w:pPr>
      <w:r>
        <w:t xml:space="preserve">Lietuvos Respublikos Vyriausybės </w:t>
      </w:r>
    </w:p>
    <w:p>
      <w:pPr>
        <w:ind w:firstLine="5102"/>
      </w:pPr>
      <w:r>
        <w:t xml:space="preserve">2003 m. gruodžio 31 d. </w:t>
      </w:r>
    </w:p>
    <w:p>
      <w:pPr>
        <w:ind w:firstLine="5102"/>
      </w:pPr>
      <w:r>
        <w:t>nutarimu Nr. 1706</w:t>
      </w:r>
    </w:p>
    <w:p>
      <w:pPr>
        <w:ind w:firstLine="5102"/>
      </w:pPr>
      <w:r>
        <w:t xml:space="preserve">(Lietuvos Respublikos Vyriausybės </w:t>
      </w:r>
    </w:p>
    <w:p>
      <w:pPr>
        <w:ind w:firstLine="5102"/>
      </w:pPr>
      <w:r>
        <w:t xml:space="preserve">2011 m. gegužės 11 d. </w:t>
      </w:r>
    </w:p>
    <w:p>
      <w:pPr>
        <w:ind w:firstLine="5102"/>
      </w:pPr>
      <w:r>
        <w:t>nutarimo Nr. 558 redakcija)</w:t>
      </w:r>
    </w:p>
    <w:p>
      <w:pPr/>
    </w:p>
    <w:p>
      <w:pPr>
        <w:jc w:val="center"/>
        <w:rPr>
          <w:b/>
        </w:rPr>
      </w:pPr>
      <w:r>
        <w:rPr>
          <w:b/>
        </w:rPr>
        <w:t>NUOSTOLIŲ DĖL FITOSANITARIJOS PRIEMONIŲ NAUDOJIMO DALINIO KOMPENSAVIMO TAISYKLĖS</w:t>
      </w:r>
    </w:p>
    <w:p>
      <w:pPr>
        <w:jc w:val="center"/>
        <w:rPr>
          <w:b/>
        </w:rPr>
      </w:pPr>
    </w:p>
    <w:p>
      <w:pPr>
        <w:jc w:val="center"/>
        <w:rPr>
          <w:b/>
        </w:rPr>
      </w:pPr>
      <w:r>
        <w:rPr>
          <w:b/>
        </w:rPr>
        <w:t>I</w:t>
      </w:r>
      <w:r>
        <w:rPr>
          <w:b/>
        </w:rPr>
        <w:t xml:space="preserve">. </w:t>
      </w:r>
      <w:r>
        <w:rPr>
          <w:b/>
        </w:rPr>
        <w:t>BENDROSIOS NUOSTATOS</w:t>
      </w:r>
    </w:p>
    <w:p>
      <w:pPr>
        <w:jc w:val="center"/>
      </w:pPr>
    </w:p>
    <w:p>
      <w:pPr>
        <w:ind w:firstLine="567"/>
        <w:jc w:val="both"/>
      </w:pPr>
      <w:r>
        <w:t>1</w:t>
      </w:r>
      <w:r>
        <w:t xml:space="preserve">. Nuostolių dėl fitosanitarijos priemonių naudojimo dalinio kompensavimo taisyklės (toliau – Taisyklės) parengtos vadovaujantis Lietuvos Respublikos fitosanitarijos įstatymo (Žin., 1999, Nr. </w:t>
      </w:r>
      <w:hyperlink r:id="rId22" w:tgtFrame="_blank" w:history="1">
        <w:r>
          <w:rPr>
            <w:color w:val="0000FF" w:themeColor="hyperlink"/>
            <w:u w:val="single"/>
          </w:rPr>
          <w:t>113-3285</w:t>
        </w:r>
      </w:hyperlink>
      <w:r>
        <w:t xml:space="preserve">; 2010, Nr. 12-559) 4 straipsnio 7 dalimi, 2000 m. gegužės 8 d. Tarybos direktyva 2000/29/EB dėl apsaugos priemonių nuo augalams ir augaliniams produktams kenksmingų organizmų įvežimo į Bendriją ir išplitimo joje (OL </w:t>
      </w:r>
      <w:r>
        <w:rPr>
          <w:i/>
        </w:rPr>
        <w:t>2004 m. specialusis leidimas</w:t>
      </w:r>
      <w:r>
        <w:t>, 3 skyrius, 29 tomas, p. 258) su paskutiniais pakeitimais, padarytais 2010 m. sausio 8 d. Komisijos direktyva 2010/1/ES (OL 2010 L 7, p. 17), 2006 m. gruodžio 15 d. Komisijos reglamentu (EB) Nr. 1857/2006 dėl Sutarties 87 ir 88 straipsnių taikymo valstybės pagalbai mažoms ir vidutinėms įmonėms, kurios verčiasi žemės ūkio produktų gamyba, iš dalies keičiančiu reglamentą (EB) Nr. 70/2001 (OL 2006 L 358, p. 3), ir 2008 m. rugpjūčio 6 d. Komisijos reglamentu (EB) Nr. 800/2008, skelbiančiu tam tikrų rūšių pagalbą, suderinamą su bendrąja rinka taikant Sutarties 87 ir 88 straipsnius (Bendrasis bendrosios išimties reglamentas) (OL 2008 L 214, p. 3).</w:t>
      </w:r>
    </w:p>
    <w:p>
      <w:pPr>
        <w:ind w:firstLine="567"/>
        <w:jc w:val="both"/>
      </w:pPr>
      <w:r>
        <w:t>2</w:t>
      </w:r>
      <w:r>
        <w:t xml:space="preserve">. Taisyklių tikslas – nustatyti valstybės pagalbos teikimo pareiškėjų nuostoliams, patirtiems dėl fitosanitarijos priemonių naudojimo, iš dalies kompensuoti sąlygas ir tvarką. </w:t>
      </w:r>
    </w:p>
    <w:p>
      <w:pPr>
        <w:ind w:firstLine="567"/>
        <w:jc w:val="both"/>
      </w:pPr>
      <w:r>
        <w:t>3</w:t>
      </w:r>
      <w:r>
        <w:t>. Taisyklėse nurodytos fitosanitarijos priemonės yra kenksmingaisiais organizmais užkrėstų ir galimai užkrėstų augalų ir augalinių produktų sunaikinimas, kai jų nukenksminti negalima arba neefektyvu. Pareiškėjų negautos pajamos dėl fitosanitarijos priemonių naudojimo neatlyginamos.</w:t>
      </w:r>
    </w:p>
    <w:p>
      <w:pPr>
        <w:ind w:firstLine="567"/>
        <w:jc w:val="both"/>
      </w:pPr>
      <w:r>
        <w:t>4</w:t>
      </w:r>
      <w:r>
        <w:t xml:space="preserve">. Pareiškėjui mokama kompensacija už nuostolius dėl fitosanitarijos priemonių naudojimo išaugintiems augalams ir augaliniams produktams, nurodytiems Taisyklių 1 priede, jeigu pareiškėjas yra: </w:t>
      </w:r>
    </w:p>
    <w:p>
      <w:pPr>
        <w:ind w:firstLine="567"/>
        <w:jc w:val="both"/>
      </w:pPr>
      <w:r>
        <w:t>4.1</w:t>
      </w:r>
      <w:r>
        <w:t>. įregistravęs jam priklausančią žemės ūkio valdą Lietuvos Respublikos žemės ūkio ir kaimo verslo registre;</w:t>
      </w:r>
    </w:p>
    <w:p>
      <w:pPr>
        <w:ind w:firstLine="567"/>
        <w:jc w:val="both"/>
      </w:pPr>
      <w:r>
        <w:t>4.2</w:t>
      </w:r>
      <w:r>
        <w:t>. deklaravęs (jeigu žemės ūkio naudmenų plotas yra didesnis nei 1 hektaras) Lietuvos Respublikos teisės aktų nustatyta tvarka nuosavybės teise turimą ir (arba) nuomos, panaudos ar kitų sutarčių pagrindu valdomą žemės ūkio naudmenų plotą.</w:t>
      </w:r>
    </w:p>
    <w:p>
      <w:pPr>
        <w:ind w:firstLine="567"/>
        <w:jc w:val="both"/>
      </w:pPr>
      <w:r>
        <w:t>5</w:t>
      </w:r>
      <w:r>
        <w:t>. Kompensacija už nuostolius</w:t>
      </w:r>
      <w:r>
        <w:rPr>
          <w:b/>
        </w:rPr>
        <w:t xml:space="preserve"> </w:t>
      </w:r>
      <w:r>
        <w:t>dėl fitosanitarijos priemonių naudojimo</w:t>
      </w:r>
      <w:r>
        <w:rPr>
          <w:b/>
        </w:rPr>
        <w:t xml:space="preserve"> </w:t>
      </w:r>
      <w:r>
        <w:t>negali būti didesnė kaip 60 procentų augalų, augalinių produktų vidutinės rinkos kainos. Jeigu duomenų apie vidutinę rinkos kainą nėra, taikomos žemės ūkio ministro įsakymu nustatytos žemės ūkio produkcijos normatyvinės kainos.</w:t>
      </w:r>
    </w:p>
    <w:p>
      <w:pPr>
        <w:ind w:firstLine="567"/>
        <w:jc w:val="both"/>
      </w:pPr>
      <w:r>
        <w:t>6</w:t>
      </w:r>
      <w:r>
        <w:t>. Taisyklėse vartojamos sąvokos:</w:t>
      </w:r>
    </w:p>
    <w:p>
      <w:pPr>
        <w:ind w:firstLine="567"/>
        <w:jc w:val="both"/>
        <w:rPr>
          <w:bCs/>
        </w:rPr>
      </w:pPr>
      <w:r>
        <w:rPr>
          <w:b/>
          <w:bCs/>
        </w:rPr>
        <w:t>Augalų ir augalinių produktų rinkos kaina</w:t>
      </w:r>
      <w:r>
        <w:rPr>
          <w:bCs/>
        </w:rPr>
        <w:t xml:space="preserve"> (toliau – rinkos kaina) – kaina be pridėtinės vertės mokesčio, kurią pirkėjas moka augalų ir augalinių produktų pardavėjui. Statistinius duomenis apie rinkos kainą žemės ūkio ministro nustatyta tvarka renka valstybės įmonė Žemės ūkio informacijos ir kaimo verslo centras.</w:t>
      </w:r>
    </w:p>
    <w:p>
      <w:pPr>
        <w:ind w:firstLine="567"/>
        <w:jc w:val="both"/>
      </w:pPr>
      <w:r>
        <w:rPr>
          <w:b/>
          <w:bCs/>
        </w:rPr>
        <w:t>Kenksmingaisiais organizmais galimai užkrėsti augalai ir augaliniai produktai</w:t>
      </w:r>
      <w:r>
        <w:t xml:space="preserve"> – augalai ir augaliniai produktai, turėję sąlytį su užkrėstais augalais ir augaliniais produktais (augo viename lauke, derliui nuimti ar rūšiuoti naudota ta pati technika, sandėliuoti šalia užkrėstos produkcijos ir panašiai), kurių užkrėstumas nepatvirtintas, bet galimas.</w:t>
      </w:r>
    </w:p>
    <w:p>
      <w:pPr>
        <w:ind w:firstLine="567"/>
        <w:jc w:val="both"/>
      </w:pPr>
      <w:r>
        <w:rPr>
          <w:b/>
        </w:rPr>
        <w:t>Pareiškėjas</w:t>
      </w:r>
      <w:r>
        <w:t xml:space="preserve"> – fizinis, juridinis asmuo, kita organizacija, padalinys, reglamento (EB) </w:t>
      </w:r>
      <w:r>
        <w:rPr>
          <w:caps/>
        </w:rPr>
        <w:t>N</w:t>
      </w:r>
      <w:r>
        <w:t>r</w:t>
      </w:r>
      <w:r>
        <w:rPr>
          <w:caps/>
        </w:rPr>
        <w:t>.</w:t>
      </w:r>
      <w:r>
        <w:rPr>
          <w:b/>
          <w:caps/>
        </w:rPr>
        <w:t xml:space="preserve"> </w:t>
      </w:r>
      <w:r>
        <w:t xml:space="preserve">800/2008 I priede apibrėžti kaip maža ir vidutinė įmonė, kuri verčiasi pirmine žemės ūkio produktų gamyba. </w:t>
      </w:r>
    </w:p>
    <w:p>
      <w:pPr>
        <w:ind w:firstLine="567"/>
        <w:jc w:val="both"/>
        <w:rPr>
          <w:bCs/>
        </w:rPr>
      </w:pPr>
      <w:r>
        <w:rPr>
          <w:b/>
          <w:bCs/>
        </w:rPr>
        <w:t>Pirminė gamyba</w:t>
      </w:r>
      <w:r>
        <w:t xml:space="preserve"> – 2002 m. sausio 28 d. Europos Parlamento ir Tarybos reglamento (EB) Nr. 178/2002, nustatančio maistui skirtų teisės aktų bendruosius principus ir reikalavimus, įsteigiančio Europos maisto saugos tarnybą ir nustatančio su maisto saugos klausimais susijusias procedūras (OL </w:t>
      </w:r>
      <w:r>
        <w:rPr>
          <w:i/>
          <w:iCs/>
        </w:rPr>
        <w:t>2004 m. specialusis leidimas</w:t>
      </w:r>
      <w:r>
        <w:t>, 15 skyrius, 6 tomas, p. 463), su paskutiniais pakeitimais, padarytais 2009 m. birželio 18 d. Europos Parlamento ir Tarybos reglamentu (EB) Nr. 596/2009 (OL 2009 L 188, p. 14), 3 straipsnio 17 punkte apibrėžta gamyba.</w:t>
      </w:r>
    </w:p>
    <w:p>
      <w:pPr>
        <w:ind w:firstLine="567"/>
        <w:jc w:val="both"/>
        <w:rPr>
          <w:b/>
        </w:rPr>
      </w:pPr>
      <w:r>
        <w:t>Kitos Taisyklėse vartojamos sąvokos apibrėžtos Lietuvos Respublikos fitosanitarijos įstatyme ir kituose teisės aktuose.</w:t>
      </w:r>
    </w:p>
    <w:p>
      <w:pPr>
        <w:widowControl w:val="0"/>
        <w:ind w:firstLine="567"/>
        <w:jc w:val="both"/>
        <w:rPr>
          <w:b/>
        </w:rPr>
      </w:pPr>
    </w:p>
    <w:p>
      <w:pPr>
        <w:widowControl w:val="0"/>
        <w:jc w:val="center"/>
      </w:pPr>
      <w:r>
        <w:rPr>
          <w:b/>
        </w:rPr>
        <w:t>II</w:t>
      </w:r>
      <w:r>
        <w:rPr>
          <w:b/>
        </w:rPr>
        <w:t xml:space="preserve">. </w:t>
      </w:r>
      <w:r>
        <w:rPr>
          <w:b/>
        </w:rPr>
        <w:t>ADMINISTRAVIMO PROCEDŪROS</w:t>
      </w:r>
    </w:p>
    <w:p>
      <w:pPr>
        <w:keepNext/>
        <w:ind w:firstLine="567"/>
        <w:jc w:val="both"/>
      </w:pPr>
    </w:p>
    <w:p>
      <w:pPr>
        <w:keepNext/>
        <w:keepLines/>
        <w:widowControl w:val="0"/>
        <w:jc w:val="center"/>
        <w:rPr>
          <w:b/>
        </w:rPr>
      </w:pPr>
      <w:r>
        <w:rPr>
          <w:b/>
        </w:rPr>
        <w:t>III</w:t>
      </w:r>
      <w:r>
        <w:rPr>
          <w:b/>
        </w:rPr>
        <w:t xml:space="preserve">. </w:t>
      </w:r>
      <w:r>
        <w:rPr>
          <w:b/>
        </w:rPr>
        <w:t>KOMPENSACIJOS NEMOKĖJIMO ATVEJAI</w:t>
      </w:r>
    </w:p>
    <w:p>
      <w:pPr>
        <w:ind w:firstLine="567"/>
        <w:jc w:val="both"/>
      </w:pPr>
    </w:p>
    <w:p>
      <w:pPr>
        <w:ind w:firstLine="567"/>
        <w:jc w:val="both"/>
      </w:pPr>
      <w:r>
        <w:t>14</w:t>
      </w:r>
      <w:r>
        <w:t>. Kompensacija nemokama, jeigu:</w:t>
      </w:r>
    </w:p>
    <w:p>
      <w:pPr>
        <w:ind w:firstLine="567"/>
        <w:jc w:val="both"/>
      </w:pPr>
      <w:r>
        <w:t>14.1</w:t>
      </w:r>
      <w:r>
        <w:t>. pareiškėjas neatitinka bent vieno iš reikalavimų, išdėstytų Taisyklių 4 punkte;</w:t>
      </w:r>
    </w:p>
    <w:p>
      <w:pPr>
        <w:ind w:firstLine="567"/>
        <w:jc w:val="both"/>
      </w:pPr>
      <w:r>
        <w:t>14.2</w:t>
      </w:r>
      <w:r>
        <w:t>. pareiškėjas nepateikia bent vieno iš dokumentų, nurodytų Taisyklių 10 punkte;</w:t>
      </w:r>
    </w:p>
    <w:p>
      <w:pPr>
        <w:ind w:firstLine="567"/>
        <w:jc w:val="both"/>
      </w:pPr>
      <w:r>
        <w:t>14.3</w:t>
      </w:r>
      <w:r>
        <w:t>. pareiškėjui paskirta administracinė nuobauda už Lietuvos Respublikos administracinių teisės pažeidimų kodekso (Žin., 1985, Nr. 1-1) 105 straipsnyje numatytą administracinį teisės pažeidimą;</w:t>
      </w:r>
    </w:p>
    <w:p>
      <w:pPr>
        <w:ind w:firstLine="567"/>
        <w:jc w:val="both"/>
      </w:pPr>
      <w:r>
        <w:t>14.4</w:t>
      </w:r>
      <w:r>
        <w:t>. pareiškėjas praleidžia Taisyklių 10.1 ar 11 punktuose nustatytus terminus;</w:t>
      </w:r>
    </w:p>
    <w:p>
      <w:pPr>
        <w:ind w:firstLine="567"/>
        <w:jc w:val="both"/>
      </w:pPr>
      <w:r>
        <w:t>14.5</w:t>
      </w:r>
      <w:r>
        <w:t>. pareiškėjas tyčia ar dėl didelio neatsargumo sudarė sąlygas kenksmingiesiems organizmams išplisti ir (ar) platino juos;</w:t>
      </w:r>
    </w:p>
    <w:p>
      <w:pPr>
        <w:ind w:firstLine="567"/>
        <w:jc w:val="both"/>
      </w:pPr>
      <w:r>
        <w:t>14.6</w:t>
      </w:r>
      <w:r>
        <w:t xml:space="preserve">. per ketverius metus nuo kenksmingaisiais organizmais užkrėstų ir galimai užkrėstų augalų ir augalinių produktų sunaikinimo ir kompensacijos už nuostolius dėl fitosanitarijos priemonių naudojimo valstybės pagalbos gavėjui išmokėjimo žemės ūkio valdoje nustatytas tas pats kenksmingasis organizmas. </w:t>
      </w:r>
    </w:p>
    <w:p>
      <w:pPr>
        <w:ind w:firstLine="567"/>
        <w:jc w:val="both"/>
      </w:pPr>
      <w:r>
        <w:t>15</w:t>
      </w:r>
      <w:r>
        <w:t>. Apie priimtą sprendimą nemokėti kompensacijos Nacionalinė mokėjimo agentūra informuoja pareiškėją raštu per 3 darbo dienas nuo sprendimo priėmimo.</w:t>
      </w:r>
    </w:p>
    <w:p>
      <w:pPr>
        <w:ind w:firstLine="567"/>
        <w:jc w:val="both"/>
      </w:pPr>
      <w:r>
        <w:t>16</w:t>
      </w:r>
      <w:r>
        <w:t xml:space="preserve">. Žemės ūkio ministerija kontroliuoja, kaip naudojamos Lietuvos Respublikos valstybės biudžeto lėšos nuostoliams dėl fitosanitarijos priemonių naudojimo iš dalies kompensuoti. </w:t>
      </w:r>
    </w:p>
    <w:p>
      <w:pPr>
        <w:ind w:firstLine="567"/>
        <w:jc w:val="both"/>
      </w:pPr>
    </w:p>
    <w:p>
      <w:pPr>
        <w:jc w:val="center"/>
        <w:rPr>
          <w:b/>
          <w:bCs/>
        </w:rPr>
      </w:pPr>
      <w:r>
        <w:rPr>
          <w:b/>
          <w:bCs/>
        </w:rPr>
        <w:t>IV</w:t>
      </w:r>
      <w:r>
        <w:rPr>
          <w:b/>
          <w:bCs/>
        </w:rPr>
        <w:t xml:space="preserve">. </w:t>
      </w:r>
      <w:r>
        <w:rPr>
          <w:b/>
          <w:bCs/>
        </w:rPr>
        <w:t>INFORMACIJOS VIEŠINIMAS</w:t>
      </w:r>
    </w:p>
    <w:p>
      <w:pPr>
        <w:ind w:firstLine="567"/>
        <w:jc w:val="both"/>
      </w:pPr>
    </w:p>
    <w:p>
      <w:pPr>
        <w:ind w:firstLine="567"/>
        <w:jc w:val="both"/>
      </w:pPr>
      <w:r>
        <w:t>17</w:t>
      </w:r>
      <w:r>
        <w:t xml:space="preserve">. Siekdama, kad valstybės pagalbos lėšos būtų naudojamos viešai ir skaidriai, Nacionalinė mokėjimo agentūra skelbia pareiškėjų ir valstybės pagalbos gavėjų sąrašus, priemonės pavadinimą ir sumas, kurias gavo kiekvienas valstybės pagalbos gavėjas iš Lietuvos Respublikos valstybės biudžeto. </w:t>
      </w:r>
    </w:p>
    <w:p>
      <w:pPr>
        <w:ind w:firstLine="567"/>
        <w:jc w:val="both"/>
      </w:pPr>
      <w:r>
        <w:t>18</w:t>
      </w:r>
      <w:r>
        <w:t>. Informacija apie valstybės pagalbos gavėjams iš Lietuvos Respublikos valstybės biudžeto kalendoriniais metais išmokėtą valstybės pagalbą skelbiama iki kitų metų balandžio 30 d. Nacionalinės mokėjimo agentūros interneto svetainėje www.nma.lt.</w:t>
      </w:r>
    </w:p>
    <w:p>
      <w:pPr>
        <w:ind w:firstLine="567"/>
        <w:jc w:val="both"/>
      </w:pPr>
    </w:p>
    <w:p>
      <w:pPr>
        <w:jc w:val="center"/>
        <w:rPr>
          <w:b/>
        </w:rPr>
      </w:pPr>
      <w:r>
        <w:rPr>
          <w:b/>
        </w:rPr>
        <w:t>V</w:t>
      </w:r>
      <w:r>
        <w:rPr>
          <w:b/>
        </w:rPr>
        <w:t xml:space="preserve">. </w:t>
      </w:r>
      <w:r>
        <w:rPr>
          <w:b/>
        </w:rPr>
        <w:t>BAIGIAMOSIOS NUOSTATOS</w:t>
      </w:r>
    </w:p>
    <w:p>
      <w:pPr>
        <w:ind w:firstLine="567"/>
        <w:jc w:val="both"/>
      </w:pPr>
    </w:p>
    <w:p>
      <w:pPr>
        <w:ind w:firstLine="567"/>
        <w:jc w:val="both"/>
      </w:pPr>
      <w:r>
        <w:t>19</w:t>
      </w:r>
      <w:r>
        <w:t xml:space="preserve">. Lėšos nuostoliams dėl fitosanitarijos priemonių naudojimo iš dalies kompensuoti naudojamos iš Žemės ūkio ministerijai skirtų Lietuvos Respublikos valstybės biudžeto asignavimų. </w:t>
      </w:r>
    </w:p>
    <w:p>
      <w:pPr>
        <w:ind w:firstLine="567"/>
        <w:jc w:val="both"/>
      </w:pPr>
      <w:r>
        <w:t>20</w:t>
      </w:r>
      <w:r>
        <w:t>. Kompensacija valstybės pagalbos gavėjams negali būti kaupiama su bet kokia kita valstybės pagalba arba finansine parama, taip pat Bendrijos finansine parama toms pačioms paramos skyrimo kriterijus atitinkančioms išlaidoms, jeigu dėl tokio kaupimo būtų viršytas kompensacijos intensyvumas, kaip nurodyta reglamento (EB) Nr. 1857/2006 19 straipsnyje.</w:t>
      </w:r>
    </w:p>
    <w:p>
      <w:pPr>
        <w:ind w:firstLine="567"/>
        <w:jc w:val="both"/>
      </w:pPr>
      <w:r>
        <w:t>21</w:t>
      </w:r>
      <w:r>
        <w:t xml:space="preserve">. Jeigu valstybės pagalbos gavėjui išmokėta ar apskaičiuota draudimo išmoka ir (ar) kita parama už nuostolius dėl kenksmingaisiais organizmais užkrėstų ir galimai užkrėstų augalų, augalinių produktų sunaikinimo, iš kompensacijos sumos atimama draudimo išmoka ir (ar) kita parama. </w:t>
      </w:r>
    </w:p>
    <w:p>
      <w:pPr>
        <w:ind w:firstLine="567"/>
        <w:jc w:val="both"/>
      </w:pPr>
      <w:r>
        <w:t>22</w:t>
      </w:r>
      <w:r>
        <w:t>. Esant rizikai, kad kenksmingieji organizmai išplis Lietuvos Respublikoje ar Europos Sąjungoje, Žemės ūkio ministerija gali kreiptis į Europos Komisiją dėl reikiamų lėšų, numatomų fitosanitarijos priemonių naudojimo išlaidoms padengti, skyrimo.</w:t>
      </w:r>
    </w:p>
    <w:p>
      <w:pPr>
        <w:ind w:firstLine="567"/>
        <w:jc w:val="both"/>
      </w:pPr>
      <w:r>
        <w:t>23</w:t>
      </w:r>
      <w:r>
        <w:t>. Asmenys, pažeidę Taisyklių reikalavimus, atsako teisės aktų nustatyta tvarka.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CF0546F0D1">
        <w:r w:rsidRPr="00532B9F">
          <w:rPr>
            <w:rFonts w:ascii="Times New Roman" w:eastAsia="MS Mincho" w:hAnsi="Times New Roman"/>
            <w:sz w:val="20"/>
            <w:i/>
            <w:iCs/>
            <w:color w:val="0000FF" w:themeColor="hyperlink"/>
            <w:u w:val="single"/>
          </w:rPr>
          <w:t>558</w:t>
        </w:r>
      </w:fldSimple>
      <w:r>
        <w:rPr>
          <w:rFonts w:ascii="Times New Roman" w:eastAsia="MS Mincho" w:hAnsi="Times New Roman"/>
          <w:sz w:val="20"/>
          <w:i/>
          <w:iCs/>
        </w:rPr>
        <w:t>,
2011-05-11,
Žin., 2011, Nr.
58-2769 (2011-05-14), i. k. 1111100NUTA00000558            </w:t>
      </w:r>
    </w:p>
    <w:p/>
    <w:p>
      <w:pPr>
        <w:ind w:firstLine="5102"/>
      </w:pPr>
    </w:p>
    <w:p>
      <w:pPr/>
      <w:r>
        <w:br w:type="page"/>
      </w:r>
    </w:p>
    <w:p>
      <w:pPr>
        <w:ind w:firstLine="5102"/>
      </w:pPr>
      <w:r>
        <w:t xml:space="preserve">Nuostolių dėl fitosanitarijos priemonių </w:t>
      </w:r>
    </w:p>
    <w:p>
      <w:pPr>
        <w:ind w:firstLine="5102"/>
      </w:pPr>
      <w:r>
        <w:t xml:space="preserve">naudojimo dalinio kompensavimo </w:t>
      </w:r>
    </w:p>
    <w:p>
      <w:pPr>
        <w:ind w:firstLine="5102"/>
      </w:pPr>
      <w:r>
        <w:t>taisyklių</w:t>
      </w:r>
    </w:p>
    <w:p>
      <w:pPr>
        <w:ind w:firstLine="5102"/>
      </w:pPr>
      <w:r>
        <w:t>1</w:t>
      </w:r>
      <w:r>
        <w:t xml:space="preserve"> priedas </w:t>
      </w:r>
    </w:p>
    <w:p>
      <w:pPr>
        <w:ind w:firstLine="5102"/>
      </w:pPr>
      <w:r>
        <w:t xml:space="preserve">(Lietuvos Respublikos Vyriausybės </w:t>
      </w:r>
    </w:p>
    <w:p>
      <w:pPr>
        <w:ind w:firstLine="5102"/>
      </w:pPr>
      <w:r>
        <w:t xml:space="preserve">2011 m. gegužės 11 d. </w:t>
      </w:r>
    </w:p>
    <w:p>
      <w:pPr>
        <w:ind w:firstLine="5102"/>
      </w:pPr>
      <w:r>
        <w:t>nutarimo Nr. 558 redakcija)</w:t>
      </w:r>
    </w:p>
    <w:p>
      <w:pPr/>
    </w:p>
    <w:p>
      <w:pPr>
        <w:jc w:val="center"/>
        <w:rPr>
          <w:b/>
        </w:rPr>
      </w:pPr>
      <w:r>
        <w:rPr>
          <w:b/>
        </w:rPr>
        <w:t>AUGALŲ, AUGALINIŲ PRODUKTŲ IR JIEMS KENKIANČIŲ ORGANIZMŲ, DĖL KURIŲ NAUDOJAMOS FITOSANITARIJOS PRIEMONĖS, SĄRAŠAS</w:t>
      </w:r>
    </w:p>
    <w:p>
      <w:pPr>
        <w:jc w:val="both"/>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78"/>
        <w:gridCol w:w="5574"/>
        <w:gridCol w:w="3090"/>
      </w:tblGrid>
      <w:tr>
        <w:tc>
          <w:tcPr>
            <w:tcW w:w="578" w:type="dxa"/>
            <w:tcMar>
              <w:top w:w="28" w:type="dxa"/>
              <w:bottom w:w="28" w:type="dxa"/>
            </w:tcMar>
            <w:vAlign w:val="center"/>
          </w:tcPr>
          <w:p>
            <w:pPr>
              <w:jc w:val="center"/>
              <w:rPr>
                <w:sz w:val="22"/>
              </w:rPr>
            </w:pPr>
            <w:r>
              <w:rPr>
                <w:sz w:val="22"/>
              </w:rPr>
              <w:t>Eil. Nr.</w:t>
            </w:r>
          </w:p>
        </w:tc>
        <w:tc>
          <w:tcPr>
            <w:tcW w:w="5574" w:type="dxa"/>
            <w:tcMar>
              <w:top w:w="28" w:type="dxa"/>
              <w:bottom w:w="28" w:type="dxa"/>
            </w:tcMar>
            <w:vAlign w:val="center"/>
          </w:tcPr>
          <w:p>
            <w:pPr>
              <w:jc w:val="center"/>
              <w:rPr>
                <w:sz w:val="22"/>
              </w:rPr>
            </w:pPr>
            <w:r>
              <w:rPr>
                <w:sz w:val="22"/>
              </w:rPr>
              <w:t>Augalai ir augaliniai produktai</w:t>
            </w:r>
          </w:p>
        </w:tc>
        <w:tc>
          <w:tcPr>
            <w:tcW w:w="3090" w:type="dxa"/>
            <w:tcMar>
              <w:top w:w="28" w:type="dxa"/>
              <w:bottom w:w="28" w:type="dxa"/>
            </w:tcMar>
            <w:vAlign w:val="center"/>
          </w:tcPr>
          <w:p>
            <w:pPr>
              <w:jc w:val="center"/>
              <w:rPr>
                <w:sz w:val="22"/>
              </w:rPr>
            </w:pPr>
            <w:r>
              <w:rPr>
                <w:sz w:val="22"/>
              </w:rPr>
              <w:t>Kenksmingieji organizmai</w:t>
            </w:r>
          </w:p>
        </w:tc>
      </w:tr>
      <w:tr>
        <w:tc>
          <w:tcPr>
            <w:tcW w:w="578" w:type="dxa"/>
            <w:tcMar>
              <w:top w:w="28" w:type="dxa"/>
              <w:bottom w:w="28" w:type="dxa"/>
            </w:tcMar>
          </w:tcPr>
          <w:p>
            <w:pPr>
              <w:jc w:val="center"/>
              <w:rPr>
                <w:sz w:val="22"/>
              </w:rPr>
            </w:pPr>
            <w:r>
              <w:rPr>
                <w:sz w:val="22"/>
              </w:rPr>
              <w:t>1.</w:t>
            </w:r>
          </w:p>
        </w:tc>
        <w:tc>
          <w:tcPr>
            <w:tcW w:w="5574" w:type="dxa"/>
            <w:tcMar>
              <w:top w:w="28" w:type="dxa"/>
              <w:bottom w:w="28" w:type="dxa"/>
            </w:tcMar>
          </w:tcPr>
          <w:p>
            <w:pPr>
              <w:rPr>
                <w:sz w:val="22"/>
              </w:rPr>
            </w:pPr>
            <w:r>
              <w:rPr>
                <w:sz w:val="22"/>
              </w:rPr>
              <w:t xml:space="preserve">Bulvės </w:t>
            </w:r>
          </w:p>
        </w:tc>
        <w:tc>
          <w:tcPr>
            <w:tcW w:w="3090" w:type="dxa"/>
            <w:tcMar>
              <w:top w:w="28" w:type="dxa"/>
              <w:bottom w:w="28" w:type="dxa"/>
            </w:tcMar>
          </w:tcPr>
          <w:p>
            <w:pPr>
              <w:rPr>
                <w:sz w:val="22"/>
              </w:rPr>
            </w:pPr>
            <w:r>
              <w:rPr>
                <w:i/>
                <w:sz w:val="22"/>
              </w:rPr>
              <w:t>Clavibacter michiganensis</w:t>
            </w:r>
            <w:r>
              <w:rPr>
                <w:sz w:val="22"/>
              </w:rPr>
              <w:t xml:space="preserve"> subsp. s</w:t>
            </w:r>
            <w:r>
              <w:rPr>
                <w:i/>
                <w:sz w:val="22"/>
              </w:rPr>
              <w:t xml:space="preserve">epedonicus </w:t>
            </w:r>
            <w:r>
              <w:rPr>
                <w:sz w:val="22"/>
              </w:rPr>
              <w:t>(bulvių žiedinis puvinys)</w:t>
            </w:r>
          </w:p>
        </w:tc>
      </w:tr>
      <w:tr>
        <w:tc>
          <w:tcPr>
            <w:tcW w:w="578" w:type="dxa"/>
            <w:tcMar>
              <w:top w:w="28" w:type="dxa"/>
              <w:bottom w:w="28" w:type="dxa"/>
            </w:tcMar>
          </w:tcPr>
          <w:p>
            <w:pPr>
              <w:jc w:val="center"/>
              <w:rPr>
                <w:sz w:val="22"/>
              </w:rPr>
            </w:pPr>
            <w:r>
              <w:rPr>
                <w:sz w:val="22"/>
              </w:rPr>
              <w:t>2.</w:t>
            </w:r>
          </w:p>
        </w:tc>
        <w:tc>
          <w:tcPr>
            <w:tcW w:w="5574" w:type="dxa"/>
            <w:tcMar>
              <w:top w:w="28" w:type="dxa"/>
              <w:bottom w:w="28" w:type="dxa"/>
            </w:tcMar>
          </w:tcPr>
          <w:p>
            <w:pPr>
              <w:rPr>
                <w:sz w:val="22"/>
              </w:rPr>
            </w:pPr>
            <w:r>
              <w:rPr>
                <w:sz w:val="22"/>
              </w:rPr>
              <w:t xml:space="preserve">Bulvės </w:t>
            </w:r>
          </w:p>
        </w:tc>
        <w:tc>
          <w:tcPr>
            <w:tcW w:w="3090" w:type="dxa"/>
            <w:tcMar>
              <w:top w:w="28" w:type="dxa"/>
              <w:bottom w:w="28" w:type="dxa"/>
            </w:tcMar>
          </w:tcPr>
          <w:p>
            <w:pPr>
              <w:rPr>
                <w:sz w:val="22"/>
              </w:rPr>
            </w:pPr>
            <w:r>
              <w:rPr>
                <w:i/>
                <w:sz w:val="22"/>
              </w:rPr>
              <w:t>Globodera pallida</w:t>
            </w:r>
            <w:r>
              <w:rPr>
                <w:sz w:val="22"/>
              </w:rPr>
              <w:t xml:space="preserve"> (blyškusis bulvinis nematodas)</w:t>
            </w:r>
            <w:r>
              <w:rPr>
                <w:strike/>
                <w:sz w:val="22"/>
              </w:rPr>
              <w:t xml:space="preserve"> </w:t>
            </w:r>
          </w:p>
        </w:tc>
      </w:tr>
      <w:tr>
        <w:tc>
          <w:tcPr>
            <w:tcW w:w="578" w:type="dxa"/>
            <w:tcMar>
              <w:top w:w="28" w:type="dxa"/>
              <w:bottom w:w="28" w:type="dxa"/>
            </w:tcMar>
          </w:tcPr>
          <w:p>
            <w:pPr>
              <w:jc w:val="center"/>
              <w:rPr>
                <w:sz w:val="22"/>
              </w:rPr>
            </w:pPr>
            <w:r>
              <w:rPr>
                <w:sz w:val="22"/>
              </w:rPr>
              <w:t>3.</w:t>
            </w:r>
          </w:p>
        </w:tc>
        <w:tc>
          <w:tcPr>
            <w:tcW w:w="5574" w:type="dxa"/>
            <w:tcMar>
              <w:top w:w="28" w:type="dxa"/>
              <w:bottom w:w="28" w:type="dxa"/>
            </w:tcMar>
          </w:tcPr>
          <w:p>
            <w:pPr>
              <w:rPr>
                <w:sz w:val="22"/>
              </w:rPr>
            </w:pPr>
            <w:r>
              <w:rPr>
                <w:sz w:val="22"/>
              </w:rPr>
              <w:t xml:space="preserve">Bulvės </w:t>
            </w:r>
          </w:p>
        </w:tc>
        <w:tc>
          <w:tcPr>
            <w:tcW w:w="3090" w:type="dxa"/>
            <w:tcMar>
              <w:top w:w="28" w:type="dxa"/>
              <w:bottom w:w="28" w:type="dxa"/>
            </w:tcMar>
          </w:tcPr>
          <w:p>
            <w:pPr>
              <w:rPr>
                <w:sz w:val="22"/>
              </w:rPr>
            </w:pPr>
            <w:r>
              <w:rPr>
                <w:i/>
                <w:sz w:val="22"/>
              </w:rPr>
              <w:t xml:space="preserve">Synchytrium endobioticum </w:t>
            </w:r>
            <w:r>
              <w:rPr>
                <w:sz w:val="22"/>
              </w:rPr>
              <w:t>(bulvių vėžys)</w:t>
            </w:r>
          </w:p>
        </w:tc>
      </w:tr>
      <w:tr>
        <w:tc>
          <w:tcPr>
            <w:tcW w:w="578" w:type="dxa"/>
            <w:tcMar>
              <w:top w:w="28" w:type="dxa"/>
              <w:bottom w:w="28" w:type="dxa"/>
            </w:tcMar>
          </w:tcPr>
          <w:p>
            <w:pPr>
              <w:jc w:val="center"/>
              <w:rPr>
                <w:sz w:val="22"/>
              </w:rPr>
            </w:pPr>
            <w:r>
              <w:rPr>
                <w:sz w:val="22"/>
              </w:rPr>
              <w:t>4.</w:t>
            </w:r>
          </w:p>
        </w:tc>
        <w:tc>
          <w:tcPr>
            <w:tcW w:w="5574" w:type="dxa"/>
            <w:tcMar>
              <w:top w:w="28" w:type="dxa"/>
              <w:bottom w:w="28" w:type="dxa"/>
            </w:tcMar>
          </w:tcPr>
          <w:p>
            <w:pPr>
              <w:rPr>
                <w:sz w:val="22"/>
              </w:rPr>
            </w:pPr>
            <w:r>
              <w:rPr>
                <w:sz w:val="22"/>
              </w:rPr>
              <w:t>Bulvės, pomidorų daigai ir augalai</w:t>
            </w:r>
          </w:p>
        </w:tc>
        <w:tc>
          <w:tcPr>
            <w:tcW w:w="3090" w:type="dxa"/>
            <w:tcMar>
              <w:top w:w="28" w:type="dxa"/>
              <w:bottom w:w="28" w:type="dxa"/>
            </w:tcMar>
          </w:tcPr>
          <w:p>
            <w:pPr>
              <w:rPr>
                <w:sz w:val="22"/>
              </w:rPr>
            </w:pPr>
            <w:r>
              <w:rPr>
                <w:i/>
                <w:sz w:val="22"/>
              </w:rPr>
              <w:t>Ralstonia solanacearum</w:t>
            </w:r>
            <w:r>
              <w:rPr>
                <w:sz w:val="22"/>
              </w:rPr>
              <w:t xml:space="preserve"> (bulvių rudasis puvinys)</w:t>
            </w:r>
          </w:p>
        </w:tc>
      </w:tr>
      <w:tr>
        <w:tc>
          <w:tcPr>
            <w:tcW w:w="578" w:type="dxa"/>
            <w:tcMar>
              <w:top w:w="28" w:type="dxa"/>
              <w:bottom w:w="28" w:type="dxa"/>
            </w:tcMar>
          </w:tcPr>
          <w:p>
            <w:pPr>
              <w:jc w:val="center"/>
              <w:rPr>
                <w:sz w:val="22"/>
              </w:rPr>
            </w:pPr>
            <w:r>
              <w:rPr>
                <w:sz w:val="22"/>
              </w:rPr>
              <w:t>5.</w:t>
            </w:r>
          </w:p>
        </w:tc>
        <w:tc>
          <w:tcPr>
            <w:tcW w:w="5574" w:type="dxa"/>
            <w:tcMar>
              <w:top w:w="28" w:type="dxa"/>
              <w:bottom w:w="28" w:type="dxa"/>
            </w:tcMar>
          </w:tcPr>
          <w:p>
            <w:pPr>
              <w:rPr>
                <w:strike/>
                <w:sz w:val="22"/>
              </w:rPr>
            </w:pPr>
            <w:r>
              <w:rPr>
                <w:sz w:val="22"/>
              </w:rPr>
              <w:t>Medžiai</w:t>
            </w:r>
          </w:p>
        </w:tc>
        <w:tc>
          <w:tcPr>
            <w:tcW w:w="3090" w:type="dxa"/>
            <w:tcMar>
              <w:top w:w="28" w:type="dxa"/>
              <w:bottom w:w="28" w:type="dxa"/>
            </w:tcMar>
          </w:tcPr>
          <w:p>
            <w:pPr>
              <w:rPr>
                <w:i/>
                <w:sz w:val="22"/>
              </w:rPr>
            </w:pPr>
            <w:r>
              <w:rPr>
                <w:i/>
                <w:sz w:val="22"/>
              </w:rPr>
              <w:t>Plum pox virus</w:t>
            </w:r>
            <w:r>
              <w:rPr>
                <w:sz w:val="22"/>
              </w:rPr>
              <w:t xml:space="preserve"> „Sharka“ (slyvų raupligės virusas „Šarka“)</w:t>
            </w:r>
          </w:p>
        </w:tc>
      </w:tr>
      <w:tr>
        <w:tc>
          <w:tcPr>
            <w:tcW w:w="578" w:type="dxa"/>
            <w:tcMar>
              <w:top w:w="28" w:type="dxa"/>
              <w:bottom w:w="28" w:type="dxa"/>
            </w:tcMar>
          </w:tcPr>
          <w:p>
            <w:pPr>
              <w:jc w:val="center"/>
              <w:rPr>
                <w:sz w:val="22"/>
              </w:rPr>
            </w:pPr>
            <w:r>
              <w:rPr>
                <w:sz w:val="22"/>
              </w:rPr>
              <w:t>6.</w:t>
            </w:r>
          </w:p>
        </w:tc>
        <w:tc>
          <w:tcPr>
            <w:tcW w:w="5574" w:type="dxa"/>
            <w:tcMar>
              <w:top w:w="28" w:type="dxa"/>
              <w:bottom w:w="28" w:type="dxa"/>
            </w:tcMar>
          </w:tcPr>
          <w:p>
            <w:pPr>
              <w:rPr>
                <w:sz w:val="22"/>
              </w:rPr>
            </w:pPr>
            <w:r>
              <w:rPr>
                <w:sz w:val="22"/>
              </w:rPr>
              <w:t>Medžiai ir jų sodinukai: obelys (</w:t>
            </w:r>
            <w:r>
              <w:rPr>
                <w:i/>
                <w:sz w:val="22"/>
              </w:rPr>
              <w:t>Malus</w:t>
            </w:r>
            <w:r>
              <w:rPr>
                <w:sz w:val="22"/>
              </w:rPr>
              <w:t xml:space="preserve"> Mill.), kriaušės (</w:t>
            </w:r>
            <w:r>
              <w:rPr>
                <w:i/>
                <w:sz w:val="22"/>
              </w:rPr>
              <w:t xml:space="preserve">Pyrus </w:t>
            </w:r>
            <w:r>
              <w:rPr>
                <w:sz w:val="22"/>
              </w:rPr>
              <w:t>L.), cidonijos (</w:t>
            </w:r>
            <w:r>
              <w:rPr>
                <w:i/>
                <w:sz w:val="22"/>
              </w:rPr>
              <w:t xml:space="preserve">Cydonia </w:t>
            </w:r>
            <w:r>
              <w:rPr>
                <w:sz w:val="22"/>
              </w:rPr>
              <w:t>Mill.)</w:t>
            </w:r>
          </w:p>
        </w:tc>
        <w:tc>
          <w:tcPr>
            <w:tcW w:w="3090" w:type="dxa"/>
            <w:tcMar>
              <w:top w:w="28" w:type="dxa"/>
              <w:bottom w:w="28" w:type="dxa"/>
            </w:tcMar>
          </w:tcPr>
          <w:p>
            <w:pPr>
              <w:rPr>
                <w:i/>
                <w:sz w:val="22"/>
              </w:rPr>
            </w:pPr>
            <w:r>
              <w:rPr>
                <w:i/>
                <w:sz w:val="22"/>
              </w:rPr>
              <w:t xml:space="preserve">Erwinia amylovora </w:t>
            </w:r>
            <w:r>
              <w:rPr>
                <w:sz w:val="22"/>
              </w:rPr>
              <w:t>(bakterinė degligė)</w:t>
            </w:r>
          </w:p>
        </w:tc>
      </w:tr>
      <w:tr>
        <w:tc>
          <w:tcPr>
            <w:tcW w:w="578" w:type="dxa"/>
            <w:tcMar>
              <w:top w:w="28" w:type="dxa"/>
              <w:bottom w:w="28" w:type="dxa"/>
            </w:tcMar>
          </w:tcPr>
          <w:p>
            <w:pPr>
              <w:jc w:val="center"/>
              <w:rPr>
                <w:sz w:val="22"/>
              </w:rPr>
            </w:pPr>
            <w:r>
              <w:rPr>
                <w:sz w:val="22"/>
              </w:rPr>
              <w:t>7.</w:t>
            </w:r>
          </w:p>
        </w:tc>
        <w:tc>
          <w:tcPr>
            <w:tcW w:w="5574" w:type="dxa"/>
            <w:tcMar>
              <w:top w:w="28" w:type="dxa"/>
              <w:bottom w:w="28" w:type="dxa"/>
            </w:tcMar>
          </w:tcPr>
          <w:p>
            <w:pPr>
              <w:rPr>
                <w:sz w:val="22"/>
              </w:rPr>
            </w:pPr>
            <w:r>
              <w:rPr>
                <w:sz w:val="22"/>
              </w:rPr>
              <w:t>Vaiskrūmiai ir jų sodinukai: svarainiai (</w:t>
            </w:r>
            <w:r>
              <w:rPr>
                <w:i/>
                <w:sz w:val="22"/>
              </w:rPr>
              <w:t>Chaenomeles</w:t>
            </w:r>
            <w:r>
              <w:rPr>
                <w:sz w:val="22"/>
              </w:rPr>
              <w:t xml:space="preserve"> Lindl.)</w:t>
            </w:r>
          </w:p>
        </w:tc>
        <w:tc>
          <w:tcPr>
            <w:tcW w:w="3090" w:type="dxa"/>
            <w:tcMar>
              <w:top w:w="28" w:type="dxa"/>
              <w:bottom w:w="28" w:type="dxa"/>
            </w:tcMar>
          </w:tcPr>
          <w:p>
            <w:pPr>
              <w:rPr>
                <w:i/>
                <w:sz w:val="22"/>
              </w:rPr>
            </w:pPr>
            <w:r>
              <w:rPr>
                <w:i/>
                <w:sz w:val="22"/>
              </w:rPr>
              <w:t xml:space="preserve">Erwinia amylovora </w:t>
            </w:r>
            <w:r>
              <w:rPr>
                <w:sz w:val="22"/>
              </w:rPr>
              <w:t>(bakterinė degligė)</w:t>
            </w:r>
          </w:p>
        </w:tc>
      </w:tr>
      <w:tr>
        <w:tc>
          <w:tcPr>
            <w:tcW w:w="578" w:type="dxa"/>
            <w:tcMar>
              <w:top w:w="28" w:type="dxa"/>
              <w:bottom w:w="28" w:type="dxa"/>
            </w:tcMar>
          </w:tcPr>
          <w:p>
            <w:pPr>
              <w:jc w:val="center"/>
              <w:rPr>
                <w:sz w:val="22"/>
              </w:rPr>
            </w:pPr>
            <w:r>
              <w:rPr>
                <w:sz w:val="22"/>
              </w:rPr>
              <w:t>8.</w:t>
            </w:r>
          </w:p>
        </w:tc>
        <w:tc>
          <w:tcPr>
            <w:tcW w:w="5574" w:type="dxa"/>
            <w:tcMar>
              <w:top w:w="28" w:type="dxa"/>
              <w:bottom w:w="28" w:type="dxa"/>
            </w:tcMar>
          </w:tcPr>
          <w:p>
            <w:pPr>
              <w:rPr>
                <w:sz w:val="22"/>
              </w:rPr>
            </w:pPr>
            <w:r>
              <w:rPr>
                <w:sz w:val="22"/>
              </w:rPr>
              <w:t>Dekoratyviniai augalai: gudobelės (</w:t>
            </w:r>
            <w:r>
              <w:rPr>
                <w:i/>
                <w:sz w:val="22"/>
              </w:rPr>
              <w:t xml:space="preserve">Crataegus </w:t>
            </w:r>
            <w:r>
              <w:rPr>
                <w:sz w:val="22"/>
              </w:rPr>
              <w:t>L.), kauleniai (</w:t>
            </w:r>
            <w:r>
              <w:rPr>
                <w:i/>
                <w:sz w:val="22"/>
              </w:rPr>
              <w:t xml:space="preserve">Cotoneaster </w:t>
            </w:r>
            <w:r>
              <w:rPr>
                <w:sz w:val="22"/>
              </w:rPr>
              <w:t>Ehrh.), šermukšniai (</w:t>
            </w:r>
            <w:r>
              <w:rPr>
                <w:i/>
                <w:sz w:val="22"/>
              </w:rPr>
              <w:t xml:space="preserve">Sorbus </w:t>
            </w:r>
            <w:r>
              <w:rPr>
                <w:sz w:val="22"/>
              </w:rPr>
              <w:t>L.), dyglainės (</w:t>
            </w:r>
            <w:r>
              <w:rPr>
                <w:i/>
                <w:sz w:val="22"/>
              </w:rPr>
              <w:t>Pyracantha</w:t>
            </w:r>
            <w:r>
              <w:rPr>
                <w:sz w:val="22"/>
              </w:rPr>
              <w:t xml:space="preserve"> M. Roem.), lokvos (</w:t>
            </w:r>
            <w:r>
              <w:rPr>
                <w:i/>
                <w:sz w:val="22"/>
              </w:rPr>
              <w:t xml:space="preserve">Eriobotrya </w:t>
            </w:r>
            <w:r>
              <w:rPr>
                <w:sz w:val="22"/>
              </w:rPr>
              <w:t>Lindl.), šliandros (</w:t>
            </w:r>
            <w:r>
              <w:rPr>
                <w:i/>
                <w:sz w:val="22"/>
              </w:rPr>
              <w:t xml:space="preserve">Mespilus </w:t>
            </w:r>
            <w:r>
              <w:rPr>
                <w:sz w:val="22"/>
              </w:rPr>
              <w:t>L.), medlievos (</w:t>
            </w:r>
            <w:r>
              <w:rPr>
                <w:i/>
                <w:sz w:val="22"/>
              </w:rPr>
              <w:t xml:space="preserve">Amelenchier </w:t>
            </w:r>
            <w:r>
              <w:rPr>
                <w:sz w:val="22"/>
              </w:rPr>
              <w:t>Med.), fotinijos (</w:t>
            </w:r>
            <w:r>
              <w:rPr>
                <w:i/>
                <w:sz w:val="22"/>
              </w:rPr>
              <w:t xml:space="preserve">Photinia davidiana </w:t>
            </w:r>
            <w:r>
              <w:rPr>
                <w:sz w:val="22"/>
              </w:rPr>
              <w:t>(Dcne.) Cardot)</w:t>
            </w:r>
          </w:p>
        </w:tc>
        <w:tc>
          <w:tcPr>
            <w:tcW w:w="3090" w:type="dxa"/>
            <w:tcMar>
              <w:top w:w="28" w:type="dxa"/>
              <w:bottom w:w="28" w:type="dxa"/>
            </w:tcMar>
          </w:tcPr>
          <w:p>
            <w:pPr>
              <w:rPr>
                <w:i/>
                <w:strike/>
                <w:sz w:val="22"/>
              </w:rPr>
            </w:pPr>
            <w:r>
              <w:rPr>
                <w:i/>
                <w:sz w:val="22"/>
              </w:rPr>
              <w:t xml:space="preserve">Erwinia amylovora </w:t>
            </w:r>
            <w:r>
              <w:rPr>
                <w:sz w:val="22"/>
              </w:rPr>
              <w:t>(bakterinė degligė)</w:t>
            </w: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DB45EF07E">
        <w:r w:rsidRPr="00532B9F">
          <w:rPr>
            <w:rFonts w:ascii="Times New Roman" w:eastAsia="MS Mincho" w:hAnsi="Times New Roman"/>
            <w:sz w:val="20"/>
            <w:i/>
            <w:iCs/>
            <w:color w:val="0000FF" w:themeColor="hyperlink"/>
            <w:u w:val="single"/>
          </w:rPr>
          <w:t>1092</w:t>
        </w:r>
      </w:fldSimple>
      <w:r>
        <w:rPr>
          <w:rFonts w:ascii="Times New Roman" w:eastAsia="MS Mincho" w:hAnsi="Times New Roman"/>
          <w:sz w:val="20"/>
          <w:i/>
          <w:iCs/>
        </w:rPr>
        <w:t>,
2006-10-31,
Žin., 2006, Nr.
118-4490 (2006-11-04), i. k. 1061100NUTA00001092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
      <w:pPr>
        <w:ind w:firstLine="5102"/>
      </w:pPr>
    </w:p>
    <w:p>
      <w:pPr/>
      <w:r>
        <w:br w:type="page"/>
      </w:r>
    </w:p>
    <w:p>
      <w:pPr>
        <w:ind w:firstLine="5102"/>
      </w:pPr>
      <w:r>
        <w:t xml:space="preserve">Nuostolių dėl fitosanitarijos priemonių </w:t>
      </w:r>
    </w:p>
    <w:p>
      <w:pPr>
        <w:ind w:firstLine="5102"/>
      </w:pPr>
      <w:r>
        <w:t xml:space="preserve">naudojimo dalinio kompensavimo </w:t>
      </w:r>
    </w:p>
    <w:p>
      <w:pPr>
        <w:ind w:firstLine="5102"/>
      </w:pPr>
      <w:r>
        <w:t>taisyklių</w:t>
      </w:r>
    </w:p>
    <w:p>
      <w:pPr>
        <w:ind w:firstLine="5102"/>
      </w:pPr>
      <w:r>
        <w:t>2</w:t>
      </w:r>
      <w:r>
        <w:t xml:space="preserve"> priedas </w:t>
      </w:r>
    </w:p>
    <w:p>
      <w:pPr>
        <w:ind w:firstLine="5102"/>
      </w:pPr>
      <w:r>
        <w:t xml:space="preserve">(Lietuvos Respublikos Vyriausybės </w:t>
      </w:r>
    </w:p>
    <w:p>
      <w:pPr>
        <w:ind w:firstLine="5102"/>
      </w:pPr>
      <w:r>
        <w:t xml:space="preserve">2011 m. gegužės 11 d. </w:t>
      </w:r>
    </w:p>
    <w:p>
      <w:pPr>
        <w:ind w:firstLine="5102"/>
      </w:pPr>
      <w:r>
        <w:t>nutarimo Nr. 558 redakcija)</w:t>
      </w:r>
    </w:p>
    <w:p>
      <w:pPr/>
    </w:p>
    <w:p>
      <w:pPr>
        <w:jc w:val="center"/>
        <w:rPr>
          <w:b/>
        </w:rPr>
      </w:pPr>
      <w:r>
        <w:rPr>
          <w:b/>
        </w:rPr>
        <w:t>(Pažymos apie fitosanitarijos priemonių naudojimą forma)</w:t>
      </w:r>
    </w:p>
    <w:p>
      <w:pPr>
        <w:jc w:val="center"/>
        <w:rPr>
          <w:b/>
        </w:rPr>
      </w:pPr>
    </w:p>
    <w:p>
      <w:pPr>
        <w:jc w:val="center"/>
      </w:pPr>
      <w:r>
        <w:object w:dxaOrig="885" w:dyaOrig="975" w14:anchorId="6F756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pt;height:48.8pt" o:ole="" fillcolor="window">
            <v:imagedata r:id="rId19" o:title=""/>
          </v:shape>
          <o:OLEObject Type="Embed" ProgID="MSDraw" ShapeID="_x0000_i1027" DrawAspect="Content" ObjectID="_1512372588" r:id="rId20">
            <o:FieldCodes>\* mergeformat</o:FieldCodes>
          </o:OLEObject>
        </w:object>
      </w:r>
    </w:p>
    <w:p>
      <w:pPr>
        <w:jc w:val="center"/>
      </w:pPr>
      <w:r>
        <w:rPr>
          <w:vanish/>
        </w:rPr>
        <w:t>(herbas)</w:t>
      </w:r>
    </w:p>
    <w:p>
      <w:pPr>
        <w:jc w:val="center"/>
      </w:pPr>
    </w:p>
    <w:p>
      <w:pPr>
        <w:jc w:val="center"/>
        <w:rPr>
          <w:b/>
        </w:rPr>
      </w:pPr>
      <w:r>
        <w:rPr>
          <w:b/>
        </w:rPr>
        <w:t>VALSTYBINĖ AUGALININKYSTĖS TARNYBA PRIE ŽEMĖS ŪKIO MINISTERIJOS</w:t>
      </w:r>
    </w:p>
    <w:p>
      <w:pPr>
        <w:jc w:val="center"/>
      </w:pPr>
    </w:p>
    <w:p>
      <w:pPr>
        <w:jc w:val="center"/>
      </w:pPr>
      <w:r>
        <w:t>________________________________________________________________</w:t>
      </w:r>
    </w:p>
    <w:p>
      <w:pPr>
        <w:jc w:val="center"/>
        <w:rPr>
          <w:sz w:val="22"/>
        </w:rPr>
      </w:pPr>
      <w:r>
        <w:rPr>
          <w:sz w:val="22"/>
        </w:rPr>
        <w:t>(Valstybinės augalininkystės tarnybos prie Žemės ūkio ministerijos duomenys)</w:t>
      </w:r>
    </w:p>
    <w:p>
      <w:pPr/>
    </w:p>
    <w:p>
      <w:pPr/>
      <w:r>
        <w:t>Nacionalinei mokėjimo agentūrai prie</w:t>
      </w:r>
    </w:p>
    <w:p>
      <w:pPr/>
      <w:r>
        <w:t>Žemės ūkio ministerijos</w:t>
      </w:r>
    </w:p>
    <w:p>
      <w:pPr/>
    </w:p>
    <w:p>
      <w:pPr>
        <w:keepNext/>
        <w:jc w:val="center"/>
        <w:outlineLvl w:val="1"/>
      </w:pPr>
      <w:r>
        <w:rPr>
          <w:b/>
        </w:rPr>
        <w:t xml:space="preserve">PAŽYMA </w:t>
        <w:br/>
        <w:t>APIE FITOSANITARIJOS PRIEMONIŲ NAUDOJIMĄ</w:t>
      </w:r>
    </w:p>
    <w:p>
      <w:pPr/>
    </w:p>
    <w:p>
      <w:pPr>
        <w:jc w:val="center"/>
      </w:pPr>
      <w:r>
        <w:t>__________ Nr.</w:t>
      </w:r>
    </w:p>
    <w:p>
      <w:pPr>
        <w:ind w:left="3969"/>
        <w:rPr>
          <w:sz w:val="22"/>
        </w:rPr>
      </w:pPr>
      <w:r>
        <w:rPr>
          <w:sz w:val="22"/>
        </w:rPr>
        <w:t>(data)</w:t>
      </w:r>
    </w:p>
    <w:p>
      <w:pPr/>
    </w:p>
    <w:p>
      <w:pPr>
        <w:tabs>
          <w:tab w:val="right" w:leader="underscore" w:pos="9071"/>
        </w:tabs>
        <w:ind w:firstLine="567"/>
        <w:jc w:val="both"/>
      </w:pPr>
      <w:r>
        <w:t xml:space="preserve">Pažymima, kad </w:t>
        <w:tab/>
      </w:r>
    </w:p>
    <w:p>
      <w:pPr>
        <w:ind w:left="2268"/>
        <w:jc w:val="center"/>
        <w:rPr>
          <w:sz w:val="22"/>
        </w:rPr>
      </w:pPr>
      <w:r>
        <w:rPr>
          <w:sz w:val="22"/>
        </w:rPr>
        <w:t xml:space="preserve">(nurodomas asmens vardas ir pavardė, asmens kodas / žemės ūkio valdos </w:t>
      </w:r>
    </w:p>
    <w:p>
      <w:pPr>
        <w:tabs>
          <w:tab w:val="right" w:leader="underscore" w:pos="9071"/>
        </w:tabs>
        <w:jc w:val="both"/>
      </w:pPr>
      <w:r>
        <w:t>_</w:t>
        <w:tab/>
      </w:r>
    </w:p>
    <w:p>
      <w:pPr>
        <w:jc w:val="center"/>
        <w:rPr>
          <w:sz w:val="22"/>
        </w:rPr>
      </w:pPr>
      <w:r>
        <w:rPr>
          <w:sz w:val="22"/>
        </w:rPr>
        <w:t xml:space="preserve">identifikavimo kodas, juridinio asmens, kitos organizacijos ar padalinio pavadinimas / </w:t>
      </w:r>
    </w:p>
    <w:p>
      <w:pPr>
        <w:tabs>
          <w:tab w:val="right" w:leader="underscore" w:pos="9071"/>
        </w:tabs>
        <w:jc w:val="both"/>
      </w:pPr>
      <w:r>
        <w:t>_</w:t>
        <w:tab/>
      </w:r>
    </w:p>
    <w:p>
      <w:pPr>
        <w:jc w:val="center"/>
        <w:rPr>
          <w:sz w:val="22"/>
        </w:rPr>
      </w:pPr>
      <w:r>
        <w:rPr>
          <w:sz w:val="22"/>
        </w:rPr>
        <w:t>juridinio asmens, kitos organizacijos ar padalinio kodas, buveinės / gyvenamosios vietos adresas)</w:t>
      </w:r>
    </w:p>
    <w:p>
      <w:pPr>
        <w:jc w:val="both"/>
      </w:pPr>
      <w:r>
        <w:t xml:space="preserve">augalams ir augaliniams produktams buvo naudojamos fitosanitarijos priemonės. </w:t>
      </w:r>
    </w:p>
    <w:p>
      <w:pPr>
        <w:ind w:firstLine="567"/>
        <w:jc w:val="both"/>
      </w:pPr>
      <w:r>
        <w:t>Vadovaujantis Lietuvos Respublikos Vyriausybės 2003 m. gruodžio 31 d. nutarimu Nr. 1706 „Dėl Nuostolių dėl fitosanitarijos priemonių naudojimo dalinio kompensavimo taisyklių“, už fitosanitarijos priemonių naudojimą turi būti kompensuojama:</w:t>
      </w:r>
    </w:p>
    <w:p>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88"/>
        <w:gridCol w:w="1361"/>
        <w:gridCol w:w="2338"/>
        <w:gridCol w:w="1306"/>
        <w:gridCol w:w="1418"/>
        <w:gridCol w:w="1361"/>
      </w:tblGrid>
      <w:tr>
        <w:trPr>
          <w:cantSplit/>
          <w:trHeight w:val="925"/>
        </w:trPr>
        <w:tc>
          <w:tcPr>
            <w:tcW w:w="1288" w:type="dxa"/>
            <w:tcBorders>
              <w:bottom w:val="single" w:sz="4" w:space="0" w:color="auto"/>
            </w:tcBorders>
            <w:vAlign w:val="center"/>
          </w:tcPr>
          <w:p>
            <w:pPr>
              <w:jc w:val="center"/>
              <w:rPr>
                <w:sz w:val="22"/>
              </w:rPr>
            </w:pPr>
            <w:r>
              <w:rPr>
                <w:sz w:val="22"/>
              </w:rPr>
              <w:t>Augalo ir augalinio produkto pavadinimas</w:t>
            </w:r>
          </w:p>
        </w:tc>
        <w:tc>
          <w:tcPr>
            <w:tcW w:w="1361" w:type="dxa"/>
            <w:tcBorders>
              <w:bottom w:val="single" w:sz="4" w:space="0" w:color="auto"/>
            </w:tcBorders>
            <w:vAlign w:val="center"/>
          </w:tcPr>
          <w:p>
            <w:pPr>
              <w:jc w:val="center"/>
              <w:rPr>
                <w:sz w:val="22"/>
              </w:rPr>
            </w:pPr>
            <w:r>
              <w:rPr>
                <w:sz w:val="22"/>
              </w:rPr>
              <w:t>Fitosanitarijos priemonių naudojimo priežastis</w:t>
            </w:r>
          </w:p>
        </w:tc>
        <w:tc>
          <w:tcPr>
            <w:tcW w:w="2338" w:type="dxa"/>
            <w:tcBorders>
              <w:bottom w:val="single" w:sz="4" w:space="0" w:color="auto"/>
            </w:tcBorders>
            <w:vAlign w:val="center"/>
          </w:tcPr>
          <w:p>
            <w:pPr>
              <w:jc w:val="center"/>
              <w:rPr>
                <w:sz w:val="22"/>
              </w:rPr>
            </w:pPr>
            <w:r>
              <w:rPr>
                <w:sz w:val="22"/>
              </w:rPr>
              <w:t>Augalo ir augalinio produkto, kuriam buvo naudojamos fitosanitarijos priemonės, kiekis (tonomis, vienetais, hektarais)</w:t>
            </w:r>
          </w:p>
        </w:tc>
        <w:tc>
          <w:tcPr>
            <w:tcW w:w="1306" w:type="dxa"/>
            <w:tcBorders>
              <w:bottom w:val="single" w:sz="4" w:space="0" w:color="auto"/>
            </w:tcBorders>
            <w:vAlign w:val="center"/>
          </w:tcPr>
          <w:p>
            <w:pPr>
              <w:jc w:val="center"/>
              <w:rPr>
                <w:sz w:val="22"/>
              </w:rPr>
            </w:pPr>
            <w:r>
              <w:rPr>
                <w:sz w:val="22"/>
              </w:rPr>
              <w:t xml:space="preserve">Kompensacijos dydis (litais už toną, vienetą, hektarą) </w:t>
            </w:r>
          </w:p>
        </w:tc>
        <w:tc>
          <w:tcPr>
            <w:tcW w:w="1418" w:type="dxa"/>
            <w:tcBorders>
              <w:bottom w:val="single" w:sz="4" w:space="0" w:color="auto"/>
            </w:tcBorders>
            <w:vAlign w:val="center"/>
          </w:tcPr>
          <w:p>
            <w:pPr>
              <w:jc w:val="center"/>
              <w:rPr>
                <w:sz w:val="22"/>
              </w:rPr>
            </w:pPr>
            <w:r>
              <w:rPr>
                <w:sz w:val="22"/>
              </w:rPr>
              <w:t>Kompensacijos suma (litais)</w:t>
            </w:r>
          </w:p>
        </w:tc>
        <w:tc>
          <w:tcPr>
            <w:tcW w:w="1361" w:type="dxa"/>
            <w:tcBorders>
              <w:bottom w:val="single" w:sz="4" w:space="0" w:color="auto"/>
            </w:tcBorders>
          </w:tcPr>
          <w:p>
            <w:pPr>
              <w:jc w:val="center"/>
              <w:rPr>
                <w:sz w:val="22"/>
              </w:rPr>
            </w:pPr>
            <w:r>
              <w:rPr>
                <w:sz w:val="22"/>
              </w:rPr>
              <w:t>Perskaičiuota kompensacijos suma (litais)</w:t>
            </w:r>
          </w:p>
        </w:tc>
      </w:tr>
      <w:tr>
        <w:trPr>
          <w:cantSplit/>
          <w:trHeight w:val="231"/>
        </w:trPr>
        <w:tc>
          <w:tcPr>
            <w:tcW w:w="1288" w:type="dxa"/>
            <w:vAlign w:val="center"/>
          </w:tcPr>
          <w:p>
            <w:pPr>
              <w:jc w:val="center"/>
              <w:rPr>
                <w:sz w:val="22"/>
              </w:rPr>
            </w:pPr>
          </w:p>
        </w:tc>
        <w:tc>
          <w:tcPr>
            <w:tcW w:w="1361" w:type="dxa"/>
          </w:tcPr>
          <w:p>
            <w:pPr>
              <w:rPr>
                <w:sz w:val="22"/>
              </w:rPr>
            </w:pPr>
          </w:p>
        </w:tc>
        <w:tc>
          <w:tcPr>
            <w:tcW w:w="2338" w:type="dxa"/>
            <w:vAlign w:val="center"/>
          </w:tcPr>
          <w:p>
            <w:pPr>
              <w:jc w:val="center"/>
              <w:rPr>
                <w:sz w:val="22"/>
              </w:rPr>
            </w:pPr>
          </w:p>
        </w:tc>
        <w:tc>
          <w:tcPr>
            <w:tcW w:w="1306" w:type="dxa"/>
          </w:tcPr>
          <w:p>
            <w:pPr>
              <w:rPr>
                <w:sz w:val="22"/>
              </w:rPr>
            </w:pPr>
          </w:p>
        </w:tc>
        <w:tc>
          <w:tcPr>
            <w:tcW w:w="1418" w:type="dxa"/>
          </w:tcPr>
          <w:p>
            <w:pPr>
              <w:rPr>
                <w:sz w:val="22"/>
              </w:rPr>
            </w:pPr>
          </w:p>
        </w:tc>
        <w:tc>
          <w:tcPr>
            <w:tcW w:w="1361" w:type="dxa"/>
          </w:tcPr>
          <w:p>
            <w:pPr>
              <w:rPr>
                <w:sz w:val="22"/>
              </w:rPr>
            </w:pPr>
          </w:p>
        </w:tc>
      </w:tr>
      <w:tr>
        <w:trPr>
          <w:cantSplit/>
          <w:trHeight w:val="231"/>
        </w:trPr>
        <w:tc>
          <w:tcPr>
            <w:tcW w:w="1288" w:type="dxa"/>
            <w:vAlign w:val="center"/>
          </w:tcPr>
          <w:p>
            <w:pPr>
              <w:jc w:val="center"/>
              <w:rPr>
                <w:sz w:val="22"/>
              </w:rPr>
            </w:pPr>
          </w:p>
        </w:tc>
        <w:tc>
          <w:tcPr>
            <w:tcW w:w="1361" w:type="dxa"/>
          </w:tcPr>
          <w:p>
            <w:pPr>
              <w:rPr>
                <w:sz w:val="22"/>
              </w:rPr>
            </w:pPr>
          </w:p>
        </w:tc>
        <w:tc>
          <w:tcPr>
            <w:tcW w:w="2338" w:type="dxa"/>
            <w:vAlign w:val="center"/>
          </w:tcPr>
          <w:p>
            <w:pPr>
              <w:jc w:val="center"/>
              <w:rPr>
                <w:sz w:val="22"/>
              </w:rPr>
            </w:pPr>
          </w:p>
        </w:tc>
        <w:tc>
          <w:tcPr>
            <w:tcW w:w="1306" w:type="dxa"/>
          </w:tcPr>
          <w:p>
            <w:pPr>
              <w:rPr>
                <w:sz w:val="22"/>
              </w:rPr>
            </w:pPr>
          </w:p>
        </w:tc>
        <w:tc>
          <w:tcPr>
            <w:tcW w:w="1418" w:type="dxa"/>
          </w:tcPr>
          <w:p>
            <w:pPr>
              <w:rPr>
                <w:sz w:val="22"/>
              </w:rPr>
            </w:pPr>
            <w:r>
              <w:rPr>
                <w:sz w:val="22"/>
              </w:rPr>
              <w:t>Iš viso</w:t>
            </w:r>
          </w:p>
        </w:tc>
        <w:tc>
          <w:tcPr>
            <w:tcW w:w="1361" w:type="dxa"/>
          </w:tcPr>
          <w:p>
            <w:pPr>
              <w:rPr>
                <w:sz w:val="22"/>
              </w:rPr>
            </w:pPr>
            <w:r>
              <w:rPr>
                <w:sz w:val="22"/>
              </w:rPr>
              <w:t>Iš viso</w:t>
            </w:r>
          </w:p>
        </w:tc>
      </w:tr>
    </w:tbl>
    <w:p>
      <w:pPr/>
    </w:p>
    <w:p>
      <w:pPr>
        <w:ind w:firstLine="567"/>
        <w:jc w:val="both"/>
      </w:pPr>
      <w:r>
        <w:rPr>
          <w:b/>
        </w:rPr>
        <w:t>Pastaba.</w:t>
      </w:r>
      <w:r>
        <w:t xml:space="preserve"> Patvirtiname, kad pareiškėjui nebuvo paskirta administracinė nuobauda už Lietuvos Respublikos administracinių teisės pažeidimų kodekso (Žin., 1985, Nr. 1-1</w:t>
      </w:r>
      <w:r>
        <w:rPr>
          <w:color w:val="000000"/>
        </w:rPr>
        <w:t xml:space="preserve">) </w:t>
      </w:r>
      <w:r>
        <w:t>105 straipsnyje numatytą administracinį teisės pažeidimą.</w:t>
      </w:r>
    </w:p>
    <w:p>
      <w:pPr/>
    </w:p>
    <w:p>
      <w:pPr>
        <w:tabs>
          <w:tab w:val="left" w:pos="3969"/>
          <w:tab w:val="right" w:pos="9071"/>
        </w:tabs>
        <w:rPr>
          <w:sz w:val="22"/>
        </w:rPr>
      </w:pPr>
      <w:r>
        <w:rPr>
          <w:sz w:val="22"/>
        </w:rPr>
        <w:t>(Pareigų pavadinimas)</w:t>
        <w:tab/>
        <w:t>(Parašas)</w:t>
        <w:tab/>
        <w:t>(Vardas ir pavardė)</w:t>
      </w:r>
    </w:p>
    <w:p>
      <w:pPr>
        <w:jc w:val="both"/>
      </w:pPr>
    </w:p>
    <w:p>
      <w:pPr>
        <w:jc w:val="both"/>
        <w:rPr>
          <w:sz w:val="22"/>
        </w:rPr>
      </w:pPr>
      <w:r>
        <w:rPr>
          <w:sz w:val="22"/>
        </w:rPr>
        <w:t>(Rengėjo nuoroda)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DB45EF07E">
        <w:r w:rsidRPr="00532B9F">
          <w:rPr>
            <w:rFonts w:ascii="Times New Roman" w:eastAsia="MS Mincho" w:hAnsi="Times New Roman"/>
            <w:sz w:val="20"/>
            <w:i/>
            <w:iCs/>
            <w:color w:val="0000FF" w:themeColor="hyperlink"/>
            <w:u w:val="single"/>
          </w:rPr>
          <w:t>1092</w:t>
        </w:r>
      </w:fldSimple>
      <w:r>
        <w:rPr>
          <w:rFonts w:ascii="Times New Roman" w:eastAsia="MS Mincho" w:hAnsi="Times New Roman"/>
          <w:sz w:val="20"/>
          <w:i/>
          <w:iCs/>
        </w:rPr>
        <w:t>,
2006-10-31,
Žin., 2006, Nr.
118-4490 (2006-11-04), i. k. 1061100NUTA00001092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470A90AEA5">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2008-12-03,
Žin., 2008, Nr.
142-5636 (2008-12-11), i. k. 1081100NUTA00001288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50DB45EF07E">
        <w:r w:rsidRPr="00532B9F">
          <w:rPr>
            <w:rFonts w:ascii="Times New Roman" w:eastAsia="MS Mincho" w:hAnsi="Times New Roman"/>
            <w:sz w:val="20"/>
            <w:iCs/>
            <w:color w:val="0000FF" w:themeColor="hyperlink"/>
            <w:u w:val="single"/>
          </w:rPr>
          <w:t>1092</w:t>
        </w:r>
      </w:fldSimple>
      <w:r>
        <w:rPr>
          <w:rFonts w:ascii="Times New Roman" w:eastAsia="MS Mincho" w:hAnsi="Times New Roman"/>
          <w:sz w:val="20"/>
          <w:iCs/>
        </w:rPr>
        <w:t>,
2006-10-31,
Žin., 2006, Nr.
118-4490 (2006-11-04), i. k. 1061100NUTA00001092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A470A90AEA5">
        <w:r w:rsidRPr="00532B9F">
          <w:rPr>
            <w:rFonts w:ascii="Times New Roman" w:eastAsia="MS Mincho" w:hAnsi="Times New Roman"/>
            <w:sz w:val="20"/>
            <w:iCs/>
            <w:color w:val="0000FF" w:themeColor="hyperlink"/>
            <w:u w:val="single"/>
          </w:rPr>
          <w:t>1288</w:t>
        </w:r>
      </w:fldSimple>
      <w:r>
        <w:rPr>
          <w:rFonts w:ascii="Times New Roman" w:eastAsia="MS Mincho" w:hAnsi="Times New Roman"/>
          <w:sz w:val="20"/>
          <w:iCs/>
        </w:rPr>
        <w:t>,
2008-12-03,
Žin., 2008, Nr.
142-5636 (2008-12-11), i. k. 1081100NUTA00001288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DCF0546F0D1">
        <w:r w:rsidRPr="00532B9F">
          <w:rPr>
            <w:rFonts w:ascii="Times New Roman" w:eastAsia="MS Mincho" w:hAnsi="Times New Roman"/>
            <w:sz w:val="20"/>
            <w:iCs/>
            <w:color w:val="0000FF" w:themeColor="hyperlink"/>
            <w:u w:val="single"/>
          </w:rPr>
          <w:t>558</w:t>
        </w:r>
      </w:fldSimple>
      <w:r>
        <w:rPr>
          <w:rFonts w:ascii="Times New Roman" w:eastAsia="MS Mincho" w:hAnsi="Times New Roman"/>
          <w:sz w:val="20"/>
          <w:iCs/>
        </w:rPr>
        <w:t>,
2011-05-11,
Žin., 2011, Nr.
58-2769 (2011-05-14), i. k. 1111100NUTA00000558                </w:t>
      </w:r>
    </w:p>
    <w:p>
      <w:pPr>
        <w:jc w:val="both"/>
        <w:rPr>
          <w:rFonts w:ascii="Times New Roman" w:hAnsi="Times New Roman"/>
        </w:rPr>
      </w:pPr>
      <w:r>
        <w:rPr>
          <w:rFonts w:ascii="Times New Roman" w:hAnsi="Times New Roman"/>
          <w:sz w:val="20"/>
        </w:rPr>
        <w:t>Dėl Lietuvos Respublikos Vyriausybės 2003 m. gruodžio 31 d. nutarimo Nr. 1706 "Dėl Nuostolių dėl fitosanitarijos priemonių taikymo dalinio kompensavimo taisyklių"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71762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0332779">
      <w:bodyDiv w:val="1"/>
      <w:marLeft w:val="0"/>
      <w:marRight w:val="0"/>
      <w:marTop w:val="0"/>
      <w:marBottom w:val="0"/>
      <w:divBdr>
        <w:top w:val="none" w:sz="0" w:space="0" w:color="auto"/>
        <w:left w:val="none" w:sz="0" w:space="0" w:color="auto"/>
        <w:bottom w:val="none" w:sz="0" w:space="0" w:color="auto"/>
        <w:right w:val="none" w:sz="0" w:space="0" w:color="auto"/>
      </w:divBdr>
    </w:div>
    <w:div w:id="3928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6A3C7C36CD07"/>
  <Relationship Id="rId12" Type="http://schemas.openxmlformats.org/officeDocument/2006/relationships/hyperlink" TargetMode="External" Target="https://www.e-tar.lt/portal/lt/legalAct/TAR.FCE17C6B07F7"/>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2.wmf"/>
  <Relationship Id="rId2" Type="http://schemas.openxmlformats.org/officeDocument/2006/relationships/header" Target="header2.xml"/>
  <Relationship Id="rId20" Type="http://schemas.openxmlformats.org/officeDocument/2006/relationships/oleObject" Target="embeddings/oleObject1.bin"/>
  <Relationship Id="rId21" Type="http://schemas.openxmlformats.org/officeDocument/2006/relationships/hyperlink" TargetMode="External" Target="https://www.e-tar.lt/portal/lt/legalAct/TAR.6A3C7C36CD07"/>
  <Relationship Id="rId22" Type="http://schemas.openxmlformats.org/officeDocument/2006/relationships/hyperlink" TargetMode="External" Target="https://www.e-tar.lt/portal/lt/legalAct/TAR.6A3C7C36CD07"/>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14</Pages>
  <Words>19242</Words>
  <Characters>10969</Characters>
  <Application>Microsoft Office Word</Application>
  <DocSecurity>0</DocSecurity>
  <Lines>91</Lines>
  <Paragraphs>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30151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2015-06-25T22:12:00Z</dcterms:created>
  <dc:creator>User</dc:creator>
  <lastModifiedBy>BODIN Aušra</lastModifiedBy>
  <dcterms:modified xsi:type="dcterms:W3CDTF">2015-12-23T08:43:00Z</dcterms:modified>
  <revision>7</revision>
</coreProperties>
</file>