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2019-07-30:</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5a1f89f0b1c911e98451fa7b5933515d">
        <w:r w:rsidRPr="00532B9F">
          <w:rPr>
            <w:rFonts w:ascii="Times New Roman" w:eastAsia="MS Mincho" w:hAnsi="Times New Roman"/>
            <w:sz w:val="20"/>
            <w:i/>
            <w:iCs/>
            <w:color w:val="0000FF" w:themeColor="hyperlink"/>
            <w:u w:val="single"/>
          </w:rPr>
          <w:t>778</w:t>
        </w:r>
      </w:fldSimple>
      <w:r>
        <w:rPr>
          <w:rFonts w:ascii="Times New Roman" w:eastAsia="MS Mincho" w:hAnsi="Times New Roman"/>
          <w:sz w:val="20"/>
          <w:iCs/>
          <w:i/>
        </w:rPr>
        <w:t>,
2019-07-24,
paskelbta TAR 2019-07-29, i. k. 2019-12453                </w:t>
      </w:r>
    </w:p>
    <w:p>
      <w:pPr>
        <w:jc w:val="both"/>
        <w:rPr>
          <w:rFonts w:ascii="Times New Roman" w:hAnsi="Times New Roman"/>
          <w:i/>
        </w:rPr>
      </w:pPr>
      <w:r>
        <w:rPr>
          <w:rFonts w:ascii="Times New Roman" w:hAnsi="Times New Roman"/>
          <w:sz w:val="20"/>
          <w:i/>
        </w:rPr>
        <w:t>Dėl Lietuvos Respublikos Vyriausybės 2003 m. gruodžio 2 d. nutarimo Nr. 1515 „Dėl neapmokestinamųjų piniginių kompensacijų dydžių nustatymo“ pakeitimo ir Lietuvos Respublikos Vyriausybės 1997 m. birželio 5 d. nutarimo Nr. 561 „Dėl sporto renginių, vykstančių Lietuvoje, dalyvių vienos paros maitinimosi išlaidų piniginių kompensacijų dydžių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2015-02-04 iki 2019-07-29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1997, Nr. </w:t>
      </w:r>
      <w:fldSimple w:instr="HYPERLINK https://www.e-tar.lt/portal/legalAct.html?documentId=TAR.7544DD060DB9">
        <w:r w:rsidRPr="00532B9F">
          <w:rPr>
            <w:rFonts w:ascii="Times New Roman" w:eastAsia="MS Mincho" w:hAnsi="Times New Roman"/>
            <w:sz w:val="20"/>
            <w:i/>
            <w:iCs/>
            <w:color w:val="0000FF" w:themeColor="hyperlink"/>
            <w:u w:val="single"/>
          </w:rPr>
          <w:t>53-1238</w:t>
        </w:r>
      </w:fldSimple>
      <w:r>
        <w:rPr>
          <w:rFonts w:ascii="Times New Roman" w:eastAsia="MS Mincho" w:hAnsi="Times New Roman"/>
          <w:sz w:val="20"/>
          <w:i/>
          <w:iCs/>
        </w:rPr>
        <w:t>, i. k. 0971100NUTA00000561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963F9650CDB0">
        <w:r w:rsidRPr="00532B9F">
          <w:rPr>
            <w:rFonts w:ascii="Times New Roman" w:eastAsia="MS Mincho" w:hAnsi="Times New Roman"/>
            <w:sz w:val="20"/>
            <w:i/>
            <w:iCs/>
            <w:color w:val="0000FF" w:themeColor="hyperlink"/>
            <w:u w:val="single"/>
          </w:rPr>
          <w:t>1387</w:t>
        </w:r>
      </w:fldSimple>
      <w:r>
        <w:rPr>
          <w:rFonts w:ascii="Times New Roman" w:eastAsia="MS Mincho" w:hAnsi="Times New Roman"/>
          <w:sz w:val="20"/>
          <w:i/>
          <w:iCs/>
        </w:rPr>
        <w:t>,
2007-12-19,
Žin. 2007,
Nr.
137-5611 (2007-12-28), i. k. 1071100NUTA00001387                </w:t>
      </w:r>
    </w:p>
    <w:p>
      <w:pPr>
        <w:rPr>
          <w:rFonts w:ascii="Times New Roman" w:hAnsi="Times New Roman"/>
          <w:sz w:val="22"/>
        </w:rPr>
      </w:pPr>
    </w:p>
    <w:p>
      <w:pPr>
        <w:widowControl w:val="0"/>
        <w:jc w:val="center"/>
        <w:rPr>
          <w:b/>
        </w:rPr>
      </w:pPr>
      <w:r>
        <w:rPr>
          <w:b/>
        </w:rPr>
        <w:t>LIETUVOS RESPUBLIKOS VYRIAUSYBĖ</w:t>
      </w:r>
    </w:p>
    <w:p>
      <w:pPr>
        <w:jc w:val="center"/>
        <w:rPr>
          <w:b/>
        </w:rPr>
      </w:pPr>
    </w:p>
    <w:p>
      <w:pPr>
        <w:jc w:val="center"/>
        <w:rPr>
          <w:b/>
        </w:rPr>
      </w:pPr>
      <w:r>
        <w:rPr>
          <w:b/>
        </w:rPr>
        <w:t>NUTARIMAS</w:t>
      </w:r>
    </w:p>
    <w:p>
      <w:pPr>
        <w:jc w:val="center"/>
        <w:rPr>
          <w:b/>
        </w:rPr>
      </w:pPr>
      <w:r>
        <w:rPr>
          <w:b/>
        </w:rPr>
        <w:t>DĖL SPORTO RENGINIŲ,</w:t>
      </w:r>
      <w:r>
        <w:rPr>
          <w:b/>
          <w:caps/>
        </w:rPr>
        <w:t xml:space="preserve"> vykstančių Lietuvoje</w:t>
      </w:r>
      <w:r>
        <w:rPr>
          <w:b/>
        </w:rPr>
        <w:t xml:space="preserve">, DALYVIŲ VIENOS PAROS MAITINIMOSI IŠLAIDŲ PINIGINIŲ KOMPENSACIJŲ DYDŽIŲ PATVIRTINIMO </w:t>
      </w:r>
    </w:p>
    <w:p>
      <w:pPr>
        <w:jc w:val="center"/>
      </w:pPr>
    </w:p>
    <w:p>
      <w:pPr>
        <w:jc w:val="center"/>
      </w:pPr>
      <w:r>
        <w:t>1997 m. birželio 5 d. Nr. 561</w:t>
      </w:r>
    </w:p>
    <w:p>
      <w:pPr>
        <w:jc w:val="center"/>
      </w:pPr>
      <w:r>
        <w:t>Vilnius</w:t>
      </w:r>
    </w:p>
    <w:p>
      <w:pPr>
        <w:jc w:val="center"/>
      </w:pPr>
    </w:p>
    <w:p>
      <w:pPr>
        <w:ind w:firstLine="567"/>
        <w:jc w:val="both"/>
      </w:pPr>
      <w:r>
        <w:t xml:space="preserve">Įgyvendindama Lietuvos Respublikos Vyriausybės 2003 m. gruodžio 2 d. nutarimo Nr. 1515 „Dėl neapmokestinamųjų piniginių kompensacijų dydžių nustatymo“ (Žin., 2003, Nr. </w:t>
      </w:r>
      <w:hyperlink r:id="rId15" w:tgtFrame="_blank" w:history="1">
        <w:r>
          <w:rPr>
            <w:rStyle w:val="Hipersaitas"/>
          </w:rPr>
          <w:t>114-5152</w:t>
        </w:r>
      </w:hyperlink>
      <w:r>
        <w:t>; Lietuvos Respublikos Vyriausybės 2007 m. gruodžio 19 d. nutarimo Nr. 1386 redakcija) 1.1.1.6 punktą, Lietuvos Respublikos Vyriausybė</w:t>
      </w:r>
      <w:r>
        <w:rPr>
          <w:spacing w:val="80"/>
        </w:rPr>
        <w:t xml:space="preserve"> </w:t>
      </w:r>
      <w:r>
        <w:rPr>
          <w:spacing w:val="60"/>
        </w:rPr>
        <w:t>nutari</w:t>
      </w:r>
      <w:r>
        <w:t>a:</w:t>
      </w:r>
    </w:p>
    <w:p>
      <w:pPr>
        <w:ind w:firstLine="567"/>
        <w:jc w:val="both"/>
      </w:pPr>
      <w:r>
        <w:t>1</w:t>
      </w:r>
      <w:r>
        <w:t>. Patvirtinti sporto renginių, vykstančių Lietuvoje, dalyvių vienos paros maitinimosi išlaidų piniginių kompensacijų dydžius (pridedama).</w:t>
      </w:r>
    </w:p>
    <w:p>
      <w:pPr>
        <w:ind w:firstLine="567"/>
        <w:jc w:val="both"/>
      </w:pPr>
      <w:r>
        <w:t>2</w:t>
      </w:r>
      <w:r>
        <w:t xml:space="preserve">. Nustatyti, kad valstybės institucijos ir įstaigos, skirdamos Lietuvos Respublikos valstybės biudžeto lėšas sporto renginiams, vykstantiems Lietuvoje, rengti, neturi viršyti šiuo nutarimu patvirtintų kompensacijų dydžių. </w:t>
      </w:r>
    </w:p>
    <w:p>
      <w:pPr>
        <w:ind w:firstLine="567"/>
        <w:jc w:val="both"/>
      </w:pPr>
      <w:r>
        <w:t>3</w:t>
      </w:r>
      <w:r>
        <w:t xml:space="preserve">. Rekomenduoti savivaldybių institucijoms ir įstaigoms, nevalstybinėms organizacijoms, skiriant lėšas sporto renginiams, vykstantiems Lietuvoje, rengti, neviršyti šiuo nutarimu patvirtintų kompensacijų dydžių. </w:t>
      </w:r>
    </w:p>
    <w:p>
      <w:pPr>
        <w:tabs>
          <w:tab w:val="right" w:pos="9639"/>
        </w:tabs>
      </w:pPr>
    </w:p>
    <w:p>
      <w:pPr>
        <w:tabs>
          <w:tab w:val="right" w:pos="9639"/>
        </w:tabs>
      </w:pPr>
    </w:p>
    <w:p>
      <w:pPr>
        <w:tabs>
          <w:tab w:val="right" w:pos="9639"/>
        </w:tabs>
      </w:pPr>
    </w:p>
    <w:p>
      <w:pPr>
        <w:tabs>
          <w:tab w:val="right" w:pos="9639"/>
        </w:tabs>
      </w:pPr>
      <w:r>
        <w:t>MINISTRAS PIRMININKAS</w:t>
        <w:tab/>
        <w:t>GEDIMINAS VAGNORIUS</w:t>
      </w:r>
    </w:p>
    <w:p>
      <w:pPr>
        <w:ind w:firstLine="708"/>
      </w:pPr>
    </w:p>
    <w:p>
      <w:pPr>
        <w:ind w:firstLine="708"/>
      </w:pPr>
    </w:p>
    <w:p>
      <w:pPr>
        <w:ind w:firstLine="708"/>
      </w:pPr>
    </w:p>
    <w:p>
      <w:pPr>
        <w:tabs>
          <w:tab w:val="right" w:pos="9639"/>
        </w:tabs>
        <w:rPr>
          <w:color w:val="000000"/>
        </w:rPr>
      </w:pPr>
      <w:r>
        <w:t>FINANSŲ MINISTRAS</w:t>
        <w:tab/>
        <w:t>ALGIRDAS ŠEMETA</w:t>
      </w:r>
    </w:p>
    <w:p/>
    <w:p>
      <w:pPr>
        <w:ind w:left="4820"/>
      </w:pPr>
    </w:p>
    <w:p>
      <w:pPr/>
      <w:r>
        <w:br w:type="page"/>
      </w:r>
    </w:p>
    <w:p>
      <w:pPr>
        <w:ind w:left="4820"/>
        <w:rPr>
          <w:lang w:eastAsia="lt-LT"/>
        </w:rPr>
      </w:pPr>
      <w:r>
        <w:rPr>
          <w:lang w:eastAsia="ar-SA"/>
        </w:rPr>
        <w:t>PATVIRTINTA</w:t>
        <w:br/>
        <w:t>Lietuvos Respublikos Vyriausybės</w:t>
        <w:br/>
        <w:t>1997 m. birželio 5 d. nutarimu Nr. 561</w:t>
        <w:br/>
        <w:t>(Lietuvos Respublikos Vyriausybės</w:t>
        <w:br/>
      </w:r>
      <w:r>
        <w:rPr>
          <w:lang w:eastAsia="lt-LT"/>
        </w:rPr>
        <w:t>2015 m. sausio 28 d.</w:t>
      </w:r>
      <w:r>
        <w:rPr>
          <w:lang w:eastAsia="ar-SA"/>
        </w:rPr>
        <w:t xml:space="preserve"> nutarimo Nr. </w:t>
      </w:r>
      <w:r>
        <w:rPr>
          <w:lang w:eastAsia="lt-LT"/>
        </w:rPr>
        <w:t>79</w:t>
        <w:br/>
        <w:t>redakcija)</w:t>
      </w:r>
    </w:p>
    <w:p>
      <w:pPr>
        <w:tabs>
          <w:tab w:val="left" w:pos="-426"/>
        </w:tabs>
        <w:rPr>
          <w:lang w:eastAsia="lt-LT"/>
        </w:rPr>
      </w:pPr>
    </w:p>
    <w:p>
      <w:pPr>
        <w:tabs>
          <w:tab w:val="left" w:pos="-426"/>
        </w:tabs>
        <w:rPr>
          <w:lang w:eastAsia="lt-LT"/>
        </w:rPr>
      </w:pPr>
    </w:p>
    <w:p>
      <w:pPr>
        <w:tabs>
          <w:tab w:val="left" w:pos="6237"/>
        </w:tabs>
        <w:rPr>
          <w:color w:val="000000"/>
          <w:lang w:eastAsia="lt-LT"/>
        </w:rPr>
      </w:pPr>
    </w:p>
    <w:p>
      <w:pPr>
        <w:jc w:val="center"/>
        <w:rPr>
          <w:b/>
          <w:szCs w:val="24"/>
          <w:lang w:eastAsia="lt-LT"/>
        </w:rPr>
      </w:pPr>
      <w:r>
        <w:rPr>
          <w:b/>
          <w:szCs w:val="24"/>
          <w:lang w:eastAsia="lt-LT"/>
        </w:rPr>
        <w:t>SPORTO RENGINIŲ,</w:t>
      </w:r>
      <w:r>
        <w:rPr>
          <w:b/>
          <w:caps/>
          <w:szCs w:val="24"/>
          <w:lang w:eastAsia="lt-LT"/>
        </w:rPr>
        <w:t xml:space="preserve"> vykstančių Lietuvoje</w:t>
      </w:r>
      <w:r>
        <w:rPr>
          <w:b/>
          <w:szCs w:val="24"/>
          <w:lang w:eastAsia="lt-LT"/>
        </w:rPr>
        <w:t>, DALYVIŲ VIENOS PAROS MAITINIMOSI IŠLAIDŲ PINIGINIŲ KOMPENSACIJŲ DYDŽIAI</w:t>
      </w:r>
    </w:p>
    <w:p>
      <w:pPr>
        <w:rPr>
          <w:szCs w:val="24"/>
          <w:lang w:eastAsia="lt-LT"/>
        </w:rPr>
      </w:pPr>
    </w:p>
    <w:p>
      <w:pPr>
        <w:rPr>
          <w:szCs w:val="24"/>
          <w:lang w:eastAsia="lt-LT"/>
        </w:rPr>
      </w:pPr>
    </w:p>
    <w:p>
      <w:pPr>
        <w:rPr>
          <w:szCs w:val="24"/>
          <w:lang w:eastAsia="lt-LT"/>
        </w:rPr>
      </w:pPr>
    </w:p>
    <w:p>
      <w:pPr>
        <w:jc w:val="right"/>
        <w:rPr>
          <w:szCs w:val="24"/>
          <w:lang w:eastAsia="lt-LT"/>
        </w:rPr>
      </w:pPr>
      <w:r>
        <w:rPr>
          <w:szCs w:val="24"/>
          <w:lang w:eastAsia="lt-LT"/>
        </w:rPr>
        <w:t>(eurais)</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19"/>
        <w:gridCol w:w="1277"/>
        <w:gridCol w:w="992"/>
        <w:gridCol w:w="1418"/>
        <w:gridCol w:w="1277"/>
        <w:gridCol w:w="1277"/>
      </w:tblGrid>
      <w:tr>
        <w:trPr>
          <w:cantSplit/>
          <w:trHeight w:val="23"/>
        </w:trPr>
        <w:tc>
          <w:tcPr>
            <w:tcW w:w="3119" w:type="dxa"/>
            <w:vMerge w:val="restart"/>
            <w:tcBorders>
              <w:top w:val="single" w:sz="4" w:space="0" w:color="auto"/>
              <w:left w:val="single" w:sz="4" w:space="0" w:color="auto"/>
              <w:bottom w:val="single" w:sz="4" w:space="0" w:color="auto"/>
              <w:right w:val="single" w:sz="4" w:space="0" w:color="auto"/>
            </w:tcBorders>
            <w:vAlign w:val="center"/>
          </w:tcPr>
          <w:p>
            <w:pPr>
              <w:rPr>
                <w:sz w:val="4"/>
                <w:szCs w:val="4"/>
              </w:rPr>
            </w:pPr>
          </w:p>
          <w:p>
            <w:pPr>
              <w:tabs>
                <w:tab w:val="left" w:pos="450"/>
              </w:tabs>
              <w:jc w:val="center"/>
              <w:rPr>
                <w:sz w:val="22"/>
                <w:szCs w:val="22"/>
                <w:lang w:eastAsia="lt-LT"/>
              </w:rPr>
            </w:pPr>
            <w:r>
              <w:rPr>
                <w:sz w:val="22"/>
                <w:szCs w:val="22"/>
                <w:lang w:eastAsia="lt-LT"/>
              </w:rPr>
              <w:t>Sporto renginio pavadinimas</w:t>
            </w:r>
          </w:p>
        </w:tc>
        <w:tc>
          <w:tcPr>
            <w:tcW w:w="4961" w:type="dxa"/>
            <w:gridSpan w:val="4"/>
            <w:tcBorders>
              <w:top w:val="single" w:sz="4" w:space="0" w:color="auto"/>
              <w:left w:val="single" w:sz="4" w:space="0" w:color="auto"/>
              <w:bottom w:val="single" w:sz="4" w:space="0" w:color="auto"/>
              <w:right w:val="single" w:sz="4" w:space="0" w:color="auto"/>
            </w:tcBorders>
            <w:vAlign w:val="center"/>
          </w:tcPr>
          <w:p>
            <w:pPr>
              <w:rPr>
                <w:sz w:val="4"/>
                <w:szCs w:val="4"/>
              </w:rPr>
            </w:pPr>
          </w:p>
          <w:p>
            <w:pPr>
              <w:tabs>
                <w:tab w:val="left" w:pos="450"/>
              </w:tabs>
              <w:jc w:val="center"/>
              <w:rPr>
                <w:sz w:val="22"/>
                <w:szCs w:val="22"/>
                <w:lang w:eastAsia="lt-LT"/>
              </w:rPr>
            </w:pPr>
            <w:r>
              <w:rPr>
                <w:sz w:val="22"/>
                <w:szCs w:val="22"/>
                <w:lang w:eastAsia="lt-LT"/>
              </w:rPr>
              <w:t>Sportininkai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pPr>
              <w:rPr>
                <w:sz w:val="4"/>
                <w:szCs w:val="4"/>
              </w:rPr>
            </w:pPr>
          </w:p>
          <w:p>
            <w:pPr>
              <w:tabs>
                <w:tab w:val="left" w:pos="450"/>
              </w:tabs>
              <w:jc w:val="center"/>
              <w:rPr>
                <w:sz w:val="22"/>
                <w:szCs w:val="22"/>
                <w:lang w:eastAsia="lt-LT"/>
              </w:rPr>
            </w:pPr>
            <w:r>
              <w:rPr>
                <w:sz w:val="22"/>
                <w:szCs w:val="22"/>
                <w:lang w:eastAsia="lt-LT"/>
              </w:rPr>
              <w:t>Kiti sporto renginių dalyviai</w:t>
            </w:r>
          </w:p>
        </w:tc>
      </w:tr>
      <w:tr>
        <w:trPr>
          <w:cantSplit/>
          <w:trHeight w:val="23"/>
        </w:trPr>
        <w:tc>
          <w:tcPr>
            <w:tcW w:w="3119"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pPr>
              <w:rPr>
                <w:sz w:val="4"/>
                <w:szCs w:val="4"/>
              </w:rPr>
            </w:pPr>
          </w:p>
          <w:p>
            <w:pPr>
              <w:rPr>
                <w:sz w:val="4"/>
                <w:szCs w:val="4"/>
              </w:rPr>
            </w:pPr>
          </w:p>
          <w:p>
            <w:pPr>
              <w:tabs>
                <w:tab w:val="left" w:pos="450"/>
              </w:tabs>
              <w:jc w:val="center"/>
              <w:rPr>
                <w:sz w:val="22"/>
                <w:szCs w:val="22"/>
                <w:lang w:eastAsia="lt-LT"/>
              </w:rPr>
            </w:pPr>
            <w:r>
              <w:rPr>
                <w:sz w:val="22"/>
                <w:szCs w:val="22"/>
                <w:lang w:eastAsia="lt-LT"/>
              </w:rPr>
              <w:t>vaikai, jaunučiai</w:t>
            </w:r>
          </w:p>
        </w:tc>
        <w:tc>
          <w:tcPr>
            <w:tcW w:w="992" w:type="dxa"/>
            <w:tcBorders>
              <w:top w:val="single" w:sz="4" w:space="0" w:color="auto"/>
              <w:left w:val="single" w:sz="4" w:space="0" w:color="auto"/>
              <w:bottom w:val="single" w:sz="4" w:space="0" w:color="auto"/>
              <w:right w:val="single" w:sz="4" w:space="0" w:color="auto"/>
            </w:tcBorders>
            <w:vAlign w:val="center"/>
          </w:tcPr>
          <w:p>
            <w:pPr>
              <w:rPr>
                <w:sz w:val="4"/>
                <w:szCs w:val="4"/>
              </w:rPr>
            </w:pPr>
          </w:p>
          <w:p>
            <w:pPr>
              <w:tabs>
                <w:tab w:val="left" w:pos="450"/>
              </w:tabs>
              <w:jc w:val="center"/>
              <w:rPr>
                <w:sz w:val="22"/>
                <w:szCs w:val="22"/>
                <w:lang w:eastAsia="lt-LT"/>
              </w:rPr>
            </w:pPr>
            <w:r>
              <w:rPr>
                <w:sz w:val="22"/>
                <w:szCs w:val="22"/>
                <w:lang w:eastAsia="lt-LT"/>
              </w:rPr>
              <w:t>jauniai</w:t>
            </w:r>
          </w:p>
        </w:tc>
        <w:tc>
          <w:tcPr>
            <w:tcW w:w="1417" w:type="dxa"/>
            <w:tcBorders>
              <w:top w:val="single" w:sz="4" w:space="0" w:color="auto"/>
              <w:left w:val="single" w:sz="4" w:space="0" w:color="auto"/>
              <w:bottom w:val="single" w:sz="4" w:space="0" w:color="auto"/>
              <w:right w:val="single" w:sz="4" w:space="0" w:color="auto"/>
            </w:tcBorders>
            <w:vAlign w:val="center"/>
          </w:tcPr>
          <w:p>
            <w:pPr>
              <w:rPr>
                <w:sz w:val="4"/>
                <w:szCs w:val="4"/>
              </w:rPr>
            </w:pPr>
          </w:p>
          <w:p>
            <w:pPr>
              <w:tabs>
                <w:tab w:val="left" w:pos="450"/>
              </w:tabs>
              <w:jc w:val="center"/>
              <w:rPr>
                <w:sz w:val="22"/>
                <w:szCs w:val="22"/>
                <w:lang w:eastAsia="lt-LT"/>
              </w:rPr>
            </w:pPr>
            <w:r>
              <w:rPr>
                <w:sz w:val="22"/>
                <w:szCs w:val="22"/>
                <w:lang w:eastAsia="lt-LT"/>
              </w:rPr>
              <w:t>jaunimas, suaugusieji</w:t>
            </w:r>
          </w:p>
        </w:tc>
        <w:tc>
          <w:tcPr>
            <w:tcW w:w="1276" w:type="dxa"/>
            <w:tcBorders>
              <w:top w:val="single" w:sz="4" w:space="0" w:color="auto"/>
              <w:left w:val="single" w:sz="4" w:space="0" w:color="auto"/>
              <w:bottom w:val="single" w:sz="4" w:space="0" w:color="auto"/>
              <w:right w:val="single" w:sz="4" w:space="0" w:color="auto"/>
            </w:tcBorders>
            <w:vAlign w:val="center"/>
          </w:tcPr>
          <w:p>
            <w:pPr>
              <w:rPr>
                <w:sz w:val="4"/>
                <w:szCs w:val="4"/>
              </w:rPr>
            </w:pPr>
          </w:p>
          <w:p>
            <w:pPr>
              <w:rPr>
                <w:sz w:val="4"/>
                <w:szCs w:val="4"/>
              </w:rPr>
            </w:pPr>
            <w:r>
              <w:rPr>
                <w:sz w:val="22"/>
                <w:szCs w:val="22"/>
                <w:lang w:eastAsia="lt-LT"/>
              </w:rPr>
              <w:t>olimpinės rinktinės nariai</w:t>
            </w:r>
          </w:p>
          <w:p>
            <w:pPr>
              <w:rPr>
                <w:sz w:val="4"/>
                <w:szCs w:val="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r>
      <w:tr>
        <w:trPr>
          <w:trHeight w:val="23"/>
        </w:trPr>
        <w:tc>
          <w:tcPr>
            <w:tcW w:w="3119"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rPr>
                <w:sz w:val="22"/>
                <w:szCs w:val="22"/>
                <w:lang w:eastAsia="lt-LT"/>
              </w:rPr>
            </w:pPr>
            <w:r>
              <w:rPr>
                <w:sz w:val="22"/>
                <w:szCs w:val="22"/>
                <w:lang w:eastAsia="lt-LT"/>
              </w:rPr>
              <w:t>1. Savivaldybių ir apskričių sporto varžybos ir pasirengimo joms sporto stovyklos</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3,48</w:t>
            </w:r>
          </w:p>
        </w:tc>
        <w:tc>
          <w:tcPr>
            <w:tcW w:w="992"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4,34</w:t>
            </w:r>
          </w:p>
        </w:tc>
        <w:tc>
          <w:tcPr>
            <w:tcW w:w="1417"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5,79</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5,79</w:t>
            </w:r>
          </w:p>
        </w:tc>
      </w:tr>
      <w:tr>
        <w:trPr>
          <w:trHeight w:val="23"/>
        </w:trPr>
        <w:tc>
          <w:tcPr>
            <w:tcW w:w="3119"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rPr>
                <w:b/>
                <w:color w:val="FF0000"/>
                <w:sz w:val="22"/>
                <w:szCs w:val="22"/>
                <w:lang w:eastAsia="lt-LT"/>
              </w:rPr>
            </w:pPr>
            <w:r>
              <w:rPr>
                <w:sz w:val="22"/>
                <w:szCs w:val="22"/>
                <w:lang w:eastAsia="lt-LT"/>
              </w:rPr>
              <w:t>2. Lietuvos čempionatai, kitos šalies masto sporto varžybos ir pasirengimo joms sporto stovyklos</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4,34</w:t>
            </w:r>
          </w:p>
        </w:tc>
        <w:tc>
          <w:tcPr>
            <w:tcW w:w="992"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5,79</w:t>
            </w:r>
          </w:p>
        </w:tc>
        <w:tc>
          <w:tcPr>
            <w:tcW w:w="1417"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10,14</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10,14</w:t>
            </w:r>
          </w:p>
        </w:tc>
      </w:tr>
      <w:tr>
        <w:trPr>
          <w:trHeight w:val="23"/>
        </w:trPr>
        <w:tc>
          <w:tcPr>
            <w:tcW w:w="3119"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rPr>
                <w:sz w:val="22"/>
                <w:szCs w:val="22"/>
                <w:lang w:eastAsia="lt-LT"/>
              </w:rPr>
            </w:pPr>
            <w:r>
              <w:rPr>
                <w:sz w:val="22"/>
                <w:szCs w:val="22"/>
                <w:lang w:eastAsia="lt-LT"/>
              </w:rPr>
              <w:t>3. Tarptautinės sporto varžybos ir pasirengimo joms sporto stovyklos</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7,24</w:t>
            </w:r>
          </w:p>
        </w:tc>
        <w:tc>
          <w:tcPr>
            <w:tcW w:w="992"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10,14</w:t>
            </w:r>
          </w:p>
        </w:tc>
        <w:tc>
          <w:tcPr>
            <w:tcW w:w="1417"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13,03</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11,58</w:t>
            </w:r>
          </w:p>
        </w:tc>
      </w:tr>
      <w:tr>
        <w:trPr>
          <w:trHeight w:val="23"/>
        </w:trPr>
        <w:tc>
          <w:tcPr>
            <w:tcW w:w="3119"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rPr>
                <w:sz w:val="22"/>
                <w:szCs w:val="22"/>
                <w:lang w:eastAsia="lt-LT"/>
              </w:rPr>
            </w:pPr>
            <w:r>
              <w:rPr>
                <w:sz w:val="22"/>
                <w:szCs w:val="22"/>
                <w:lang w:eastAsia="lt-LT"/>
              </w:rPr>
              <w:t>4. Pasirengimas žiemos bei vasaros olimpinėms ir parolimpinėms žaidynėms</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w:t>
            </w:r>
          </w:p>
        </w:tc>
        <w:tc>
          <w:tcPr>
            <w:tcW w:w="1417"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18,83</w:t>
            </w:r>
          </w:p>
        </w:tc>
        <w:tc>
          <w:tcPr>
            <w:tcW w:w="1276" w:type="dxa"/>
            <w:tcBorders>
              <w:top w:val="single" w:sz="4" w:space="0" w:color="auto"/>
              <w:left w:val="single" w:sz="4" w:space="0" w:color="auto"/>
              <w:bottom w:val="single" w:sz="4" w:space="0" w:color="auto"/>
              <w:right w:val="single" w:sz="4" w:space="0" w:color="auto"/>
            </w:tcBorders>
          </w:tcPr>
          <w:p>
            <w:pPr>
              <w:rPr>
                <w:sz w:val="4"/>
                <w:szCs w:val="4"/>
              </w:rPr>
            </w:pPr>
          </w:p>
          <w:p>
            <w:pPr>
              <w:tabs>
                <w:tab w:val="left" w:pos="450"/>
              </w:tabs>
              <w:jc w:val="center"/>
              <w:rPr>
                <w:sz w:val="22"/>
                <w:szCs w:val="22"/>
                <w:lang w:eastAsia="lt-LT"/>
              </w:rPr>
            </w:pPr>
            <w:r>
              <w:rPr>
                <w:sz w:val="22"/>
                <w:szCs w:val="22"/>
                <w:lang w:eastAsia="lt-LT"/>
              </w:rPr>
              <w:t>14,48</w:t>
            </w:r>
          </w:p>
        </w:tc>
      </w:tr>
    </w:tbl>
    <w:p>
      <w:pPr>
        <w:ind w:firstLine="720"/>
        <w:jc w:val="both"/>
        <w:rPr>
          <w:b/>
          <w:sz w:val="20"/>
          <w:lang w:eastAsia="lt-LT"/>
        </w:rPr>
      </w:pPr>
    </w:p>
    <w:p>
      <w:pPr>
        <w:ind w:firstLine="720"/>
        <w:jc w:val="both"/>
        <w:rPr>
          <w:sz w:val="20"/>
          <w:lang w:eastAsia="lt-LT"/>
        </w:rPr>
      </w:pPr>
      <w:r>
        <w:rPr>
          <w:b/>
          <w:sz w:val="20"/>
          <w:lang w:eastAsia="lt-LT"/>
        </w:rPr>
        <w:t xml:space="preserve">Pastabos: </w:t>
      </w:r>
      <w:r>
        <w:rPr>
          <w:sz w:val="20"/>
          <w:lang w:eastAsia="lt-LT"/>
        </w:rPr>
        <w:t xml:space="preserve">1. Kitais sporto renginių dalyviais laikomi treneriai, teisėjai, gydytojai, masažuotojai, mokslininkai, psichologai, vadybininkai, rinktinių vadovai ir kitas pagal tarptautinių sporto šakų varžybų taisyklių reikalavimus būtinas aptarnaujantis personalas. </w:t>
      </w:r>
    </w:p>
    <w:p>
      <w:pPr>
        <w:ind w:firstLine="720"/>
        <w:jc w:val="both"/>
        <w:rPr>
          <w:sz w:val="20"/>
          <w:lang w:eastAsia="lt-LT"/>
        </w:rPr>
      </w:pPr>
      <w:r>
        <w:rPr>
          <w:sz w:val="20"/>
          <w:lang w:eastAsia="lt-LT"/>
        </w:rPr>
        <w:t>2</w:t>
      </w:r>
      <w:r>
        <w:rPr>
          <w:sz w:val="20"/>
          <w:lang w:eastAsia="lt-LT"/>
        </w:rPr>
        <w:t xml:space="preserve">. Per jaunimo ir suaugusiųjų sporto renginius sportininkams, kurie sveria daugiau kaip 100 kilogramų arba yra aukštesni nei 195 centimetrų (vyrai) ir 190 centimetrų (moterys), prie nustatyto dydžio vienos paros maitinimosi išlaidų piniginės kompensacijos pridedama 3,48 euro. </w:t>
      </w:r>
    </w:p>
    <w:p>
      <w:pPr>
        <w:ind w:firstLine="720"/>
        <w:jc w:val="both"/>
        <w:rPr>
          <w:color w:val="000000"/>
          <w:lang w:eastAsia="lt-LT"/>
        </w:rPr>
      </w:pPr>
      <w:r>
        <w:rPr>
          <w:sz w:val="20"/>
          <w:lang w:eastAsia="lt-LT"/>
        </w:rPr>
        <w:t>3</w:t>
      </w:r>
      <w:r>
        <w:rPr>
          <w:sz w:val="20"/>
          <w:lang w:eastAsia="lt-LT"/>
        </w:rPr>
        <w:t xml:space="preserve">. Olimpinės rinktinės nariams, kurie sveria daugiau kaip 100 kilogramų arba yra aukštesni nei 195 centimetrų (vyrai) ir 190 centimetrų (moterys), prie nustatyto dydžio vienos paros maitinimosi išlaidų piniginės kompensacijos pridedama 5,21 euro. </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63F9650CDB0">
        <w:r w:rsidRPr="00532B9F">
          <w:rPr>
            <w:rFonts w:ascii="Times New Roman" w:eastAsia="MS Mincho" w:hAnsi="Times New Roman"/>
            <w:sz w:val="20"/>
            <w:i/>
            <w:iCs/>
            <w:color w:val="0000FF" w:themeColor="hyperlink"/>
            <w:u w:val="single"/>
          </w:rPr>
          <w:t>1387</w:t>
        </w:r>
      </w:fldSimple>
      <w:r>
        <w:rPr>
          <w:rFonts w:ascii="Times New Roman" w:eastAsia="MS Mincho" w:hAnsi="Times New Roman"/>
          <w:sz w:val="20"/>
          <w:i/>
          <w:iCs/>
        </w:rPr>
        <w:t>,
2007-12-19,
Žin., 2007, Nr.
137-5611 (2007-12-28), i. k. 1071100NUTA00001387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5b5ce0ab8411e48ebccd46991dfff9">
        <w:r w:rsidRPr="00532B9F">
          <w:rPr>
            <w:rFonts w:ascii="Times New Roman" w:eastAsia="MS Mincho" w:hAnsi="Times New Roman"/>
            <w:sz w:val="20"/>
            <w:i/>
            <w:iCs/>
            <w:color w:val="0000FF" w:themeColor="hyperlink"/>
            <w:u w:val="single"/>
          </w:rPr>
          <w:t>79</w:t>
        </w:r>
      </w:fldSimple>
      <w:r>
        <w:rPr>
          <w:rFonts w:ascii="Times New Roman" w:eastAsia="MS Mincho" w:hAnsi="Times New Roman"/>
          <w:sz w:val="20"/>
          <w:i/>
          <w:iCs/>
        </w:rPr>
        <w:t>,
2015-01-28,
paskelbta TAR 2015-02-03, i. k. 2015-01648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63F9650CDB0">
        <w:r w:rsidRPr="00532B9F">
          <w:rPr>
            <w:rFonts w:ascii="Times New Roman" w:eastAsia="MS Mincho" w:hAnsi="Times New Roman"/>
            <w:sz w:val="20"/>
            <w:iCs/>
            <w:color w:val="0000FF" w:themeColor="hyperlink"/>
            <w:u w:val="single"/>
          </w:rPr>
          <w:t>1387</w:t>
        </w:r>
      </w:fldSimple>
      <w:r>
        <w:rPr>
          <w:rFonts w:ascii="Times New Roman" w:eastAsia="MS Mincho" w:hAnsi="Times New Roman"/>
          <w:sz w:val="20"/>
          <w:iCs/>
        </w:rPr>
        <w:t>,
2007-12-19,
Žin., 2007, Nr.
137-5611 (2007-12-28), i. k. 1071100NUTA00001387                </w:t>
      </w:r>
    </w:p>
    <w:p>
      <w:pPr>
        <w:jc w:val="both"/>
        <w:rPr>
          <w:rFonts w:ascii="Times New Roman" w:hAnsi="Times New Roman"/>
        </w:rPr>
      </w:pPr>
      <w:r>
        <w:rPr>
          <w:rFonts w:ascii="Times New Roman" w:hAnsi="Times New Roman"/>
          <w:sz w:val="20"/>
        </w:rPr>
        <w:t>Dėl Lietuvos Respublikos Vyriausybės 1997 m. birželio 5 d. nutarimo Nr. 561 "Dėl Lietuvos sporto renginių dalyvių vienos paros maitinimo normų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a5b5ce0ab8411e48ebccd46991dfff9">
        <w:r w:rsidRPr="00532B9F">
          <w:rPr>
            <w:rFonts w:ascii="Times New Roman" w:eastAsia="MS Mincho" w:hAnsi="Times New Roman"/>
            <w:sz w:val="20"/>
            <w:iCs/>
            <w:color w:val="0000FF" w:themeColor="hyperlink"/>
            <w:u w:val="single"/>
          </w:rPr>
          <w:t>79</w:t>
        </w:r>
      </w:fldSimple>
      <w:r>
        <w:rPr>
          <w:rFonts w:ascii="Times New Roman" w:eastAsia="MS Mincho" w:hAnsi="Times New Roman"/>
          <w:sz w:val="20"/>
          <w:iCs/>
        </w:rPr>
        <w:t>,
2015-01-28,
paskelbta TAR 2015-02-03, i. k. 2015-01648                </w:t>
      </w:r>
    </w:p>
    <w:p>
      <w:pPr>
        <w:jc w:val="both"/>
        <w:rPr>
          <w:rFonts w:ascii="Times New Roman" w:hAnsi="Times New Roman"/>
        </w:rPr>
      </w:pPr>
      <w:r>
        <w:rPr>
          <w:rFonts w:ascii="Times New Roman" w:hAnsi="Times New Roman"/>
          <w:sz w:val="20"/>
        </w:rPr>
        <w:t>Dėl Lietuvos Respublikos Vyriausybės 1997 m. birželio 5 d. nutarimo Nr. 561 „Dėl sporto renginių, vykstančių Lietuvoje, dalyvių vienos paros maitinimosi išlaidų piniginių kompensacijų dydžių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D1A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11910994">
      <w:bodyDiv w:val="1"/>
      <w:marLeft w:val="0"/>
      <w:marRight w:val="0"/>
      <w:marTop w:val="0"/>
      <w:marBottom w:val="0"/>
      <w:divBdr>
        <w:top w:val="none" w:sz="0" w:space="0" w:color="auto"/>
        <w:left w:val="none" w:sz="0" w:space="0" w:color="auto"/>
        <w:bottom w:val="none" w:sz="0" w:space="0" w:color="auto"/>
        <w:right w:val="none" w:sz="0" w:space="0" w:color="auto"/>
      </w:divBdr>
    </w:div>
    <w:div w:id="801923216">
      <w:bodyDiv w:val="1"/>
      <w:marLeft w:val="0"/>
      <w:marRight w:val="0"/>
      <w:marTop w:val="0"/>
      <w:marBottom w:val="0"/>
      <w:divBdr>
        <w:top w:val="none" w:sz="0" w:space="0" w:color="auto"/>
        <w:left w:val="none" w:sz="0" w:space="0" w:color="auto"/>
        <w:bottom w:val="none" w:sz="0" w:space="0" w:color="auto"/>
        <w:right w:val="none" w:sz="0" w:space="0" w:color="auto"/>
      </w:divBdr>
    </w:div>
    <w:div w:id="1178812431">
      <w:bodyDiv w:val="1"/>
      <w:marLeft w:val="0"/>
      <w:marRight w:val="0"/>
      <w:marTop w:val="0"/>
      <w:marBottom w:val="0"/>
      <w:divBdr>
        <w:top w:val="none" w:sz="0" w:space="0" w:color="auto"/>
        <w:left w:val="none" w:sz="0" w:space="0" w:color="auto"/>
        <w:bottom w:val="none" w:sz="0" w:space="0" w:color="auto"/>
        <w:right w:val="none" w:sz="0" w:space="0" w:color="auto"/>
      </w:divBdr>
    </w:div>
    <w:div w:id="1907372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6B9B53518FB3"/>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3</Pages>
  <Words>2965</Words>
  <Characters>1691</Characters>
  <Application>Microsoft Office Word</Application>
  <DocSecurity>0</DocSecurity>
  <Lines>14</Lines>
  <Paragraphs>9</Paragraphs>
  <ScaleCrop>false</ScaleCrop>
  <Company/>
  <LinksUpToDate>false</LinksUpToDate>
  <CharactersWithSpaces>4647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2015-02-10T08:03:00Z</dcterms:created>
  <dc:creator>User</dc:creator>
  <lastModifiedBy>BODIN Aušra</lastModifiedBy>
  <dcterms:modified xsi:type="dcterms:W3CDTF">2015-02-10T08:09:00Z</dcterms:modified>
  <revision>6</revision>
</coreProperties>
</file>