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2012-09-27 iki 2015-06-19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2008, Nr. </w:t>
      </w:r>
      <w:fldSimple w:instr="HYPERLINK https://www.e-tar.lt/portal/legalAct.html?documentId=TAR.7673B2E24604">
        <w:r w:rsidRPr="00532B9F">
          <w:rPr>
            <w:rFonts w:ascii="Times New Roman" w:eastAsia="MS Mincho" w:hAnsi="Times New Roman"/>
            <w:sz w:val="20"/>
            <w:i/>
            <w:iCs/>
            <w:color w:val="0000FF" w:themeColor="hyperlink"/>
            <w:u w:val="single"/>
          </w:rPr>
          <w:t>138-5487</w:t>
        </w:r>
      </w:fldSimple>
      <w:r>
        <w:rPr>
          <w:rFonts w:ascii="Times New Roman" w:eastAsia="MS Mincho" w:hAnsi="Times New Roman"/>
          <w:sz w:val="20"/>
          <w:i/>
          <w:iCs/>
        </w:rPr>
        <w:t>, i. k. 108106ANUTA00O3-187</w:t>
      </w:r>
    </w:p>
    <w:p>
      <w:pPr>
        <w:jc w:val="both"/>
        <w:rPr>
          <w:rFonts w:ascii="Times New Roman" w:hAnsi="Times New Roman"/>
          <w:sz w:val="20"/>
        </w:rPr>
      </w:pPr>
    </w:p>
    <w:p>
      <w:pPr>
        <w:jc w:val="center"/>
      </w:pPr>
      <w:r>
        <w:rPr>
          <w:lang w:val="en-US"/>
        </w:rPr>
        <w:pict>
          <v:shapetype id="_x0000_t201" coordsize="21600,21600" o:spt="201" path="m,l,21600r21600,l21600,xe">
            <v:stroke joinstyle="miter"/>
            <v:path shadowok="f" o:extrusionok="f" strokeok="f" fillok="f" o:connecttype="rect"/>
            <o:lock v:ext="edit" shapetype="t"/>
          </v:shapetype>
          <v:shape id="_x0000_s1034" type="#_x0000_t201" style="position:absolute;left:0;text-align:left;margin-left:0;margin-top:0;width:.75pt;height:.75pt;z-index:251657728;visibility:hidden;mso-position-horizontal-relative:text;mso-position-vertical-relative:text" stroked="f">
            <v:imagedata r:id="rId27" o:title=""/>
          </v:shape>
          <w:control r:id="rId28" w:name="Control 10" w:shapeid="_x0000_s1034"/>
        </w:pict>
      </w:r>
      <w:r>
        <w:t>VALSTYBINĖS KAINŲ IR ENERGETIKOS KONTROLĖS KOMISIJOS</w:t>
      </w:r>
    </w:p>
    <w:p>
      <w:pPr>
        <w:jc w:val="center"/>
        <w:rPr>
          <w:spacing w:val="60"/>
        </w:rPr>
      </w:pPr>
      <w:r>
        <w:rPr>
          <w:spacing w:val="60"/>
        </w:rPr>
        <w:t>NUTARIMAS</w:t>
      </w:r>
    </w:p>
    <w:p>
      <w:pPr>
        <w:jc w:val="center"/>
      </w:pPr>
    </w:p>
    <w:p>
      <w:pPr>
        <w:jc w:val="center"/>
        <w:rPr>
          <w:b/>
          <w:bCs/>
        </w:rPr>
      </w:pPr>
      <w:r>
        <w:rPr>
          <w:b/>
          <w:bCs/>
        </w:rPr>
        <w:t>DĖL GAMTINIŲ DUJŲ NAUJŲ VARTOTOJŲ PRIJUNGIMO ĮKAINIŲ SKAIČIAVIMO METODIKOS PATVIRTINIMO</w:t>
      </w:r>
    </w:p>
    <w:p>
      <w:pPr>
        <w:jc w:val="center"/>
      </w:pPr>
    </w:p>
    <w:p>
      <w:pPr>
        <w:jc w:val="center"/>
      </w:pPr>
      <w:r>
        <w:t xml:space="preserve">2008 m. lapkričio 17 d. Nr. O3-187 </w:t>
      </w:r>
    </w:p>
    <w:p>
      <w:pPr>
        <w:jc w:val="center"/>
      </w:pPr>
      <w:r>
        <w:t>Vilnius</w:t>
      </w:r>
    </w:p>
    <w:p/>
    <w:p/>
    <w:p>
      <w:pPr>
        <w:ind w:firstLine="567"/>
        <w:jc w:val="both"/>
      </w:pPr>
      <w:r>
        <w:t xml:space="preserve">Vadovaudamasi Gamtinių dujų įstatymo 8 straipsnio 5 dalimi ir 23 straipsnio 3 dalimi, Valstybinė kainų ir energetikos kontrolės komisija </w:t>
      </w:r>
      <w:r>
        <w:rPr>
          <w:spacing w:val="60"/>
        </w:rPr>
        <w:t>nutaria</w:t>
      </w:r>
      <w:r>
        <w:t xml:space="preserve"> patvirtinti Gamtinių dujų naujų vartotojų prijungimo įkainių skaičiavimo metodiką (pridedama).</w:t>
      </w:r>
    </w:p>
    <w:p>
      <w:pPr>
        <w:tabs>
          <w:tab w:val="right" w:pos="9071"/>
        </w:tabs>
        <w:jc w:val="both"/>
      </w:pPr>
    </w:p>
    <w:p>
      <w:pPr>
        <w:tabs>
          <w:tab w:val="right" w:pos="9071"/>
        </w:tabs>
        <w:jc w:val="both"/>
      </w:pPr>
    </w:p>
    <w:p>
      <w:pPr>
        <w:tabs>
          <w:tab w:val="right" w:pos="9071"/>
        </w:tabs>
        <w:jc w:val="both"/>
      </w:pPr>
    </w:p>
    <w:p>
      <w:pPr>
        <w:tabs>
          <w:tab w:val="right" w:pos="9071"/>
        </w:tabs>
        <w:jc w:val="both"/>
      </w:pPr>
      <w:r>
        <w:t>KOMISIJOS PIRMININKAS</w:t>
        <w:tab/>
        <w:t>VIRGILIJUS PODERYS</w:t>
      </w:r>
    </w:p>
    <w:p>
      <w:pPr>
        <w:ind w:left="4535"/>
        <w:sectPr>
          <w:headerReference w:type="even" r:id="rId29"/>
          <w:headerReference w:type="default" r:id="rId30"/>
          <w:footerReference w:type="even" r:id="rId31"/>
          <w:footerReference w:type="default" r:id="rId32"/>
          <w:headerReference w:type="first" r:id="rId33"/>
          <w:footerReference w:type="first" r:id="rId34"/>
          <w:pgSz w:w="11907" w:h="16840" w:code="9"/>
          <w:pgMar w:top="1134" w:right="1134" w:bottom="1134" w:left="1701" w:header="709" w:footer="709" w:gutter="0"/>
          <w:cols w:space="708"/>
          <w:titlePg/>
          <w:docGrid w:linePitch="326"/>
        </w:sectPr>
      </w:pPr>
    </w:p>
    <w:p>
      <w:pPr>
        <w:ind w:left="4535"/>
      </w:pPr>
      <w:r>
        <w:t>PATVIRTINTA</w:t>
      </w:r>
    </w:p>
    <w:p>
      <w:pPr>
        <w:ind w:left="4535"/>
      </w:pPr>
      <w:r>
        <w:t xml:space="preserve">Valstybinės kainų ir </w:t>
      </w:r>
    </w:p>
    <w:p>
      <w:pPr>
        <w:ind w:left="4535"/>
      </w:pPr>
      <w:r>
        <w:t xml:space="preserve">energetikos kontrolės komisijos </w:t>
      </w:r>
    </w:p>
    <w:p>
      <w:pPr>
        <w:ind w:left="4535"/>
      </w:pPr>
      <w:r>
        <w:t>2012 m. rugsėjo 21 d. nutarimu Nr. O3-256</w:t>
      </w:r>
    </w:p>
    <w:p>
      <w:pPr>
        <w:ind w:left="5040"/>
        <w:rPr>
          <w:b/>
        </w:rPr>
      </w:pPr>
    </w:p>
    <w:p>
      <w:pPr>
        <w:jc w:val="center"/>
        <w:rPr>
          <w:b/>
        </w:rPr>
      </w:pPr>
      <w:r>
        <w:rPr>
          <w:b/>
        </w:rPr>
        <w:t>GAMTINIŲ DUJŲ NAUJŲ VARTOTOJŲ, NAUJŲ GAMTINIŲ DUJŲ SISTEMŲ IR BIODUJŲ JĖGAINIŲ PRIJUNGIMO ĮKAINIŲ NUSTATYMO METODIKA</w:t>
      </w:r>
    </w:p>
    <w:p>
      <w:pPr>
        <w:jc w:val="center"/>
        <w:rPr>
          <w:b/>
        </w:rPr>
      </w:pPr>
    </w:p>
    <w:p>
      <w:pPr>
        <w:keepNext/>
        <w:jc w:val="center"/>
        <w:outlineLvl w:val="1"/>
        <w:rPr>
          <w:b/>
          <w:bCs/>
          <w:iCs/>
        </w:rPr>
      </w:pPr>
      <w:r>
        <w:rPr>
          <w:b/>
          <w:bCs/>
          <w:iCs/>
        </w:rPr>
        <w:t>I</w:t>
      </w:r>
      <w:r>
        <w:rPr>
          <w:b/>
          <w:bCs/>
          <w:iCs/>
        </w:rPr>
        <w:t xml:space="preserve">. </w:t>
      </w:r>
      <w:r>
        <w:rPr>
          <w:b/>
          <w:bCs/>
          <w:iCs/>
        </w:rPr>
        <w:t>BENDROSIOS NUOSTATOS</w:t>
      </w:r>
    </w:p>
    <w:p>
      <w:pPr>
        <w:ind w:firstLine="567"/>
        <w:jc w:val="both"/>
      </w:pPr>
    </w:p>
    <w:p>
      <w:pPr>
        <w:ind w:firstLine="567"/>
        <w:jc w:val="both"/>
      </w:pPr>
      <w:r>
        <w:t>1</w:t>
      </w:r>
      <w:r>
        <w:t xml:space="preserve">. Gamtinių dujų naujų vartotojų, naujų gamtinių dujų sistemų ir biodujų jėgainių prijungimo įkainių nustatymo metodika (toliau – Metodika) parengta vadovaujantis Lietuvos Respublikos energetikos įstatymu (Žin., 2002, Nr. </w:t>
      </w:r>
      <w:hyperlink r:id="rId35" w:tgtFrame="_blank" w:history="1">
        <w:r>
          <w:rPr>
            <w:color w:val="0000FF" w:themeColor="hyperlink"/>
            <w:u w:val="single"/>
          </w:rPr>
          <w:t>56-2224</w:t>
        </w:r>
      </w:hyperlink>
      <w:r>
        <w:t xml:space="preserve">; 2011, Nr. </w:t>
      </w:r>
      <w:hyperlink r:id="rId36" w:tgtFrame="_blank" w:history="1">
        <w:r>
          <w:rPr>
            <w:color w:val="0000FF" w:themeColor="hyperlink"/>
            <w:u w:val="single"/>
          </w:rPr>
          <w:t>160-7576</w:t>
        </w:r>
      </w:hyperlink>
      <w:r>
        <w:t xml:space="preserve">), Lietuvos Respublikos gamtinių dujų įstatymu (Žin., 2000, Nr. </w:t>
      </w:r>
      <w:hyperlink r:id="rId37" w:tgtFrame="_blank" w:history="1">
        <w:r>
          <w:rPr>
            <w:color w:val="0000FF" w:themeColor="hyperlink"/>
            <w:u w:val="single"/>
          </w:rPr>
          <w:t>89-2743</w:t>
        </w:r>
      </w:hyperlink>
      <w:r>
        <w:t xml:space="preserve">; 2007, Nr. </w:t>
      </w:r>
      <w:hyperlink r:id="rId38" w:tgtFrame="_blank" w:history="1">
        <w:r>
          <w:rPr>
            <w:color w:val="0000FF" w:themeColor="hyperlink"/>
            <w:u w:val="single"/>
          </w:rPr>
          <w:t>43-1626</w:t>
        </w:r>
      </w:hyperlink>
      <w:r>
        <w:t xml:space="preserve">; 2011, Nr. </w:t>
      </w:r>
      <w:hyperlink r:id="rId39" w:tgtFrame="_blank" w:history="1">
        <w:r>
          <w:rPr>
            <w:color w:val="0000FF" w:themeColor="hyperlink"/>
            <w:u w:val="single"/>
          </w:rPr>
          <w:t>87-4186</w:t>
        </w:r>
      </w:hyperlink>
      <w:r>
        <w:t xml:space="preserve">), Lietuvos Respublikos atsinaujinančių išteklių energetikos įstatymu (Žin., 2011, Nr. </w:t>
      </w:r>
      <w:hyperlink r:id="rId40" w:tgtFrame="_blank" w:history="1">
        <w:r>
          <w:rPr>
            <w:color w:val="0000FF" w:themeColor="hyperlink"/>
            <w:u w:val="single"/>
          </w:rPr>
          <w:t>62-2936</w:t>
        </w:r>
      </w:hyperlink>
      <w:r>
        <w:t xml:space="preserve">), Lietuvos Respublikos suskystintų gamtinių dujų terminalo įstatymu (Žin., 2012, Nr. </w:t>
      </w:r>
      <w:hyperlink r:id="rId41" w:tgtFrame="_blank" w:history="1">
        <w:r>
          <w:rPr>
            <w:color w:val="0000FF" w:themeColor="hyperlink"/>
            <w:u w:val="single"/>
          </w:rPr>
          <w:t>68-3466</w:t>
        </w:r>
      </w:hyperlink>
      <w:r>
        <w:t xml:space="preserve">), Naujų gamtinių dujų sistemų, tiesioginių vamzdynų ir biodujų gamybos įrenginių prijungimo prie veikiančių gamtinių dujų perdavimo ar skirstymo sistemų tvarkos ir sąlygų aprašu, patvirtintu Lietuvos Respublikos energetikos ministro 2012 m. birželio 18 d. įsakymu Nr. 1-115 (Žin., 2012, Nr. </w:t>
      </w:r>
      <w:hyperlink r:id="rId42" w:tgtFrame="_blank" w:history="1">
        <w:r>
          <w:rPr>
            <w:color w:val="0000FF" w:themeColor="hyperlink"/>
            <w:u w:val="single"/>
          </w:rPr>
          <w:t>69-3561</w:t>
        </w:r>
      </w:hyperlink>
      <w:r>
        <w:t xml:space="preserve">), Naujų gamtinių dujų sistemų naujoje dujofikuojamoje teritorijoje įrengimo ir naujų vartotojų gamtinių dujų sistemų prijungimo prie perdavimo ar skirstymo sistemų taisyklėmis, patvirtintomis Lietuvos Respublikos ūkio ministro 2008 m. birželio 25 d. įsakymu Nr. 4-266 (Žin., 2008, Nr. </w:t>
      </w:r>
      <w:hyperlink r:id="rId43" w:tgtFrame="_blank" w:history="1">
        <w:r>
          <w:rPr>
            <w:color w:val="0000FF" w:themeColor="hyperlink"/>
            <w:u w:val="single"/>
          </w:rPr>
          <w:t>75-2972</w:t>
        </w:r>
      </w:hyperlink>
      <w:r>
        <w:t xml:space="preserve">), Gamtinių dujų perdavimo ir skirstymo kainų viršutinių ribų skaičiavimo metodika, patvirtinta Valstybinės kainų ir energetikos kontrolės komisijos (toliau – Komisija) 2009 m. spalio 13 d. nutarimu Nr. O3-157 (Žin., 2009, Nr. </w:t>
      </w:r>
      <w:hyperlink r:id="rId44" w:tgtFrame="_blank" w:history="1">
        <w:r>
          <w:rPr>
            <w:color w:val="0000FF" w:themeColor="hyperlink"/>
            <w:u w:val="single"/>
          </w:rPr>
          <w:t>126-5476</w:t>
        </w:r>
      </w:hyperlink>
      <w:r>
        <w:t>), ir kitais teisės aktais.</w:t>
      </w:r>
    </w:p>
    <w:p>
      <w:pPr>
        <w:ind w:firstLine="567"/>
        <w:jc w:val="both"/>
      </w:pPr>
      <w:r>
        <w:t>2</w:t>
      </w:r>
      <w:r>
        <w:t>. Ši Metodika taikoma:</w:t>
      </w:r>
    </w:p>
    <w:p>
      <w:pPr>
        <w:tabs>
          <w:tab w:val="left" w:pos="900"/>
        </w:tabs>
        <w:ind w:firstLine="567"/>
        <w:jc w:val="both"/>
      </w:pPr>
      <w:r>
        <w:t>2.1</w:t>
      </w:r>
      <w:r>
        <w:t>. skaičiuojant naujų buitinių vartotojų prijungimo prie gamtinių dujų sistemos įkainius;</w:t>
      </w:r>
    </w:p>
    <w:p>
      <w:pPr>
        <w:tabs>
          <w:tab w:val="left" w:pos="900"/>
        </w:tabs>
        <w:ind w:firstLine="567"/>
        <w:jc w:val="both"/>
      </w:pPr>
      <w:r>
        <w:t>2.2</w:t>
      </w:r>
      <w:r>
        <w:t>. skaičiuojant naujų nebuitinių vartotojų prijungimo prie gamtinių dujų sistemos įkainius;</w:t>
      </w:r>
    </w:p>
    <w:p>
      <w:pPr>
        <w:tabs>
          <w:tab w:val="left" w:pos="900"/>
        </w:tabs>
        <w:ind w:firstLine="567"/>
        <w:jc w:val="both"/>
      </w:pPr>
      <w:r>
        <w:t>2.3</w:t>
      </w:r>
      <w:r>
        <w:t>. skaičiuojant naujų vartotojų prijungimo įkainį, kai vartotojui reikia padidinti galią, praplečiant dujų sistemą;</w:t>
      </w:r>
    </w:p>
    <w:p>
      <w:pPr>
        <w:tabs>
          <w:tab w:val="left" w:pos="900"/>
        </w:tabs>
        <w:ind w:firstLine="567"/>
        <w:jc w:val="both"/>
      </w:pPr>
      <w:r>
        <w:t>2.4</w:t>
      </w:r>
      <w:r>
        <w:t>. skaičiuojant biodujų jėgainių prijungimo prie dujų sistemų įkainius;</w:t>
      </w:r>
    </w:p>
    <w:p>
      <w:pPr>
        <w:tabs>
          <w:tab w:val="left" w:pos="900"/>
        </w:tabs>
        <w:ind w:firstLine="567"/>
        <w:jc w:val="both"/>
      </w:pPr>
      <w:r>
        <w:t>2.5</w:t>
      </w:r>
      <w:r>
        <w:t>. skaičiuojant naujų gamtinių dujų sistemų prijungimo įkainį.</w:t>
      </w:r>
    </w:p>
    <w:p>
      <w:pPr>
        <w:ind w:firstLine="567"/>
        <w:jc w:val="both"/>
      </w:pPr>
      <w:r>
        <w:t>3</w:t>
      </w:r>
      <w:r>
        <w:t xml:space="preserve">. Komisija pagal Metodiką apskaičiuoja ir patvirtina prijungimo prie gamtinių dujų sistemos įkainius buitiniams vartotojams. Buitinių vartotojų prijungimo įkainiai gali būti koreguojami ne dažniau kaip kartą per metus. </w:t>
      </w:r>
    </w:p>
    <w:p>
      <w:pPr>
        <w:ind w:firstLine="567"/>
        <w:jc w:val="both"/>
      </w:pPr>
      <w:r>
        <w:t>4</w:t>
      </w:r>
      <w:r>
        <w:t xml:space="preserve">. Dujų įmonės kasmet, ne vėliau kaip prieš tris mėnesius iki naujų prijungimo įkainių buitiniams vartotojams įsigaliojimo, pagal šios Metodikos priede pateiktą formą pateikia Komisijai duomenis, reikalingus prijungimo įkainiams suskaičiuoti. Dujų įmonei laiku nepateikus skaičiavimams reikalingų duomenų, Komisija gali pratęsti nustatytų buitinių vartotojų prijungimo įkainių galiojimo laiką. </w:t>
      </w:r>
    </w:p>
    <w:p>
      <w:pPr>
        <w:ind w:firstLine="567"/>
        <w:jc w:val="both"/>
      </w:pPr>
      <w:r>
        <w:t>5</w:t>
      </w:r>
      <w:r>
        <w:t>. Dujų įmonė prijungimo įmokas nebuitiniams vartotojams ir asmenims, prijungiantiems naujas gamtinių dujų sistemas, suskaičiuoja šioje Metodikoje nustatyta tvarka, individualiai kiekvienam naujai prijungiamam nebuitiniam vartotojui ar naujai gamtinių dujų sistemai.</w:t>
      </w:r>
    </w:p>
    <w:p>
      <w:pPr>
        <w:ind w:firstLine="567"/>
        <w:jc w:val="both"/>
      </w:pPr>
      <w:r>
        <w:t>6</w:t>
      </w:r>
      <w:r>
        <w:t>. Prijungimo įkainis skaičiuojamas be pridėtinės vertės mokesčio (PVM).</w:t>
      </w:r>
    </w:p>
    <w:p>
      <w:pPr>
        <w:ind w:firstLine="567"/>
        <w:jc w:val="both"/>
      </w:pPr>
    </w:p>
    <w:p>
      <w:pPr>
        <w:keepNext/>
        <w:jc w:val="center"/>
        <w:outlineLvl w:val="1"/>
        <w:rPr>
          <w:b/>
          <w:bCs/>
          <w:iCs/>
        </w:rPr>
      </w:pPr>
      <w:r>
        <w:rPr>
          <w:b/>
          <w:bCs/>
          <w:iCs/>
        </w:rPr>
        <w:t>II</w:t>
      </w:r>
      <w:r>
        <w:rPr>
          <w:b/>
          <w:bCs/>
          <w:iCs/>
        </w:rPr>
        <w:t xml:space="preserve">. </w:t>
      </w:r>
      <w:r>
        <w:rPr>
          <w:b/>
          <w:bCs/>
          <w:iCs/>
        </w:rPr>
        <w:t>TERMINAI IR APIBRĖŽIMAI</w:t>
      </w:r>
    </w:p>
    <w:p>
      <w:pPr>
        <w:ind w:firstLine="567"/>
        <w:jc w:val="both"/>
      </w:pPr>
    </w:p>
    <w:p>
      <w:pPr>
        <w:ind w:firstLine="567"/>
        <w:jc w:val="both"/>
      </w:pPr>
      <w:r>
        <w:rPr>
          <w:bCs/>
        </w:rPr>
        <w:t>7</w:t>
      </w:r>
      <w:r>
        <w:rPr>
          <w:bCs/>
        </w:rPr>
        <w:t>.</w:t>
      </w:r>
      <w:r>
        <w:rPr>
          <w:b/>
          <w:bCs/>
        </w:rPr>
        <w:t xml:space="preserve"> Prijungimo įkainis</w:t>
      </w:r>
      <w:r>
        <w:t xml:space="preserve"> – Komisijos buitiniams vartotojams patvirtinta arba dujų įmonės apskaičiuota mokėtina pinigų suma, taikoma nebuitiniams vartotojams ar asmenims, prijungiantiems naujas gamtinių dujų sistemas, už prijungimą prie dujų įmonės gamtinių dujų perdavimo ar skirstymo sistemos arba už galios padidinimą, kuri viršija dujų įmonės ekonomiškai pagrįstas naujų vartotojų ar naujų gamtinių dujų sistemų prijungimo išlaidas arba biodujų jėgainėms prijungti dujų įmonės apskaičiuota mokėtina pinigų suma, kuri yra lygi 60 proc. rangovo, laimėjusio dujų sistemų operatoriaus paskelbtą viešąjį pirkimą dėl šių jėgainių prijungimo prie dujų sistemų, atliktų darbų kainos, t. y. išlaidų techninio ar darbo projekto paruošimui, įrenginių įsigijimui, sumontavimui, derinimo darbų, objekto užbaigimo darbų atlikimo bei kitų su prijungimu į dujų sistemą susijusių išlaidų.   </w:t>
      </w:r>
    </w:p>
    <w:p>
      <w:pPr>
        <w:ind w:firstLine="567"/>
        <w:jc w:val="both"/>
      </w:pPr>
      <w:r>
        <w:rPr>
          <w:bCs/>
        </w:rPr>
        <w:t>8</w:t>
      </w:r>
      <w:r>
        <w:rPr>
          <w:bCs/>
        </w:rPr>
        <w:t>.</w:t>
      </w:r>
      <w:r>
        <w:rPr>
          <w:b/>
          <w:bCs/>
        </w:rPr>
        <w:t xml:space="preserve"> Naujas vartotojas </w:t>
      </w:r>
      <w:r>
        <w:t>– vartotojas, kurio sistema pirmą kartą jungiama prie dujų įmonės sistemos. Nauju vartotoju laikomas ir esamas vartotojas, pageidaujantis didinti dujų suvartojimą tiek, kad nebeužtenka esamos dujų perdavimo, dujų skirstymo sistemos galios. Vartotojai, įsigiję dujofikuotą objektą ar atnaujinantys nutrauktas dujų tiekimo sutartis, nelaikomi naujais vartotojais.</w:t>
      </w:r>
    </w:p>
    <w:p>
      <w:pPr>
        <w:ind w:firstLine="567"/>
        <w:jc w:val="both"/>
      </w:pPr>
      <w:r>
        <w:t>9</w:t>
      </w:r>
      <w:r>
        <w:t xml:space="preserve">. </w:t>
      </w:r>
      <w:r>
        <w:rPr>
          <w:b/>
        </w:rPr>
        <w:t>Nauja gamtinių dujų sistema</w:t>
      </w:r>
      <w:r>
        <w:t xml:space="preserve"> – gamtinių dujų sistema, kuri pirmą kartą jungiama prie esamos gamtinių dujų sistemos, arba esama gamtinių dujų sistema, kurios pajėgumas išplečiamas, siekiant užtikrinti sistemos naudotojų poreikius. </w:t>
      </w:r>
    </w:p>
    <w:p>
      <w:pPr>
        <w:ind w:firstLine="567"/>
        <w:jc w:val="both"/>
      </w:pPr>
      <w:r>
        <w:t>10</w:t>
      </w:r>
      <w:r>
        <w:t xml:space="preserve">. </w:t>
      </w:r>
      <w:r>
        <w:rPr>
          <w:b/>
        </w:rPr>
        <w:t xml:space="preserve">Biodujų jėgainė – </w:t>
      </w:r>
      <w:r>
        <w:t>techninis</w:t>
      </w:r>
      <w:r>
        <w:rPr>
          <w:b/>
        </w:rPr>
        <w:t>-</w:t>
      </w:r>
      <w:r>
        <w:t xml:space="preserve">ekonominis įrenginių kompleksas, skirtas biodujų gamybai (gavybai), valymui ir paruošimui pristatyti į gamtinių dujų sistemą iki gamintojo – operatoriaus nuosavybės ribos, kuris jungiamas prie dujų įmonės sistemos arba didina gamybos apimtis tiek, kad neužtenka esamų dujų įmonės sistemos pajėgumų, reikalingų užtikrinti  biodujų priėmimą į sistemą.</w:t>
      </w:r>
    </w:p>
    <w:p>
      <w:pPr>
        <w:ind w:firstLine="567"/>
        <w:jc w:val="both"/>
      </w:pPr>
      <w:r>
        <w:rPr>
          <w:bCs/>
        </w:rPr>
        <w:t>11</w:t>
      </w:r>
      <w:r>
        <w:rPr>
          <w:bCs/>
        </w:rPr>
        <w:t>.</w:t>
      </w:r>
      <w:r>
        <w:rPr>
          <w:b/>
          <w:bCs/>
        </w:rPr>
        <w:t xml:space="preserve"> Ekonomiškai pagrįstos sistemos plėtros ir naujų vartotojų prijungimo išlaidos</w:t>
      </w:r>
      <w:r>
        <w:t xml:space="preserve"> – tai naujų vartotojų ar naujų gamtinių dujų sistemų prijungimo išlaidos (investicijos), kurios dujų įmonei atsiperka per atsipirkimo laikotarpį ir nedidina nustatytų dujų perdavimo ir/ar skirstymo kainų viršutinių ribų. </w:t>
      </w:r>
    </w:p>
    <w:p>
      <w:pPr>
        <w:ind w:firstLine="567"/>
        <w:jc w:val="both"/>
      </w:pPr>
      <w:r>
        <w:rPr>
          <w:bCs/>
        </w:rPr>
        <w:t>12</w:t>
      </w:r>
      <w:r>
        <w:rPr>
          <w:bCs/>
        </w:rPr>
        <w:t>.</w:t>
      </w:r>
      <w:r>
        <w:rPr>
          <w:b/>
          <w:bCs/>
        </w:rPr>
        <w:t xml:space="preserve"> Išlaidos, kurios viršija ekonomiškai pagrįstas naujų vartotojų prijungimo išlaidas,</w:t>
      </w:r>
      <w:r>
        <w:t xml:space="preserve"> – tai naujų vartotojų ar naujų gamtinių dujų sistemų prijungimo išlaidų (investicijų) dalis, kuri neatsiperka per atsipirkimo laikotarpį ir/ar didina nustatytas dujų perdavimo ir/ar skirstymo kainų viršutines ribas. </w:t>
      </w:r>
    </w:p>
    <w:p>
      <w:pPr>
        <w:ind w:firstLine="567"/>
        <w:jc w:val="both"/>
      </w:pPr>
      <w:r>
        <w:rPr>
          <w:bCs/>
        </w:rPr>
        <w:t>13</w:t>
      </w:r>
      <w:r>
        <w:rPr>
          <w:bCs/>
        </w:rPr>
        <w:t>.</w:t>
      </w:r>
      <w:r>
        <w:rPr>
          <w:b/>
          <w:bCs/>
        </w:rPr>
        <w:t xml:space="preserve"> Atsipirkimo laikotarpis</w:t>
      </w:r>
      <w:r>
        <w:t xml:space="preserve"> – pilnų kalendorinių metų nuo investicijų eksploatavimo pradžios skaičius, per kurį dujų įmonės pinigų srautai, susidarantys dėl investicijų į dujų sistemos plėtrą ir naujų vartotojų ar asmenų, prijungiančių naujas gamtinių dujų sistemas, sumokėtų prijungimo įmokų, padengia dujų įmonės investicijas.</w:t>
      </w:r>
    </w:p>
    <w:p>
      <w:pPr>
        <w:ind w:firstLine="567"/>
        <w:jc w:val="both"/>
        <w:rPr>
          <w:bCs/>
        </w:rPr>
      </w:pPr>
      <w:r>
        <w:rPr>
          <w:bCs/>
        </w:rPr>
        <w:t>14</w:t>
      </w:r>
      <w:r>
        <w:rPr>
          <w:bCs/>
        </w:rPr>
        <w:t xml:space="preserve">. Kitos Metodikoje vartojamos sąvokos suprantamos taip, kaip jas apibrėžia Lietuvos Respublikos energetikos įstatymas, Lietuvos Respublikos gamtinių dujų įstatymas, Lietuvos Respublikos atsinaujinančių išteklių energetikos įstatymas ir  kiti teisės aktai.  </w:t>
      </w:r>
    </w:p>
    <w:p>
      <w:pPr>
        <w:ind w:firstLine="567"/>
        <w:jc w:val="both"/>
      </w:pPr>
    </w:p>
    <w:p>
      <w:pPr>
        <w:ind w:left="360"/>
        <w:jc w:val="center"/>
        <w:rPr>
          <w:b/>
          <w:bCs/>
        </w:rPr>
      </w:pPr>
      <w:r>
        <w:rPr>
          <w:b/>
          <w:bCs/>
        </w:rPr>
        <w:t>III</w:t>
      </w:r>
      <w:r>
        <w:rPr>
          <w:b/>
          <w:bCs/>
        </w:rPr>
        <w:t xml:space="preserve">. </w:t>
      </w:r>
      <w:r>
        <w:rPr>
          <w:b/>
          <w:bCs/>
        </w:rPr>
        <w:t>ŽYMĖJIMAI</w:t>
      </w:r>
    </w:p>
    <w:p>
      <w:pPr>
        <w:ind w:firstLine="567"/>
        <w:jc w:val="both"/>
        <w:rPr>
          <w:b/>
          <w:bCs/>
        </w:rPr>
      </w:pPr>
    </w:p>
    <w:p>
      <w:pPr>
        <w:ind w:firstLine="567"/>
        <w:jc w:val="both"/>
        <w:rPr>
          <w:bCs/>
        </w:rPr>
      </w:pPr>
      <w:r>
        <w:rPr>
          <w:bCs/>
        </w:rPr>
        <w:t>P – nebuitinio vartotojo ar naujos gamtinių dujų sistemos prijungimo įkainis;</w:t>
      </w:r>
    </w:p>
    <w:p>
      <w:pPr>
        <w:ind w:firstLine="567"/>
        <w:jc w:val="both"/>
        <w:rPr>
          <w:bCs/>
        </w:rPr>
      </w:pPr>
      <w:r>
        <w:rPr>
          <w:bCs/>
        </w:rPr>
        <w:t>P</w:t>
      </w:r>
      <w:r>
        <w:rPr>
          <w:bCs/>
          <w:vertAlign w:val="subscript"/>
        </w:rPr>
        <w:t>buit</w:t>
      </w:r>
      <w:r>
        <w:rPr>
          <w:bCs/>
        </w:rPr>
        <w:t xml:space="preserve"> – buitinių vartotojų prijungimo investicija, </w:t>
      </w:r>
      <w:r>
        <w:t>viršijanti ekonomiškai pagrįstą investicijų dydį</w:t>
      </w:r>
      <w:r>
        <w:rPr>
          <w:bCs/>
        </w:rPr>
        <w:t>;</w:t>
      </w:r>
    </w:p>
    <w:p>
      <w:pPr>
        <w:ind w:firstLine="567"/>
        <w:jc w:val="both"/>
      </w:pPr>
      <w:r>
        <w:rPr>
          <w:bCs/>
        </w:rPr>
        <w:t>I</w:t>
      </w:r>
      <w:r>
        <w:rPr>
          <w:bCs/>
          <w:vertAlign w:val="subscript"/>
        </w:rPr>
        <w:t>t</w:t>
      </w:r>
      <w:r>
        <w:rPr>
          <w:bCs/>
        </w:rPr>
        <w:t xml:space="preserve"> – </w:t>
      </w:r>
      <w:r>
        <w:t>t-aisiais metais dujų įmonės investuojama pinigų suma, tenkanti konkrečiam naujam nebuitiniam vartotojui ar naujai gamtinių dujų sistemai;</w:t>
      </w:r>
    </w:p>
    <w:p>
      <w:pPr>
        <w:ind w:firstLine="567"/>
        <w:jc w:val="both"/>
      </w:pPr>
      <w:r>
        <w:t>D – diskonto norma;</w:t>
      </w:r>
    </w:p>
    <w:p>
      <w:pPr>
        <w:ind w:firstLine="567"/>
        <w:jc w:val="both"/>
      </w:pPr>
      <w:r>
        <w:t>S</w:t>
      </w:r>
      <w:r>
        <w:rPr>
          <w:vertAlign w:val="subscript"/>
        </w:rPr>
        <w:t>nusid,t</w:t>
      </w:r>
      <w:r>
        <w:t xml:space="preserve"> – t-aisiais metais gautinos pajamos, skirtos nusidėvėjimo sąnaudoms dengti, patiriamoms nuo įgyvendintos investicijos, tenkančios konkrečiam naujam nebuitiniam vartotojui ar naujai gamtinių dujų sistemai, sukurto turto;</w:t>
      </w:r>
    </w:p>
    <w:p>
      <w:pPr>
        <w:ind w:firstLine="567"/>
        <w:jc w:val="both"/>
      </w:pPr>
      <w:r>
        <w:t>GP</w:t>
      </w:r>
      <w:r>
        <w:rPr>
          <w:vertAlign w:val="subscript"/>
        </w:rPr>
        <w:t>t</w:t>
      </w:r>
      <w:r>
        <w:t xml:space="preserve"> – investicijų grąža  t-aisiais metais nuo įgyvendintos investicijos (sukurto reguliuojamo turto), tenkančios konkrečiam naujam nebuitiniam vartotojui ar naujai gamtinių dujų sistemai;</w:t>
      </w:r>
    </w:p>
    <w:p>
      <w:pPr>
        <w:ind w:firstLine="567"/>
        <w:jc w:val="both"/>
      </w:pPr>
      <w:r>
        <w:t>T – metų skaičius nuo investicijų projekto įgyvendinimo pradžios iki visiško jo atsipirkimo;</w:t>
      </w:r>
    </w:p>
    <w:p>
      <w:pPr>
        <w:ind w:firstLine="567"/>
        <w:jc w:val="both"/>
      </w:pPr>
      <w:r>
        <w:t>IT</w:t>
      </w:r>
      <w:r>
        <w:rPr>
          <w:vertAlign w:val="subscript"/>
        </w:rPr>
        <w:t>t</w:t>
      </w:r>
      <w:r>
        <w:t xml:space="preserve"> – sukurto reguliuojamo turto likutinė vertė t-ųjų metų pabaigoje, įgyvendinus investicijas, tenkančias konkrečiam nebuitiniam vartotojui ar naujai gamtinių dujų sistemai;</w:t>
      </w:r>
    </w:p>
    <w:p>
      <w:pPr>
        <w:ind w:firstLine="567"/>
        <w:jc w:val="both"/>
      </w:pPr>
      <w:r>
        <w:t>WACC – laikotarpiui, per kurį planuojama prijungti naująjį vartotoją ar naują gamtinių dujų sistemą, Komisijos nustatytų perdavimo ar skirstymo kainų viršutinių ribų skaičiavimui naudota investicijų grąžos norma. Jeigu laikotarpiui, per kurį planuojama prijungti naują vartotoją ar naują gamtinių dujų sistemą, dujų perdavimo ar skirstymo kainos viršutinė riba nėra nustatyta (pakoreguota), remiamasi paskutinei galiojančiai perdavimo ar skirstymo kainos viršutinei ribai skaičiuoti naudota investicijų grąžos norma;</w:t>
      </w:r>
    </w:p>
    <w:p>
      <w:pPr>
        <w:ind w:firstLine="567"/>
        <w:jc w:val="both"/>
      </w:pPr>
      <w:r>
        <w:t>S</w:t>
      </w:r>
      <w:r>
        <w:rPr>
          <w:vertAlign w:val="subscript"/>
        </w:rPr>
        <w:t>t</w:t>
      </w:r>
      <w:r>
        <w:t xml:space="preserve"> – t-aisiais metais patirtinos ribinės sąnaudos dėl naujo vartotojo ar naujos gamtinių dujų sistemos prijungimo;</w:t>
      </w:r>
    </w:p>
    <w:p>
      <w:pPr>
        <w:ind w:firstLine="567"/>
        <w:jc w:val="both"/>
      </w:pPr>
      <w:r>
        <w:t>Q</w:t>
      </w:r>
      <w:r>
        <w:rPr>
          <w:vertAlign w:val="subscript"/>
        </w:rPr>
        <w:t>t</w:t>
      </w:r>
      <w:r>
        <w:t xml:space="preserve"> – t-aisiais metais planuojamas transportuoti dujų kiekis naujai prijungiamam vartotojui ar transportuojamo esamomis perdavimo ir/ar skirstymo sistemomis bendro kiekio padidėjimas, susidaręs dėl naujos gamtinių dujų sistemos atsiradusių naujų sistemos naudotojų;</w:t>
      </w:r>
    </w:p>
    <w:p>
      <w:pPr>
        <w:ind w:firstLine="567"/>
        <w:jc w:val="both"/>
      </w:pPr>
      <w:r>
        <w:t>PV</w:t>
      </w:r>
      <w:r>
        <w:rPr>
          <w:vertAlign w:val="subscript"/>
        </w:rPr>
        <w:t>o</w:t>
      </w:r>
      <w:r>
        <w:t xml:space="preserve">  –  nebuitinio vartotojo nepadengtų faktinių investicijų dabartinė vertė, Lt;</w:t>
      </w:r>
    </w:p>
    <w:p>
      <w:pPr>
        <w:ind w:firstLine="567"/>
        <w:jc w:val="both"/>
      </w:pPr>
      <w:r>
        <w:t>FV</w:t>
      </w:r>
      <w:r>
        <w:rPr>
          <w:i/>
          <w:vertAlign w:val="subscript"/>
        </w:rPr>
        <w:t>n</w:t>
      </w:r>
      <w:r>
        <w:t xml:space="preserve">  – faktinės investicijos, tenkančios nebuitinio vartotojo prijungimui, Lt;</w:t>
      </w:r>
    </w:p>
    <w:p>
      <w:pPr>
        <w:ind w:firstLine="567"/>
        <w:jc w:val="both"/>
      </w:pPr>
      <w:r>
        <w:t>P</w:t>
      </w:r>
      <w:r>
        <w:rPr>
          <w:vertAlign w:val="subscript"/>
        </w:rPr>
        <w:t>f</w:t>
      </w:r>
      <w:r>
        <w:t xml:space="preserve"> – naujo nebuitinio vartotojo sumokėtas prijungimo įkainis;</w:t>
      </w:r>
    </w:p>
    <w:p>
      <w:pPr>
        <w:ind w:firstLine="567"/>
        <w:jc w:val="both"/>
      </w:pPr>
      <w:r>
        <w:t>P</w:t>
      </w:r>
      <w:r>
        <w:rPr>
          <w:vertAlign w:val="subscript"/>
        </w:rPr>
        <w:t>b</w:t>
      </w:r>
      <w:r>
        <w:t xml:space="preserve"> – prijungimo įkainis buitiniams vartotojams;</w:t>
      </w:r>
    </w:p>
    <w:p>
      <w:pPr>
        <w:ind w:firstLine="567"/>
        <w:jc w:val="both"/>
      </w:pPr>
      <w:r>
        <w:t>P</w:t>
      </w:r>
      <w:r>
        <w:rPr>
          <w:vertAlign w:val="subscript"/>
        </w:rPr>
        <w:t xml:space="preserve">m </w:t>
      </w:r>
      <w:r>
        <w:t>– prijungimo įkainio dalis, kuri taikoma už kiekvieną dujotiekio metrą;</w:t>
      </w:r>
    </w:p>
    <w:p>
      <w:pPr>
        <w:ind w:firstLine="567"/>
        <w:jc w:val="both"/>
      </w:pPr>
      <w:r>
        <w:t xml:space="preserve">A – naujam buitiniam vartotojui prijungti tiesiamo dujotiekio atstumas; </w:t>
      </w:r>
    </w:p>
    <w:p>
      <w:pPr>
        <w:ind w:firstLine="567"/>
        <w:jc w:val="both"/>
      </w:pPr>
      <w:r>
        <w:t>I</w:t>
      </w:r>
      <w:r>
        <w:rPr>
          <w:vertAlign w:val="subscript"/>
        </w:rPr>
        <w:t>buit,t</w:t>
      </w:r>
      <w:r>
        <w:t xml:space="preserve"> – praėjusiais metais dujų įmonės lėšomis atliktos investicijos naujiems buitiniams vartotojams prijungti;</w:t>
      </w:r>
    </w:p>
    <w:p>
      <w:pPr>
        <w:ind w:firstLine="567"/>
        <w:jc w:val="both"/>
      </w:pPr>
      <w:r>
        <w:t>S</w:t>
      </w:r>
      <w:r>
        <w:rPr>
          <w:vertAlign w:val="subscript"/>
        </w:rPr>
        <w:t>nusid,t,buit</w:t>
      </w:r>
      <w:r>
        <w:t xml:space="preserve"> – t-aisiais metais gautinos pajamos, skirtos dengti nusidėvėjimo sąnaudoms, patiriamoms nuo įgyvendintų investicijų, tenkančių naujiems buitiniams vartotojams, sukurto turto;</w:t>
      </w:r>
    </w:p>
    <w:p>
      <w:pPr>
        <w:ind w:firstLine="567"/>
        <w:jc w:val="both"/>
      </w:pPr>
      <w:r>
        <w:t>GP</w:t>
      </w:r>
      <w:r>
        <w:rPr>
          <w:vertAlign w:val="subscript"/>
        </w:rPr>
        <w:t>t,buit</w:t>
      </w:r>
      <w:r>
        <w:t xml:space="preserve"> – investicijų grąža nuo naujų buitinių vartotojų prijungimui įgyvendintos investicijos (sukurto reguliuojamo turto);</w:t>
      </w:r>
    </w:p>
    <w:p>
      <w:pPr>
        <w:ind w:firstLine="567"/>
        <w:jc w:val="both"/>
      </w:pPr>
      <w:r>
        <w:t>IT</w:t>
      </w:r>
      <w:r>
        <w:rPr>
          <w:vertAlign w:val="subscript"/>
        </w:rPr>
        <w:t>t,buit</w:t>
      </w:r>
      <w:r>
        <w:t xml:space="preserve"> – įgyvendinus investicijas buitiniams vartotojams, sukurto reguliuojamo turto likutinė vertė t-ųjų metų pabaigoje;</w:t>
      </w:r>
    </w:p>
    <w:p>
      <w:pPr>
        <w:ind w:firstLine="567"/>
        <w:jc w:val="both"/>
      </w:pPr>
      <w:r>
        <w:t>Q</w:t>
      </w:r>
      <w:r>
        <w:rPr>
          <w:vertAlign w:val="subscript"/>
        </w:rPr>
        <w:t>t,buit</w:t>
      </w:r>
      <w:r>
        <w:t xml:space="preserve"> – t-aisiais metais planuojamas transportuoti dujų kiekis naujai prijungtiems buitiniams vartotojams;</w:t>
      </w:r>
    </w:p>
    <w:p>
      <w:pPr>
        <w:ind w:firstLine="567"/>
        <w:jc w:val="both"/>
      </w:pPr>
      <w:r>
        <w:t>L</w:t>
      </w:r>
      <w:r>
        <w:rPr>
          <w:vertAlign w:val="subscript"/>
        </w:rPr>
        <w:t>buit,t</w:t>
      </w:r>
      <w:r>
        <w:t xml:space="preserve"> – praėjusiais metais prijungtiems buitiniams vartotojams nutiestų skirstymo sistemų ilgis;</w:t>
      </w:r>
    </w:p>
    <w:p>
      <w:pPr>
        <w:ind w:firstLine="567"/>
        <w:jc w:val="both"/>
      </w:pPr>
      <w:r>
        <w:t>S</w:t>
      </w:r>
      <w:r>
        <w:rPr>
          <w:vertAlign w:val="subscript"/>
        </w:rPr>
        <w:t>t,buit</w:t>
      </w:r>
      <w:r>
        <w:t xml:space="preserve"> – t-aisiais metais patirtinos ribinės sąnaudos dėl naujų buitinių vartotojų prijungimo;</w:t>
      </w:r>
    </w:p>
    <w:p>
      <w:pPr>
        <w:ind w:firstLine="567"/>
        <w:jc w:val="both"/>
      </w:pPr>
      <w:r>
        <w:t>I</w:t>
      </w:r>
      <w:r>
        <w:rPr>
          <w:vertAlign w:val="subscript"/>
        </w:rPr>
        <w:t xml:space="preserve">K </w:t>
      </w:r>
      <w:r>
        <w:t>– investicijų projekte numatytos investicijos naujiems vartotojams ar naujai gamtinių dujų sistemai prijungti;</w:t>
      </w:r>
    </w:p>
    <w:p>
      <w:pPr>
        <w:ind w:firstLine="567"/>
        <w:jc w:val="both"/>
      </w:pPr>
      <w:r>
        <w:t>A</w:t>
      </w:r>
      <w:r>
        <w:rPr>
          <w:vertAlign w:val="subscript"/>
        </w:rPr>
        <w:t xml:space="preserve">i </w:t>
      </w:r>
      <w:r>
        <w:t>– dujų sistemos ilgis nuo i-tojo naujo vartotojo sistemos prijungimo taško iki esamos dujų sistemos;</w:t>
      </w:r>
    </w:p>
    <w:p>
      <w:pPr>
        <w:ind w:firstLine="567"/>
        <w:jc w:val="both"/>
      </w:pPr>
      <w:r>
        <w:t>G</w:t>
      </w:r>
      <w:r>
        <w:rPr>
          <w:vertAlign w:val="subscript"/>
        </w:rPr>
        <w:t>i</w:t>
      </w:r>
      <w:r>
        <w:t xml:space="preserve"> – i-tajam naujam vartotojui reikiami dujų transportavimo pajėgumai vartotojo sistemos prijungimo taške;</w:t>
      </w:r>
    </w:p>
    <w:p>
      <w:pPr>
        <w:ind w:firstLine="567"/>
        <w:jc w:val="both"/>
      </w:pPr>
      <w:r>
        <w:t>n – naujų vartotojų skaičius investicijų projekte;</w:t>
      </w:r>
    </w:p>
    <w:p>
      <w:pPr>
        <w:ind w:firstLine="567"/>
        <w:jc w:val="both"/>
      </w:pPr>
      <w:r>
        <w:t>P</w:t>
      </w:r>
      <w:r>
        <w:rPr>
          <w:vertAlign w:val="subscript"/>
        </w:rPr>
        <w:t>kvart</w:t>
      </w:r>
      <w:r>
        <w:t xml:space="preserve"> – naujai dujofikuojamo kvartalo buitinių vartotojų prijungimo įkainis;</w:t>
      </w:r>
    </w:p>
    <w:p>
      <w:pPr>
        <w:ind w:firstLine="567"/>
        <w:jc w:val="both"/>
      </w:pPr>
      <w:r>
        <w:t>P</w:t>
      </w:r>
      <w:r>
        <w:rPr>
          <w:vertAlign w:val="subscript"/>
        </w:rPr>
        <w:t>buit,past</w:t>
      </w:r>
      <w:r>
        <w:t xml:space="preserve"> – prijungimo įkainio dalis, kuri taikoma nepriklausomai nuo atstumo ir galios;</w:t>
      </w:r>
    </w:p>
    <w:p>
      <w:pPr>
        <w:ind w:firstLine="567"/>
        <w:jc w:val="both"/>
        <w:rPr>
          <w:bCs/>
        </w:rPr>
      </w:pPr>
      <w:r>
        <w:t>L</w:t>
      </w:r>
      <w:r>
        <w:rPr>
          <w:vertAlign w:val="subscript"/>
        </w:rPr>
        <w:t>p</w:t>
      </w:r>
      <w:r>
        <w:t xml:space="preserve"> – papildomų metrų skaičius, tenkantis naujai dujofikuojamo kvartalo buitiniam vartotojui;</w:t>
      </w:r>
    </w:p>
    <w:p>
      <w:pPr>
        <w:ind w:firstLine="567"/>
        <w:jc w:val="both"/>
      </w:pPr>
      <w:r>
        <w:t>L</w:t>
      </w:r>
      <w:r>
        <w:rPr>
          <w:vertAlign w:val="subscript"/>
        </w:rPr>
        <w:t>kvart</w:t>
      </w:r>
      <w:r>
        <w:t xml:space="preserve"> – naujai dujofikuojamo kvartalo dujotiekio ilgis;</w:t>
      </w:r>
    </w:p>
    <w:p>
      <w:pPr>
        <w:ind w:firstLine="567"/>
        <w:jc w:val="both"/>
      </w:pPr>
      <w:r>
        <w:t>n</w:t>
      </w:r>
      <w:r>
        <w:rPr>
          <w:vertAlign w:val="subscript"/>
        </w:rPr>
        <w:t>b</w:t>
      </w:r>
      <w:r>
        <w:t xml:space="preserve"> – naujai dujofikuojamo kvartalo buitinių vartotojų skaičius;</w:t>
      </w:r>
    </w:p>
    <w:p>
      <w:pPr>
        <w:ind w:firstLine="567"/>
        <w:jc w:val="both"/>
      </w:pPr>
      <w:r>
        <w:t>n</w:t>
      </w:r>
      <w:r>
        <w:rPr>
          <w:vertAlign w:val="subscript"/>
        </w:rPr>
        <w:t>buit</w:t>
      </w:r>
      <w:r>
        <w:t xml:space="preserve"> – buitinių vartotojų, prijungtų per paskutinius 4 ketvirčius iki buitinių vartotojų prijungimo įkainiams skaičiuoti pateikimo, skaičius;  </w:t>
      </w:r>
    </w:p>
    <w:p>
      <w:pPr>
        <w:ind w:firstLine="567"/>
        <w:jc w:val="both"/>
      </w:pPr>
      <w:r>
        <w:t>k</w:t>
      </w:r>
      <w:r>
        <w:rPr>
          <w:vertAlign w:val="subscript"/>
        </w:rPr>
        <w:t>past</w:t>
      </w:r>
      <w:r>
        <w:t xml:space="preserve"> – įgyvendintų investicijų buitiniams vartotojams prijungti dalies, nepriklausančios nuo tiesiamų dujotiekių buitiniams vartotojams prijungti ilgio, koeficientas. Šį koeficientą apskaičiuoja dujų įmonės, atsižvelgdamos į investicijas buitiniams vartotojams prijungti, įgyvendintas per paskutinius 4 ketvirčius iki duomenų prijungimo įkainiams skaičiuoti pateikimo;</w:t>
      </w:r>
    </w:p>
    <w:p>
      <w:pPr>
        <w:ind w:firstLine="567"/>
        <w:jc w:val="both"/>
      </w:pPr>
      <w:r>
        <w:t>I</w:t>
      </w:r>
      <w:r>
        <w:rPr>
          <w:vertAlign w:val="subscript"/>
        </w:rPr>
        <w:t>lik,BNS</w:t>
      </w:r>
      <w:r>
        <w:t xml:space="preserve"> – likutinė bendrojo naudojimo sistemos turto vertė prijungimo įkainių skaičiavimo momentu, tūkst. Lt;</w:t>
      </w:r>
    </w:p>
    <w:p>
      <w:pPr>
        <w:ind w:firstLine="567"/>
        <w:jc w:val="both"/>
      </w:pPr>
      <w:r>
        <w:t>G</w:t>
      </w:r>
      <w:r>
        <w:rPr>
          <w:vertAlign w:val="subscript"/>
        </w:rPr>
        <w:t>vart</w:t>
      </w:r>
      <w:r>
        <w:t xml:space="preserve"> – naujiems vartotojams reikalingi dujų transportavimo pajėgumai vartotojo sistemos prijungimo taške, m</w:t>
      </w:r>
      <w:r>
        <w:rPr>
          <w:vertAlign w:val="superscript"/>
        </w:rPr>
        <w:t>3</w:t>
      </w:r>
      <w:r>
        <w:t>/h;</w:t>
      </w:r>
    </w:p>
    <w:p>
      <w:pPr>
        <w:ind w:firstLine="567"/>
        <w:jc w:val="both"/>
      </w:pPr>
      <w:r>
        <w:t>G</w:t>
      </w:r>
      <w:r>
        <w:rPr>
          <w:vertAlign w:val="subscript"/>
        </w:rPr>
        <w:t>BNS</w:t>
      </w:r>
      <w:r>
        <w:t xml:space="preserve"> – bendrojo naudojimo sistemos techniniai pajėgumai sujungimo su skirstymo įmonės dujų sistema taške, m</w:t>
      </w:r>
      <w:r>
        <w:rPr>
          <w:vertAlign w:val="superscript"/>
        </w:rPr>
        <w:t>3</w:t>
      </w:r>
      <w:r>
        <w:t>/h;</w:t>
      </w:r>
    </w:p>
    <w:p>
      <w:pPr>
        <w:ind w:firstLine="567"/>
        <w:jc w:val="both"/>
      </w:pPr>
      <w:r>
        <w:t>L</w:t>
      </w:r>
      <w:r>
        <w:rPr>
          <w:vertAlign w:val="subscript"/>
        </w:rPr>
        <w:t>vart</w:t>
      </w:r>
      <w:r>
        <w:t xml:space="preserve"> – bendrojo naudojimo sistemos ilgis nuo naujo vartotojo sistemos prijungimo taško iki skirstymo įmonės sistemos, m;</w:t>
      </w:r>
    </w:p>
    <w:p>
      <w:pPr>
        <w:tabs>
          <w:tab w:val="left" w:pos="426"/>
        </w:tabs>
        <w:ind w:firstLine="567"/>
        <w:jc w:val="both"/>
      </w:pPr>
      <w:r>
        <w:t>L</w:t>
      </w:r>
      <w:r>
        <w:rPr>
          <w:vertAlign w:val="subscript"/>
        </w:rPr>
        <w:t>BNS</w:t>
      </w:r>
      <w:r>
        <w:t xml:space="preserve"> – visas bendrojo naudojimo sistemos ilgis, m;</w:t>
      </w:r>
    </w:p>
    <w:p>
      <w:pPr>
        <w:ind w:firstLine="567"/>
        <w:jc w:val="both"/>
      </w:pPr>
      <w:r>
        <w:t>P</w:t>
      </w:r>
      <w:r>
        <w:rPr>
          <w:vertAlign w:val="subscript"/>
        </w:rPr>
        <w:t>bį</w:t>
      </w:r>
      <w:r>
        <w:t xml:space="preserve"> – biodujų jėgainės prijungimo įkainis;</w:t>
      </w:r>
    </w:p>
    <w:p>
      <w:pPr>
        <w:ind w:firstLine="567"/>
        <w:jc w:val="both"/>
      </w:pPr>
      <w:r>
        <w:t>DK – atliktų darbų kaina, skirta biodujų jėgainėms prijungti prie perdavimo ar skirstymo sistemos.</w:t>
      </w:r>
    </w:p>
    <w:p>
      <w:pPr>
        <w:ind w:firstLine="567"/>
        <w:jc w:val="both"/>
        <w:rPr>
          <w:bCs/>
        </w:rPr>
      </w:pPr>
    </w:p>
    <w:p>
      <w:pPr>
        <w:ind w:left="360"/>
        <w:jc w:val="center"/>
        <w:rPr>
          <w:b/>
          <w:bCs/>
        </w:rPr>
      </w:pPr>
      <w:r>
        <w:rPr>
          <w:b/>
          <w:bCs/>
        </w:rPr>
        <w:t>IV</w:t>
      </w:r>
      <w:r>
        <w:rPr>
          <w:b/>
          <w:bCs/>
        </w:rPr>
        <w:t xml:space="preserve">. </w:t>
      </w:r>
      <w:r>
        <w:rPr>
          <w:b/>
          <w:bCs/>
        </w:rPr>
        <w:t>PAGRINDINIAI INVESTICIJŲ Į DUJŲ SISTEMAS RODIKLIAI</w:t>
      </w:r>
    </w:p>
    <w:p>
      <w:pPr>
        <w:ind w:firstLine="567"/>
        <w:jc w:val="both"/>
      </w:pPr>
    </w:p>
    <w:p>
      <w:pPr>
        <w:ind w:firstLine="567"/>
        <w:jc w:val="both"/>
      </w:pPr>
      <w:r>
        <w:t>15</w:t>
      </w:r>
      <w:r>
        <w:t>. Investicijų į dujų sistemų statybą atsipirkimo laikas:</w:t>
      </w:r>
    </w:p>
    <w:p>
      <w:pPr>
        <w:tabs>
          <w:tab w:val="left" w:pos="900"/>
        </w:tabs>
        <w:ind w:firstLine="567"/>
        <w:jc w:val="both"/>
      </w:pPr>
      <w:r>
        <w:t>- nebuitiniams vartotojams ar naujai gamtinių dujų sistemai – 15 metų;</w:t>
      </w:r>
    </w:p>
    <w:p>
      <w:pPr>
        <w:tabs>
          <w:tab w:val="left" w:pos="900"/>
        </w:tabs>
        <w:ind w:firstLine="567"/>
        <w:jc w:val="both"/>
      </w:pPr>
      <w:r>
        <w:t>- buitiniams vartotojams – 20 metų.</w:t>
      </w:r>
    </w:p>
    <w:p>
      <w:pPr>
        <w:ind w:firstLine="567"/>
        <w:jc w:val="both"/>
      </w:pPr>
      <w:r>
        <w:t>16</w:t>
      </w:r>
      <w:r>
        <w:t>. Naujų investicijų, skirtų naujiems vartotojams ar naujai gamtinių dujų sistemai prijungti, eksploatacinės sąnaudos turi būti suskaičiuojamos ribinių sąnaudų principu, skaičiavimuose naudojant dujų įmonės patiriamas pagrįstas sąnaudas prijungimo įkainio skaičiavimo metais. Ribinių sąnaudų skaičiavimo principai turi būti suderinti su Komisija.</w:t>
      </w:r>
    </w:p>
    <w:p>
      <w:pPr>
        <w:ind w:firstLine="567"/>
        <w:jc w:val="both"/>
      </w:pPr>
      <w:r>
        <w:t>17</w:t>
      </w:r>
      <w:r>
        <w:t>. Investicijų naujam vartotojui ar naujai gamtinių dujų sistemai prijungti ribinės sąnaudos (S</w:t>
      </w:r>
      <w:r>
        <w:rPr>
          <w:vertAlign w:val="subscript"/>
        </w:rPr>
        <w:t>t</w:t>
      </w:r>
      <w:r>
        <w:t>) susideda iš:</w:t>
      </w:r>
    </w:p>
    <w:p>
      <w:pPr>
        <w:ind w:firstLine="567"/>
        <w:jc w:val="both"/>
      </w:pPr>
      <w:r>
        <w:t>17.1</w:t>
      </w:r>
      <w:r>
        <w:t>. nusidėvėjimo sąnaudų, patiriamų nuo įgyvendintų investicijų, tenkančių konkrečiam naujam nebuitiniam vartotojui ar naujai gamtinių dujų sistemai, arba sąnaudų, patiriamų nuo įgyvendintų investicijų, tenkančių naujiems buitiniams vartotojams;</w:t>
      </w:r>
    </w:p>
    <w:p>
      <w:pPr>
        <w:ind w:firstLine="567"/>
        <w:jc w:val="both"/>
      </w:pPr>
      <w:r>
        <w:t>17.2</w:t>
      </w:r>
      <w:r>
        <w:t>. eksploatacinių sąnaudų;</w:t>
      </w:r>
    </w:p>
    <w:p>
      <w:pPr>
        <w:ind w:firstLine="567"/>
        <w:jc w:val="both"/>
      </w:pPr>
      <w:r>
        <w:t>17.3</w:t>
      </w:r>
      <w:r>
        <w:t>. turto mokesčio sąnaudų, patiriamų nuo įgyvendintų investicijų, tenkančių konkrečiam naujam nebuitiniam vartotojui ar naujai gamtinių dujų sistemai, arba sąnaudų, patiriamų nuo įgyvendintų investicijų, tenkančių naujiems buitiniams vartotojams;</w:t>
      </w:r>
    </w:p>
    <w:p>
      <w:pPr>
        <w:ind w:firstLine="567"/>
        <w:jc w:val="both"/>
      </w:pPr>
      <w:r>
        <w:t>17.4</w:t>
      </w:r>
      <w:r>
        <w:t>. kitų investicijų projekto sąnaudų.</w:t>
      </w:r>
    </w:p>
    <w:p>
      <w:pPr>
        <w:ind w:firstLine="567"/>
        <w:jc w:val="both"/>
      </w:pPr>
      <w:r>
        <w:t>18</w:t>
      </w:r>
      <w:r>
        <w:t xml:space="preserve">. Nusidėvėjimo sąnaudos apskaičiuojamos pagal Gamtinių dujų perdavimo ir skirstymo kainų viršutinių ribų skaičiavimo metodikos priede nustatytus ilgalaikio turto nusidėvėjimo (amortizacijos) normatyvus. Šios sąnaudos skaičiuojamos taikant tiesiogiai proporcingą nusidėvėjimo metodą. </w:t>
      </w:r>
    </w:p>
    <w:p>
      <w:pPr>
        <w:ind w:firstLine="567"/>
        <w:jc w:val="both"/>
      </w:pPr>
      <w:r>
        <w:t>19</w:t>
      </w:r>
      <w:r>
        <w:t>. Turto mokesčio sąnaudos skaičiuojamos vadovaujantis teisės aktais.</w:t>
      </w:r>
    </w:p>
    <w:p>
      <w:pPr>
        <w:ind w:firstLine="567"/>
        <w:jc w:val="both"/>
        <w:rPr>
          <w:b/>
        </w:rPr>
      </w:pPr>
    </w:p>
    <w:p>
      <w:pPr>
        <w:keepNext/>
        <w:jc w:val="center"/>
        <w:outlineLvl w:val="1"/>
        <w:rPr>
          <w:b/>
          <w:bCs/>
          <w:iCs/>
        </w:rPr>
      </w:pPr>
      <w:r>
        <w:rPr>
          <w:b/>
          <w:bCs/>
          <w:iCs/>
        </w:rPr>
        <w:t>V</w:t>
      </w:r>
      <w:r>
        <w:rPr>
          <w:b/>
          <w:bCs/>
          <w:iCs/>
        </w:rPr>
        <w:t xml:space="preserve">. </w:t>
      </w:r>
      <w:r>
        <w:rPr>
          <w:b/>
          <w:bCs/>
          <w:iCs/>
        </w:rPr>
        <w:t>PRIJUNGIMO ĮKAINIŲ SKAIČIAVIMAS NEBUITINIAMS VARTOTOJAMS IR NAUJOMS GAMTINIŲ DUJŲ SISTEMOMS</w:t>
      </w:r>
    </w:p>
    <w:p>
      <w:pPr>
        <w:ind w:firstLine="567"/>
        <w:jc w:val="both"/>
      </w:pPr>
    </w:p>
    <w:p>
      <w:pPr>
        <w:ind w:firstLine="567"/>
        <w:jc w:val="both"/>
      </w:pPr>
      <w:r>
        <w:t>20</w:t>
      </w:r>
      <w:r>
        <w:t xml:space="preserve">. Dujų įmonė, skaičiuodama prijungimo įkainį, įvertina naujo nebuitinio vartotojo ar naujos gamtinių dujų sistemos prijungimo investicijų atsipirkimą bei naujo nebuitinio vartotojo ar naujos gamtinių dujų sistemos prijungimo įtaką gamtinių dujų kainų viršutinėms riboms. </w:t>
      </w:r>
    </w:p>
    <w:p>
      <w:pPr>
        <w:ind w:firstLine="567"/>
        <w:jc w:val="both"/>
      </w:pPr>
      <w:r>
        <w:t>21</w:t>
      </w:r>
      <w:r>
        <w:t xml:space="preserve">. Nustatomas toks mokėtinas prijungimo įkainio dydis, kad būtų užtikrintas investicijų projekto atsipirkimas per atsipirkimo laikotarpį nebuitiniams vartotojams ar naujai gamtinių dujų sistemai ir gamtinių dujų kainų viršutinės ribos nedidėtų. </w:t>
      </w:r>
    </w:p>
    <w:p>
      <w:pPr>
        <w:ind w:firstLine="567"/>
        <w:jc w:val="both"/>
      </w:pPr>
      <w:r>
        <w:t>22</w:t>
      </w:r>
      <w:r>
        <w:t xml:space="preserve">. Nebuitinio vartotojo ir naujos gamtinių dujų sistemos prijungimo įkainis (P), užtikrinantis investicijų projekto atsipirkimą per atsipirkimo laikotarpį, skaičiuojamas pagal formulę: </w:t>
      </w:r>
    </w:p>
    <w:p>
      <w:pPr>
        <w:jc w:val="both"/>
      </w:pPr>
      <w:r>
        <w:rPr>
          <w:lang w:eastAsia="lt-LT"/>
        </w:rPr>
        <w:drawing>
          <wp:inline distT="0" distB="0" distL="0" distR="0">
            <wp:extent cx="5760720" cy="678785"/>
            <wp:effectExtent l="0" t="0" r="0" b="762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5760720" cy="678785"/>
                    </a:xfrm>
                    <a:prstGeom prst="rect">
                      <a:avLst/>
                    </a:prstGeom>
                  </pic:spPr>
                </pic:pic>
              </a:graphicData>
            </a:graphic>
          </wp:inline>
        </w:drawing>
      </w:r>
    </w:p>
    <w:p>
      <w:pPr>
        <w:ind w:firstLine="567"/>
        <w:jc w:val="both"/>
      </w:pPr>
    </w:p>
    <w:p>
      <w:pPr>
        <w:ind w:firstLine="567"/>
        <w:jc w:val="both"/>
        <w:rPr>
          <w:i/>
        </w:rPr>
      </w:pPr>
      <w:r>
        <w:rPr>
          <w:i/>
        </w:rPr>
        <w:t>čia:</w:t>
      </w:r>
    </w:p>
    <w:p>
      <w:pPr>
        <w:ind w:firstLine="567"/>
        <w:jc w:val="both"/>
      </w:pPr>
      <w:r>
        <w:t>I</w:t>
      </w:r>
      <w:r>
        <w:rPr>
          <w:vertAlign w:val="subscript"/>
        </w:rPr>
        <w:t>t</w:t>
      </w:r>
      <w:r>
        <w:t xml:space="preserve"> – t-aisiais metais dujų įmonės investuojama pinigų suma, tenkanti konkrečiam naujam nebuitiniam vartotojui ar naujai gamtinių dujų sistemai, Lt;</w:t>
      </w:r>
    </w:p>
    <w:p>
      <w:pPr>
        <w:ind w:firstLine="567"/>
        <w:jc w:val="both"/>
      </w:pPr>
      <w:r>
        <w:t>D – diskonto norma, proc.;</w:t>
      </w:r>
    </w:p>
    <w:p>
      <w:pPr>
        <w:ind w:firstLine="567"/>
        <w:jc w:val="both"/>
      </w:pPr>
      <w:r>
        <w:t>S</w:t>
      </w:r>
      <w:r>
        <w:rPr>
          <w:vertAlign w:val="subscript"/>
        </w:rPr>
        <w:t>nusid,t</w:t>
      </w:r>
      <w:r>
        <w:t xml:space="preserve"> – t-aisiais metais gautinos pajamos, skirtos nusidėvėjimo sąnaudoms dengti, patiriamoms nuo įgyvendintos investicijos, tenkančios konkrečiam naujam nebuitiniam vartotojui ar naujai gamtinių dujų sistemai, sukurto turto, Lt;</w:t>
      </w:r>
    </w:p>
    <w:p>
      <w:pPr>
        <w:ind w:firstLine="567"/>
        <w:jc w:val="both"/>
      </w:pPr>
      <w:r>
        <w:t>GP</w:t>
      </w:r>
      <w:r>
        <w:rPr>
          <w:vertAlign w:val="subscript"/>
        </w:rPr>
        <w:t>t</w:t>
      </w:r>
      <w:r>
        <w:t xml:space="preserve"> – investicijų grąža t-aisiais metais nuo įgyvendintos investicijos (sukurto reguliuojamo turto), tenkančios konkrečiam naujam nebuitiniam vartotojui ar naujai gamtinių dujų sistemai, Lt;</w:t>
      </w:r>
    </w:p>
    <w:p>
      <w:pPr>
        <w:ind w:firstLine="567"/>
        <w:jc w:val="both"/>
      </w:pPr>
      <w:r>
        <w:t>T – metų skaičius nuo investicijų projekto įgyvendinimo pradžios iki visiško jo atsipirkimo.</w:t>
      </w:r>
    </w:p>
    <w:p>
      <w:pPr>
        <w:ind w:firstLine="567"/>
        <w:jc w:val="both"/>
      </w:pPr>
      <w:r>
        <w:t>23</w:t>
      </w:r>
      <w:r>
        <w:t>. Skaičiuojant naujo vartotojo ar naujos gamtinių dujų sistemos atsiperkamumą, investicijų grąža (GP</w:t>
      </w:r>
      <w:r>
        <w:rPr>
          <w:vertAlign w:val="subscript"/>
        </w:rPr>
        <w:t>t</w:t>
      </w:r>
      <w:r>
        <w:t>) apskaičiuojama pagal formulę:</w:t>
      </w:r>
    </w:p>
    <w:p>
      <w:pPr>
        <w:ind w:firstLine="567"/>
        <w:jc w:val="both"/>
      </w:pPr>
    </w:p>
    <w:p>
      <w:pPr>
        <w:jc w:val="both"/>
      </w:pPr>
      <w:r>
        <w:rPr>
          <w:lang w:eastAsia="lt-LT"/>
        </w:rPr>
        <w:drawing>
          <wp:inline distT="0" distB="0" distL="0" distR="0">
            <wp:extent cx="5760720" cy="172151"/>
            <wp:effectExtent l="0" t="0" r="0" b="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5760720" cy="172151"/>
                    </a:xfrm>
                    <a:prstGeom prst="rect">
                      <a:avLst/>
                    </a:prstGeom>
                  </pic:spPr>
                </pic:pic>
              </a:graphicData>
            </a:graphic>
          </wp:inline>
        </w:drawing>
      </w:r>
    </w:p>
    <w:p>
      <w:pPr>
        <w:ind w:firstLine="567"/>
        <w:jc w:val="both"/>
      </w:pPr>
    </w:p>
    <w:p>
      <w:pPr>
        <w:ind w:firstLine="567"/>
        <w:jc w:val="both"/>
        <w:rPr>
          <w:i/>
        </w:rPr>
      </w:pPr>
      <w:r>
        <w:rPr>
          <w:i/>
        </w:rPr>
        <w:t>čia:</w:t>
      </w:r>
    </w:p>
    <w:p>
      <w:pPr>
        <w:ind w:firstLine="567"/>
        <w:jc w:val="both"/>
      </w:pPr>
      <w:r>
        <w:t>IT</w:t>
      </w:r>
      <w:r>
        <w:rPr>
          <w:vertAlign w:val="subscript"/>
        </w:rPr>
        <w:t>t</w:t>
      </w:r>
      <w:r>
        <w:t xml:space="preserve"> – sukurto reguliuojamo turto likutinė vertė t-ųjų metų pabaigoje, įgyvendinus investicijas, tenkančias konkrečiam nebuitiniam vartotojui ar naujai gamtinių dujų sistemai, Lt;</w:t>
      </w:r>
    </w:p>
    <w:p>
      <w:pPr>
        <w:ind w:firstLine="567"/>
        <w:jc w:val="both"/>
      </w:pPr>
      <w:r>
        <w:t xml:space="preserve">WACC – laikotarpiui, per kurį planuojama prijungti naująjį vartotoją ar naują gamtinių dujų sistemą, Komisijos nustatytų perdavimo ar skirstymo kainų viršutinių ribų skaičiavimui naudota investicijų grąžos norma. Jeigu laikotarpiui, per kurį planuojama prijungti naują vartotoją ar naują gamtinių dujų sistemą, dujų perdavimo ar skirstymo kainos viršutinė riba nėra nustatyta (pakoreguota), remiamasi paskutinei galiojančiai perdavimo ar skirstymo kainos viršutinei ribai skaičiuoti naudota investicijų grąžos norma, proc. </w:t>
      </w:r>
    </w:p>
    <w:p>
      <w:pPr>
        <w:ind w:firstLine="567"/>
        <w:jc w:val="both"/>
      </w:pPr>
      <w:r>
        <w:t>24</w:t>
      </w:r>
      <w:r>
        <w:t xml:space="preserve">. Diskonto norma (D), įvertinanti pinigų vertės pokyčius atitinkamu laikotarpiu, yra lygi laikotarpiui, per kurį planuojama prijungti naująjį vartotoją ar naują gamtinių dujų sistemą, Komisijos nustatytų  perdavimo ar skirstymo kainų viršutinių ribų skaičiavimui naudotai investicijų grąžos normai (WACC). Jeigu laikotarpiui, per kurį planuojama prijungti naują vartotoją ar naują gamtinių dujų sistemą, dujų perdavimo ar skirstymo kainos viršutinė riba nėra nustatyta (pakoreguota) remiamasi paskutinei galiojančiai perdavimo ar skirstymo kainos viršutinei ribai skaičiuoti naudota investicijų grąžos norma. </w:t>
      </w:r>
    </w:p>
    <w:p>
      <w:pPr>
        <w:ind w:firstLine="567"/>
        <w:jc w:val="both"/>
      </w:pPr>
      <w:r>
        <w:t>25</w:t>
      </w:r>
      <w:r>
        <w:t>. Suskaičiavus prijungimo įkainį, užtikrinantį investicijų projekto atsipirkimą per numatytą laiką, yra įvertinama investicijų naujam vartotojui ar naujai gamtinių dujų sistemai prijungti įtaka skaičiavimo metu galiojančiai dujų perdavimo ir/ar skirstymo kainos viršutinei ribai. Tuo tikslu pagal investicijų naujam vartotojui ar naujai gamtinių dujų sistemai prijungti duomenis yra suskaičiuojamas 15 metų vidutinis individualus tarifas (K</w:t>
      </w:r>
      <w:r>
        <w:rPr>
          <w:vertAlign w:val="subscript"/>
        </w:rPr>
        <w:t>nebuit/sist</w:t>
      </w:r>
      <w:r>
        <w:t>):</w:t>
      </w:r>
    </w:p>
    <w:p>
      <w:pPr>
        <w:jc w:val="both"/>
      </w:pPr>
      <w:r>
        <w:rPr>
          <w:lang w:eastAsia="lt-LT"/>
        </w:rPr>
        <w:drawing>
          <wp:inline distT="0" distB="0" distL="0" distR="0">
            <wp:extent cx="5760720" cy="979184"/>
            <wp:effectExtent l="0" t="0" r="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5760720" cy="979184"/>
                    </a:xfrm>
                    <a:prstGeom prst="rect">
                      <a:avLst/>
                    </a:prstGeom>
                  </pic:spPr>
                </pic:pic>
              </a:graphicData>
            </a:graphic>
          </wp:inline>
        </w:drawing>
      </w:r>
    </w:p>
    <w:p>
      <w:pPr>
        <w:tabs>
          <w:tab w:val="right" w:pos="9071"/>
        </w:tabs>
        <w:ind w:firstLine="567"/>
        <w:jc w:val="both"/>
      </w:pPr>
    </w:p>
    <w:p>
      <w:pPr>
        <w:ind w:firstLine="567"/>
        <w:jc w:val="both"/>
        <w:rPr>
          <w:i/>
        </w:rPr>
      </w:pPr>
      <w:r>
        <w:rPr>
          <w:i/>
        </w:rPr>
        <w:t>čia:</w:t>
      </w:r>
    </w:p>
    <w:p>
      <w:pPr>
        <w:ind w:firstLine="567"/>
        <w:jc w:val="both"/>
      </w:pPr>
      <w:r>
        <w:t>S</w:t>
      </w:r>
      <w:r>
        <w:rPr>
          <w:vertAlign w:val="subscript"/>
        </w:rPr>
        <w:t>t</w:t>
      </w:r>
      <w:r>
        <w:t xml:space="preserve"> – t-aisiais metais dėl naujo nebuitinio vartotojo ar naujos gamtinių dujų sistemos prijungimo patirtinos ribinės sąnaudos, Lt;</w:t>
      </w:r>
    </w:p>
    <w:p>
      <w:pPr>
        <w:ind w:firstLine="567"/>
        <w:jc w:val="both"/>
      </w:pPr>
      <w:r>
        <w:t>IT</w:t>
      </w:r>
      <w:r>
        <w:rPr>
          <w:vertAlign w:val="subscript"/>
        </w:rPr>
        <w:t>t</w:t>
      </w:r>
      <w:r>
        <w:t xml:space="preserve"> – sukurto reguliuojamo turto likutinė vertė t-ųjų metų pabaigoje, įgyvendinus investicijas, tenkančias konkrečiam nebuitiniam vartotojui ar naujai gamtinių dujų sistemai, Lt;</w:t>
      </w:r>
    </w:p>
    <w:p>
      <w:pPr>
        <w:ind w:firstLine="567"/>
        <w:jc w:val="both"/>
      </w:pPr>
      <w:r>
        <w:t xml:space="preserve">WACC – laikotarpiui, per kurį planuojama prijungti naują vartotoją ar naują gamtinių dujų sistemą, Komisijos nustatytų perdavimo ar skirstymo kainų viršutinių ribų skaičiavimui naudota  investicijų grąžos norma. Jeigu laikotarpiui, per kurį planuojama prijungti naują vartotoją ar naują gamtinių dujų sistemą, dujų perdavimo ar skirstymo kainos viršutinė riba nėra nustatyta (pakoreguota), remiamasi paskutinei galiojančiai perdavimo ar skirstymo kainos viršutinei ribai skaičiuoti naudota  investicijų grąžos norma, proc.;</w:t>
      </w:r>
    </w:p>
    <w:p>
      <w:pPr>
        <w:ind w:firstLine="567"/>
        <w:jc w:val="both"/>
      </w:pPr>
      <w:r>
        <w:t>Q</w:t>
      </w:r>
      <w:r>
        <w:rPr>
          <w:vertAlign w:val="subscript"/>
        </w:rPr>
        <w:t>t</w:t>
      </w:r>
      <w:r>
        <w:t xml:space="preserve"> – t-aisiais metais planuojamas transportuoti dujų kiekis naujai prijungtam vartotojui ar transportuojamo esamomis perdavimo ir/ar skirstymo sistemomis bendro kiekio padidėjimas, sąlygotas dėl naujos gamtinių dujų sistemos atsiradusių naujų sistemos naudotojų, tūkst. m</w:t>
      </w:r>
      <w:r>
        <w:rPr>
          <w:vertAlign w:val="superscript"/>
        </w:rPr>
        <w:t>3</w:t>
      </w:r>
      <w:r>
        <w:t xml:space="preserve">. </w:t>
      </w:r>
    </w:p>
    <w:p>
      <w:pPr>
        <w:ind w:firstLine="567"/>
        <w:jc w:val="both"/>
      </w:pPr>
      <w:r>
        <w:t>26</w:t>
      </w:r>
      <w:r>
        <w:t>. Skaičiuojant naujo vartotojo ar naujos gamtinių dujų sistemos prijungimo įkainį, įvertinama šio vartotojo ar naujos gamtinių dujų sistemos prijungimo įtaka perdavimo ir/ar skirstymo kainos viršutinei ribai, t. y. suskaičiuotas individualus naujo vartotojo ar naujos gamtinių dujų sistemos tarifas yra lyginamas su laikotarpiu, per kurį planuojama prijungti naują vartotoją ar naują gamtinių dujų sistemą, nustatyta dujų perdavimo ir/ar skirstymo kainos viršutine riba. Jeigu laikotarpiui, per kurį planuojama prijungti naują vartotoją ar naują gamtinių dujų sistemą, dujų perdavimo ar skirstymo kainų viršutinės ribos nėra nustatytos, skaičiuojant individualų naujo vartotojo ar naujos gamtinių dujų sistemos tarifą, remiamasi skaičiavimo metu galiojančiomis perdavimo ar skirstymo kainų viršutinėmis ribomis.</w:t>
      </w:r>
    </w:p>
    <w:p>
      <w:pPr>
        <w:ind w:firstLine="567"/>
        <w:jc w:val="both"/>
      </w:pPr>
      <w:r>
        <w:t>27</w:t>
      </w:r>
      <w:r>
        <w:t>. Jeigu pagal (3) formulę suskaičiuotas vidutinis individualus tarifas viršija galiojančią dujų perdavimo ir/ar skirstymo kainos viršutinę ribą, pagal (1) formulę apskaičiuotas prijungimo įkainis didinamas tiek, kad vidutinis individualus tarifas neviršytų galiojančios dujų perdavimo ir/ar skirstymo kainos viršutinės ribos cento tikslumu.</w:t>
      </w:r>
    </w:p>
    <w:p>
      <w:pPr>
        <w:ind w:firstLine="567"/>
        <w:jc w:val="both"/>
      </w:pPr>
      <w:r>
        <w:t>28</w:t>
      </w:r>
      <w:r>
        <w:t>. Jeigu pagal 27 punktą suskaičiuotas prijungimo įkainis yra didesnis už naujo vartotojo prijungimui būtinas investicijas, prijungimo prašymas gali būti atmetamas kaip ekonomiškai nepagrįstas. Kai statytojų prašymu dujų sistemos nurodytoje teritorijoje statomos nenumačius vartotojų (parengiant teritorijos infrastruktūrą būsimai plėtrai), prijungimo įkainis prilyginamas vartotojui prijungti reikalingam investicijų dydžiui. Tuo atveju, kai dėl naujos gamtinių dujų sistemos prijungimo esamomis perdavimo ir/ar skirstymo sistemomis transportuojamas bendras dujų kiekis dėl naujų sistemos naudotojų nepadidėja, t. y. naujos gamtinių dujų sistemos prijungimo sutartyje nenustatomi įsipareigojimai dėl minimalių papildomų transportuotinų dujų kiekių ir pajėgumų, tai naujos gamtinių dujų sistemos prijungimo įkainis prilyginamas naujai gamtinių dujų sistemai prijungti reikalingam investicijų dydžiui.</w:t>
      </w:r>
    </w:p>
    <w:p>
      <w:pPr>
        <w:ind w:firstLine="567"/>
        <w:jc w:val="both"/>
      </w:pPr>
      <w:r>
        <w:t>29</w:t>
      </w:r>
      <w:r>
        <w:t xml:space="preserve">. Vartotojo ar asmens, prijungiančio naują gamtinių dujų sistemą, prijungimo sutartyje yra nustatomas minimalus nebuitinio vartotojo ar nauja gamtinių dujų sistema transportuotinas dujų kiekis ir pajėgumai, kuriems esant prijungtas naujas vartotojas ar nauja gamtinių dujų sistema nedidina kainos viršutinės ribos esamiems vartotojams, bei minimalių nebuitinio vartotojo ar gamtinių dujų sistemos transportuotinų dujų kiekių ir pajėgumų mokesčio apskaičiavimo tvarka ir mokėjimo periodiškumas, jeigu naujas vartotojas ar asmuo, prijungiantis naują gamtinių dujų sistemą, transportuoja mažesnius kiekius ar užsako mažesnius pajėgumus nei nustatyta naujo vartotojo prijungimo sutartyje. </w:t>
      </w:r>
    </w:p>
    <w:p>
      <w:pPr>
        <w:overflowPunct w:val="0"/>
        <w:ind w:firstLine="567"/>
        <w:jc w:val="both"/>
        <w:textAlignment w:val="baseline"/>
      </w:pPr>
      <w:r>
        <w:t>30</w:t>
      </w:r>
      <w:r>
        <w:t xml:space="preserve">. Jei dujų įmonės įgyvendintų investicijų, tenkančių konkrečiam naujam nebuitiniam vartotojui ar naujai gamtinių dujų sistemai, faktinė vertė, įvykdžius viešuosius pirkimus,  skiriasi nuo sąmatinės vertės daugiau kaip 3 proc., bet ne mažiau kaip 500 litų, dujų įmonė naujam vartotojui ar naujai gamtinių dujų sistemai prijungimo įkainį apskaičiuoja pagal faktiškai įgyvendintos investicijos dydį. Didesnis prijungimo įkainis gali būti nustatomas ir tuo atveju</w:t>
      </w:r>
      <w:r>
        <w:rPr>
          <w:b/>
        </w:rPr>
        <w:t>,</w:t>
      </w:r>
      <w:r>
        <w:t xml:space="preserve"> jei faktinės vertės padidėjimą lėmė papildomų, sąmatoje nenumatytų darbų, būtinų nebuitiniam vartotojui ar naujai gamtinių dujų sistemai prijungti, poreikis, kuris objektyviai negalėjo būti numatytas rengiant sąmatą, arba sąmatoje numatytų darbų pabrangimas, susijęs su ekonominiais prekių ir paslaugų rinkos procesais.</w:t>
      </w:r>
    </w:p>
    <w:p>
      <w:pPr>
        <w:ind w:firstLine="567"/>
        <w:jc w:val="both"/>
      </w:pPr>
      <w:r>
        <w:t>31</w:t>
      </w:r>
      <w:r>
        <w:t xml:space="preserve">. Dujų įmonės turi teisę nebuitiniams vartotojams ar naujai gamtinių dujų sistemai taikyti mažesnį prijungimo įkainį nei apskaičiuotą pagal (1) formulę, užtikrindamos, kad investicijos naujiems vartotojams ar naujai gamtinių dujų sistemai prijungti nedidins kainos viršutinės ribos esamiems vartotojams. </w:t>
      </w:r>
    </w:p>
    <w:p>
      <w:pPr>
        <w:ind w:firstLine="567"/>
        <w:jc w:val="both"/>
      </w:pPr>
      <w:r>
        <w:t>32</w:t>
      </w:r>
      <w:r>
        <w:t>. Metodikos 31 punkte numatytą nuostatą dujų įmonės gali taikyti konkretų laikotarpį apibrėžtoje teritorijoje ir neturi diskriminuoti naujų vartotojų ir (ar) asmenų, prijungiančių naujas gamtinių dujų sistemas. Kriterijai, kuriais vadovaudamosis dujų įmonės taikytų mažesnį prijungimo įkainį, turi būti objektyvūs ir nediskriminuojantys.</w:t>
      </w:r>
    </w:p>
    <w:p>
      <w:pPr>
        <w:ind w:firstLine="567"/>
        <w:jc w:val="both"/>
      </w:pPr>
      <w:r>
        <w:t>33</w:t>
      </w:r>
      <w:r>
        <w:t>. Mažesnio prijungimo įkainio taikymo dydį, laikotarpį bei apibrėžtą šių įkainių taikymo teritoriją dujų įmonės, suderinusios su Komisija, paskelbia viešai.</w:t>
      </w:r>
    </w:p>
    <w:p>
      <w:pPr>
        <w:tabs>
          <w:tab w:val="left" w:pos="284"/>
        </w:tabs>
        <w:ind w:firstLine="567"/>
        <w:jc w:val="both"/>
      </w:pPr>
      <w:r>
        <w:t>34</w:t>
      </w:r>
      <w:r>
        <w:t>. Jei naujas nebuitinis vartotojas per 3 metus nuo prijungimo sutartimi prisiimtų įsipareigojimų įsirengti vartotojo dujų sistemą datos jos neįsirengė ir/ar gamtinių dujų nevartoja, tai dujų įmonė įvertina naujam nebuitiniam vartotojui tenkančias faktines investicijas, jo jau sumokėtą prijungimo įkainį, suskaičiuoja nepadengtą faktinių investicijų dabartinę vertę, o naujas nebuitinis vartotojas ją sumoka. Nepadengtų faktinių investicijų dabartinė vertė apskaičiuojama pagal formulę:</w:t>
      </w:r>
    </w:p>
    <w:p>
      <w:pPr>
        <w:tabs>
          <w:tab w:val="left" w:pos="284"/>
        </w:tabs>
        <w:jc w:val="both"/>
      </w:pPr>
      <w:r>
        <w:rPr>
          <w:lang w:eastAsia="lt-LT"/>
        </w:rPr>
        <w:drawing>
          <wp:inline distT="0" distB="0" distL="0" distR="0">
            <wp:extent cx="5760720" cy="293466"/>
            <wp:effectExtent l="0" t="0" r="0" b="0"/>
            <wp:docPr id="16" name="Paveikslėli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5760720" cy="293466"/>
                    </a:xfrm>
                    <a:prstGeom prst="rect">
                      <a:avLst/>
                    </a:prstGeom>
                  </pic:spPr>
                </pic:pic>
              </a:graphicData>
            </a:graphic>
          </wp:inline>
        </w:drawing>
      </w:r>
    </w:p>
    <w:p>
      <w:pPr>
        <w:ind w:firstLine="567"/>
        <w:jc w:val="both"/>
      </w:pPr>
    </w:p>
    <w:p>
      <w:pPr>
        <w:ind w:firstLine="567"/>
        <w:jc w:val="both"/>
        <w:rPr>
          <w:i/>
        </w:rPr>
      </w:pPr>
      <w:r>
        <w:rPr>
          <w:i/>
        </w:rPr>
        <w:t>čia:</w:t>
      </w:r>
    </w:p>
    <w:p>
      <w:pPr>
        <w:ind w:firstLine="567"/>
        <w:jc w:val="both"/>
      </w:pPr>
      <w:r>
        <w:t>PV</w:t>
      </w:r>
      <w:r>
        <w:rPr>
          <w:vertAlign w:val="subscript"/>
        </w:rPr>
        <w:t>o</w:t>
      </w:r>
      <w:r>
        <w:t xml:space="preserve"> – nepadengtų faktinių investicijų dabartinė vertė, Lt;</w:t>
      </w:r>
    </w:p>
    <w:p>
      <w:pPr>
        <w:ind w:firstLine="567"/>
        <w:jc w:val="both"/>
      </w:pPr>
      <w:r>
        <w:t>FV</w:t>
      </w:r>
      <w:r>
        <w:rPr>
          <w:i/>
          <w:vertAlign w:val="subscript"/>
        </w:rPr>
        <w:t>n</w:t>
      </w:r>
      <w:r>
        <w:t xml:space="preserve"> – faktinės investicijos, tenkančios nebuitinio vartotojo prijungimui, Lt;</w:t>
      </w:r>
    </w:p>
    <w:p>
      <w:pPr>
        <w:ind w:firstLine="567"/>
        <w:jc w:val="both"/>
      </w:pPr>
      <w:r>
        <w:t>P</w:t>
      </w:r>
      <w:r>
        <w:rPr>
          <w:vertAlign w:val="subscript"/>
        </w:rPr>
        <w:t>f</w:t>
      </w:r>
      <w:r>
        <w:t xml:space="preserve"> – naujo nebuitinio vartotojo sumokėtas prijungimo įkainis;</w:t>
      </w:r>
    </w:p>
    <w:p>
      <w:pPr>
        <w:ind w:firstLine="567"/>
        <w:jc w:val="both"/>
      </w:pPr>
      <w:r>
        <w:t>D – sutarties sudarymo metu galiojusi diskonto norma, proc.;</w:t>
      </w:r>
    </w:p>
    <w:p>
      <w:pPr>
        <w:ind w:firstLine="567"/>
        <w:jc w:val="both"/>
      </w:pPr>
      <w:r>
        <w:t>m – laiko periodas metais, skaičiuojant nuo dujų įmonės investicijų, skirtų naujam vartotojui prijungti, užbaigimo iki metų imtinai, kada butų apmokama nepadengtų faktinių investicijų dabartinė vertė.</w:t>
      </w:r>
    </w:p>
    <w:p>
      <w:pPr>
        <w:ind w:firstLine="567"/>
        <w:jc w:val="both"/>
      </w:pPr>
      <w:r>
        <w:t>35</w:t>
      </w:r>
      <w:r>
        <w:t>. Naujam nebuitiniam vartotojui sumokėjus pagal (4) formulę dujų įmonės apskaičiuotą nepadengtų faktinių investicijų dabartinę vertę, naujo vartotojo prijungimo sutartis dujų įmonės ir naujo nebuitinio vartotojo susitarimu nutraukiama.</w:t>
      </w:r>
    </w:p>
    <w:p>
      <w:pPr>
        <w:ind w:firstLine="567"/>
        <w:jc w:val="both"/>
      </w:pPr>
    </w:p>
    <w:p>
      <w:pPr>
        <w:keepNext/>
        <w:jc w:val="center"/>
        <w:outlineLvl w:val="1"/>
        <w:rPr>
          <w:b/>
          <w:bCs/>
          <w:iCs/>
        </w:rPr>
      </w:pPr>
      <w:r>
        <w:rPr>
          <w:b/>
          <w:bCs/>
          <w:iCs/>
        </w:rPr>
        <w:t>VI</w:t>
      </w:r>
      <w:r>
        <w:rPr>
          <w:b/>
          <w:bCs/>
          <w:iCs/>
        </w:rPr>
        <w:t xml:space="preserve">. </w:t>
      </w:r>
      <w:r>
        <w:rPr>
          <w:b/>
          <w:bCs/>
          <w:iCs/>
        </w:rPr>
        <w:t>PRIJUNGIMO ĮKAINIŲ SKAIČIAVIMAS BUITINIAMS VARTOTOJAMS</w:t>
      </w:r>
    </w:p>
    <w:p>
      <w:pPr>
        <w:ind w:firstLine="567"/>
        <w:jc w:val="both"/>
      </w:pPr>
    </w:p>
    <w:p>
      <w:pPr>
        <w:ind w:firstLine="567"/>
        <w:jc w:val="both"/>
      </w:pPr>
      <w:r>
        <w:t>36</w:t>
      </w:r>
      <w:r>
        <w:t xml:space="preserve">. Buitinių vartotojų prijungimo įkainiai yra nustatomi pagal šio skirsnio nuostatas atskirai: </w:t>
      </w:r>
    </w:p>
    <w:p>
      <w:pPr>
        <w:tabs>
          <w:tab w:val="left" w:pos="720"/>
        </w:tabs>
        <w:ind w:firstLine="567"/>
        <w:jc w:val="both"/>
      </w:pPr>
      <w:r>
        <w:t>- buitiniams vartotojams, suvartojantiems iki 500 m</w:t>
      </w:r>
      <w:r>
        <w:rPr>
          <w:vertAlign w:val="superscript"/>
        </w:rPr>
        <w:t>3</w:t>
      </w:r>
      <w:r>
        <w:t xml:space="preserve"> per metus arba dujas naudosiantiems buitinėms viryklėms;</w:t>
      </w:r>
    </w:p>
    <w:p>
      <w:pPr>
        <w:tabs>
          <w:tab w:val="left" w:pos="720"/>
        </w:tabs>
        <w:ind w:firstLine="567"/>
        <w:jc w:val="both"/>
      </w:pPr>
      <w:r>
        <w:t>- buitiniams vartotojams, suvartojantiems daugiau kaip 500 m</w:t>
      </w:r>
      <w:r>
        <w:rPr>
          <w:vertAlign w:val="superscript"/>
        </w:rPr>
        <w:t>3</w:t>
      </w:r>
      <w:r>
        <w:t xml:space="preserve"> per metus arba dujas naudosiantiems vandens ir/arba patalpų šildymui.</w:t>
      </w:r>
    </w:p>
    <w:p>
      <w:pPr>
        <w:ind w:firstLine="567"/>
        <w:jc w:val="both"/>
      </w:pPr>
      <w:r>
        <w:t>37</w:t>
      </w:r>
      <w:r>
        <w:t>. Buitiniams vartotojams prijungimo įkainis (P</w:t>
      </w:r>
      <w:r>
        <w:rPr>
          <w:vertAlign w:val="subscript"/>
        </w:rPr>
        <w:t>b</w:t>
      </w:r>
      <w:r>
        <w:t xml:space="preserve">) susideda iš dviejų dalių ir skaičiuojamas pagal formulę: </w:t>
      </w:r>
    </w:p>
    <w:p>
      <w:pPr>
        <w:jc w:val="both"/>
      </w:pPr>
      <w:r>
        <w:rPr>
          <w:lang w:eastAsia="lt-LT"/>
        </w:rPr>
        <w:drawing>
          <wp:inline distT="0" distB="0" distL="0" distR="0">
            <wp:extent cx="5760720" cy="318885"/>
            <wp:effectExtent l="0" t="0" r="0" b="5080"/>
            <wp:docPr id="17" name="Paveikslėli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5760720" cy="318885"/>
                    </a:xfrm>
                    <a:prstGeom prst="rect">
                      <a:avLst/>
                    </a:prstGeom>
                  </pic:spPr>
                </pic:pic>
              </a:graphicData>
            </a:graphic>
          </wp:inline>
        </w:drawing>
      </w:r>
    </w:p>
    <w:p>
      <w:pPr>
        <w:ind w:firstLine="567"/>
        <w:jc w:val="both"/>
        <w:rPr>
          <w:i/>
        </w:rPr>
      </w:pPr>
      <w:r>
        <w:rPr>
          <w:i/>
        </w:rPr>
        <w:t>čia:</w:t>
      </w:r>
    </w:p>
    <w:p>
      <w:pPr>
        <w:ind w:firstLine="567"/>
        <w:jc w:val="both"/>
      </w:pPr>
      <w:r>
        <w:t>P</w:t>
      </w:r>
      <w:r>
        <w:rPr>
          <w:vertAlign w:val="subscript"/>
        </w:rPr>
        <w:t>buit,past</w:t>
      </w:r>
      <w:r>
        <w:t xml:space="preserve"> – prijungimo įkainio dalis, kuri taikoma nepriklausomai nuo atstumo ir pajėgumų, Lt; </w:t>
      </w:r>
    </w:p>
    <w:p>
      <w:pPr>
        <w:ind w:firstLine="567"/>
        <w:jc w:val="both"/>
      </w:pPr>
      <w:r>
        <w:t>P</w:t>
      </w:r>
      <w:r>
        <w:rPr>
          <w:vertAlign w:val="subscript"/>
        </w:rPr>
        <w:t xml:space="preserve">m </w:t>
      </w:r>
      <w:r>
        <w:t xml:space="preserve">– prijungimo įkainio dalis, kuri taikoma už kiekvieną dujotiekio metrą, Lt; </w:t>
      </w:r>
    </w:p>
    <w:p>
      <w:pPr>
        <w:ind w:firstLine="567"/>
        <w:jc w:val="both"/>
      </w:pPr>
      <w:r>
        <w:t>A – naujam buitiniam vartotojui prijungti tiesiamo dujotiekio ilgis, metrais.</w:t>
      </w:r>
    </w:p>
    <w:p>
      <w:pPr>
        <w:ind w:firstLine="567"/>
        <w:jc w:val="both"/>
      </w:pPr>
      <w:r>
        <w:t>38</w:t>
      </w:r>
      <w:r>
        <w:t>. Prijungimo įkainio buitiniams vartotojams dalis, nepriklausanti nuo prijungimo atstumo P</w:t>
      </w:r>
      <w:r>
        <w:rPr>
          <w:vertAlign w:val="subscript"/>
        </w:rPr>
        <w:t>buit,past</w:t>
      </w:r>
      <w:r>
        <w:t>, yra apskaičiuojama pagal formulę:</w:t>
      </w:r>
    </w:p>
    <w:p>
      <w:pPr>
        <w:jc w:val="both"/>
      </w:pPr>
      <w:r>
        <w:rPr>
          <w:lang w:eastAsia="lt-LT"/>
        </w:rPr>
        <w:drawing>
          <wp:inline distT="0" distB="0" distL="0" distR="0">
            <wp:extent cx="5760720" cy="503168"/>
            <wp:effectExtent l="0" t="0" r="0" b="0"/>
            <wp:docPr id="18" name="Paveikslėli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5760720" cy="503168"/>
                    </a:xfrm>
                    <a:prstGeom prst="rect">
                      <a:avLst/>
                    </a:prstGeom>
                  </pic:spPr>
                </pic:pic>
              </a:graphicData>
            </a:graphic>
          </wp:inline>
        </w:drawing>
      </w:r>
    </w:p>
    <w:p>
      <w:pPr>
        <w:ind w:firstLine="567"/>
        <w:jc w:val="both"/>
      </w:pPr>
    </w:p>
    <w:p>
      <w:pPr>
        <w:ind w:firstLine="567"/>
        <w:jc w:val="both"/>
        <w:rPr>
          <w:i/>
        </w:rPr>
      </w:pPr>
      <w:r>
        <w:rPr>
          <w:i/>
        </w:rPr>
        <w:t>čia:</w:t>
      </w:r>
    </w:p>
    <w:p>
      <w:pPr>
        <w:ind w:firstLine="567"/>
        <w:jc w:val="both"/>
      </w:pPr>
      <w:r>
        <w:t>P</w:t>
      </w:r>
      <w:r>
        <w:rPr>
          <w:vertAlign w:val="subscript"/>
        </w:rPr>
        <w:t>buit,past</w:t>
      </w:r>
      <w:r>
        <w:t xml:space="preserve"> – prijungimo įkainio dalis, kuri taikoma nepriklausomai nuo atstumo ir galios, Lt; </w:t>
      </w:r>
    </w:p>
    <w:p>
      <w:pPr>
        <w:ind w:firstLine="567"/>
        <w:jc w:val="both"/>
      </w:pPr>
      <w:r>
        <w:t>P</w:t>
      </w:r>
      <w:r>
        <w:rPr>
          <w:vertAlign w:val="subscript"/>
        </w:rPr>
        <w:t>buit</w:t>
      </w:r>
      <w:r>
        <w:t xml:space="preserve"> – buitinių vartotojų prijungimo investicija, viršijanti ekonomiškai pagrįstą investicijų dydį, Lt;</w:t>
      </w:r>
    </w:p>
    <w:p>
      <w:pPr>
        <w:ind w:firstLine="567"/>
        <w:jc w:val="both"/>
      </w:pPr>
      <w:r>
        <w:t>k</w:t>
      </w:r>
      <w:r>
        <w:rPr>
          <w:vertAlign w:val="subscript"/>
        </w:rPr>
        <w:t>past</w:t>
      </w:r>
      <w:r>
        <w:t xml:space="preserve"> – įgyvendintų investicijų buitiniams vartotojams prijungti dalies, nepriklausančios nuo tiesiamų dujotiekių buitiniams vartotojams ilgio, koeficientas. Šį koeficientą apskaičiuoja dujų įmonės, atsižvelgdamos į investicijas buitiniams vartotojams prijungti, įgyvendintas per paskutinius 4 ketvirčius iki duomenų prijungimo įkainiams skaičiuoti pateikimo;</w:t>
      </w:r>
    </w:p>
    <w:p>
      <w:pPr>
        <w:ind w:firstLine="567"/>
        <w:jc w:val="both"/>
      </w:pPr>
      <w:r>
        <w:t>n</w:t>
      </w:r>
      <w:r>
        <w:rPr>
          <w:vertAlign w:val="subscript"/>
        </w:rPr>
        <w:t xml:space="preserve">buit </w:t>
      </w:r>
      <w:r>
        <w:t>–</w:t>
      </w:r>
      <w:r>
        <w:rPr>
          <w:vertAlign w:val="subscript"/>
        </w:rPr>
        <w:t xml:space="preserve"> </w:t>
      </w:r>
      <w:r>
        <w:t xml:space="preserve">buitinių vartotojų, prijungtų per paskutinius 4 ketvirčius iki buitinių vartotojų prijungimo įkainiams skaičiuoti pateikimo, skaičius.  </w:t>
      </w:r>
    </w:p>
    <w:p>
      <w:pPr>
        <w:ind w:firstLine="567"/>
        <w:jc w:val="both"/>
      </w:pPr>
      <w:r>
        <w:t>39</w:t>
      </w:r>
      <w:r>
        <w:t>. Prijungimo įkainio buitiniams vartotojams dalis už vartotojui kiekvieną reikalingą nutiesti metrą P</w:t>
      </w:r>
      <w:r>
        <w:rPr>
          <w:vertAlign w:val="subscript"/>
        </w:rPr>
        <w:t>m</w:t>
      </w:r>
      <w:r>
        <w:t xml:space="preserve"> yra apskaičiuojama pagal formulę:</w:t>
      </w:r>
    </w:p>
    <w:p>
      <w:pPr>
        <w:jc w:val="both"/>
      </w:pPr>
      <w:r>
        <w:rPr>
          <w:lang w:eastAsia="lt-LT"/>
        </w:rPr>
        <w:drawing>
          <wp:inline distT="0" distB="0" distL="0" distR="0">
            <wp:extent cx="5760720" cy="543028"/>
            <wp:effectExtent l="0" t="0" r="0" b="9525"/>
            <wp:docPr id="19" name="Paveikslėli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5760720" cy="543028"/>
                    </a:xfrm>
                    <a:prstGeom prst="rect">
                      <a:avLst/>
                    </a:prstGeom>
                  </pic:spPr>
                </pic:pic>
              </a:graphicData>
            </a:graphic>
          </wp:inline>
        </w:drawing>
      </w:r>
    </w:p>
    <w:p>
      <w:pPr>
        <w:ind w:firstLine="567"/>
        <w:jc w:val="both"/>
      </w:pPr>
    </w:p>
    <w:p>
      <w:pPr>
        <w:ind w:firstLine="567"/>
        <w:jc w:val="both"/>
        <w:rPr>
          <w:i/>
        </w:rPr>
      </w:pPr>
      <w:r>
        <w:rPr>
          <w:i/>
        </w:rPr>
        <w:t>čia:</w:t>
      </w:r>
    </w:p>
    <w:p>
      <w:pPr>
        <w:ind w:firstLine="567"/>
        <w:jc w:val="both"/>
      </w:pPr>
      <w:r>
        <w:t>P</w:t>
      </w:r>
      <w:r>
        <w:rPr>
          <w:vertAlign w:val="subscript"/>
        </w:rPr>
        <w:t>buit</w:t>
      </w:r>
      <w:r>
        <w:t xml:space="preserve"> – buitinių vartotojų prijungimo investicija, viršijanti ekonomiškai pagrįstą investicijų dydį, Lt;</w:t>
      </w:r>
    </w:p>
    <w:p>
      <w:pPr>
        <w:ind w:firstLine="567"/>
        <w:jc w:val="both"/>
      </w:pPr>
      <w:r>
        <w:t>k</w:t>
      </w:r>
      <w:r>
        <w:rPr>
          <w:vertAlign w:val="subscript"/>
        </w:rPr>
        <w:t>past</w:t>
      </w:r>
      <w:r>
        <w:t xml:space="preserve"> – įgyvendintų investicijų buitiniams vartotojams prijungti dalies, nepriklausančios nuo tiesiamų dujotiekių buitiniams vartotojams ilgio, koeficientas. Šį koeficientą apskaičiuoja dujų įmonės, atsižvelgdamos į investicijas buitiniams vartotojams prijungti, įgyvendintas per paskutinius 4 ketvirčius iki duomenų prijungimo įkainiams skaičiuoti pateikimo;</w:t>
      </w:r>
    </w:p>
    <w:p>
      <w:pPr>
        <w:ind w:firstLine="567"/>
        <w:jc w:val="both"/>
      </w:pPr>
      <w:r>
        <w:t>L</w:t>
      </w:r>
      <w:r>
        <w:rPr>
          <w:vertAlign w:val="subscript"/>
        </w:rPr>
        <w:t>buit,t</w:t>
      </w:r>
      <w:r>
        <w:t xml:space="preserve"> – praėjusius 4 ketvirčius prijungtiems buitiniams vartotojams nutiestų skirstymo sistemų ilgis, metrais.</w:t>
      </w:r>
    </w:p>
    <w:p>
      <w:pPr>
        <w:ind w:firstLine="567"/>
        <w:jc w:val="both"/>
      </w:pPr>
      <w:r>
        <w:t>40</w:t>
      </w:r>
      <w:r>
        <w:t>. Buitinių vartotojų prijungimo įkainio investicija, viršijanti ekonomiškai pagrįstą investicijų dydį (P</w:t>
      </w:r>
      <w:r>
        <w:rPr>
          <w:vertAlign w:val="subscript"/>
        </w:rPr>
        <w:t>buit</w:t>
      </w:r>
      <w:r>
        <w:t xml:space="preserve">), yra skaičiuojama pagal Metodikos (8) formulę, kaip vidutinis įkainis, įvertinus praėjusių 4 ketvirčių prieš naujų vartotojų prijungimo įkainio skaičiavimą investicijas naujiems buitiniams vartotojams prijungti, indeksuotas Statistikos departamento skelbiamu metiniu inžinerinių tinklų statybos kainų pokyčiu, naujų buitinių vartotojų suvartotinus kiekius, ribines sąnaudas prijungimo įkainių skaičiavimo laikotarpiu, investicijų grąžą  bei investicijų  atsipirkimo laikotarpį:</w:t>
      </w:r>
    </w:p>
    <w:p>
      <w:pPr>
        <w:ind w:firstLine="567"/>
        <w:jc w:val="both"/>
      </w:pPr>
    </w:p>
    <w:p>
      <w:pPr>
        <w:jc w:val="both"/>
      </w:pPr>
      <w:r>
        <w:rPr>
          <w:lang w:eastAsia="lt-LT"/>
        </w:rPr>
        <w:drawing>
          <wp:inline distT="0" distB="0" distL="0" distR="0">
            <wp:extent cx="5760720" cy="731933"/>
            <wp:effectExtent l="0" t="0" r="0" b="0"/>
            <wp:docPr id="20" name="Paveikslėli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5760720" cy="731933"/>
                    </a:xfrm>
                    <a:prstGeom prst="rect">
                      <a:avLst/>
                    </a:prstGeom>
                  </pic:spPr>
                </pic:pic>
              </a:graphicData>
            </a:graphic>
          </wp:inline>
        </w:drawing>
      </w:r>
    </w:p>
    <w:p>
      <w:pPr>
        <w:ind w:firstLine="567"/>
        <w:jc w:val="both"/>
        <w:rPr>
          <w:i/>
        </w:rPr>
      </w:pPr>
      <w:r>
        <w:rPr>
          <w:i/>
        </w:rPr>
        <w:t>čia:</w:t>
      </w:r>
    </w:p>
    <w:p>
      <w:pPr>
        <w:ind w:firstLine="567"/>
        <w:jc w:val="both"/>
      </w:pPr>
      <w:r>
        <w:t>I</w:t>
      </w:r>
      <w:r>
        <w:rPr>
          <w:vertAlign w:val="subscript"/>
        </w:rPr>
        <w:t>buit,t</w:t>
      </w:r>
      <w:r>
        <w:t xml:space="preserve"> – per praėjusius 4 ketvirčius dujų įmonės lėšomis atliktos investicijos naujiems buitiniams vartotojams prijungti, tūkst. Lt;</w:t>
      </w:r>
    </w:p>
    <w:p>
      <w:pPr>
        <w:ind w:firstLine="567"/>
        <w:jc w:val="both"/>
      </w:pPr>
      <w:r>
        <w:t>S</w:t>
      </w:r>
      <w:r>
        <w:rPr>
          <w:vertAlign w:val="subscript"/>
        </w:rPr>
        <w:t>nusid,t,buit</w:t>
      </w:r>
      <w:r>
        <w:t xml:space="preserve"> – t-aisiais metais gautinos pajamos, skirtos nusidėvėjimo sąnaudoms dengti, patiriamoms nuo įgyvendintų investicijų, tenkančių naujiems buitiniams vartotojams, sukurto turto, Lt;</w:t>
      </w:r>
    </w:p>
    <w:p>
      <w:pPr>
        <w:ind w:firstLine="567"/>
        <w:jc w:val="both"/>
      </w:pPr>
      <w:r>
        <w:t>D – diskonto norma, proc.;</w:t>
      </w:r>
    </w:p>
    <w:p>
      <w:pPr>
        <w:tabs>
          <w:tab w:val="left" w:pos="540"/>
        </w:tabs>
        <w:ind w:firstLine="567"/>
        <w:jc w:val="both"/>
      </w:pPr>
      <w:r>
        <w:t>GP</w:t>
      </w:r>
      <w:r>
        <w:rPr>
          <w:vertAlign w:val="subscript"/>
        </w:rPr>
        <w:t>t,buit</w:t>
      </w:r>
      <w:r>
        <w:t xml:space="preserve"> – investicijų grąža nuo naujų buitinių vartotojų prijungimui įgyvendintos investicijos (sukurto reguliuojamo turto), tūkst. Lt, apskaičiuojamas pagal (9) formulę. Skaičiuojant investicijų grąžą, taikomi vidutiniai paskutinių 4 ketvirčių prieš prijungimo įkainio skaičiavimą faktiniai buitinių vartotojų rodikliai;</w:t>
      </w:r>
    </w:p>
    <w:p>
      <w:pPr>
        <w:ind w:firstLine="567"/>
        <w:jc w:val="both"/>
      </w:pPr>
      <w:r>
        <w:t>T – metų skaičius nuo investicijų projekto įgyvendinimo pradžios iki visiško jo atsipirkimo;</w:t>
      </w:r>
    </w:p>
    <w:p>
      <w:pPr>
        <w:ind w:firstLine="567"/>
        <w:jc w:val="both"/>
      </w:pPr>
      <w:r>
        <w:t>IND – metinis inžinerinių tinklų statybos kainų pokytis, apskaičiuotas paskutinių 12 mėnesių Statistikos departamento skelbiamų mėnesinių statybos sąnaudų elementų kainų indeksų inžineriniams tinklams vidurkį lyginant su ankstesnių 12 mėnesių Statistikos departamento skelbiamų mėnesinių statybos sąnaudų elementų kainų indeksų inžineriniams tinklams vidurkiu, proc.</w:t>
      </w:r>
    </w:p>
    <w:p>
      <w:pPr>
        <w:ind w:firstLine="567"/>
        <w:jc w:val="both"/>
      </w:pPr>
      <w:r>
        <w:t>41</w:t>
      </w:r>
      <w:r>
        <w:t>. Skaičiuojant naujų buitinių vartotojų prijungimo investicijų atsipirkimą, investicijų grąža (GP</w:t>
      </w:r>
      <w:r>
        <w:rPr>
          <w:vertAlign w:val="subscript"/>
        </w:rPr>
        <w:t>t,buit</w:t>
      </w:r>
      <w:r>
        <w:t>) yra apskaičiuojama pagal formulę:</w:t>
      </w:r>
    </w:p>
    <w:p>
      <w:pPr>
        <w:ind w:firstLine="567"/>
        <w:jc w:val="both"/>
      </w:pPr>
    </w:p>
    <w:p>
      <w:pPr>
        <w:jc w:val="both"/>
      </w:pPr>
      <w:r>
        <w:rPr>
          <w:lang w:eastAsia="lt-LT"/>
        </w:rPr>
        <w:drawing>
          <wp:inline distT="0" distB="0" distL="0" distR="0">
            <wp:extent cx="5760720" cy="209124"/>
            <wp:effectExtent l="0" t="0" r="0" b="635"/>
            <wp:docPr id="22" name="Paveikslėli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5760720" cy="209124"/>
                    </a:xfrm>
                    <a:prstGeom prst="rect">
                      <a:avLst/>
                    </a:prstGeom>
                  </pic:spPr>
                </pic:pic>
              </a:graphicData>
            </a:graphic>
          </wp:inline>
        </w:drawing>
      </w:r>
    </w:p>
    <w:p>
      <w:pPr>
        <w:ind w:firstLine="567"/>
        <w:jc w:val="both"/>
        <w:rPr>
          <w:i/>
        </w:rPr>
      </w:pPr>
      <w:r>
        <w:rPr>
          <w:i/>
        </w:rPr>
        <w:t>čia:</w:t>
      </w:r>
    </w:p>
    <w:p>
      <w:pPr>
        <w:ind w:firstLine="567"/>
        <w:jc w:val="both"/>
      </w:pPr>
      <w:r>
        <w:t>IT</w:t>
      </w:r>
      <w:r>
        <w:rPr>
          <w:vertAlign w:val="subscript"/>
        </w:rPr>
        <w:t>t,buit</w:t>
      </w:r>
      <w:r>
        <w:t xml:space="preserve"> – įgyvendinus investicijas, buitiniams vartotojams sukurto reguliuojamo turto likutinė vertė t-ųjų metų pabaigoje, Lt;</w:t>
      </w:r>
    </w:p>
    <w:p>
      <w:pPr>
        <w:ind w:firstLine="567"/>
        <w:jc w:val="both"/>
      </w:pPr>
      <w:r>
        <w:t>WACC – laikotarpiui, per kurį planuojama prijungti naująjį vartotoją, Komisijos nustatytos skirstymo kainos viršutinės ribos skaičiavimui naudota investicijų grąžos norma. Jeigu laikotarpiui, per kurį planuojama prijungti naują vartotoją, dujų skirstymo kainos viršutinė riba nėra nustatyta (pakoreguota), remiamasi paskutinei galiojančiai skirstymo kainos viršutinei ribai skaičiuoti naudota investicijų grąžos norma, proc.</w:t>
      </w:r>
    </w:p>
    <w:p>
      <w:pPr>
        <w:ind w:firstLine="567"/>
        <w:jc w:val="both"/>
      </w:pPr>
      <w:r>
        <w:t>42</w:t>
      </w:r>
      <w:r>
        <w:t>. Suskaičiavus buitiniams vartotojams prijungimo įkainį, užtikrinantį investicijų projekto atsipirkimą per atsipirkimo laikotarpį, yra įvertinama investicijų naujiems buitiniams vartotojams prijungti įtaka skaičiavimo metu galiojančiai dujų skirstymo kainos viršutinei ribai. Tuo tikslu pagal investicijų naujiems buitiniams vartotojams prijungti duomenis yra suskaičiuojamas vidutinis individualus tarifas (K</w:t>
      </w:r>
      <w:r>
        <w:rPr>
          <w:vertAlign w:val="subscript"/>
        </w:rPr>
        <w:t>buit</w:t>
      </w:r>
      <w:r>
        <w:t>) pagal formulę:</w:t>
      </w:r>
    </w:p>
    <w:p>
      <w:pPr>
        <w:jc w:val="both"/>
      </w:pPr>
      <w:r>
        <w:rPr>
          <w:lang w:eastAsia="lt-LT"/>
        </w:rPr>
        <w:drawing>
          <wp:inline distT="0" distB="0" distL="0" distR="0">
            <wp:extent cx="5760720" cy="570757"/>
            <wp:effectExtent l="0" t="0" r="0" b="1270"/>
            <wp:docPr id="23" name="Paveikslėli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5760720" cy="570757"/>
                    </a:xfrm>
                    <a:prstGeom prst="rect">
                      <a:avLst/>
                    </a:prstGeom>
                  </pic:spPr>
                </pic:pic>
              </a:graphicData>
            </a:graphic>
          </wp:inline>
        </w:drawing>
      </w:r>
    </w:p>
    <w:p>
      <w:pPr>
        <w:ind w:firstLine="567"/>
        <w:jc w:val="both"/>
      </w:pPr>
    </w:p>
    <w:p>
      <w:pPr>
        <w:ind w:firstLine="567"/>
        <w:jc w:val="both"/>
        <w:rPr>
          <w:i/>
        </w:rPr>
      </w:pPr>
      <w:r>
        <w:rPr>
          <w:i/>
        </w:rPr>
        <w:t>čia:</w:t>
      </w:r>
    </w:p>
    <w:p>
      <w:pPr>
        <w:ind w:firstLine="567"/>
        <w:jc w:val="both"/>
      </w:pPr>
      <w:r>
        <w:t>S</w:t>
      </w:r>
      <w:r>
        <w:rPr>
          <w:vertAlign w:val="subscript"/>
        </w:rPr>
        <w:t>t,buit</w:t>
      </w:r>
      <w:r>
        <w:t xml:space="preserve"> – t-aisiais metais patirtinos ribinės sąnaudos dėl naujų buitinių vartotojų prijungimo, Lt;</w:t>
      </w:r>
    </w:p>
    <w:p>
      <w:pPr>
        <w:ind w:firstLine="567"/>
        <w:jc w:val="both"/>
      </w:pPr>
      <w:r>
        <w:t>IT</w:t>
      </w:r>
      <w:r>
        <w:rPr>
          <w:vertAlign w:val="subscript"/>
        </w:rPr>
        <w:t>t,buit</w:t>
      </w:r>
      <w:r>
        <w:t xml:space="preserve"> – įgyvendinus investicijas buitiniams vartotojams, sukurto reguliuojamo turto likutinė vertė t-ųjų metų pabaigoje, Lt;</w:t>
      </w:r>
    </w:p>
    <w:p>
      <w:pPr>
        <w:ind w:firstLine="567"/>
        <w:jc w:val="both"/>
      </w:pPr>
      <w:r>
        <w:t>WACC – laikotarpiui, per kurį planuojama prijungti naująjį vartotoją, Komisijos nustatytos skirstymo kainos viršutinės ribos skaičiavimui naudota investicijų grąžos norma. Jeigu laikotarpiui, per kurį planuojama prijungti naują vartotoją, dujų skirstymo kainos viršutinė riba nėra nustatyta (pakoreguota), remiamasi paskutinei galiojančiai skirstymo kainos viršutinei ribai skaičiuoti naudota investicijų grąžos norma, proc.;</w:t>
      </w:r>
    </w:p>
    <w:p>
      <w:pPr>
        <w:ind w:firstLine="567"/>
        <w:jc w:val="both"/>
      </w:pPr>
      <w:r>
        <w:t>Q</w:t>
      </w:r>
      <w:r>
        <w:rPr>
          <w:vertAlign w:val="subscript"/>
        </w:rPr>
        <w:t>t,buit</w:t>
      </w:r>
      <w:r>
        <w:t xml:space="preserve"> – t-aisiais metais planuojamas transportuoti dujų kiekis naujai prijungtiems buitiniams vartotojams, tūkst. m</w:t>
      </w:r>
      <w:r>
        <w:rPr>
          <w:vertAlign w:val="superscript"/>
        </w:rPr>
        <w:t>3</w:t>
      </w:r>
      <w:r>
        <w:t xml:space="preserve">. </w:t>
      </w:r>
    </w:p>
    <w:p>
      <w:pPr>
        <w:ind w:firstLine="567"/>
        <w:jc w:val="both"/>
      </w:pPr>
      <w:r>
        <w:t>43</w:t>
      </w:r>
      <w:r>
        <w:t xml:space="preserve">. Suskaičiuotas naujų buitinių vartotojų dujų skirstymo tarifas yra lyginamas su skaičiavimo metu galiojančia dujų skirstymo kainos viršutine riba. </w:t>
      </w:r>
    </w:p>
    <w:p>
      <w:pPr>
        <w:tabs>
          <w:tab w:val="left" w:pos="540"/>
        </w:tabs>
        <w:ind w:firstLine="567"/>
        <w:jc w:val="both"/>
      </w:pPr>
      <w:r>
        <w:t>44</w:t>
      </w:r>
      <w:r>
        <w:t>. Jeigu pagal (10) formulę suskaičiuotas vidutinis naujų buitinių vartotojų dujų skirstymo tarifas viršija galiojančią dujų skirstymo kainos viršutinę ribą, pagal (8) formulę apskaičiuotas prijungimo įkainis naujiems buitiniams vartotojams didinamas tiek, kad vidutinis šių vartotojų tarifas neviršytų galiojančios dujų skirstymo kainos viršutinės ribos cento tikslumu.</w:t>
      </w:r>
    </w:p>
    <w:p>
      <w:pPr>
        <w:tabs>
          <w:tab w:val="left" w:pos="540"/>
        </w:tabs>
        <w:ind w:firstLine="567"/>
        <w:jc w:val="both"/>
      </w:pPr>
      <w:r>
        <w:t>45</w:t>
      </w:r>
      <w:r>
        <w:t>. Prijungimo įkainių skaičiavimuose naudojami buitinių vartotojų suvartotini kiekiai yra apskaičiuojami įvertinant vidutinius jau esamų buitinių dujų vartotojų suvartojimo rodiklius.</w:t>
      </w:r>
    </w:p>
    <w:p>
      <w:pPr>
        <w:tabs>
          <w:tab w:val="left" w:pos="540"/>
        </w:tabs>
        <w:ind w:firstLine="567"/>
        <w:jc w:val="both"/>
      </w:pPr>
      <w:r>
        <w:t>46</w:t>
      </w:r>
      <w:r>
        <w:t xml:space="preserve">. Skaičiuojant prijungimo įkainį naujiems buitiniams vartotojams, dujas naudosiantiems daugiabučiuose namuose, dujų įmonės pagal (5) formulę apskaičiuotas prijungimo įkainis padalinamas iš prie dujų skirstymo sistemos (dujų sistemos įvado į atskirą laiptinę) galimo prijungti naujų vartotojų (butų) skaičiaus, įskaitant ir jau prijungtus naujus vartotojus (butus). Naujieji buitiniai vartotojai, dujas naudosiantys daugiabučiuose namuose, dujų įmonės apskaičiuotą prijungimo įkainį turi sumokėti jungdamiesi prie dujų sistemos </w:t>
      </w:r>
      <w:r>
        <w:rPr>
          <w:bCs/>
        </w:rPr>
        <w:t>ar daugiabučio namo vartotojų sistemos</w:t>
      </w:r>
      <w:r>
        <w:t>, nepriklausomai nuo prijungimo momento.</w:t>
      </w:r>
    </w:p>
    <w:p>
      <w:pPr>
        <w:ind w:firstLine="567"/>
        <w:jc w:val="both"/>
      </w:pPr>
      <w:r>
        <w:t>47</w:t>
      </w:r>
      <w:r>
        <w:t>. Jei dujų įmonės faktinis nutiestas dujotiekio ilgis, tenkantis konkrečiam naujam buitiniam vartotojui, skiriasi nuo planuojamo daugiau kaip 1 metru, dujų įmonė naujam buitiniam vartotojui prijungimo įkainį apskaičiuoja pagal faktiškai nutiesto dujotiekio ilgį. Jei susidaręs skirtumas yra mažesnis nei 1 metras, dujų įmonė prijungimo įkainio buitiniam vartotojui neperskaičiuoja.</w:t>
      </w:r>
    </w:p>
    <w:p>
      <w:pPr>
        <w:tabs>
          <w:tab w:val="left" w:pos="540"/>
        </w:tabs>
        <w:ind w:firstLine="567"/>
        <w:jc w:val="both"/>
      </w:pPr>
    </w:p>
    <w:p>
      <w:pPr>
        <w:jc w:val="center"/>
        <w:rPr>
          <w:b/>
          <w:bCs/>
        </w:rPr>
      </w:pPr>
      <w:r>
        <w:rPr>
          <w:b/>
          <w:bCs/>
          <w:caps/>
        </w:rPr>
        <w:t>VII</w:t>
      </w:r>
      <w:r>
        <w:rPr>
          <w:b/>
          <w:bCs/>
          <w:caps/>
        </w:rPr>
        <w:t xml:space="preserve">. </w:t>
      </w:r>
      <w:r>
        <w:rPr>
          <w:b/>
          <w:bCs/>
          <w:caps/>
        </w:rPr>
        <w:t>NAUJO VARTOTOJO PRIJUNGIMO Investicijos</w:t>
      </w:r>
    </w:p>
    <w:p>
      <w:pPr>
        <w:ind w:firstLine="567"/>
        <w:jc w:val="both"/>
        <w:rPr>
          <w:b/>
          <w:bCs/>
        </w:rPr>
      </w:pPr>
    </w:p>
    <w:p>
      <w:pPr>
        <w:ind w:firstLine="567"/>
        <w:jc w:val="both"/>
      </w:pPr>
      <w:r>
        <w:t>48</w:t>
      </w:r>
      <w:r>
        <w:t>. Investicijos į dujų sistemų plėtrą konkrečioje teritorijoje yra pateikiamos dujų įmonės rengiamame investicijų projekte ir apskaičiuojamos pagal detalią sąmatą.</w:t>
      </w:r>
    </w:p>
    <w:p>
      <w:pPr>
        <w:ind w:firstLine="567"/>
        <w:jc w:val="both"/>
      </w:pPr>
      <w:r>
        <w:t>49</w:t>
      </w:r>
      <w:r>
        <w:t xml:space="preserve">. Tuo atveju, kai prijungdama naują vartotoją (vartotojus) dujų įmonė, įvertinusi dujų sistemų perspektyvinę plėtrą, tiesia dujotiekius, užtikrinančius didesnius pajėgumus, nei reikia naujiems vartotojams prijungti, investicijos, reikalingos naujiems vartotojams, yra įvertinamos sudarant atskirą sąmatą tokiai dujų sistemai, kuri optimaliai užtikrintų tik naujiems vartotojams reikalingus pajėgumus. Skaičiuodama prijungimo įmoką vartotojams, kurie bus prijungiami prie šių dujų sistemų, atliekant naujas investicijas, dujų įmonė turi teisę pridėti ir jau atliktų 3 metų investicijų dalį, kuri buvo būtina, norint vartotojui užtikrinti jo pageidaujamus  pajėgumus.</w:t>
      </w:r>
    </w:p>
    <w:p>
      <w:pPr>
        <w:tabs>
          <w:tab w:val="left" w:pos="8789"/>
        </w:tabs>
        <w:ind w:firstLine="567"/>
        <w:jc w:val="both"/>
      </w:pPr>
      <w:r>
        <w:t>50</w:t>
      </w:r>
      <w:r>
        <w:t>. Kai investicijų projekte numatytos reikalingos investicijos naujiems vartotojams prijungti apima daugiau nei vieną vartotoją, tai investicijos konkrečiam vartotojui prijungti (I</w:t>
      </w:r>
      <w:r>
        <w:rPr>
          <w:vertAlign w:val="subscript"/>
        </w:rPr>
        <w:t>i</w:t>
      </w:r>
      <w:r>
        <w:t>), kuriomis sukuriami dujų perdavimo ar skirstymo sistemos pajėgumai konkretaus naujo vartotojo sistemos prijungimo taške, skaičiuojamos pagal formulę:</w:t>
      </w:r>
    </w:p>
    <w:p>
      <w:pPr>
        <w:jc w:val="both"/>
      </w:pPr>
      <w:r>
        <w:rPr>
          <w:lang w:eastAsia="lt-LT"/>
        </w:rPr>
        <w:drawing>
          <wp:inline distT="0" distB="0" distL="0" distR="0">
            <wp:extent cx="5760720" cy="737132"/>
            <wp:effectExtent l="0" t="0" r="0" b="6350"/>
            <wp:docPr id="24" name="Paveikslėli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5760720" cy="737132"/>
                    </a:xfrm>
                    <a:prstGeom prst="rect">
                      <a:avLst/>
                    </a:prstGeom>
                  </pic:spPr>
                </pic:pic>
              </a:graphicData>
            </a:graphic>
          </wp:inline>
        </w:drawing>
      </w:r>
    </w:p>
    <w:p>
      <w:pPr>
        <w:ind w:firstLine="567"/>
        <w:jc w:val="both"/>
      </w:pPr>
    </w:p>
    <w:p>
      <w:pPr>
        <w:ind w:firstLine="567"/>
        <w:jc w:val="both"/>
        <w:rPr>
          <w:i/>
        </w:rPr>
      </w:pPr>
      <w:r>
        <w:rPr>
          <w:i/>
        </w:rPr>
        <w:t>čia:</w:t>
      </w:r>
    </w:p>
    <w:p>
      <w:pPr>
        <w:ind w:firstLine="567"/>
        <w:jc w:val="both"/>
      </w:pPr>
      <w:r>
        <w:t>I</w:t>
      </w:r>
      <w:r>
        <w:rPr>
          <w:vertAlign w:val="subscript"/>
        </w:rPr>
        <w:t xml:space="preserve">K </w:t>
      </w:r>
      <w:r>
        <w:t>– investicijų projekte numatytos investicijos naujiems vartotojams prijungti, Lt;</w:t>
      </w:r>
    </w:p>
    <w:p>
      <w:pPr>
        <w:ind w:firstLine="567"/>
        <w:jc w:val="both"/>
      </w:pPr>
      <w:r>
        <w:t>A</w:t>
      </w:r>
      <w:r>
        <w:rPr>
          <w:vertAlign w:val="subscript"/>
        </w:rPr>
        <w:t xml:space="preserve">i </w:t>
      </w:r>
      <w:r>
        <w:t>– dujų sistemos ilgis nuo i-tojo naujo vartotojo sistemos prijungimo taško iki esamos dujų sistemos, m;</w:t>
      </w:r>
    </w:p>
    <w:p>
      <w:pPr>
        <w:ind w:firstLine="567"/>
        <w:jc w:val="both"/>
      </w:pPr>
      <w:r>
        <w:t>G</w:t>
      </w:r>
      <w:r>
        <w:rPr>
          <w:vertAlign w:val="subscript"/>
        </w:rPr>
        <w:t>i</w:t>
      </w:r>
      <w:r>
        <w:t xml:space="preserve"> – i-tajam naujam vartotojui reikalingi dujų transportavimo pajėgumai vartotojo sistemos prijungimo taške, m</w:t>
      </w:r>
      <w:r>
        <w:rPr>
          <w:vertAlign w:val="superscript"/>
        </w:rPr>
        <w:t>3</w:t>
      </w:r>
      <w:r>
        <w:t>/h;</w:t>
      </w:r>
    </w:p>
    <w:p>
      <w:pPr>
        <w:ind w:firstLine="567"/>
        <w:jc w:val="both"/>
      </w:pPr>
      <w:r>
        <w:t>n – naujų vartotojų skaičius investicijų projekte.</w:t>
      </w:r>
    </w:p>
    <w:p>
      <w:pPr>
        <w:ind w:firstLine="567"/>
        <w:jc w:val="both"/>
      </w:pPr>
      <w:r>
        <w:t>51</w:t>
      </w:r>
      <w:r>
        <w:t>. Kai yra dujofikuojamas naujas kvartalas (teritorija, kurioje numatomas individualių namų masyvas), dujų įmonė turi įvertinti potencialių buitinių dujų vartotojų skaičių. Šiems vartotojams prijungimo įkainis skaičiuojamas įvertinant kvartalo dujofikavimo pradžioje apskaičiuotą metrų skaičių, tenkantį vienam naujai dujofikuojamo kvartalo buitiniam vartotojui (L</w:t>
      </w:r>
      <w:r>
        <w:rPr>
          <w:vertAlign w:val="subscript"/>
        </w:rPr>
        <w:t>p</w:t>
      </w:r>
      <w:r>
        <w:t>). Nuo kvartalo dujofikavimo pradžios taikomas naujai dujofikuojamo kvartalo buitinių vartotojų prijungimo įkainis (P</w:t>
      </w:r>
      <w:r>
        <w:rPr>
          <w:vertAlign w:val="subscript"/>
        </w:rPr>
        <w:t>kvart,t</w:t>
      </w:r>
      <w:r>
        <w:t>) apskaičiuojamas:</w:t>
      </w:r>
    </w:p>
    <w:p>
      <w:pPr>
        <w:jc w:val="both"/>
      </w:pPr>
      <w:r>
        <w:rPr>
          <w:lang w:eastAsia="lt-LT"/>
        </w:rPr>
        <w:drawing>
          <wp:inline distT="0" distB="0" distL="0" distR="0">
            <wp:extent cx="5760720" cy="306175"/>
            <wp:effectExtent l="0" t="0" r="0" b="0"/>
            <wp:docPr id="25" name="Paveikslėli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stretch>
                      <a:fillRect/>
                    </a:stretch>
                  </pic:blipFill>
                  <pic:spPr>
                    <a:xfrm>
                      <a:off x="0" y="0"/>
                      <a:ext cx="5760720" cy="306175"/>
                    </a:xfrm>
                    <a:prstGeom prst="rect">
                      <a:avLst/>
                    </a:prstGeom>
                  </pic:spPr>
                </pic:pic>
              </a:graphicData>
            </a:graphic>
          </wp:inline>
        </w:drawing>
      </w:r>
    </w:p>
    <w:p>
      <w:pPr>
        <w:ind w:firstLine="567"/>
        <w:jc w:val="both"/>
      </w:pPr>
    </w:p>
    <w:p>
      <w:pPr>
        <w:ind w:firstLine="567"/>
        <w:jc w:val="both"/>
        <w:rPr>
          <w:i/>
        </w:rPr>
      </w:pPr>
      <w:r>
        <w:rPr>
          <w:i/>
        </w:rPr>
        <w:t>čia:</w:t>
      </w:r>
    </w:p>
    <w:p>
      <w:pPr>
        <w:ind w:firstLine="567"/>
        <w:jc w:val="both"/>
      </w:pPr>
      <w:r>
        <w:t>P</w:t>
      </w:r>
      <w:r>
        <w:rPr>
          <w:vertAlign w:val="subscript"/>
        </w:rPr>
        <w:t>buit,past</w:t>
      </w:r>
      <w:r>
        <w:t xml:space="preserve"> – t-aisiais metais galiojanti prijungimo įkainio dalis, kuri taikoma nepriklausomai nuo atstumo ir pajėgumų, Lt;</w:t>
      </w:r>
    </w:p>
    <w:p>
      <w:pPr>
        <w:ind w:firstLine="567"/>
        <w:jc w:val="both"/>
      </w:pPr>
      <w:r>
        <w:t>L</w:t>
      </w:r>
      <w:r>
        <w:rPr>
          <w:vertAlign w:val="subscript"/>
        </w:rPr>
        <w:t>p</w:t>
      </w:r>
      <w:r>
        <w:t xml:space="preserve"> – metrų skaičius, tenkantis naujai dujofikuojamo kvartalo buitiniam vartotojui,  metrais;</w:t>
      </w:r>
    </w:p>
    <w:p>
      <w:pPr>
        <w:tabs>
          <w:tab w:val="left" w:pos="8789"/>
        </w:tabs>
        <w:ind w:firstLine="567"/>
        <w:jc w:val="both"/>
      </w:pPr>
      <w:r>
        <w:t>P</w:t>
      </w:r>
      <w:r>
        <w:rPr>
          <w:vertAlign w:val="subscript"/>
        </w:rPr>
        <w:t>m</w:t>
      </w:r>
      <w:r>
        <w:t xml:space="preserve"> – t-aisiais metais galiojanti prijungimo įkainio dalis, kuri taikoma už kiekvieną dujotiekio metrą, Lt.</w:t>
      </w:r>
    </w:p>
    <w:p>
      <w:pPr>
        <w:ind w:firstLine="567"/>
        <w:jc w:val="both"/>
      </w:pPr>
    </w:p>
    <w:p>
      <w:pPr>
        <w:ind w:firstLine="567"/>
        <w:jc w:val="both"/>
      </w:pPr>
      <w:r>
        <w:t>52</w:t>
      </w:r>
      <w:r>
        <w:t>. Metrų skaičius, tenkantis vienam naujai dujofikuojamo kvartalo buitiniam vartotojui, apskaičiuojamas:</w:t>
      </w:r>
    </w:p>
    <w:p>
      <w:pPr>
        <w:jc w:val="both"/>
      </w:pPr>
      <w:r>
        <w:rPr>
          <w:lang w:eastAsia="lt-LT"/>
        </w:rPr>
        <w:drawing>
          <wp:inline distT="0" distB="0" distL="0" distR="0">
            <wp:extent cx="5760720" cy="485837"/>
            <wp:effectExtent l="0" t="0" r="0" b="9525"/>
            <wp:docPr id="26" name="Paveikslėli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tretch>
                      <a:fillRect/>
                    </a:stretch>
                  </pic:blipFill>
                  <pic:spPr>
                    <a:xfrm>
                      <a:off x="0" y="0"/>
                      <a:ext cx="5760720" cy="485837"/>
                    </a:xfrm>
                    <a:prstGeom prst="rect">
                      <a:avLst/>
                    </a:prstGeom>
                  </pic:spPr>
                </pic:pic>
              </a:graphicData>
            </a:graphic>
          </wp:inline>
        </w:drawing>
      </w:r>
    </w:p>
    <w:p>
      <w:pPr>
        <w:tabs>
          <w:tab w:val="right" w:pos="9071"/>
        </w:tabs>
        <w:ind w:firstLine="567"/>
        <w:jc w:val="both"/>
      </w:pPr>
    </w:p>
    <w:p>
      <w:pPr>
        <w:ind w:firstLine="567"/>
        <w:jc w:val="both"/>
        <w:rPr>
          <w:i/>
        </w:rPr>
      </w:pPr>
      <w:r>
        <w:rPr>
          <w:i/>
        </w:rPr>
        <w:t>čia:</w:t>
      </w:r>
    </w:p>
    <w:p>
      <w:pPr>
        <w:ind w:firstLine="567"/>
        <w:jc w:val="both"/>
      </w:pPr>
      <w:r>
        <w:t>L</w:t>
      </w:r>
      <w:r>
        <w:rPr>
          <w:vertAlign w:val="subscript"/>
        </w:rPr>
        <w:t>p</w:t>
      </w:r>
      <w:r>
        <w:t xml:space="preserve"> – metrų skaičius, tenkantis naujai dujofikuojamo kvartalo buitiniam vartotojui;</w:t>
      </w:r>
    </w:p>
    <w:p>
      <w:pPr>
        <w:ind w:firstLine="567"/>
        <w:jc w:val="both"/>
      </w:pPr>
      <w:r>
        <w:t>L</w:t>
      </w:r>
      <w:r>
        <w:rPr>
          <w:vertAlign w:val="subscript"/>
        </w:rPr>
        <w:t>kvart</w:t>
      </w:r>
      <w:r>
        <w:t xml:space="preserve"> – naujai dujofikuojamo kvartalo dujotiekio ilgis;</w:t>
      </w:r>
    </w:p>
    <w:p>
      <w:pPr>
        <w:ind w:firstLine="567"/>
        <w:jc w:val="both"/>
      </w:pPr>
      <w:r>
        <w:t>n</w:t>
      </w:r>
      <w:r>
        <w:rPr>
          <w:vertAlign w:val="subscript"/>
        </w:rPr>
        <w:t>b</w:t>
      </w:r>
      <w:r>
        <w:t xml:space="preserve"> – naujai dujofikuojamo kvartalo buitinių vartotojų skaičius.</w:t>
      </w:r>
    </w:p>
    <w:p>
      <w:pPr>
        <w:ind w:firstLine="567"/>
        <w:jc w:val="both"/>
      </w:pPr>
      <w:r>
        <w:t>53</w:t>
      </w:r>
      <w:r>
        <w:t xml:space="preserve">. Kai dujofikuojamas naujas kvartalas, buitinis vartotojas, sudaręs naujojo buitinio vartotojo prijungimo sutartį, sumoka prijungimo įkainio dalį už dujotiekio ilgį, apskaičiuotą pagal (13) formulę ir įkainio dalį už tik šiam naujam vartotojui skirtus dujų sistemos atšakos (įvado) metrus bei prijungimo įkainio dalį, nepriklausančią nuo prijungimo atstumo. </w:t>
      </w:r>
    </w:p>
    <w:p>
      <w:pPr>
        <w:ind w:firstLine="567"/>
        <w:jc w:val="both"/>
      </w:pPr>
    </w:p>
    <w:p>
      <w:pPr>
        <w:jc w:val="center"/>
        <w:rPr>
          <w:b/>
          <w:caps/>
        </w:rPr>
      </w:pPr>
      <w:r>
        <w:rPr>
          <w:b/>
          <w:caps/>
        </w:rPr>
        <w:t>VIII</w:t>
      </w:r>
      <w:r>
        <w:rPr>
          <w:b/>
          <w:caps/>
        </w:rPr>
        <w:t xml:space="preserve">. </w:t>
      </w:r>
      <w:r>
        <w:rPr>
          <w:b/>
          <w:caps/>
        </w:rPr>
        <w:t>Prijungimo įkainių skaičiavimas jungiantis prie bendrojo naudojimo sistemų</w:t>
      </w:r>
    </w:p>
    <w:p>
      <w:pPr>
        <w:ind w:firstLine="567"/>
        <w:jc w:val="both"/>
        <w:rPr>
          <w:b/>
        </w:rPr>
      </w:pPr>
    </w:p>
    <w:p>
      <w:pPr>
        <w:ind w:firstLine="567"/>
        <w:jc w:val="both"/>
      </w:pPr>
      <w:r>
        <w:t>54</w:t>
      </w:r>
      <w:r>
        <w:t>. Vietinės bendrojo naudojimo sistemos savininkas privalo leisti prijungti naujų vartotojų sistemas.</w:t>
      </w:r>
    </w:p>
    <w:p>
      <w:pPr>
        <w:ind w:firstLine="567"/>
        <w:jc w:val="both"/>
      </w:pPr>
      <w:r>
        <w:t>55</w:t>
      </w:r>
      <w:r>
        <w:t>. Vietinės bendrojo naudojimo sistemos savininkas apskaičiuoja prijungimo, atsižvelgiant į likutinę bendrojo naudojimo sistemos vertę, vietinės bendrojo naudojimo sistemos, reikalingos dujas transportuoti konkretiems naujiems vartotojams, atstumą bei reikalingus naujiems vartotojams prijungti pajėgumus pagal formulę:</w:t>
      </w:r>
    </w:p>
    <w:p>
      <w:pPr>
        <w:jc w:val="both"/>
      </w:pPr>
      <w:r>
        <w:rPr>
          <w:lang w:eastAsia="lt-LT"/>
        </w:rPr>
        <w:drawing>
          <wp:inline distT="0" distB="0" distL="0" distR="0">
            <wp:extent cx="5760720" cy="465040"/>
            <wp:effectExtent l="0" t="0" r="0" b="0"/>
            <wp:docPr id="27" name="Paveikslėli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tretch>
                      <a:fillRect/>
                    </a:stretch>
                  </pic:blipFill>
                  <pic:spPr>
                    <a:xfrm>
                      <a:off x="0" y="0"/>
                      <a:ext cx="5760720" cy="465040"/>
                    </a:xfrm>
                    <a:prstGeom prst="rect">
                      <a:avLst/>
                    </a:prstGeom>
                  </pic:spPr>
                </pic:pic>
              </a:graphicData>
            </a:graphic>
          </wp:inline>
        </w:drawing>
      </w:r>
    </w:p>
    <w:p>
      <w:pPr>
        <w:ind w:firstLine="567"/>
        <w:jc w:val="both"/>
        <w:rPr>
          <w:b/>
        </w:rPr>
      </w:pPr>
    </w:p>
    <w:p>
      <w:pPr>
        <w:tabs>
          <w:tab w:val="left" w:pos="426"/>
        </w:tabs>
        <w:ind w:firstLine="567"/>
        <w:jc w:val="both"/>
        <w:rPr>
          <w:i/>
        </w:rPr>
      </w:pPr>
      <w:r>
        <w:rPr>
          <w:i/>
        </w:rPr>
        <w:t>čia:</w:t>
      </w:r>
    </w:p>
    <w:p>
      <w:pPr>
        <w:tabs>
          <w:tab w:val="left" w:pos="426"/>
        </w:tabs>
        <w:ind w:firstLine="567"/>
        <w:jc w:val="both"/>
      </w:pPr>
      <w:r>
        <w:t>I</w:t>
      </w:r>
      <w:r>
        <w:rPr>
          <w:vertAlign w:val="subscript"/>
        </w:rPr>
        <w:t>lik,BNS</w:t>
      </w:r>
      <w:r>
        <w:t xml:space="preserve"> – likutinė vietinės bendrojo naudojimo sistemos turto vertė prijungimo įkainių skaičiavimo momentu, tūkst. Lt;</w:t>
      </w:r>
    </w:p>
    <w:p>
      <w:pPr>
        <w:ind w:firstLine="567"/>
        <w:jc w:val="both"/>
      </w:pPr>
      <w:r>
        <w:t>G</w:t>
      </w:r>
      <w:r>
        <w:rPr>
          <w:vertAlign w:val="subscript"/>
        </w:rPr>
        <w:t>vart</w:t>
      </w:r>
      <w:r>
        <w:t xml:space="preserve"> – naujiems vartotojams reikalingi dujų transportavimo pajėgumai vartotojo sistemos prijungimo taške, m</w:t>
      </w:r>
      <w:r>
        <w:rPr>
          <w:vertAlign w:val="superscript"/>
        </w:rPr>
        <w:t>3</w:t>
      </w:r>
      <w:r>
        <w:t>/h;</w:t>
      </w:r>
    </w:p>
    <w:p>
      <w:pPr>
        <w:ind w:firstLine="567"/>
        <w:jc w:val="both"/>
      </w:pPr>
      <w:r>
        <w:t>G</w:t>
      </w:r>
      <w:r>
        <w:rPr>
          <w:vertAlign w:val="subscript"/>
        </w:rPr>
        <w:t>BNS</w:t>
      </w:r>
      <w:r>
        <w:t xml:space="preserve"> – vietinės bendrojo naudojimo sistemos techniniai pajėgumai sujungimo su skirstymo įmonės dujų sistema taške, m</w:t>
      </w:r>
      <w:r>
        <w:rPr>
          <w:vertAlign w:val="superscript"/>
        </w:rPr>
        <w:t>3</w:t>
      </w:r>
      <w:r>
        <w:t>/h</w:t>
      </w:r>
    </w:p>
    <w:p>
      <w:pPr>
        <w:ind w:firstLine="567"/>
        <w:jc w:val="both"/>
      </w:pPr>
      <w:r>
        <w:t>L</w:t>
      </w:r>
      <w:r>
        <w:rPr>
          <w:vertAlign w:val="subscript"/>
        </w:rPr>
        <w:t>vart</w:t>
      </w:r>
      <w:r>
        <w:t xml:space="preserve"> – vietinės bendrojo naudojimo sistemos ilgis nuo naujo vartotojo sistemos prijungimo taško iki skirstymo įmonės sistemos, m;</w:t>
      </w:r>
    </w:p>
    <w:p>
      <w:pPr>
        <w:ind w:firstLine="567"/>
        <w:jc w:val="both"/>
      </w:pPr>
      <w:r>
        <w:t>L</w:t>
      </w:r>
      <w:r>
        <w:rPr>
          <w:vertAlign w:val="subscript"/>
        </w:rPr>
        <w:t>BNS</w:t>
      </w:r>
      <w:r>
        <w:t xml:space="preserve"> – visas vietinės bendrojo naudojimo sistemos ilgis, m.</w:t>
      </w:r>
    </w:p>
    <w:p>
      <w:pPr>
        <w:ind w:firstLine="567"/>
        <w:jc w:val="both"/>
      </w:pPr>
      <w:r>
        <w:t>56</w:t>
      </w:r>
      <w:r>
        <w:t>. Bendrojo naudojimo sistemos likutinė vertė prijungimo įkainių skaičiavimo momentu apskaičiuojama bendrojo naudojimo sistemos įsigijimo (statybos) vertę, kuri pagrindžiama pirkimo dokumentais (PVM sąskaitomis-faktūromis, sąskaitomis, atliktų darbų aktais, sutartimis ir pan.), parodančiais statyboms išleistų pinigų sumą, mažinant sukauptu nusidėvėjimu per laikotarpį nuo bendrojo naudojimo sistemos statybos metų iki prijungimo įkainio skaičiavimo metų imtinai. Sukauptas nusidėvėjimas turi būti apskaičiuojamas taikant Komisijos nustatytus nusidėvėjimo normatyvus.</w:t>
      </w:r>
    </w:p>
    <w:p>
      <w:pPr>
        <w:ind w:firstLine="567"/>
        <w:jc w:val="both"/>
      </w:pPr>
      <w:r>
        <w:t>57</w:t>
      </w:r>
      <w:r>
        <w:t>. Jeigu vietinės bendrojo naudojimo sistemos savininkas dėl objektyvių priežasčių negali nustatyti šios sistemos statybos vertės, tuomet jis turi kreiptis į skirstymo sistemos operatorių, prie kurio tinklų yra prijungta vietinė bendrojo naudojimo sistema, dėl vietinės bendrojo naudojimo sistemos įsigijimo (statybos) vertės apskaičiavimo pagal skirstymo sistemos operatoriaus turimus duomenis.</w:t>
      </w:r>
    </w:p>
    <w:p>
      <w:pPr>
        <w:ind w:firstLine="567"/>
        <w:jc w:val="both"/>
        <w:rPr>
          <w:i/>
        </w:rPr>
      </w:pPr>
      <w:r>
        <w:t>58</w:t>
      </w:r>
      <w:r>
        <w:t xml:space="preserve">. Skirstymo įmonė, atsižvelgdama į vietinės bendrojo naudojimo sistemos pateiktus duomenis apie bendrojo naudojimo sistemą (statybos metus, dujotiekių skersmenį, ilgį ir pan.) bei šios sistemos statybos laikotarpiu galiojusius palyginamų skirstymo sistemų statybos įkainius, pagal Komisijos nustatytus nusidėvėjimo normatyvus apskaičiuoja vietinės bendrojo naudojimo sistemos likutinę vertę. Skaičiavimus dujų skirstymo įmonė privalo pateikti vietinės bendrojo naudojimo sistemos savininkui. </w:t>
      </w:r>
    </w:p>
    <w:p>
      <w:pPr>
        <w:ind w:firstLine="567"/>
        <w:jc w:val="both"/>
      </w:pPr>
      <w:r>
        <w:t>59</w:t>
      </w:r>
      <w:r>
        <w:t xml:space="preserve">. Vietinės bendrojo naudojimo sistemos savininko apskaičiuotą prijungimo įkainio dydį, dujų įmonė padalija naujiems vartotojams, prisijungiantiems prie skirstymo sistemos per vietinę bendrojo naudojimo sistemą, pagal jų užsakomus pajėgumus, kiekį ar kitus objektyvius nediskriminacinius rodiklius. </w:t>
      </w:r>
    </w:p>
    <w:p>
      <w:pPr>
        <w:ind w:firstLine="567"/>
        <w:jc w:val="both"/>
      </w:pPr>
      <w:r>
        <w:t>60</w:t>
      </w:r>
      <w:r>
        <w:t>. Apskaičiuotą ir naujiems vartotojams padalintą prijungimo prie vietinės bendrojo naudojimo sistemos įkainį nauji vartotojai sumoka jos savininkui per dujų skirstymo įmonę, mokėdami kartu su šios įmonės apskaičiuotu prijungimo įkainiu.</w:t>
      </w:r>
    </w:p>
    <w:p>
      <w:pPr>
        <w:ind w:firstLine="567"/>
        <w:jc w:val="both"/>
      </w:pPr>
      <w:r>
        <w:t>61</w:t>
      </w:r>
      <w:r>
        <w:t>. Dujų skirstymo įmonė iš naujų vartotojų gautus apmokėjimus už prijungimo įkainį prie vietinės bendrojo naudojimo sistemos perduoda vietinės bendrojo naudojimo sistemos savininkui.</w:t>
      </w:r>
    </w:p>
    <w:p>
      <w:pPr>
        <w:ind w:firstLine="567"/>
        <w:jc w:val="both"/>
      </w:pPr>
    </w:p>
    <w:p>
      <w:pPr>
        <w:jc w:val="center"/>
        <w:rPr>
          <w:b/>
        </w:rPr>
      </w:pPr>
      <w:r>
        <w:rPr>
          <w:b/>
        </w:rPr>
        <w:t>IX</w:t>
      </w:r>
      <w:r>
        <w:rPr>
          <w:b/>
        </w:rPr>
        <w:t xml:space="preserve">. </w:t>
      </w:r>
      <w:r>
        <w:rPr>
          <w:b/>
        </w:rPr>
        <w:t>BIODUJŲ JĖGAINIŲ PRIJUNGIMAS PRIE GAMTINIŲ DUJŲ PERDAVIMO AR SKIRSTYMO SISTEMOS</w:t>
      </w:r>
    </w:p>
    <w:p>
      <w:pPr>
        <w:ind w:firstLine="567"/>
        <w:jc w:val="both"/>
        <w:rPr>
          <w:b/>
        </w:rPr>
      </w:pPr>
    </w:p>
    <w:p>
      <w:pPr>
        <w:tabs>
          <w:tab w:val="left" w:pos="426"/>
          <w:tab w:val="left" w:pos="567"/>
        </w:tabs>
        <w:ind w:firstLine="567"/>
        <w:jc w:val="both"/>
      </w:pPr>
      <w:r>
        <w:t>62</w:t>
      </w:r>
      <w:r>
        <w:t xml:space="preserve">. Biodujų jėgainių  prijungimas prie gamtinių dujų perdavimo ar skirstymo sistemų yra viešuosius interesus atitinkanti paslauga.</w:t>
      </w:r>
    </w:p>
    <w:p>
      <w:pPr>
        <w:ind w:firstLine="567"/>
        <w:jc w:val="both"/>
      </w:pPr>
      <w:r>
        <w:t>63</w:t>
      </w:r>
      <w:r>
        <w:t>. Gamtinių dujų perdavimo ir (ar) skirstymo įmonė, skaičiuodama prijungimo įkainį, vadovaujasi rangovo, laimėjusio dujų sistemos operatoriaus paskelbtą viešąjį pirkimą dėl biodujų jėgainių prijungimo prie dujų sistemų atliktų darbų kainos, Vyriausybės ar jos įgaliotos institucijos nustatyta tvarka taikant 40 procentų prijungimo kainos nuolaidą.</w:t>
      </w:r>
    </w:p>
    <w:p>
      <w:pPr>
        <w:ind w:firstLine="567"/>
        <w:jc w:val="both"/>
      </w:pPr>
      <w:r>
        <w:t>64</w:t>
      </w:r>
      <w:r>
        <w:t>. Biodujų jėgainių prijungimui prie gamtinių dujų perdavimo ir (ar) skirstymo sistemos pritaikytą nuolaidą Komisija įvertina nustatydama sistemos operatoriaus paslaugų kainas, vadovaudamasi teisės aktų nustatyta tvarka.</w:t>
      </w:r>
    </w:p>
    <w:p>
      <w:pPr>
        <w:ind w:firstLine="567"/>
        <w:jc w:val="both"/>
      </w:pPr>
      <w:r>
        <w:t>65</w:t>
      </w:r>
      <w:r>
        <w:t>. Tam, kad būtų nustatyta atliktų darbų kaina, kuri skirta biodujų jėgainių prijungimui prie perdavimo ar skirstymo sistemos, kai dujų įmonės investicijų projekte numatytos prijungimo investicijos apima daugiau kaip vieną naująjį vartotoją, įskaitant ir biodujų jėgainių prijungimą, taikomas Metodikos 50 punkte nustatytas atliktų darbų kainos (investicijų) skaičiavimo principas.</w:t>
      </w:r>
    </w:p>
    <w:p>
      <w:pPr>
        <w:ind w:firstLine="567"/>
        <w:jc w:val="both"/>
      </w:pPr>
      <w:r>
        <w:t>66</w:t>
      </w:r>
      <w:r>
        <w:t>. Biodujų jėgainių prijungimo įkainis (P</w:t>
      </w:r>
      <w:r>
        <w:rPr>
          <w:vertAlign w:val="subscript"/>
        </w:rPr>
        <w:t>bį</w:t>
      </w:r>
      <w:r>
        <w:t>) skaičiuojamas pagal formulę:</w:t>
      </w:r>
    </w:p>
    <w:p>
      <w:pPr>
        <w:jc w:val="both"/>
      </w:pPr>
      <w:r>
        <w:rPr>
          <w:lang w:eastAsia="lt-LT"/>
        </w:rPr>
        <w:drawing>
          <wp:inline distT="0" distB="0" distL="0" distR="0">
            <wp:extent cx="5760720" cy="175040"/>
            <wp:effectExtent l="0" t="0" r="0" b="0"/>
            <wp:docPr id="28" name="Paveikslėli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stretch>
                      <a:fillRect/>
                    </a:stretch>
                  </pic:blipFill>
                  <pic:spPr>
                    <a:xfrm>
                      <a:off x="0" y="0"/>
                      <a:ext cx="5760720" cy="175040"/>
                    </a:xfrm>
                    <a:prstGeom prst="rect">
                      <a:avLst/>
                    </a:prstGeom>
                  </pic:spPr>
                </pic:pic>
              </a:graphicData>
            </a:graphic>
          </wp:inline>
        </w:drawing>
      </w:r>
    </w:p>
    <w:p>
      <w:pPr>
        <w:ind w:firstLine="567"/>
        <w:jc w:val="both"/>
        <w:rPr>
          <w:i/>
        </w:rPr>
      </w:pPr>
      <w:r>
        <w:rPr>
          <w:i/>
        </w:rPr>
        <w:t>čia:</w:t>
      </w:r>
    </w:p>
    <w:p>
      <w:pPr>
        <w:ind w:firstLine="567"/>
        <w:jc w:val="both"/>
      </w:pPr>
      <w:r>
        <w:t>DK – dujų įmonės apskaičiuota atliktų darbų kaina, skirta biodujų gamybos įrenginių prijungimui prie perdavimo ar skirstymo sistemos, Lt.</w:t>
      </w:r>
    </w:p>
    <w:p>
      <w:pPr>
        <w:ind w:firstLine="567"/>
        <w:jc w:val="both"/>
      </w:pPr>
    </w:p>
    <w:p>
      <w:pPr>
        <w:jc w:val="center"/>
        <w:rPr>
          <w:b/>
        </w:rPr>
      </w:pPr>
      <w:r>
        <w:rPr>
          <w:b/>
        </w:rPr>
        <w:t>X</w:t>
      </w:r>
      <w:r>
        <w:rPr>
          <w:b/>
        </w:rPr>
        <w:t xml:space="preserve">. </w:t>
      </w:r>
      <w:r>
        <w:rPr>
          <w:b/>
        </w:rPr>
        <w:t>BAIGIAMOSIOS NUOSTATOS</w:t>
      </w:r>
    </w:p>
    <w:p>
      <w:pPr>
        <w:ind w:firstLine="720"/>
      </w:pPr>
    </w:p>
    <w:p>
      <w:pPr>
        <w:ind w:firstLine="720"/>
      </w:pPr>
      <w:r>
        <w:t>67</w:t>
      </w:r>
      <w:r>
        <w:t>. Komisijai nustačius, kad dujų įmonės nevykdo ar netinkamai vykdo Metodikoje nustatytas sąlygas, šios įmonės atsako teisės aktų nustatyta tvarka ir sąlygomis.</w:t>
      </w:r>
    </w:p>
    <w:p>
      <w:pPr>
        <w:ind w:firstLine="720"/>
      </w:pPr>
      <w:r>
        <w:t>68</w:t>
      </w:r>
      <w:r>
        <w:t>. Komisijos veiksmai ir neveikimas, susiję su Metodikos laikymusi ir įgyvendinimu, gali būti skundžiami Lietuvos Respublikos įstatymų nustatyta tvarka ir sąlygomis.</w:t>
      </w:r>
    </w:p>
    <w:p>
      <w:pPr>
        <w:ind w:firstLine="426"/>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6AFF4EDEC6F">
        <w:r w:rsidRPr="00532B9F">
          <w:rPr>
            <w:rFonts w:ascii="Times New Roman" w:eastAsia="MS Mincho" w:hAnsi="Times New Roman"/>
            <w:sz w:val="20"/>
            <w:i/>
            <w:iCs/>
            <w:color w:val="0000FF" w:themeColor="hyperlink"/>
            <w:u w:val="single"/>
          </w:rPr>
          <w:t>O3-256</w:t>
        </w:r>
      </w:fldSimple>
      <w:r>
        <w:rPr>
          <w:rFonts w:ascii="Times New Roman" w:eastAsia="MS Mincho" w:hAnsi="Times New Roman"/>
          <w:sz w:val="20"/>
          <w:i/>
          <w:iCs/>
        </w:rPr>
        <w:t>,
2012-09-21,
Žin., 2012, Nr.
111-5669 (2012-09-26), i. k. 112106ANUTA00O3-256            </w:t>
      </w:r>
    </w:p>
    <w:p/>
    <w:p>
      <w:pPr>
        <w:ind w:left="4535"/>
        <w:sectPr>
          <w:pgSz w:w="11907" w:h="16840" w:code="9"/>
          <w:pgMar w:top="1134" w:right="1134" w:bottom="1134" w:left="1701" w:header="709" w:footer="709" w:gutter="0"/>
          <w:pgNumType w:start="1"/>
          <w:cols w:space="708"/>
          <w:titlePg/>
          <w:docGrid w:linePitch="326"/>
        </w:sectPr>
      </w:pPr>
    </w:p>
    <w:p>
      <w:pPr>
        <w:ind w:left="4535"/>
      </w:pPr>
      <w:r>
        <w:t xml:space="preserve">Gamtinių dujų naujų vartotojų, naujų gamtinių </w:t>
      </w:r>
    </w:p>
    <w:p>
      <w:pPr>
        <w:ind w:left="4535"/>
      </w:pPr>
      <w:r>
        <w:t xml:space="preserve">dujų sistemų ir biodujų jėgainių prijungimo </w:t>
      </w:r>
    </w:p>
    <w:p>
      <w:pPr>
        <w:ind w:left="4535"/>
      </w:pPr>
      <w:r>
        <w:t>įkainių nustatymo metodikos</w:t>
      </w:r>
    </w:p>
    <w:p>
      <w:pPr>
        <w:ind w:left="4535"/>
      </w:pPr>
      <w:r>
        <w:t>priedas</w:t>
      </w:r>
    </w:p>
    <w:p>
      <w:pPr>
        <w:jc w:val="center"/>
      </w:pPr>
    </w:p>
    <w:p>
      <w:pPr>
        <w:jc w:val="center"/>
        <w:rPr>
          <w:b/>
        </w:rPr>
      </w:pPr>
      <w:r>
        <w:rPr>
          <w:b/>
          <w:bCs/>
        </w:rPr>
        <w:t>(</w:t>
      </w:r>
      <w:r>
        <w:rPr>
          <w:b/>
        </w:rPr>
        <w:t>Naujų buitinių vartotojų prijungimo įkainio skaičiavimo lentelės forma)</w:t>
      </w:r>
    </w:p>
    <w:p>
      <w:pPr>
        <w:tabs>
          <w:tab w:val="left" w:leader="underscore" w:pos="8901"/>
        </w:tabs>
        <w:jc w:val="center"/>
      </w:pPr>
    </w:p>
    <w:p>
      <w:pPr>
        <w:tabs>
          <w:tab w:val="left" w:leader="underscore" w:pos="8901"/>
        </w:tabs>
        <w:jc w:val="center"/>
      </w:pPr>
      <w:r>
        <w:t>_</w:t>
        <w:tab/>
      </w:r>
    </w:p>
    <w:p>
      <w:pPr>
        <w:tabs>
          <w:tab w:val="left" w:pos="1231"/>
          <w:tab w:val="left" w:pos="12037"/>
          <w:tab w:val="left" w:pos="14941"/>
          <w:tab w:val="left" w:pos="16024"/>
          <w:tab w:val="left" w:pos="16992"/>
          <w:tab w:val="left" w:pos="17960"/>
          <w:tab w:val="left" w:pos="18928"/>
          <w:tab w:val="left" w:pos="19896"/>
          <w:tab w:val="left" w:pos="20864"/>
          <w:tab w:val="left" w:pos="21832"/>
          <w:tab w:val="left" w:pos="22800"/>
          <w:tab w:val="left" w:pos="23768"/>
          <w:tab w:val="left" w:pos="24736"/>
          <w:tab w:val="left" w:pos="25704"/>
          <w:tab w:val="left" w:pos="26672"/>
          <w:tab w:val="left" w:pos="27640"/>
          <w:tab w:val="left" w:pos="29084"/>
          <w:tab w:val="left" w:pos="29885"/>
          <w:tab w:val="left" w:pos="30686"/>
        </w:tabs>
        <w:jc w:val="center"/>
      </w:pPr>
      <w:r>
        <w:t>(įmonės pavadinimas)</w:t>
      </w:r>
    </w:p>
    <w:p>
      <w:pPr>
        <w:tabs>
          <w:tab w:val="left" w:leader="underscore" w:pos="8901"/>
        </w:tabs>
        <w:jc w:val="center"/>
      </w:pPr>
      <w:r>
        <w:t>_</w:t>
        <w:tab/>
      </w:r>
    </w:p>
    <w:p>
      <w:pPr>
        <w:tabs>
          <w:tab w:val="left" w:pos="1231"/>
          <w:tab w:val="left" w:pos="29885"/>
          <w:tab w:val="left" w:pos="30686"/>
        </w:tabs>
        <w:jc w:val="center"/>
      </w:pPr>
      <w:r>
        <w:t>(įmonės teisinė forma, buveinės adresas, telefonas, faksas, el. paštas, registro, kuriame kaupiami ir saugomi duomenys, pavadinimas, įmonės kodas, PVM mokėtojo kodas)</w:t>
      </w:r>
    </w:p>
    <w:p>
      <w:pPr>
        <w:tabs>
          <w:tab w:val="left" w:pos="1231"/>
          <w:tab w:val="left" w:pos="12037"/>
          <w:tab w:val="left" w:pos="13005"/>
          <w:tab w:val="left" w:pos="13973"/>
          <w:tab w:val="left" w:pos="14941"/>
          <w:tab w:val="left" w:pos="16024"/>
          <w:tab w:val="left" w:pos="16992"/>
          <w:tab w:val="left" w:pos="17960"/>
          <w:tab w:val="left" w:pos="18928"/>
          <w:tab w:val="left" w:pos="19896"/>
          <w:tab w:val="left" w:pos="20864"/>
          <w:tab w:val="left" w:pos="21832"/>
          <w:tab w:val="left" w:pos="22800"/>
          <w:tab w:val="left" w:pos="23768"/>
          <w:tab w:val="left" w:pos="24736"/>
          <w:tab w:val="left" w:pos="25704"/>
          <w:tab w:val="left" w:pos="26672"/>
          <w:tab w:val="left" w:pos="27640"/>
          <w:tab w:val="left" w:pos="29084"/>
          <w:tab w:val="left" w:pos="29885"/>
          <w:tab w:val="left" w:pos="30686"/>
        </w:tabs>
        <w:jc w:val="center"/>
      </w:pPr>
    </w:p>
    <w:p>
      <w:pPr>
        <w:tabs>
          <w:tab w:val="left" w:pos="1231"/>
          <w:tab w:val="left" w:pos="12037"/>
          <w:tab w:val="left" w:pos="13005"/>
          <w:tab w:val="left" w:pos="13973"/>
          <w:tab w:val="left" w:pos="14941"/>
          <w:tab w:val="left" w:pos="16024"/>
          <w:tab w:val="left" w:pos="16992"/>
          <w:tab w:val="left" w:pos="17960"/>
          <w:tab w:val="left" w:pos="18928"/>
          <w:tab w:val="left" w:pos="19896"/>
          <w:tab w:val="left" w:pos="20864"/>
          <w:tab w:val="left" w:pos="21832"/>
          <w:tab w:val="left" w:pos="22800"/>
          <w:tab w:val="left" w:pos="23768"/>
          <w:tab w:val="left" w:pos="24736"/>
          <w:tab w:val="left" w:pos="25704"/>
          <w:tab w:val="left" w:pos="26672"/>
          <w:tab w:val="left" w:pos="27640"/>
          <w:tab w:val="left" w:pos="29084"/>
          <w:tab w:val="left" w:pos="29885"/>
          <w:tab w:val="left" w:pos="30686"/>
        </w:tabs>
        <w:jc w:val="center"/>
        <w:rPr>
          <w:b/>
        </w:rPr>
      </w:pPr>
      <w:r>
        <w:rPr>
          <w:b/>
        </w:rPr>
        <w:t>NAUJŲ BUITINIŲ VARTOTOJŲ PRIJUNGIMO ĮKAINIO SKAIČIAVIMO LENTELĖ</w:t>
      </w:r>
    </w:p>
    <w:p>
      <w:pPr>
        <w:tabs>
          <w:tab w:val="left" w:pos="1231"/>
          <w:tab w:val="left" w:pos="12037"/>
          <w:tab w:val="left" w:pos="13005"/>
          <w:tab w:val="left" w:pos="13973"/>
          <w:tab w:val="left" w:pos="14941"/>
          <w:tab w:val="left" w:pos="16024"/>
          <w:tab w:val="left" w:pos="16992"/>
          <w:tab w:val="left" w:pos="17960"/>
          <w:tab w:val="left" w:pos="18928"/>
          <w:tab w:val="left" w:pos="19896"/>
          <w:tab w:val="left" w:pos="20864"/>
          <w:tab w:val="left" w:pos="21832"/>
          <w:tab w:val="left" w:pos="22800"/>
          <w:tab w:val="left" w:pos="23768"/>
          <w:tab w:val="left" w:pos="24736"/>
          <w:tab w:val="left" w:pos="25704"/>
          <w:tab w:val="left" w:pos="26672"/>
          <w:tab w:val="left" w:pos="27640"/>
          <w:tab w:val="left" w:pos="29084"/>
          <w:tab w:val="left" w:pos="29885"/>
          <w:tab w:val="left" w:pos="30686"/>
        </w:tabs>
        <w:jc w:val="center"/>
      </w:pPr>
    </w:p>
    <w:p>
      <w:pPr>
        <w:tabs>
          <w:tab w:val="left" w:pos="1231"/>
          <w:tab w:val="left" w:pos="12037"/>
          <w:tab w:val="left" w:pos="14941"/>
          <w:tab w:val="left" w:pos="16024"/>
          <w:tab w:val="left" w:pos="16992"/>
          <w:tab w:val="left" w:pos="17960"/>
          <w:tab w:val="left" w:pos="18928"/>
          <w:tab w:val="left" w:pos="19896"/>
          <w:tab w:val="left" w:pos="20864"/>
          <w:tab w:val="left" w:pos="21832"/>
          <w:tab w:val="left" w:pos="22800"/>
          <w:tab w:val="left" w:pos="23768"/>
          <w:tab w:val="left" w:pos="24736"/>
          <w:tab w:val="left" w:pos="25704"/>
          <w:tab w:val="left" w:pos="26672"/>
          <w:tab w:val="left" w:pos="27640"/>
          <w:tab w:val="left" w:pos="29084"/>
          <w:tab w:val="left" w:pos="29885"/>
          <w:tab w:val="left" w:pos="30686"/>
        </w:tabs>
        <w:jc w:val="center"/>
      </w:pPr>
      <w:r>
        <w:t>20... m. .............. d. Nr.</w:t>
      </w:r>
    </w:p>
    <w:p>
      <w:pPr>
        <w:tabs>
          <w:tab w:val="left" w:pos="1231"/>
          <w:tab w:val="left" w:pos="12037"/>
          <w:tab w:val="left" w:pos="13005"/>
          <w:tab w:val="left" w:pos="13973"/>
          <w:tab w:val="left" w:pos="14941"/>
          <w:tab w:val="left" w:pos="16024"/>
          <w:tab w:val="left" w:pos="16992"/>
          <w:tab w:val="left" w:pos="17960"/>
          <w:tab w:val="left" w:pos="18928"/>
          <w:tab w:val="left" w:pos="19896"/>
          <w:tab w:val="left" w:pos="20864"/>
          <w:tab w:val="left" w:pos="21832"/>
          <w:tab w:val="left" w:pos="22800"/>
          <w:tab w:val="left" w:pos="23768"/>
          <w:tab w:val="left" w:pos="24736"/>
          <w:tab w:val="left" w:pos="25704"/>
          <w:tab w:val="left" w:pos="26672"/>
          <w:tab w:val="left" w:pos="27640"/>
          <w:tab w:val="left" w:pos="29084"/>
          <w:tab w:val="left" w:pos="29885"/>
          <w:tab w:val="left" w:pos="30686"/>
        </w:tabs>
        <w:jc w:val="center"/>
      </w:pPr>
      <w:r>
        <w:t>___________________</w:t>
      </w:r>
    </w:p>
    <w:p>
      <w:pPr>
        <w:tabs>
          <w:tab w:val="left" w:pos="1231"/>
          <w:tab w:val="left" w:pos="12037"/>
          <w:tab w:val="left" w:pos="13005"/>
          <w:tab w:val="left" w:pos="13973"/>
          <w:tab w:val="left" w:pos="16024"/>
          <w:tab w:val="left" w:pos="16992"/>
          <w:tab w:val="left" w:pos="17960"/>
          <w:tab w:val="left" w:pos="18928"/>
          <w:tab w:val="left" w:pos="19896"/>
          <w:tab w:val="left" w:pos="20864"/>
          <w:tab w:val="left" w:pos="21832"/>
          <w:tab w:val="left" w:pos="22800"/>
          <w:tab w:val="left" w:pos="23768"/>
          <w:tab w:val="left" w:pos="24736"/>
          <w:tab w:val="left" w:pos="25704"/>
          <w:tab w:val="left" w:pos="26672"/>
          <w:tab w:val="left" w:pos="27640"/>
          <w:tab w:val="left" w:pos="29084"/>
          <w:tab w:val="left" w:pos="29885"/>
          <w:tab w:val="left" w:pos="30686"/>
        </w:tabs>
        <w:jc w:val="center"/>
      </w:pPr>
      <w:r>
        <w:t>(sudarymo vieta)</w:t>
      </w:r>
    </w:p>
    <w:p>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6367"/>
        <w:gridCol w:w="1181"/>
        <w:gridCol w:w="696"/>
      </w:tblGrid>
      <w:tr>
        <w:trPr>
          <w:cantSplit/>
          <w:tblHeader/>
        </w:trPr>
        <w:tc>
          <w:tcPr>
            <w:tcW w:w="0" w:type="auto"/>
            <w:tcMar>
              <w:top w:w="0" w:type="dxa"/>
              <w:bottom w:w="0" w:type="dxa"/>
            </w:tcMar>
          </w:tcPr>
          <w:p>
            <w:pPr/>
            <w:r>
              <w:t>Eil. Nr.</w:t>
            </w:r>
          </w:p>
        </w:tc>
        <w:tc>
          <w:tcPr>
            <w:tcW w:w="0" w:type="auto"/>
            <w:tcMar>
              <w:top w:w="0" w:type="dxa"/>
              <w:bottom w:w="0" w:type="dxa"/>
            </w:tcMar>
          </w:tcPr>
          <w:p>
            <w:pPr/>
            <w:r>
              <w:t>Rodikliai</w:t>
            </w:r>
          </w:p>
        </w:tc>
        <w:tc>
          <w:tcPr>
            <w:tcW w:w="0" w:type="auto"/>
            <w:tcMar>
              <w:top w:w="0" w:type="dxa"/>
              <w:bottom w:w="0" w:type="dxa"/>
            </w:tcMar>
          </w:tcPr>
          <w:p>
            <w:pPr/>
            <w:r>
              <w:t>Mato vnt.</w:t>
            </w:r>
          </w:p>
        </w:tc>
        <w:tc>
          <w:tcPr>
            <w:tcW w:w="0" w:type="auto"/>
            <w:tcMar>
              <w:top w:w="0" w:type="dxa"/>
              <w:bottom w:w="0" w:type="dxa"/>
            </w:tcMar>
          </w:tcPr>
          <w:p>
            <w:pPr/>
            <w:r>
              <w:t>20__</w:t>
            </w:r>
          </w:p>
        </w:tc>
      </w:tr>
      <w:tr>
        <w:trPr>
          <w:cantSplit/>
        </w:trPr>
        <w:tc>
          <w:tcPr>
            <w:tcW w:w="0" w:type="auto"/>
            <w:tcMar>
              <w:top w:w="0" w:type="dxa"/>
              <w:bottom w:w="0" w:type="dxa"/>
            </w:tcMar>
          </w:tcPr>
          <w:p>
            <w:pPr/>
            <w:r>
              <w:t>1.</w:t>
            </w:r>
          </w:p>
        </w:tc>
        <w:tc>
          <w:tcPr>
            <w:tcW w:w="0" w:type="auto"/>
            <w:tcMar>
              <w:top w:w="0" w:type="dxa"/>
              <w:bottom w:w="0" w:type="dxa"/>
            </w:tcMar>
          </w:tcPr>
          <w:p>
            <w:pPr/>
            <w:r>
              <w:t>Investicijos naujų buitinių vartotojų prijungimui iš viso:</w:t>
            </w:r>
          </w:p>
        </w:tc>
        <w:tc>
          <w:tcPr>
            <w:tcW w:w="0" w:type="auto"/>
            <w:tcMar>
              <w:top w:w="0" w:type="dxa"/>
              <w:bottom w:w="0" w:type="dxa"/>
            </w:tcMar>
          </w:tcPr>
          <w:p>
            <w:pPr/>
            <w:r>
              <w:t>tūkst. Lt</w:t>
            </w:r>
          </w:p>
        </w:tc>
        <w:tc>
          <w:tcPr>
            <w:tcW w:w="0" w:type="auto"/>
            <w:tcMar>
              <w:top w:w="0" w:type="dxa"/>
              <w:bottom w:w="0" w:type="dxa"/>
            </w:tcMar>
          </w:tcPr>
          <w:p>
            <w:pPr/>
          </w:p>
        </w:tc>
      </w:tr>
      <w:tr>
        <w:trPr>
          <w:cantSplit/>
        </w:trPr>
        <w:tc>
          <w:tcPr>
            <w:tcW w:w="0" w:type="auto"/>
            <w:tcMar>
              <w:top w:w="0" w:type="dxa"/>
              <w:bottom w:w="0" w:type="dxa"/>
            </w:tcMar>
          </w:tcPr>
          <w:p>
            <w:pPr/>
            <w:r>
              <w:t>1.1.</w:t>
            </w:r>
          </w:p>
        </w:tc>
        <w:tc>
          <w:tcPr>
            <w:tcW w:w="0" w:type="auto"/>
            <w:tcMar>
              <w:top w:w="0" w:type="dxa"/>
              <w:bottom w:w="0" w:type="dxa"/>
            </w:tcMar>
          </w:tcPr>
          <w:p>
            <w:pPr/>
            <w:r>
              <w:t>Praėjusių 4 ketvirčių dujų įmonės atliktos investicijos naujiems buitiniams vartotojams prijungti, iš viso: (išvardinti pagal filialus)*</w:t>
            </w:r>
          </w:p>
        </w:tc>
        <w:tc>
          <w:tcPr>
            <w:tcW w:w="0" w:type="auto"/>
            <w:tcMar>
              <w:top w:w="0" w:type="dxa"/>
              <w:bottom w:w="0" w:type="dxa"/>
            </w:tcMar>
          </w:tcPr>
          <w:p>
            <w:pPr/>
            <w:r>
              <w:t>„</w:t>
            </w:r>
          </w:p>
        </w:tc>
        <w:tc>
          <w:tcPr>
            <w:tcW w:w="0" w:type="auto"/>
            <w:tcMar>
              <w:top w:w="0" w:type="dxa"/>
              <w:bottom w:w="0" w:type="dxa"/>
            </w:tcMar>
          </w:tcPr>
          <w:p>
            <w:pPr/>
          </w:p>
        </w:tc>
      </w:tr>
      <w:tr>
        <w:trPr>
          <w:cantSplit/>
        </w:trPr>
        <w:tc>
          <w:tcPr>
            <w:tcW w:w="0" w:type="auto"/>
            <w:tcMar>
              <w:top w:w="0" w:type="dxa"/>
              <w:bottom w:w="0" w:type="dxa"/>
            </w:tcMar>
          </w:tcPr>
          <w:p>
            <w:pPr/>
            <w:r>
              <w:t>1.1.1.</w:t>
            </w:r>
          </w:p>
        </w:tc>
        <w:tc>
          <w:tcPr>
            <w:tcW w:w="0" w:type="auto"/>
            <w:tcMar>
              <w:top w:w="0" w:type="dxa"/>
              <w:bottom w:w="0" w:type="dxa"/>
            </w:tcMar>
          </w:tcPr>
          <w:p>
            <w:pPr/>
            <w:r>
              <w:t>iš jų: buitiniams vartotojams, suvartojantiems iki 500 m</w:t>
            </w:r>
            <w:r>
              <w:rPr>
                <w:vertAlign w:val="superscript"/>
              </w:rPr>
              <w:t>3</w:t>
            </w:r>
            <w:r>
              <w:t xml:space="preserve"> per metus arba dujas naudojantiems buitinėms viryklėms</w:t>
            </w:r>
          </w:p>
        </w:tc>
        <w:tc>
          <w:tcPr>
            <w:tcW w:w="0" w:type="auto"/>
            <w:tcMar>
              <w:top w:w="0" w:type="dxa"/>
              <w:bottom w:w="0" w:type="dxa"/>
            </w:tcMar>
          </w:tcPr>
          <w:p>
            <w:pPr/>
            <w:r>
              <w:t>„</w:t>
            </w:r>
          </w:p>
        </w:tc>
        <w:tc>
          <w:tcPr>
            <w:tcW w:w="0" w:type="auto"/>
            <w:tcMar>
              <w:top w:w="0" w:type="dxa"/>
              <w:bottom w:w="0" w:type="dxa"/>
            </w:tcMar>
          </w:tcPr>
          <w:p>
            <w:pPr/>
          </w:p>
        </w:tc>
      </w:tr>
      <w:tr>
        <w:trPr>
          <w:cantSplit/>
        </w:trPr>
        <w:tc>
          <w:tcPr>
            <w:tcW w:w="0" w:type="auto"/>
            <w:tcMar>
              <w:top w:w="0" w:type="dxa"/>
              <w:bottom w:w="0" w:type="dxa"/>
            </w:tcMar>
          </w:tcPr>
          <w:p>
            <w:pPr/>
            <w:r>
              <w:t>1.1.2.</w:t>
            </w:r>
          </w:p>
        </w:tc>
        <w:tc>
          <w:tcPr>
            <w:tcW w:w="0" w:type="auto"/>
            <w:tcMar>
              <w:top w:w="0" w:type="dxa"/>
              <w:bottom w:w="0" w:type="dxa"/>
            </w:tcMar>
          </w:tcPr>
          <w:p>
            <w:pPr/>
            <w:r>
              <w:t>iš jų: buitiniams vartotojams, suvartojantiems daugiau kaip 500 m</w:t>
            </w:r>
            <w:r>
              <w:rPr>
                <w:vertAlign w:val="superscript"/>
              </w:rPr>
              <w:t>3</w:t>
            </w:r>
            <w:r>
              <w:t xml:space="preserve"> per metus arba dujas naudojantiems vandens ir/arba patalpų šildymui</w:t>
            </w:r>
          </w:p>
        </w:tc>
        <w:tc>
          <w:tcPr>
            <w:tcW w:w="0" w:type="auto"/>
            <w:tcMar>
              <w:top w:w="0" w:type="dxa"/>
              <w:bottom w:w="0" w:type="dxa"/>
            </w:tcMar>
          </w:tcPr>
          <w:p>
            <w:pPr/>
            <w:r>
              <w:t>„</w:t>
            </w:r>
          </w:p>
        </w:tc>
        <w:tc>
          <w:tcPr>
            <w:tcW w:w="0" w:type="auto"/>
            <w:tcMar>
              <w:top w:w="0" w:type="dxa"/>
              <w:bottom w:w="0" w:type="dxa"/>
            </w:tcMar>
          </w:tcPr>
          <w:p>
            <w:pPr/>
          </w:p>
        </w:tc>
      </w:tr>
      <w:tr>
        <w:trPr>
          <w:cantSplit/>
        </w:trPr>
        <w:tc>
          <w:tcPr>
            <w:tcW w:w="0" w:type="auto"/>
            <w:tcMar>
              <w:top w:w="0" w:type="dxa"/>
              <w:bottom w:w="0" w:type="dxa"/>
            </w:tcMar>
          </w:tcPr>
          <w:p>
            <w:pPr/>
            <w:r>
              <w:t>1.2.</w:t>
            </w:r>
          </w:p>
        </w:tc>
        <w:tc>
          <w:tcPr>
            <w:tcW w:w="0" w:type="auto"/>
            <w:tcMar>
              <w:top w:w="0" w:type="dxa"/>
              <w:bottom w:w="0" w:type="dxa"/>
            </w:tcMar>
          </w:tcPr>
          <w:p>
            <w:pPr/>
            <w:r>
              <w:t>Naujų buitinių vartotojų sumokėti prijungimo įkainiai iš viso: (išvardinti pagal filialus)*</w:t>
            </w:r>
          </w:p>
        </w:tc>
        <w:tc>
          <w:tcPr>
            <w:tcW w:w="0" w:type="auto"/>
            <w:tcMar>
              <w:top w:w="0" w:type="dxa"/>
              <w:bottom w:w="0" w:type="dxa"/>
            </w:tcMar>
          </w:tcPr>
          <w:p>
            <w:pPr/>
            <w:r>
              <w:t>„</w:t>
            </w:r>
          </w:p>
        </w:tc>
        <w:tc>
          <w:tcPr>
            <w:tcW w:w="0" w:type="auto"/>
            <w:tcMar>
              <w:top w:w="0" w:type="dxa"/>
              <w:bottom w:w="0" w:type="dxa"/>
            </w:tcMar>
          </w:tcPr>
          <w:p>
            <w:pPr/>
          </w:p>
        </w:tc>
      </w:tr>
      <w:tr>
        <w:trPr>
          <w:cantSplit/>
        </w:trPr>
        <w:tc>
          <w:tcPr>
            <w:tcW w:w="0" w:type="auto"/>
            <w:tcMar>
              <w:top w:w="0" w:type="dxa"/>
              <w:bottom w:w="0" w:type="dxa"/>
            </w:tcMar>
          </w:tcPr>
          <w:p>
            <w:pPr/>
            <w:r>
              <w:t>1.2.1.</w:t>
            </w:r>
          </w:p>
        </w:tc>
        <w:tc>
          <w:tcPr>
            <w:tcW w:w="0" w:type="auto"/>
            <w:tcMar>
              <w:top w:w="0" w:type="dxa"/>
              <w:bottom w:w="0" w:type="dxa"/>
            </w:tcMar>
          </w:tcPr>
          <w:p>
            <w:pPr/>
            <w:r>
              <w:t>iš jų: buitinių vartotojų, suvartojančių iki 500 m</w:t>
            </w:r>
            <w:r>
              <w:rPr>
                <w:vertAlign w:val="superscript"/>
              </w:rPr>
              <w:t>3</w:t>
            </w:r>
            <w:r>
              <w:t xml:space="preserve"> per metus arba dujas naudojančių buitinėms viryklėms</w:t>
            </w:r>
          </w:p>
        </w:tc>
        <w:tc>
          <w:tcPr>
            <w:tcW w:w="0" w:type="auto"/>
            <w:tcMar>
              <w:top w:w="0" w:type="dxa"/>
              <w:bottom w:w="0" w:type="dxa"/>
            </w:tcMar>
          </w:tcPr>
          <w:p>
            <w:pPr/>
            <w:r>
              <w:t>„</w:t>
            </w:r>
          </w:p>
        </w:tc>
        <w:tc>
          <w:tcPr>
            <w:tcW w:w="0" w:type="auto"/>
            <w:tcMar>
              <w:top w:w="0" w:type="dxa"/>
              <w:bottom w:w="0" w:type="dxa"/>
            </w:tcMar>
          </w:tcPr>
          <w:p>
            <w:pPr/>
          </w:p>
        </w:tc>
      </w:tr>
      <w:tr>
        <w:trPr>
          <w:cantSplit/>
        </w:trPr>
        <w:tc>
          <w:tcPr>
            <w:tcW w:w="0" w:type="auto"/>
            <w:tcMar>
              <w:top w:w="0" w:type="dxa"/>
              <w:bottom w:w="0" w:type="dxa"/>
            </w:tcMar>
          </w:tcPr>
          <w:p>
            <w:pPr/>
            <w:r>
              <w:t>1.2.2.</w:t>
            </w:r>
          </w:p>
        </w:tc>
        <w:tc>
          <w:tcPr>
            <w:tcW w:w="0" w:type="auto"/>
            <w:tcMar>
              <w:top w:w="0" w:type="dxa"/>
              <w:bottom w:w="0" w:type="dxa"/>
            </w:tcMar>
          </w:tcPr>
          <w:p>
            <w:pPr/>
            <w:r>
              <w:t>iš jų: buitinių vartotojų, suvartojančių daugiau kaip 500 m</w:t>
            </w:r>
            <w:r>
              <w:rPr>
                <w:vertAlign w:val="superscript"/>
              </w:rPr>
              <w:t>3</w:t>
            </w:r>
            <w:r>
              <w:t xml:space="preserve"> per metus arba dujas naudojančių vandens ir/arba patalpų šildymui</w:t>
            </w:r>
          </w:p>
        </w:tc>
        <w:tc>
          <w:tcPr>
            <w:tcW w:w="0" w:type="auto"/>
            <w:tcMar>
              <w:top w:w="0" w:type="dxa"/>
              <w:bottom w:w="0" w:type="dxa"/>
            </w:tcMar>
          </w:tcPr>
          <w:p>
            <w:pPr/>
            <w:r>
              <w:t>„</w:t>
            </w:r>
          </w:p>
        </w:tc>
        <w:tc>
          <w:tcPr>
            <w:tcW w:w="0" w:type="auto"/>
            <w:tcMar>
              <w:top w:w="0" w:type="dxa"/>
              <w:bottom w:w="0" w:type="dxa"/>
            </w:tcMar>
          </w:tcPr>
          <w:p>
            <w:pPr/>
          </w:p>
        </w:tc>
      </w:tr>
      <w:tr>
        <w:trPr>
          <w:cantSplit/>
        </w:trPr>
        <w:tc>
          <w:tcPr>
            <w:tcW w:w="0" w:type="auto"/>
            <w:tcMar>
              <w:top w:w="0" w:type="dxa"/>
              <w:bottom w:w="0" w:type="dxa"/>
            </w:tcMar>
          </w:tcPr>
          <w:p>
            <w:pPr/>
            <w:r>
              <w:t>2.</w:t>
            </w:r>
          </w:p>
        </w:tc>
        <w:tc>
          <w:tcPr>
            <w:tcW w:w="0" w:type="auto"/>
            <w:tcMar>
              <w:top w:w="0" w:type="dxa"/>
              <w:bottom w:w="0" w:type="dxa"/>
            </w:tcMar>
          </w:tcPr>
          <w:p>
            <w:pPr/>
            <w:r>
              <w:t>Dujų įmonės nutiestų dujų sistemų buitiniams vartotojams ilgis iš viso: (išvardinti pagal filialus)*</w:t>
            </w:r>
          </w:p>
        </w:tc>
        <w:tc>
          <w:tcPr>
            <w:tcW w:w="0" w:type="auto"/>
            <w:tcMar>
              <w:top w:w="0" w:type="dxa"/>
              <w:bottom w:w="0" w:type="dxa"/>
            </w:tcMar>
          </w:tcPr>
          <w:p>
            <w:pPr/>
            <w:r>
              <w:t>m</w:t>
            </w:r>
          </w:p>
        </w:tc>
        <w:tc>
          <w:tcPr>
            <w:tcW w:w="0" w:type="auto"/>
            <w:tcMar>
              <w:top w:w="0" w:type="dxa"/>
              <w:bottom w:w="0" w:type="dxa"/>
            </w:tcMar>
          </w:tcPr>
          <w:p>
            <w:pPr/>
          </w:p>
        </w:tc>
      </w:tr>
      <w:tr>
        <w:trPr>
          <w:cantSplit/>
        </w:trPr>
        <w:tc>
          <w:tcPr>
            <w:tcW w:w="0" w:type="auto"/>
            <w:tcMar>
              <w:top w:w="0" w:type="dxa"/>
              <w:bottom w:w="0" w:type="dxa"/>
            </w:tcMar>
          </w:tcPr>
          <w:p>
            <w:pPr/>
            <w:r>
              <w:t>2.1.</w:t>
            </w:r>
          </w:p>
        </w:tc>
        <w:tc>
          <w:tcPr>
            <w:tcW w:w="0" w:type="auto"/>
            <w:tcMar>
              <w:top w:w="0" w:type="dxa"/>
              <w:bottom w:w="0" w:type="dxa"/>
            </w:tcMar>
          </w:tcPr>
          <w:p>
            <w:pPr/>
            <w:r>
              <w:t>iš jų: buitiniams vartotojams, suvartojantiems iki 500 m</w:t>
            </w:r>
            <w:r>
              <w:rPr>
                <w:vertAlign w:val="superscript"/>
              </w:rPr>
              <w:t>3</w:t>
            </w:r>
            <w:r>
              <w:t xml:space="preserve"> per metus arba dujas naudojantiems buitinėms viryklėms</w:t>
            </w:r>
          </w:p>
        </w:tc>
        <w:tc>
          <w:tcPr>
            <w:tcW w:w="0" w:type="auto"/>
            <w:tcMar>
              <w:top w:w="0" w:type="dxa"/>
              <w:bottom w:w="0" w:type="dxa"/>
            </w:tcMar>
          </w:tcPr>
          <w:p>
            <w:pPr/>
            <w:r>
              <w:t>„</w:t>
            </w:r>
          </w:p>
        </w:tc>
        <w:tc>
          <w:tcPr>
            <w:tcW w:w="0" w:type="auto"/>
            <w:tcMar>
              <w:top w:w="0" w:type="dxa"/>
              <w:bottom w:w="0" w:type="dxa"/>
            </w:tcMar>
          </w:tcPr>
          <w:p>
            <w:pPr/>
          </w:p>
        </w:tc>
      </w:tr>
      <w:tr>
        <w:trPr>
          <w:cantSplit/>
        </w:trPr>
        <w:tc>
          <w:tcPr>
            <w:tcW w:w="0" w:type="auto"/>
            <w:tcMar>
              <w:top w:w="0" w:type="dxa"/>
              <w:bottom w:w="0" w:type="dxa"/>
            </w:tcMar>
          </w:tcPr>
          <w:p>
            <w:pPr/>
            <w:r>
              <w:t>2.2.</w:t>
            </w:r>
          </w:p>
        </w:tc>
        <w:tc>
          <w:tcPr>
            <w:tcW w:w="0" w:type="auto"/>
            <w:tcMar>
              <w:top w:w="0" w:type="dxa"/>
              <w:bottom w:w="0" w:type="dxa"/>
            </w:tcMar>
          </w:tcPr>
          <w:p>
            <w:pPr/>
            <w:r>
              <w:t>iš jų: buitiniams vartotojams, suvartojantiems daugiau kaip 500 m</w:t>
            </w:r>
            <w:r>
              <w:rPr>
                <w:vertAlign w:val="superscript"/>
              </w:rPr>
              <w:t>3</w:t>
            </w:r>
            <w:r>
              <w:t xml:space="preserve"> per metus arba dujas naudojantiems vandens ir/arba patalpų šildymui</w:t>
            </w:r>
          </w:p>
        </w:tc>
        <w:tc>
          <w:tcPr>
            <w:tcW w:w="0" w:type="auto"/>
            <w:tcMar>
              <w:top w:w="0" w:type="dxa"/>
              <w:bottom w:w="0" w:type="dxa"/>
            </w:tcMar>
          </w:tcPr>
          <w:p>
            <w:pPr/>
            <w:r>
              <w:t>„</w:t>
            </w:r>
          </w:p>
        </w:tc>
        <w:tc>
          <w:tcPr>
            <w:tcW w:w="0" w:type="auto"/>
            <w:tcMar>
              <w:top w:w="0" w:type="dxa"/>
              <w:bottom w:w="0" w:type="dxa"/>
            </w:tcMar>
          </w:tcPr>
          <w:p>
            <w:pPr/>
          </w:p>
        </w:tc>
      </w:tr>
      <w:tr>
        <w:trPr>
          <w:cantSplit/>
        </w:trPr>
        <w:tc>
          <w:tcPr>
            <w:tcW w:w="0" w:type="auto"/>
            <w:tcMar>
              <w:top w:w="0" w:type="dxa"/>
              <w:bottom w:w="0" w:type="dxa"/>
            </w:tcMar>
          </w:tcPr>
          <w:p>
            <w:pPr/>
            <w:r>
              <w:t>3.</w:t>
            </w:r>
          </w:p>
        </w:tc>
        <w:tc>
          <w:tcPr>
            <w:tcW w:w="0" w:type="auto"/>
            <w:tcMar>
              <w:top w:w="0" w:type="dxa"/>
              <w:bottom w:w="0" w:type="dxa"/>
            </w:tcMar>
          </w:tcPr>
          <w:p>
            <w:pPr/>
            <w:r>
              <w:t>Prijungtų naujų buitinių vartotojų skaičius iš viso: (išvardinti pagal filialus)*</w:t>
            </w:r>
          </w:p>
        </w:tc>
        <w:tc>
          <w:tcPr>
            <w:tcW w:w="0" w:type="auto"/>
            <w:tcMar>
              <w:top w:w="0" w:type="dxa"/>
              <w:bottom w:w="0" w:type="dxa"/>
            </w:tcMar>
          </w:tcPr>
          <w:p>
            <w:pPr/>
            <w:r>
              <w:t>vart. sk.</w:t>
            </w:r>
          </w:p>
        </w:tc>
        <w:tc>
          <w:tcPr>
            <w:tcW w:w="0" w:type="auto"/>
            <w:tcMar>
              <w:top w:w="0" w:type="dxa"/>
              <w:bottom w:w="0" w:type="dxa"/>
            </w:tcMar>
          </w:tcPr>
          <w:p>
            <w:pPr/>
          </w:p>
        </w:tc>
      </w:tr>
      <w:tr>
        <w:trPr>
          <w:cantSplit/>
        </w:trPr>
        <w:tc>
          <w:tcPr>
            <w:tcW w:w="0" w:type="auto"/>
            <w:tcMar>
              <w:top w:w="0" w:type="dxa"/>
              <w:bottom w:w="0" w:type="dxa"/>
            </w:tcMar>
          </w:tcPr>
          <w:p>
            <w:pPr/>
            <w:r>
              <w:t>3.1.</w:t>
            </w:r>
          </w:p>
        </w:tc>
        <w:tc>
          <w:tcPr>
            <w:tcW w:w="0" w:type="auto"/>
            <w:tcMar>
              <w:top w:w="0" w:type="dxa"/>
              <w:bottom w:w="0" w:type="dxa"/>
            </w:tcMar>
          </w:tcPr>
          <w:p>
            <w:pPr/>
            <w:r>
              <w:t>iš jų: buitiniai vartotojai, suvartojantys iki 500 m</w:t>
            </w:r>
            <w:r>
              <w:rPr>
                <w:vertAlign w:val="superscript"/>
              </w:rPr>
              <w:t>3</w:t>
            </w:r>
            <w:r>
              <w:t xml:space="preserve"> per metus arba dujas naudojantys buitinėms viryklėms</w:t>
            </w:r>
          </w:p>
        </w:tc>
        <w:tc>
          <w:tcPr>
            <w:tcW w:w="0" w:type="auto"/>
            <w:tcMar>
              <w:top w:w="0" w:type="dxa"/>
              <w:bottom w:w="0" w:type="dxa"/>
            </w:tcMar>
          </w:tcPr>
          <w:p>
            <w:pPr/>
            <w:r>
              <w:t>„</w:t>
            </w:r>
          </w:p>
        </w:tc>
        <w:tc>
          <w:tcPr>
            <w:tcW w:w="0" w:type="auto"/>
            <w:tcMar>
              <w:top w:w="0" w:type="dxa"/>
              <w:bottom w:w="0" w:type="dxa"/>
            </w:tcMar>
          </w:tcPr>
          <w:p>
            <w:pPr/>
          </w:p>
        </w:tc>
      </w:tr>
      <w:tr>
        <w:trPr>
          <w:cantSplit/>
        </w:trPr>
        <w:tc>
          <w:tcPr>
            <w:tcW w:w="0" w:type="auto"/>
            <w:tcMar>
              <w:top w:w="0" w:type="dxa"/>
              <w:bottom w:w="0" w:type="dxa"/>
            </w:tcMar>
          </w:tcPr>
          <w:p>
            <w:pPr/>
            <w:r>
              <w:t>3.2.</w:t>
            </w:r>
          </w:p>
        </w:tc>
        <w:tc>
          <w:tcPr>
            <w:tcW w:w="0" w:type="auto"/>
            <w:tcMar>
              <w:top w:w="0" w:type="dxa"/>
              <w:bottom w:w="0" w:type="dxa"/>
            </w:tcMar>
          </w:tcPr>
          <w:p>
            <w:pPr/>
            <w:r>
              <w:t>iš jų: buitiniai vartotojai, suvartojantys daugiau kaip 500 m</w:t>
            </w:r>
            <w:r>
              <w:rPr>
                <w:vertAlign w:val="superscript"/>
              </w:rPr>
              <w:t>3</w:t>
            </w:r>
            <w:r>
              <w:t xml:space="preserve"> per metus arba dujas naudojantys vandens ir/arba patalpų šildymui</w:t>
            </w:r>
          </w:p>
        </w:tc>
        <w:tc>
          <w:tcPr>
            <w:tcW w:w="0" w:type="auto"/>
            <w:tcMar>
              <w:top w:w="0" w:type="dxa"/>
              <w:bottom w:w="0" w:type="dxa"/>
            </w:tcMar>
          </w:tcPr>
          <w:p>
            <w:pPr/>
            <w:r>
              <w:t>„</w:t>
            </w:r>
          </w:p>
        </w:tc>
        <w:tc>
          <w:tcPr>
            <w:tcW w:w="0" w:type="auto"/>
            <w:tcMar>
              <w:top w:w="0" w:type="dxa"/>
              <w:bottom w:w="0" w:type="dxa"/>
            </w:tcMar>
          </w:tcPr>
          <w:p>
            <w:pPr/>
          </w:p>
        </w:tc>
      </w:tr>
      <w:tr>
        <w:trPr>
          <w:cantSplit/>
        </w:trPr>
        <w:tc>
          <w:tcPr>
            <w:tcW w:w="0" w:type="auto"/>
            <w:tcMar>
              <w:top w:w="0" w:type="dxa"/>
              <w:bottom w:w="0" w:type="dxa"/>
            </w:tcMar>
          </w:tcPr>
          <w:p>
            <w:pPr/>
            <w:r>
              <w:t>4.</w:t>
            </w:r>
          </w:p>
        </w:tc>
        <w:tc>
          <w:tcPr>
            <w:tcW w:w="0" w:type="auto"/>
            <w:tcMar>
              <w:top w:w="0" w:type="dxa"/>
              <w:bottom w:w="0" w:type="dxa"/>
            </w:tcMar>
          </w:tcPr>
          <w:p>
            <w:pPr/>
            <w:r>
              <w:t>Naujų buitinių vartotojų gamtinių dujų suvartojimas iš viso:</w:t>
            </w:r>
          </w:p>
        </w:tc>
        <w:tc>
          <w:tcPr>
            <w:tcW w:w="0" w:type="auto"/>
            <w:tcMar>
              <w:top w:w="0" w:type="dxa"/>
              <w:bottom w:w="0" w:type="dxa"/>
            </w:tcMar>
          </w:tcPr>
          <w:p>
            <w:pPr/>
            <w:r>
              <w:t>tūkst. m</w:t>
            </w:r>
            <w:r>
              <w:rPr>
                <w:vertAlign w:val="superscript"/>
              </w:rPr>
              <w:t>3</w:t>
            </w:r>
            <w:r>
              <w:t>/1 vart.</w:t>
            </w:r>
          </w:p>
        </w:tc>
        <w:tc>
          <w:tcPr>
            <w:tcW w:w="0" w:type="auto"/>
            <w:tcMar>
              <w:top w:w="0" w:type="dxa"/>
              <w:bottom w:w="0" w:type="dxa"/>
            </w:tcMar>
          </w:tcPr>
          <w:p>
            <w:pPr/>
          </w:p>
        </w:tc>
      </w:tr>
      <w:tr>
        <w:trPr>
          <w:cantSplit/>
        </w:trPr>
        <w:tc>
          <w:tcPr>
            <w:tcW w:w="0" w:type="auto"/>
            <w:tcMar>
              <w:top w:w="0" w:type="dxa"/>
              <w:bottom w:w="0" w:type="dxa"/>
            </w:tcMar>
          </w:tcPr>
          <w:p>
            <w:pPr/>
            <w:r>
              <w:t>4.1.</w:t>
            </w:r>
          </w:p>
        </w:tc>
        <w:tc>
          <w:tcPr>
            <w:tcW w:w="0" w:type="auto"/>
            <w:tcMar>
              <w:top w:w="0" w:type="dxa"/>
              <w:bottom w:w="0" w:type="dxa"/>
            </w:tcMar>
          </w:tcPr>
          <w:p>
            <w:pPr/>
            <w:r>
              <w:t>iš jų: buitiniai vartotojai, suvartojantys iki 500 m</w:t>
            </w:r>
            <w:r>
              <w:rPr>
                <w:vertAlign w:val="superscript"/>
              </w:rPr>
              <w:t>3</w:t>
            </w:r>
            <w:r>
              <w:t xml:space="preserve"> per metus arba dujas naudojantys buitinėms viryklėms</w:t>
            </w:r>
          </w:p>
        </w:tc>
        <w:tc>
          <w:tcPr>
            <w:tcW w:w="0" w:type="auto"/>
            <w:tcMar>
              <w:top w:w="0" w:type="dxa"/>
              <w:bottom w:w="0" w:type="dxa"/>
            </w:tcMar>
          </w:tcPr>
          <w:p>
            <w:pPr/>
            <w:r>
              <w:t>„</w:t>
            </w:r>
          </w:p>
        </w:tc>
        <w:tc>
          <w:tcPr>
            <w:tcW w:w="0" w:type="auto"/>
            <w:tcMar>
              <w:top w:w="0" w:type="dxa"/>
              <w:bottom w:w="0" w:type="dxa"/>
            </w:tcMar>
          </w:tcPr>
          <w:p>
            <w:pPr/>
          </w:p>
        </w:tc>
      </w:tr>
      <w:tr>
        <w:trPr>
          <w:cantSplit/>
        </w:trPr>
        <w:tc>
          <w:tcPr>
            <w:tcW w:w="0" w:type="auto"/>
            <w:tcMar>
              <w:top w:w="0" w:type="dxa"/>
              <w:bottom w:w="0" w:type="dxa"/>
            </w:tcMar>
          </w:tcPr>
          <w:p>
            <w:pPr/>
            <w:r>
              <w:t>4.2.</w:t>
            </w:r>
          </w:p>
        </w:tc>
        <w:tc>
          <w:tcPr>
            <w:tcW w:w="0" w:type="auto"/>
            <w:tcMar>
              <w:top w:w="0" w:type="dxa"/>
              <w:bottom w:w="0" w:type="dxa"/>
            </w:tcMar>
          </w:tcPr>
          <w:p>
            <w:pPr/>
            <w:r>
              <w:t>iš jų: buitiniai vartotojai, suvartojantys daugiau kaip 500 m</w:t>
            </w:r>
            <w:r>
              <w:rPr>
                <w:vertAlign w:val="superscript"/>
              </w:rPr>
              <w:t>3</w:t>
            </w:r>
            <w:r>
              <w:t xml:space="preserve"> per metus arba dujas naudojantys vandens ir/arba patalpų šildymui</w:t>
            </w:r>
          </w:p>
        </w:tc>
        <w:tc>
          <w:tcPr>
            <w:tcW w:w="0" w:type="auto"/>
            <w:tcMar>
              <w:top w:w="0" w:type="dxa"/>
              <w:bottom w:w="0" w:type="dxa"/>
            </w:tcMar>
          </w:tcPr>
          <w:p>
            <w:pPr/>
            <w:r>
              <w:t>„</w:t>
            </w:r>
          </w:p>
        </w:tc>
        <w:tc>
          <w:tcPr>
            <w:tcW w:w="0" w:type="auto"/>
            <w:tcMar>
              <w:top w:w="0" w:type="dxa"/>
              <w:bottom w:w="0" w:type="dxa"/>
            </w:tcMar>
          </w:tcPr>
          <w:p>
            <w:pPr/>
          </w:p>
        </w:tc>
      </w:tr>
      <w:tr>
        <w:trPr>
          <w:cantSplit/>
        </w:trPr>
        <w:tc>
          <w:tcPr>
            <w:tcW w:w="0" w:type="auto"/>
            <w:tcMar>
              <w:top w:w="0" w:type="dxa"/>
              <w:bottom w:w="0" w:type="dxa"/>
            </w:tcMar>
          </w:tcPr>
          <w:p>
            <w:pPr/>
            <w:r>
              <w:t>5.</w:t>
            </w:r>
          </w:p>
        </w:tc>
        <w:tc>
          <w:tcPr>
            <w:tcW w:w="0" w:type="auto"/>
            <w:tcMar>
              <w:top w:w="0" w:type="dxa"/>
              <w:bottom w:w="0" w:type="dxa"/>
            </w:tcMar>
          </w:tcPr>
          <w:p>
            <w:pPr/>
            <w:r>
              <w:t>Naujų buitinių vartotojų ribinės eksploatacinės sąnaudos iš viso:</w:t>
            </w:r>
          </w:p>
        </w:tc>
        <w:tc>
          <w:tcPr>
            <w:tcW w:w="0" w:type="auto"/>
            <w:tcMar>
              <w:top w:w="0" w:type="dxa"/>
              <w:bottom w:w="0" w:type="dxa"/>
            </w:tcMar>
          </w:tcPr>
          <w:p>
            <w:pPr/>
            <w:r>
              <w:t>Lt/km</w:t>
            </w:r>
          </w:p>
        </w:tc>
        <w:tc>
          <w:tcPr>
            <w:tcW w:w="0" w:type="auto"/>
            <w:tcMar>
              <w:top w:w="0" w:type="dxa"/>
              <w:bottom w:w="0" w:type="dxa"/>
            </w:tcMar>
          </w:tcPr>
          <w:p>
            <w:pPr/>
          </w:p>
        </w:tc>
      </w:tr>
      <w:tr>
        <w:trPr>
          <w:cantSplit/>
        </w:trPr>
        <w:tc>
          <w:tcPr>
            <w:tcW w:w="0" w:type="auto"/>
            <w:tcMar>
              <w:top w:w="0" w:type="dxa"/>
              <w:bottom w:w="0" w:type="dxa"/>
            </w:tcMar>
          </w:tcPr>
          <w:p>
            <w:pPr/>
            <w:r>
              <w:t>5.1.</w:t>
            </w:r>
          </w:p>
        </w:tc>
        <w:tc>
          <w:tcPr>
            <w:tcW w:w="0" w:type="auto"/>
            <w:tcMar>
              <w:top w:w="0" w:type="dxa"/>
              <w:bottom w:w="0" w:type="dxa"/>
            </w:tcMar>
          </w:tcPr>
          <w:p>
            <w:pPr/>
            <w:r>
              <w:t>iš jų: buitinių vartotojų, suvartojančių iki 500 m</w:t>
            </w:r>
            <w:r>
              <w:rPr>
                <w:vertAlign w:val="superscript"/>
              </w:rPr>
              <w:t>3</w:t>
            </w:r>
            <w:r>
              <w:t xml:space="preserve"> per metus arba dujas naudojančių buitinėms viryklėms</w:t>
            </w:r>
          </w:p>
        </w:tc>
        <w:tc>
          <w:tcPr>
            <w:tcW w:w="0" w:type="auto"/>
            <w:tcMar>
              <w:top w:w="0" w:type="dxa"/>
              <w:bottom w:w="0" w:type="dxa"/>
            </w:tcMar>
          </w:tcPr>
          <w:p>
            <w:pPr/>
            <w:r>
              <w:t>„</w:t>
            </w:r>
          </w:p>
        </w:tc>
        <w:tc>
          <w:tcPr>
            <w:tcW w:w="0" w:type="auto"/>
            <w:tcMar>
              <w:top w:w="0" w:type="dxa"/>
              <w:bottom w:w="0" w:type="dxa"/>
            </w:tcMar>
          </w:tcPr>
          <w:p>
            <w:pPr/>
          </w:p>
        </w:tc>
      </w:tr>
      <w:tr>
        <w:trPr>
          <w:cantSplit/>
        </w:trPr>
        <w:tc>
          <w:tcPr>
            <w:tcW w:w="0" w:type="auto"/>
            <w:tcMar>
              <w:top w:w="0" w:type="dxa"/>
              <w:bottom w:w="0" w:type="dxa"/>
            </w:tcMar>
          </w:tcPr>
          <w:p>
            <w:pPr/>
            <w:r>
              <w:t>5.2.</w:t>
            </w:r>
          </w:p>
        </w:tc>
        <w:tc>
          <w:tcPr>
            <w:tcW w:w="0" w:type="auto"/>
            <w:tcMar>
              <w:top w:w="0" w:type="dxa"/>
              <w:bottom w:w="0" w:type="dxa"/>
            </w:tcMar>
          </w:tcPr>
          <w:p>
            <w:pPr/>
            <w:r>
              <w:t>buitinių vartotojų, suvartojančių daugiau kaip 500 m</w:t>
            </w:r>
            <w:r>
              <w:rPr>
                <w:vertAlign w:val="superscript"/>
              </w:rPr>
              <w:t>3</w:t>
            </w:r>
            <w:r>
              <w:t xml:space="preserve"> per metus arba dujas naudojančių vandens ir/arba patalpų šildymui</w:t>
            </w:r>
          </w:p>
        </w:tc>
        <w:tc>
          <w:tcPr>
            <w:tcW w:w="0" w:type="auto"/>
            <w:tcMar>
              <w:top w:w="0" w:type="dxa"/>
              <w:bottom w:w="0" w:type="dxa"/>
            </w:tcMar>
          </w:tcPr>
          <w:p>
            <w:pPr/>
            <w:r>
              <w:t>„</w:t>
            </w:r>
          </w:p>
        </w:tc>
        <w:tc>
          <w:tcPr>
            <w:tcW w:w="0" w:type="auto"/>
            <w:tcMar>
              <w:top w:w="0" w:type="dxa"/>
              <w:bottom w:w="0" w:type="dxa"/>
            </w:tcMar>
          </w:tcPr>
          <w:p>
            <w:pPr/>
          </w:p>
        </w:tc>
      </w:tr>
      <w:tr>
        <w:trPr>
          <w:cantSplit/>
        </w:trPr>
        <w:tc>
          <w:tcPr>
            <w:tcW w:w="0" w:type="auto"/>
            <w:tcMar>
              <w:top w:w="0" w:type="dxa"/>
              <w:bottom w:w="0" w:type="dxa"/>
            </w:tcMar>
          </w:tcPr>
          <w:p>
            <w:pPr/>
            <w:r>
              <w:t>6.</w:t>
            </w:r>
          </w:p>
        </w:tc>
        <w:tc>
          <w:tcPr>
            <w:tcW w:w="0" w:type="auto"/>
            <w:tcMar>
              <w:top w:w="0" w:type="dxa"/>
              <w:bottom w:w="0" w:type="dxa"/>
            </w:tcMar>
          </w:tcPr>
          <w:p>
            <w:pPr/>
            <w:r>
              <w:t>Naujų buitinių vartotojų metinės nusidėvėjimo sąnaudos iš viso:</w:t>
            </w:r>
          </w:p>
        </w:tc>
        <w:tc>
          <w:tcPr>
            <w:tcW w:w="0" w:type="auto"/>
            <w:tcMar>
              <w:top w:w="0" w:type="dxa"/>
              <w:bottom w:w="0" w:type="dxa"/>
            </w:tcMar>
          </w:tcPr>
          <w:p>
            <w:pPr/>
            <w:r>
              <w:t>tūkst. Lt</w:t>
            </w:r>
          </w:p>
        </w:tc>
        <w:tc>
          <w:tcPr>
            <w:tcW w:w="0" w:type="auto"/>
            <w:tcMar>
              <w:top w:w="0" w:type="dxa"/>
              <w:bottom w:w="0" w:type="dxa"/>
            </w:tcMar>
          </w:tcPr>
          <w:p>
            <w:pPr/>
          </w:p>
        </w:tc>
      </w:tr>
      <w:tr>
        <w:trPr>
          <w:cantSplit/>
        </w:trPr>
        <w:tc>
          <w:tcPr>
            <w:tcW w:w="0" w:type="auto"/>
            <w:tcMar>
              <w:top w:w="0" w:type="dxa"/>
              <w:bottom w:w="0" w:type="dxa"/>
            </w:tcMar>
          </w:tcPr>
          <w:p>
            <w:pPr/>
            <w:r>
              <w:t>6.1.</w:t>
            </w:r>
          </w:p>
        </w:tc>
        <w:tc>
          <w:tcPr>
            <w:tcW w:w="0" w:type="auto"/>
            <w:tcMar>
              <w:top w:w="0" w:type="dxa"/>
              <w:bottom w:w="0" w:type="dxa"/>
            </w:tcMar>
          </w:tcPr>
          <w:p>
            <w:pPr/>
            <w:r>
              <w:t>iš jų: buitinių vartotojų, suvartojančių iki 500 m</w:t>
            </w:r>
            <w:r>
              <w:rPr>
                <w:vertAlign w:val="superscript"/>
              </w:rPr>
              <w:t>3</w:t>
            </w:r>
            <w:r>
              <w:t xml:space="preserve"> per metus arba dujas naudojančių buitinėms viryklėms</w:t>
            </w:r>
          </w:p>
        </w:tc>
        <w:tc>
          <w:tcPr>
            <w:tcW w:w="0" w:type="auto"/>
            <w:tcMar>
              <w:top w:w="0" w:type="dxa"/>
              <w:bottom w:w="0" w:type="dxa"/>
            </w:tcMar>
          </w:tcPr>
          <w:p>
            <w:pPr/>
            <w:r>
              <w:t>„</w:t>
            </w:r>
          </w:p>
        </w:tc>
        <w:tc>
          <w:tcPr>
            <w:tcW w:w="0" w:type="auto"/>
            <w:tcMar>
              <w:top w:w="0" w:type="dxa"/>
              <w:bottom w:w="0" w:type="dxa"/>
            </w:tcMar>
          </w:tcPr>
          <w:p>
            <w:pPr/>
          </w:p>
        </w:tc>
      </w:tr>
      <w:tr>
        <w:trPr>
          <w:cantSplit/>
        </w:trPr>
        <w:tc>
          <w:tcPr>
            <w:tcW w:w="0" w:type="auto"/>
            <w:tcMar>
              <w:top w:w="0" w:type="dxa"/>
              <w:bottom w:w="0" w:type="dxa"/>
            </w:tcMar>
          </w:tcPr>
          <w:p>
            <w:pPr/>
            <w:r>
              <w:t>6.2.</w:t>
            </w:r>
          </w:p>
        </w:tc>
        <w:tc>
          <w:tcPr>
            <w:tcW w:w="0" w:type="auto"/>
            <w:tcMar>
              <w:top w:w="0" w:type="dxa"/>
              <w:bottom w:w="0" w:type="dxa"/>
            </w:tcMar>
          </w:tcPr>
          <w:p>
            <w:pPr/>
            <w:r>
              <w:t>buitinių vartotojų, suvartojančių daugiau kaip 500 m</w:t>
            </w:r>
            <w:r>
              <w:rPr>
                <w:vertAlign w:val="superscript"/>
              </w:rPr>
              <w:t>3</w:t>
            </w:r>
            <w:r>
              <w:t xml:space="preserve"> per metus arba dujas naudojančių vandens ir/arba patalpų šildymui</w:t>
            </w:r>
          </w:p>
        </w:tc>
        <w:tc>
          <w:tcPr>
            <w:tcW w:w="0" w:type="auto"/>
            <w:tcMar>
              <w:top w:w="0" w:type="dxa"/>
              <w:bottom w:w="0" w:type="dxa"/>
            </w:tcMar>
          </w:tcPr>
          <w:p>
            <w:pPr/>
            <w:r>
              <w:t>„</w:t>
            </w:r>
          </w:p>
        </w:tc>
        <w:tc>
          <w:tcPr>
            <w:tcW w:w="0" w:type="auto"/>
            <w:tcMar>
              <w:top w:w="0" w:type="dxa"/>
              <w:bottom w:w="0" w:type="dxa"/>
            </w:tcMar>
          </w:tcPr>
          <w:p>
            <w:pPr/>
          </w:p>
        </w:tc>
      </w:tr>
      <w:tr>
        <w:trPr>
          <w:cantSplit/>
        </w:trPr>
        <w:tc>
          <w:tcPr>
            <w:tcW w:w="0" w:type="auto"/>
            <w:tcMar>
              <w:top w:w="0" w:type="dxa"/>
              <w:bottom w:w="0" w:type="dxa"/>
            </w:tcMar>
          </w:tcPr>
          <w:p>
            <w:pPr/>
            <w:r>
              <w:t>7.</w:t>
            </w:r>
          </w:p>
        </w:tc>
        <w:tc>
          <w:tcPr>
            <w:tcW w:w="0" w:type="auto"/>
            <w:tcMar>
              <w:top w:w="0" w:type="dxa"/>
              <w:bottom w:w="0" w:type="dxa"/>
            </w:tcMar>
          </w:tcPr>
          <w:p>
            <w:pPr/>
            <w:r>
              <w:t>Įgyvendintų investicijų buitiniams vartotojams dalis, nepriklausanti nuo tiesiamų dujotiekių buitiniams vartotojams prijungti ilgio</w:t>
            </w:r>
          </w:p>
        </w:tc>
        <w:tc>
          <w:tcPr>
            <w:tcW w:w="0" w:type="auto"/>
            <w:tcMar>
              <w:top w:w="0" w:type="dxa"/>
              <w:bottom w:w="0" w:type="dxa"/>
            </w:tcMar>
          </w:tcPr>
          <w:p>
            <w:pPr/>
            <w:r>
              <w:t>„</w:t>
            </w:r>
          </w:p>
        </w:tc>
        <w:tc>
          <w:tcPr>
            <w:tcW w:w="0" w:type="auto"/>
            <w:tcMar>
              <w:top w:w="0" w:type="dxa"/>
              <w:bottom w:w="0" w:type="dxa"/>
            </w:tcMar>
          </w:tcPr>
          <w:p>
            <w:pPr/>
          </w:p>
        </w:tc>
      </w:tr>
    </w:tbl>
    <w:p>
      <w:pPr>
        <w:jc w:val="both"/>
      </w:pPr>
    </w:p>
    <w:p>
      <w:pPr>
        <w:jc w:val="both"/>
      </w:pPr>
      <w:r>
        <w:t xml:space="preserve">Pastaba:  pateikiant duomenis, vertinamos tik investicijos (investicijų projektai), kurios skirtos tik buitiniams vartotojams prijungti. </w:t>
      </w:r>
    </w:p>
    <w:p>
      <w:pPr>
        <w:jc w:val="both"/>
      </w:pPr>
      <w:r>
        <w:t>* Toms dujų įmonėms, kurios dujas transportuoja skirtinguose Lietuvos regionuose.</w:t>
      </w:r>
    </w:p>
    <w:p>
      <w:pPr>
        <w:ind w:firstLine="426"/>
        <w:jc w:val="both"/>
      </w:pPr>
    </w:p>
    <w:p>
      <w:pPr>
        <w:ind w:firstLine="567"/>
        <w:jc w:val="both"/>
      </w:pPr>
      <w:r>
        <w:t>20_ _ m. __________ Įmonės vadovas ________</w:t>
      </w:r>
    </w:p>
    <w:p>
      <w:pPr>
        <w:ind w:firstLine="426"/>
      </w:pPr>
    </w:p>
    <w:p>
      <w:pPr>
        <w:widowControl w:val="0"/>
        <w:suppressAutoHyphens/>
        <w:jc w:val="center"/>
      </w:pPr>
      <w:r>
        <w:rPr>
          <w:b/>
          <w:bCs/>
        </w:rPr>
        <w:t>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6E05F48631A">
        <w:r w:rsidRPr="00532B9F">
          <w:rPr>
            <w:rFonts w:ascii="Times New Roman" w:eastAsia="MS Mincho" w:hAnsi="Times New Roman"/>
            <w:sz w:val="20"/>
            <w:i/>
            <w:iCs/>
            <w:color w:val="0000FF" w:themeColor="hyperlink"/>
            <w:u w:val="single"/>
          </w:rPr>
          <w:t>O3-22</w:t>
        </w:r>
      </w:fldSimple>
      <w:r>
        <w:rPr>
          <w:rFonts w:ascii="Times New Roman" w:eastAsia="MS Mincho" w:hAnsi="Times New Roman"/>
          <w:sz w:val="20"/>
          <w:i/>
          <w:iCs/>
        </w:rPr>
        <w:t>,
2010-02-12,
Žin., 2010, Nr.
22-1069 (2010-02-23), i. k. 110106ANUTA000O3-22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6AFF4EDEC6F">
        <w:r w:rsidRPr="00532B9F">
          <w:rPr>
            <w:rFonts w:ascii="Times New Roman" w:eastAsia="MS Mincho" w:hAnsi="Times New Roman"/>
            <w:sz w:val="20"/>
            <w:i/>
            <w:iCs/>
            <w:color w:val="0000FF" w:themeColor="hyperlink"/>
            <w:u w:val="single"/>
          </w:rPr>
          <w:t>O3-256</w:t>
        </w:r>
      </w:fldSimple>
      <w:r>
        <w:rPr>
          <w:rFonts w:ascii="Times New Roman" w:eastAsia="MS Mincho" w:hAnsi="Times New Roman"/>
          <w:sz w:val="20"/>
          <w:i/>
          <w:iCs/>
        </w:rPr>
        <w:t>,
2012-09-21,
Žin., 2012, Nr.
111-5669 (2012-09-26), i. k. 112106ANUTA00O3-256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kainų ir energetikos kontrolės komisija,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16E05F48631A">
        <w:r w:rsidRPr="00532B9F">
          <w:rPr>
            <w:rFonts w:ascii="Times New Roman" w:eastAsia="MS Mincho" w:hAnsi="Times New Roman"/>
            <w:sz w:val="20"/>
            <w:iCs/>
            <w:color w:val="0000FF" w:themeColor="hyperlink"/>
            <w:u w:val="single"/>
          </w:rPr>
          <w:t>O3-22</w:t>
        </w:r>
      </w:fldSimple>
      <w:r>
        <w:rPr>
          <w:rFonts w:ascii="Times New Roman" w:eastAsia="MS Mincho" w:hAnsi="Times New Roman"/>
          <w:sz w:val="20"/>
          <w:iCs/>
        </w:rPr>
        <w:t>,
2010-02-12,
Žin., 2010, Nr.
22-1069 (2010-02-23), i. k. 110106ANUTA000O3-22                </w:t>
      </w:r>
    </w:p>
    <w:p>
      <w:pPr>
        <w:jc w:val="both"/>
        <w:rPr>
          <w:rFonts w:ascii="Times New Roman" w:hAnsi="Times New Roman"/>
        </w:rPr>
      </w:pPr>
      <w:r>
        <w:rPr>
          <w:rFonts w:ascii="Times New Roman" w:hAnsi="Times New Roman"/>
          <w:sz w:val="20"/>
        </w:rPr>
        <w:t>Dėl Valstybinės kainų ir energetikos kontrolės komisijos 2008 m. lapkričio 17 d. nutarimu Nr. O3-187 patvirtintos Gamtinių dujų naujų vartotojų prijungimo įkainių skaičiavimo metodikos dalinio pakeitimo ir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Valstybinė kainų ir energetikos kontrolės komisija,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B76A6C307A11">
        <w:r w:rsidRPr="00532B9F">
          <w:rPr>
            <w:rFonts w:ascii="Times New Roman" w:eastAsia="MS Mincho" w:hAnsi="Times New Roman"/>
            <w:sz w:val="20"/>
            <w:iCs/>
            <w:color w:val="0000FF" w:themeColor="hyperlink"/>
            <w:u w:val="single"/>
          </w:rPr>
          <w:t>O3-167</w:t>
        </w:r>
      </w:fldSimple>
      <w:r>
        <w:rPr>
          <w:rFonts w:ascii="Times New Roman" w:eastAsia="MS Mincho" w:hAnsi="Times New Roman"/>
          <w:sz w:val="20"/>
          <w:iCs/>
        </w:rPr>
        <w:t>,
2011-07-08,
Žin., 2011, Nr.
89-4302 (2011-07-16), i. k. 111106ANUTA00O3-167                </w:t>
      </w:r>
    </w:p>
    <w:p>
      <w:pPr>
        <w:jc w:val="both"/>
        <w:rPr>
          <w:rFonts w:ascii="Times New Roman" w:hAnsi="Times New Roman"/>
        </w:rPr>
      </w:pPr>
      <w:r>
        <w:rPr>
          <w:rFonts w:ascii="Times New Roman" w:hAnsi="Times New Roman"/>
          <w:sz w:val="20"/>
        </w:rPr>
        <w:t>Dėl Valstybinės kainų ir energetikos kontrolės komisijos 2008 m. lapkričio 17 d. nutarimo Nr. O3-187 „Dėl Gamtinių dujų naujų vartotojų prijungimo įkainių skaičiavimo metodikos patvirtinimo" pakeitimo ir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Valstybinė kainų ir energetikos kontrolės komisija,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D6AFF4EDEC6F">
        <w:r w:rsidRPr="00532B9F">
          <w:rPr>
            <w:rFonts w:ascii="Times New Roman" w:eastAsia="MS Mincho" w:hAnsi="Times New Roman"/>
            <w:sz w:val="20"/>
            <w:iCs/>
            <w:color w:val="0000FF" w:themeColor="hyperlink"/>
            <w:u w:val="single"/>
          </w:rPr>
          <w:t>O3-256</w:t>
        </w:r>
      </w:fldSimple>
      <w:r>
        <w:rPr>
          <w:rFonts w:ascii="Times New Roman" w:eastAsia="MS Mincho" w:hAnsi="Times New Roman"/>
          <w:sz w:val="20"/>
          <w:iCs/>
        </w:rPr>
        <w:t>,
2012-09-21,
Žin., 2012, Nr.
111-5669 (2012-09-26), i. k. 112106ANUTA00O3-256                </w:t>
      </w:r>
    </w:p>
    <w:p>
      <w:pPr>
        <w:jc w:val="both"/>
        <w:rPr>
          <w:rFonts w:ascii="Times New Roman" w:hAnsi="Times New Roman"/>
        </w:rPr>
      </w:pPr>
      <w:r>
        <w:rPr>
          <w:rFonts w:ascii="Times New Roman" w:hAnsi="Times New Roman"/>
          <w:sz w:val="20"/>
        </w:rPr>
        <w:t>Dėl Valstybinės kainų ir energetikos kontrolės komisijos 2008 m. lapkričio 17 d. nutarimo Nr. O3-187 „Dėl Gamtinių dujų naujų vartotojų prijungimo įkainių skaičiavimo metodikos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709" w:footer="709" w:gutter="0"/>
      <w:pgNumType w:start="1"/>
      <w:cols w:space="708"/>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jc w:val="both"/>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w:t>
    </w:r>
    <w:r>
      <w:rPr>
        <w:lang w:eastAsia="lt-LT"/>
      </w:rPr>
      <w:fldChar w:fldCharType="end"/>
    </w:r>
  </w:p>
  <w:p>
    <w:pPr>
      <w:tabs>
        <w:tab w:val="center" w:pos="4153"/>
        <w:tab w:val="right" w:pos="8306"/>
      </w:tabs>
      <w:jc w:val="both"/>
      <w:rPr>
        <w:lang w:eastAsia="lt-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rPr>
        <w:lang w:eastAsia="lt-LT"/>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right"/>
      <w:rPr>
        <w:sz w:val="16"/>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13</w:t>
    </w:r>
    <w:r>
      <w:fldChar w:fldCharType="end"/>
    </w:r>
  </w:p>
  <w:p>
    <w:pPr>
      <w:pStyle w:val="Antrat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rPr>
        <w:lang w:eastAsia="lt-LT"/>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eastAsia="lt-LT"/>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jc w:val="both"/>
      <w:rPr>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9</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9</w:t>
    </w:r>
    <w:r>
      <w:fldChar w:fldCharType="end"/>
    </w:r>
  </w:p>
  <w:p>
    <w:pPr>
      <w:pStyle w:val="Antrat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14</w:t>
    </w:r>
    <w:r>
      <w:fldChar w:fldCharType="end"/>
    </w:r>
  </w:p>
  <w:p>
    <w:pPr>
      <w:pStyle w:val="Antrat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C2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0A34DE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image" Target="media/image10.png"/>
  <Relationship Id="rId11" Type="http://schemas.openxmlformats.org/officeDocument/2006/relationships/image" Target="media/image11.png"/>
  <Relationship Id="rId12" Type="http://schemas.openxmlformats.org/officeDocument/2006/relationships/image" Target="media/image12.png"/>
  <Relationship Id="rId13" Type="http://schemas.openxmlformats.org/officeDocument/2006/relationships/image" Target="media/image13.png"/>
  <Relationship Id="rId14" Type="http://schemas.openxmlformats.org/officeDocument/2006/relationships/image" Target="media/image2.png"/>
  <Relationship Id="rId15" Type="http://schemas.openxmlformats.org/officeDocument/2006/relationships/image" Target="media/image3.png"/>
  <Relationship Id="rId16" Type="http://schemas.openxmlformats.org/officeDocument/2006/relationships/image" Target="media/image4.png"/>
  <Relationship Id="rId17" Type="http://schemas.openxmlformats.org/officeDocument/2006/relationships/image" Target="media/image5.png"/>
  <Relationship Id="rId18" Type="http://schemas.openxmlformats.org/officeDocument/2006/relationships/image" Target="media/image6.png"/>
  <Relationship Id="rId19" Type="http://schemas.openxmlformats.org/officeDocument/2006/relationships/image" Target="media/image7.png"/>
  <Relationship Id="rId2" Type="http://schemas.openxmlformats.org/officeDocument/2006/relationships/fontTable" Target="fontTable.xml"/>
  <Relationship Id="rId20" Type="http://schemas.openxmlformats.org/officeDocument/2006/relationships/image" Target="media/image8.png"/>
  <Relationship Id="rId21" Type="http://schemas.openxmlformats.org/officeDocument/2006/relationships/image" Target="media/image9.png"/>
  <Relationship Id="rId22" Type="http://schemas.openxmlformats.org/officeDocument/2006/relationships/settings" Target="settings.xml"/>
  <Relationship Id="rId23" Type="http://schemas.openxmlformats.org/officeDocument/2006/relationships/styles" Target="styles.xml"/>
  <Relationship Id="rId24" Type="http://schemas.microsoft.com/office/2007/relationships/stylesWithEffects" Target="stylesWithEffects.xml"/>
  <Relationship Id="rId25" Type="http://schemas.openxmlformats.org/officeDocument/2006/relationships/theme" Target="theme/theme1.xml"/>
  <Relationship Id="rId26" Type="http://schemas.openxmlformats.org/officeDocument/2006/relationships/webSettings" Target="webSettings.xml"/>
  <Relationship Id="rId27" Type="http://schemas.openxmlformats.org/officeDocument/2006/relationships/image" Target="media/image5.wmf"/>
  <Relationship Id="rId28" Type="http://schemas.openxmlformats.org/officeDocument/2006/relationships/control" Target="activeX/activeX5.xml"/>
  <Relationship Id="rId29" Type="http://schemas.openxmlformats.org/officeDocument/2006/relationships/header" Target="header13.xml"/>
  <Relationship Id="rId3" Type="http://schemas.openxmlformats.org/officeDocument/2006/relationships/footnotes" Target="footnotes.xml"/>
  <Relationship Id="rId30" Type="http://schemas.openxmlformats.org/officeDocument/2006/relationships/header" Target="header14.xml"/>
  <Relationship Id="rId31" Type="http://schemas.openxmlformats.org/officeDocument/2006/relationships/footer" Target="footer13.xml"/>
  <Relationship Id="rId32" Type="http://schemas.openxmlformats.org/officeDocument/2006/relationships/footer" Target="footer14.xml"/>
  <Relationship Id="rId33" Type="http://schemas.openxmlformats.org/officeDocument/2006/relationships/header" Target="header15.xml"/>
  <Relationship Id="rId34" Type="http://schemas.openxmlformats.org/officeDocument/2006/relationships/footer" Target="footer15.xml"/>
  <Relationship Id="rId35" Type="http://schemas.openxmlformats.org/officeDocument/2006/relationships/hyperlink" TargetMode="External" Target="https://www.e-tar.lt/portal/lt/legalAct/TAR.44235B485568"/>
  <Relationship Id="rId36" Type="http://schemas.openxmlformats.org/officeDocument/2006/relationships/hyperlink" TargetMode="External" Target="https://www.e-tar.lt/portal/lt/legalAct/TAR.C2DAB42D5532"/>
  <Relationship Id="rId37" Type="http://schemas.openxmlformats.org/officeDocument/2006/relationships/hyperlink" TargetMode="External" Target="https://www.e-tar.lt/portal/lt/legalAct/TAR.0C5C33AA865C"/>
  <Relationship Id="rId38" Type="http://schemas.openxmlformats.org/officeDocument/2006/relationships/hyperlink" TargetMode="External" Target="https://www.e-tar.lt/portal/lt/legalAct/TAR.9CA9E36B4EA1"/>
  <Relationship Id="rId39" Type="http://schemas.openxmlformats.org/officeDocument/2006/relationships/hyperlink" TargetMode="External" Target="https://www.e-tar.lt/portal/lt/legalAct/TAR.7866845DACE5"/>
  <Relationship Id="rId4" Type="http://schemas.openxmlformats.org/officeDocument/2006/relationships/hyperlink" TargetMode="External" Target="https://www.e-tar.lt/portal/lt/legalAct/TAR.0C5C33AA865C"/>
  <Relationship Id="rId40" Type="http://schemas.openxmlformats.org/officeDocument/2006/relationships/hyperlink" TargetMode="External" Target="https://www.e-tar.lt/portal/lt/legalAct/TAR.FC7AB69BE291"/>
  <Relationship Id="rId41" Type="http://schemas.openxmlformats.org/officeDocument/2006/relationships/hyperlink" TargetMode="External" Target="https://www.e-tar.lt/portal/lt/legalAct/TAR.74733D7DB1CF"/>
  <Relationship Id="rId42" Type="http://schemas.openxmlformats.org/officeDocument/2006/relationships/hyperlink" TargetMode="External" Target="https://www.e-tar.lt/portal/lt/legalAct/TAR.A612F2BB3860"/>
  <Relationship Id="rId43" Type="http://schemas.openxmlformats.org/officeDocument/2006/relationships/hyperlink" TargetMode="External" Target="https://www.e-tar.lt/portal/lt/legalAct/TAR.CFDCE1D10C07"/>
  <Relationship Id="rId44" Type="http://schemas.openxmlformats.org/officeDocument/2006/relationships/hyperlink" TargetMode="External" Target="https://www.e-tar.lt/portal/lt/legalAct/TAR.2345FADA63B3"/>
  <Relationship Id="rId45" Type="http://schemas.openxmlformats.org/officeDocument/2006/relationships/image" Target="media/image39.png"/>
  <Relationship Id="rId46" Type="http://schemas.openxmlformats.org/officeDocument/2006/relationships/image" Target="media/image40.png"/>
  <Relationship Id="rId47" Type="http://schemas.openxmlformats.org/officeDocument/2006/relationships/image" Target="media/image41.png"/>
  <Relationship Id="rId48" Type="http://schemas.openxmlformats.org/officeDocument/2006/relationships/image" Target="media/image42.png"/>
  <Relationship Id="rId49" Type="http://schemas.openxmlformats.org/officeDocument/2006/relationships/image" Target="media/image43.png"/>
  <Relationship Id="rId5" Type="http://schemas.openxmlformats.org/officeDocument/2006/relationships/hyperlink" TargetMode="External" Target="https://www.e-tar.lt/portal/lt/legalAct/TAR.2345FADA63B3"/>
  <Relationship Id="rId50" Type="http://schemas.openxmlformats.org/officeDocument/2006/relationships/image" Target="media/image44.png"/>
  <Relationship Id="rId51" Type="http://schemas.openxmlformats.org/officeDocument/2006/relationships/image" Target="media/image45.png"/>
  <Relationship Id="rId52" Type="http://schemas.openxmlformats.org/officeDocument/2006/relationships/image" Target="media/image46.png"/>
  <Relationship Id="rId53" Type="http://schemas.openxmlformats.org/officeDocument/2006/relationships/image" Target="media/image47.png"/>
  <Relationship Id="rId54" Type="http://schemas.openxmlformats.org/officeDocument/2006/relationships/image" Target="media/image48.png"/>
  <Relationship Id="rId55" Type="http://schemas.openxmlformats.org/officeDocument/2006/relationships/image" Target="media/image49.png"/>
  <Relationship Id="rId56" Type="http://schemas.openxmlformats.org/officeDocument/2006/relationships/image" Target="media/image50.png"/>
  <Relationship Id="rId57" Type="http://schemas.openxmlformats.org/officeDocument/2006/relationships/image" Target="media/image51.png"/>
  <Relationship Id="rId58" Type="http://schemas.openxmlformats.org/officeDocument/2006/relationships/image" Target="media/image52.png"/>
  <Relationship Id="rId59" Type="http://schemas.openxmlformats.org/officeDocument/2006/relationships/image" Target="media/image53.png"/>
  <Relationship Id="rId6" Type="http://schemas.openxmlformats.org/officeDocument/2006/relationships/hyperlink" TargetMode="External" Target="https://www.e-tar.lt/portal/lt/legalAct/TAR.44235B485568"/>
  <Relationship Id="rId7" Type="http://schemas.openxmlformats.org/officeDocument/2006/relationships/hyperlink" TargetMode="External" Target="https://www.e-tar.lt/portal/lt/legalAct/TAR.9CA9E36B4EA1"/>
  <Relationship Id="rId8" Type="http://schemas.openxmlformats.org/officeDocument/2006/relationships/hyperlink" TargetMode="External" Target="https://www.e-tar.lt/portal/lt/legalAct/TAR.CFDCE1D10C07"/>
  <Relationship Id="rId9" Type="http://schemas.openxmlformats.org/officeDocument/2006/relationships/hyperlink" TargetMode="External" Target="https://www.e-tar.lt/portal/lt/legalAct/TAR.FC7AB69BE291"/>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32</TotalTime>
  <Pages>27</Pages>
  <Words>51747</Words>
  <Characters>29497</Characters>
  <Application>Microsoft Office Word</Application>
  <DocSecurity>0</DocSecurity>
  <Lines>245</Lines>
  <Paragraphs>162</Paragraphs>
  <ScaleCrop>false</ScaleCrop>
  <Company>Teisines informacijos centras</Company>
  <LinksUpToDate>false</LinksUpToDate>
  <CharactersWithSpaces>81082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2015-06-29T19:37:00Z</dcterms:created>
  <dc:creator>Sandra</dc:creator>
  <lastModifiedBy>GUMBYTĖ Danguolė</lastModifiedBy>
  <dcterms:modified xsi:type="dcterms:W3CDTF">2018-04-16T11:41:00Z</dcterms:modified>
  <revision>23</revision>
  <dc:title>VALSTYBINĖS KAINŲ IR ENERGETIKOS KONTROLĖS KOMISIJOS</dc:title>
</coreProperties>
</file>