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7CC40DED4F01">
        <w:r w:rsidRPr="00532B9F">
          <w:rPr>
            <w:rFonts w:ascii="Times New Roman" w:eastAsia="MS Mincho" w:hAnsi="Times New Roman"/>
            <w:sz w:val="20"/>
            <w:i/>
            <w:iCs/>
            <w:color w:val="0000FF" w:themeColor="hyperlink"/>
            <w:u w:val="single"/>
          </w:rPr>
          <w:t>100-4493</w:t>
        </w:r>
      </w:fldSimple>
      <w:r>
        <w:rPr>
          <w:rFonts w:ascii="Times New Roman" w:eastAsia="MS Mincho" w:hAnsi="Times New Roman"/>
          <w:sz w:val="20"/>
          <w:i/>
          <w:iCs/>
        </w:rPr>
        <w:t>, i. k. 1031100NUTA00001313</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8" o:title=""/>
          </v:shape>
          <w:control r:id="rId19" w:name="Control 4" w:shapeid="_x0000_s1028"/>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PAPILDYMO</w:t>
      </w:r>
    </w:p>
    <w:p>
      <w:pPr>
        <w:jc w:val="center"/>
      </w:pPr>
    </w:p>
    <w:p>
      <w:pPr>
        <w:jc w:val="center"/>
      </w:pPr>
      <w:r>
        <w:t>2003 m. spalio 21 d. Nr. 1313</w:t>
      </w:r>
    </w:p>
    <w:p>
      <w:pPr>
        <w:jc w:val="center"/>
      </w:pPr>
      <w: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hyperlink r:id="rId20" w:tgtFrame="_blank" w:history="1">
        <w:r>
          <w:rPr>
            <w:color w:val="0000FF" w:themeColor="hyperlink"/>
            <w:u w:val="single"/>
          </w:rPr>
          <w:t>108-3463</w:t>
        </w:r>
      </w:hyperlink>
      <w:r>
        <w:rPr>
          <w:color w:val="000000"/>
        </w:rPr>
        <w:t xml:space="preserve">; 2002, Nr. </w:t>
      </w:r>
      <w:hyperlink r:id="rId21" w:tgtFrame="_blank" w:history="1">
        <w:r>
          <w:rPr>
            <w:color w:val="0000FF" w:themeColor="hyperlink"/>
            <w:u w:val="single"/>
          </w:rPr>
          <w:t>93-3987</w:t>
        </w:r>
      </w:hyperlink>
      <w:r>
        <w:rPr>
          <w:color w:val="000000"/>
        </w:rPr>
        <w:t xml:space="preserve">; 2003, Nr. </w:t>
      </w:r>
      <w:hyperlink r:id="rId22" w:tgtFrame="_blank" w:history="1">
        <w:r>
          <w:rPr>
            <w:color w:val="0000FF" w:themeColor="hyperlink"/>
            <w:u w:val="single"/>
          </w:rPr>
          <w:t>57-2551</w:t>
        </w:r>
      </w:hyperlink>
      <w:r>
        <w:rPr>
          <w:color w:val="000000"/>
        </w:rPr>
        <w:t>), šiais 4.285</w:t>
      </w:r>
      <w:r>
        <w:rPr>
          <w:color w:val="000000"/>
          <w:vertAlign w:val="superscript"/>
        </w:rPr>
        <w:t>6</w:t>
      </w:r>
      <w:r>
        <w:rPr>
          <w:color w:val="000000"/>
        </w:rPr>
        <w:t>–4.285</w:t>
      </w:r>
      <w:r>
        <w:rPr>
          <w:color w:val="000000"/>
          <w:vertAlign w:val="superscript"/>
        </w:rPr>
        <w:t>14</w:t>
      </w:r>
      <w:r>
        <w:rPr>
          <w:color w:val="000000"/>
        </w:rPr>
        <w:t xml:space="preserve"> punktais:</w:t>
      </w:r>
    </w:p>
    <w:tbl>
      <w:tblPr>
        <w:tblW w:w="0" w:type="auto"/>
        <w:tblLook w:val="01E0" w:firstRow="1" w:lastRow="1" w:firstColumn="1" w:lastColumn="1" w:noHBand="0" w:noVBand="0"/>
      </w:tblPr>
      <w:tblGrid>
        <w:gridCol w:w="1704"/>
        <w:gridCol w:w="6782"/>
        <w:gridCol w:w="1368"/>
      </w:tblGrid>
      <w:tr>
        <w:trPr>
          <w:trHeight w:val="825"/>
        </w:trPr>
        <w:tc>
          <w:tcPr>
            <w:tcW w:w="1704" w:type="dxa"/>
          </w:tcPr>
          <w:p>
            <w:pPr>
              <w:ind w:firstLine="684"/>
              <w:rPr>
                <w:color w:val="000000"/>
              </w:rPr>
            </w:pPr>
            <w:r>
              <w:rPr>
                <w:color w:val="000000"/>
              </w:rPr>
              <w:t>„4.285</w:t>
            </w:r>
            <w:r>
              <w:rPr>
                <w:color w:val="000000"/>
                <w:vertAlign w:val="superscript"/>
              </w:rPr>
              <w:t>6</w:t>
            </w:r>
            <w:r>
              <w:rPr>
                <w:color w:val="000000"/>
              </w:rPr>
              <w:t xml:space="preserve">. </w:t>
            </w:r>
          </w:p>
        </w:tc>
        <w:tc>
          <w:tcPr>
            <w:tcW w:w="6782" w:type="dxa"/>
          </w:tcPr>
          <w:p>
            <w:pPr>
              <w:rPr>
                <w:color w:val="000000"/>
              </w:rPr>
            </w:pPr>
            <w:r>
              <w:rPr>
                <w:color w:val="000000"/>
              </w:rPr>
              <w:t>geležinkelio įmonių, vežančių keleivius vietiniais ir (ar) tarptautiniais maršrutais, saugos sertifikato išdavimą</w:t>
            </w:r>
          </w:p>
        </w:tc>
        <w:tc>
          <w:tcPr>
            <w:tcW w:w="1368" w:type="dxa"/>
          </w:tcPr>
          <w:p>
            <w:pPr>
              <w:rPr>
                <w:color w:val="000000"/>
              </w:rPr>
            </w:pPr>
            <w:r>
              <w:rPr>
                <w:color w:val="000000"/>
              </w:rPr>
              <w:t>2400 litų</w:t>
            </w:r>
          </w:p>
        </w:tc>
      </w:tr>
      <w:tr>
        <w:trPr>
          <w:trHeight w:val="1110"/>
        </w:trPr>
        <w:tc>
          <w:tcPr>
            <w:tcW w:w="1704" w:type="dxa"/>
          </w:tcPr>
          <w:p>
            <w:pPr>
              <w:ind w:firstLine="684"/>
              <w:rPr>
                <w:color w:val="000000"/>
              </w:rPr>
            </w:pPr>
            <w:r>
              <w:rPr>
                <w:color w:val="000000"/>
              </w:rPr>
              <w:t>4.285</w:t>
            </w:r>
            <w:r>
              <w:rPr>
                <w:color w:val="000000"/>
                <w:vertAlign w:val="superscript"/>
              </w:rPr>
              <w:t>8</w:t>
            </w:r>
            <w:r>
              <w:rPr>
                <w:color w:val="000000"/>
              </w:rPr>
              <w:t xml:space="preserve">. </w:t>
            </w:r>
          </w:p>
        </w:tc>
        <w:tc>
          <w:tcPr>
            <w:tcW w:w="6782" w:type="dxa"/>
          </w:tcPr>
          <w:p>
            <w:pPr>
              <w:rPr>
                <w:color w:val="000000"/>
              </w:rPr>
            </w:pPr>
            <w:r>
              <w:rPr>
                <w:color w:val="000000"/>
              </w:rPr>
              <w:t>geležinkelio įmonių, vežančių keleivius vietiniais ir (ar) tarptautiniais maršrutais, naujo saugos sertifikato išdavimą grąžinus turimą saugos sertifikatą</w:t>
            </w:r>
          </w:p>
        </w:tc>
        <w:tc>
          <w:tcPr>
            <w:tcW w:w="1368" w:type="dxa"/>
          </w:tcPr>
          <w:p>
            <w:pPr>
              <w:rPr>
                <w:color w:val="000000"/>
              </w:rPr>
            </w:pPr>
            <w:r>
              <w:rPr>
                <w:color w:val="000000"/>
              </w:rPr>
              <w:t>200 litų</w:t>
            </w:r>
          </w:p>
        </w:tc>
      </w:tr>
      <w:tr>
        <w:trPr>
          <w:trHeight w:val="825"/>
        </w:trPr>
        <w:tc>
          <w:tcPr>
            <w:tcW w:w="1704" w:type="dxa"/>
          </w:tcPr>
          <w:p>
            <w:pPr>
              <w:ind w:firstLine="684"/>
              <w:rPr>
                <w:color w:val="000000"/>
              </w:rPr>
            </w:pPr>
            <w:r>
              <w:rPr>
                <w:color w:val="000000"/>
              </w:rPr>
              <w:t>4.285</w:t>
            </w:r>
            <w:r>
              <w:rPr>
                <w:color w:val="000000"/>
                <w:vertAlign w:val="superscript"/>
              </w:rPr>
              <w:t>9</w:t>
            </w:r>
            <w:r>
              <w:rPr>
                <w:color w:val="000000"/>
              </w:rPr>
              <w:t xml:space="preserve">. </w:t>
            </w:r>
          </w:p>
        </w:tc>
        <w:tc>
          <w:tcPr>
            <w:tcW w:w="6782" w:type="dxa"/>
          </w:tcPr>
          <w:p>
            <w:pPr>
              <w:rPr>
                <w:color w:val="000000"/>
              </w:rPr>
            </w:pPr>
            <w:r>
              <w:rPr>
                <w:color w:val="000000"/>
              </w:rPr>
              <w:t>geležinkelio įmonių, vežančių krovinius vietiniais ir (ar) tarptautiniais maršrutais, saugos sertifikato išdavimą</w:t>
            </w:r>
          </w:p>
        </w:tc>
        <w:tc>
          <w:tcPr>
            <w:tcW w:w="1368" w:type="dxa"/>
          </w:tcPr>
          <w:p>
            <w:pPr>
              <w:rPr>
                <w:color w:val="000000"/>
              </w:rPr>
            </w:pPr>
            <w:r>
              <w:rPr>
                <w:color w:val="000000"/>
              </w:rPr>
              <w:t>2400 litų</w:t>
            </w:r>
          </w:p>
        </w:tc>
      </w:tr>
      <w:tr>
        <w:trPr>
          <w:trHeight w:val="1110"/>
        </w:trPr>
        <w:tc>
          <w:tcPr>
            <w:tcW w:w="1704" w:type="dxa"/>
          </w:tcPr>
          <w:p>
            <w:pPr>
              <w:ind w:firstLine="684"/>
              <w:rPr>
                <w:color w:val="000000"/>
              </w:rPr>
            </w:pPr>
            <w:r>
              <w:rPr>
                <w:color w:val="000000"/>
              </w:rPr>
              <w:t>4.285</w:t>
            </w:r>
            <w:r>
              <w:rPr>
                <w:color w:val="000000"/>
                <w:vertAlign w:val="superscript"/>
              </w:rPr>
              <w:t>11</w:t>
            </w:r>
            <w:r>
              <w:rPr>
                <w:color w:val="000000"/>
              </w:rPr>
              <w:t xml:space="preserve">. </w:t>
            </w:r>
          </w:p>
        </w:tc>
        <w:tc>
          <w:tcPr>
            <w:tcW w:w="6782" w:type="dxa"/>
          </w:tcPr>
          <w:p>
            <w:pPr>
              <w:rPr>
                <w:color w:val="000000"/>
              </w:rPr>
            </w:pPr>
            <w:r>
              <w:rPr>
                <w:color w:val="000000"/>
              </w:rPr>
              <w:t>geležinkelio įmonių, vežančių krovinius vietiniais ir (ar) tarptautiniais maršrutais, naujo saugos sertifikato išdavimą grąžinus turimą saugos sertifikatą</w:t>
            </w:r>
          </w:p>
        </w:tc>
        <w:tc>
          <w:tcPr>
            <w:tcW w:w="1368" w:type="dxa"/>
          </w:tcPr>
          <w:p>
            <w:pPr>
              <w:rPr>
                <w:color w:val="000000"/>
              </w:rPr>
            </w:pPr>
            <w:r>
              <w:rPr>
                <w:color w:val="000000"/>
              </w:rPr>
              <w:t>200 litų</w:t>
            </w:r>
          </w:p>
        </w:tc>
      </w:tr>
      <w:tr>
        <w:trPr>
          <w:trHeight w:val="1110"/>
        </w:trPr>
        <w:tc>
          <w:tcPr>
            <w:tcW w:w="1704" w:type="dxa"/>
          </w:tcPr>
          <w:p>
            <w:pPr>
              <w:ind w:firstLine="684"/>
              <w:rPr>
                <w:color w:val="000000"/>
              </w:rPr>
            </w:pPr>
            <w:r>
              <w:rPr>
                <w:color w:val="000000"/>
              </w:rPr>
              <w:t>4.285</w:t>
            </w:r>
            <w:r>
              <w:rPr>
                <w:color w:val="000000"/>
                <w:vertAlign w:val="superscript"/>
              </w:rPr>
              <w:t>12</w:t>
            </w:r>
            <w:r>
              <w:rPr>
                <w:color w:val="000000"/>
              </w:rPr>
              <w:t xml:space="preserve">. </w:t>
            </w:r>
          </w:p>
        </w:tc>
        <w:tc>
          <w:tcPr>
            <w:tcW w:w="6782" w:type="dxa"/>
          </w:tcPr>
          <w:p>
            <w:pPr>
              <w:rPr>
                <w:color w:val="000000"/>
              </w:rPr>
            </w:pPr>
            <w:r>
              <w:rPr>
                <w:color w:val="000000"/>
              </w:rPr>
              <w:t>geležinkelio valdytojo, eksploatuojančio viešojo naudojimo geležinkelius ir teikiančio su tuo susijusias paslaugas geležinkelio įmonėms, saugos sertifikato išdavimą</w:t>
            </w:r>
          </w:p>
        </w:tc>
        <w:tc>
          <w:tcPr>
            <w:tcW w:w="1368" w:type="dxa"/>
          </w:tcPr>
          <w:p>
            <w:pPr>
              <w:rPr>
                <w:color w:val="000000"/>
              </w:rPr>
            </w:pPr>
            <w:r>
              <w:rPr>
                <w:color w:val="000000"/>
              </w:rPr>
              <w:t>2400 litų</w:t>
            </w:r>
          </w:p>
        </w:tc>
      </w:tr>
      <w:tr>
        <w:trPr>
          <w:trHeight w:val="1380"/>
        </w:trPr>
        <w:tc>
          <w:tcPr>
            <w:tcW w:w="1704" w:type="dxa"/>
          </w:tcPr>
          <w:p>
            <w:pPr>
              <w:ind w:firstLine="684"/>
              <w:rPr>
                <w:color w:val="000000"/>
              </w:rPr>
            </w:pPr>
            <w:r>
              <w:rPr>
                <w:color w:val="000000"/>
              </w:rPr>
              <w:t>4.285</w:t>
            </w:r>
            <w:r>
              <w:rPr>
                <w:color w:val="000000"/>
                <w:vertAlign w:val="superscript"/>
              </w:rPr>
              <w:t>14</w:t>
            </w:r>
            <w:r>
              <w:rPr>
                <w:color w:val="000000"/>
              </w:rPr>
              <w:t xml:space="preserve">. </w:t>
            </w:r>
          </w:p>
        </w:tc>
        <w:tc>
          <w:tcPr>
            <w:tcW w:w="6782" w:type="dxa"/>
          </w:tcPr>
          <w:p>
            <w:pPr>
              <w:rPr>
                <w:color w:val="000000"/>
              </w:rPr>
            </w:pPr>
            <w:r>
              <w:rPr>
                <w:color w:val="000000"/>
              </w:rPr>
              <w:t>geležinkelio valdytojo, eksploatuojančio viešojo naudojimo geležinkelius ir teikiančio su tuo susijusias paslaugas geležinkelio įmonėms, naujo saugos sertifikato išdavimą grąžinus turimą saugos sertifikatą</w:t>
            </w:r>
          </w:p>
        </w:tc>
        <w:tc>
          <w:tcPr>
            <w:tcW w:w="1368" w:type="dxa"/>
          </w:tcPr>
          <w:p>
            <w:pPr>
              <w:rPr>
                <w:color w:val="000000"/>
              </w:rPr>
            </w:pPr>
            <w:r>
              <w:rPr>
                <w:color w:val="000000"/>
              </w:rPr>
              <w:t>200 litų“.</w:t>
            </w:r>
          </w:p>
        </w:tc>
      </w:tr>
    </w:tbl>
    <w:p>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779EADD7B1">
        <w:r w:rsidRPr="00532B9F">
          <w:rPr>
            <w:rFonts w:ascii="Times New Roman" w:eastAsia="MS Mincho" w:hAnsi="Times New Roman"/>
            <w:sz w:val="20"/>
            <w:i/>
            <w:iCs/>
            <w:color w:val="0000FF" w:themeColor="hyperlink"/>
            <w:u w:val="single"/>
          </w:rPr>
          <w:t>692</w:t>
        </w:r>
      </w:fldSimple>
      <w:r>
        <w:rPr>
          <w:rFonts w:ascii="Times New Roman" w:eastAsia="MS Mincho" w:hAnsi="Times New Roman"/>
          <w:sz w:val="20"/>
          <w:i/>
          <w:iCs/>
        </w:rPr>
        <w:t>,
2012-06-13,
Žin., 2012, Nr.
67-3421 (2012-06-16), i. k. 1121100NUTA00000692            </w:t>
      </w:r>
    </w:p>
    <w:p/>
    <w:p>
      <w:pPr>
        <w:ind w:firstLine="708"/>
        <w:rPr>
          <w:color w:val="000000"/>
        </w:rPr>
      </w:pPr>
      <w:r>
        <w:rPr>
          <w:color w:val="000000"/>
        </w:rPr>
        <w:t>2</w:t>
      </w:r>
      <w:r>
        <w:rPr>
          <w:color w:val="000000"/>
        </w:rPr>
        <w:t>. Šis nutarimas įsigalioja nuo 2004 m. sausio 1 dienos.</w:t>
      </w:r>
    </w:p>
    <w:p>
      <w:pPr>
        <w:ind w:firstLine="708"/>
      </w:pPr>
    </w:p>
    <w:p>
      <w:pPr>
        <w:ind w:firstLine="708"/>
      </w:pPr>
    </w:p>
    <w:p>
      <w:pPr>
        <w:tabs>
          <w:tab w:val="right" w:pos="9639"/>
        </w:tabs>
      </w:pPr>
      <w:r>
        <w:t>MINISTRĄ PIRMININKĄ</w:t>
      </w:r>
    </w:p>
    <w:p>
      <w:pPr>
        <w:tabs>
          <w:tab w:val="right" w:pos="9639"/>
        </w:tabs>
      </w:pPr>
      <w:r>
        <w:t>PAVADUOJANTI FINANSŲ MINISTRĖ</w:t>
        <w:tab/>
        <w:t>DALIA GRYBAUSKAITĖ</w:t>
      </w: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0779EADD7B1">
        <w:r w:rsidRPr="00532B9F">
          <w:rPr>
            <w:rFonts w:ascii="Times New Roman" w:eastAsia="MS Mincho" w:hAnsi="Times New Roman"/>
            <w:sz w:val="20"/>
            <w:iCs/>
            <w:color w:val="0000FF" w:themeColor="hyperlink"/>
            <w:u w:val="single"/>
          </w:rPr>
          <w:t>692</w:t>
        </w:r>
      </w:fldSimple>
      <w:r>
        <w:rPr>
          <w:rFonts w:ascii="Times New Roman" w:eastAsia="MS Mincho" w:hAnsi="Times New Roman"/>
          <w:sz w:val="20"/>
          <w:iCs/>
        </w:rPr>
        <w:t>,
2012-06-13,
Žin., 2012, Nr.
67-3421 (2012-06-16), i. k. 1121100NUTA00000692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FCB4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1A73825C6E0D"/>
  <Relationship Id="rId11" Type="http://schemas.openxmlformats.org/officeDocument/2006/relationships/hyperlink" TargetMode="External" Target="https://www.e-tar.lt/portal/lt/legalAct/TAR.B09D9653141A"/>
  <Relationship Id="rId12" Type="http://schemas.openxmlformats.org/officeDocument/2006/relationships/hyperlink" TargetMode="External" Target="https://www.e-tar.lt/portal/lt/legalAct/TAR.E3A145C8DD49"/>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2.wmf"/>
  <Relationship Id="rId19" Type="http://schemas.openxmlformats.org/officeDocument/2006/relationships/control" Target="activeX/activeX2.xml"/>
  <Relationship Id="rId2" Type="http://schemas.openxmlformats.org/officeDocument/2006/relationships/header" Target="header5.xml"/>
  <Relationship Id="rId20" Type="http://schemas.openxmlformats.org/officeDocument/2006/relationships/hyperlink" TargetMode="External" Target="https://www.e-tar.lt/portal/lt/legalAct/TAR.E3A145C8DD49"/>
  <Relationship Id="rId21" Type="http://schemas.openxmlformats.org/officeDocument/2006/relationships/hyperlink" TargetMode="External" Target="https://www.e-tar.lt/portal/lt/legalAct/TAR.B09D9653141A"/>
  <Relationship Id="rId22" Type="http://schemas.openxmlformats.org/officeDocument/2006/relationships/hyperlink" TargetMode="External" Target="https://www.e-tar.lt/portal/lt/legalAct/TAR.1A73825C6E0D"/>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Pages>
  <Words>2728</Words>
  <Characters>1556</Characters>
  <Application>Microsoft Office Word</Application>
  <DocSecurity>0</DocSecurity>
  <Lines>12</Lines>
  <Paragraphs>8</Paragraphs>
  <ScaleCrop>false</ScaleCrop>
  <Company/>
  <LinksUpToDate>false</LinksUpToDate>
  <CharactersWithSpaces>4276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2015-09-11T23:35:00Z</dcterms:created>
  <dc:creator>Win2003Stdx32</dc:creator>
  <lastModifiedBy>BODIN Aušra</lastModifiedBy>
  <dcterms:modified xsi:type="dcterms:W3CDTF">2018-03-28T08:28:00Z</dcterms:modified>
  <revision>7</revision>
</coreProperties>
</file>