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2020-01-17 iki 2021-01-30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012ED3EA143">
        <w:r w:rsidRPr="00532B9F">
          <w:rPr>
            <w:rFonts w:ascii="Times New Roman" w:eastAsia="MS Mincho" w:hAnsi="Times New Roman"/>
            <w:sz w:val="20"/>
            <w:i/>
            <w:iCs/>
            <w:color w:val="0000FF" w:themeColor="hyperlink"/>
            <w:u w:val="single"/>
          </w:rPr>
          <w:t>112-5274</w:t>
        </w:r>
      </w:fldSimple>
      <w:r>
        <w:rPr>
          <w:rFonts w:ascii="Times New Roman" w:eastAsia="MS Mincho" w:hAnsi="Times New Roman"/>
          <w:sz w:val="20"/>
          <w:i/>
          <w:iCs/>
        </w:rPr>
        <w:t>, i. k. 1112250ISAK4/A1-389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2018-08-21:</w:t>
      </w:r>
    </w:p>
    <w:p>
      <w:pPr>
        <w:rPr>
          <w:rFonts w:ascii="Times New Roman" w:hAnsi="Times New Roman"/>
          <w:sz w:val="20"/>
          <w:i/>
        </w:rPr>
      </w:pPr>
      <w:r>
        <w:rPr>
          <w:rFonts w:ascii="Times New Roman" w:hAnsi="Times New Roman"/>
          <w:sz w:val="20"/>
          <w:i/>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Pr>
        <w:rPr>
          <w:rFonts w:ascii="Times New Roman" w:hAnsi="Times New Roman"/>
          <w:sz w:val="22"/>
        </w:rPr>
      </w:pPr>
    </w:p>
    <w:p>
      <w:pPr>
        <w:jc w:val="center"/>
        <w:rPr>
          <w:szCs w:val="24"/>
        </w:rPr>
      </w:pPr>
      <w:r>
        <w:rPr>
          <w:b/>
          <w:szCs w:val="24"/>
        </w:rPr>
        <w:t>LIETUVOS RESPUBLIKOS SVEIKATOS APSAUGOS MINISTRAS</w:t>
      </w:r>
    </w:p>
    <w:p>
      <w:pPr>
        <w:jc w:val="center"/>
        <w:rPr>
          <w:szCs w:val="24"/>
        </w:rPr>
      </w:pPr>
    </w:p>
    <w:p>
      <w:pPr>
        <w:jc w:val="center"/>
        <w:rPr>
          <w:b/>
          <w:szCs w:val="24"/>
        </w:rPr>
      </w:pPr>
      <w:r>
        <w:rPr>
          <w:b/>
          <w:szCs w:val="24"/>
        </w:rPr>
        <w:t>LIETUVOS RESPUBLIKOS SOCIALINĖS APSAUGOS IR DARBO MINISTRAS</w:t>
      </w:r>
    </w:p>
    <w:p>
      <w:pPr>
        <w:jc w:val="center"/>
        <w:rPr>
          <w:szCs w:val="24"/>
        </w:rPr>
      </w:pPr>
    </w:p>
    <w:p>
      <w:pPr>
        <w:jc w:val="center"/>
        <w:rPr>
          <w:b/>
          <w:szCs w:val="24"/>
        </w:rPr>
      </w:pPr>
      <w:r>
        <w:rPr>
          <w:b/>
          <w:szCs w:val="24"/>
        </w:rPr>
        <w:t>ĮSAKYMAS</w:t>
      </w:r>
    </w:p>
    <w:p>
      <w:pPr>
        <w:jc w:val="center"/>
        <w:rPr>
          <w:b/>
          <w:szCs w:val="24"/>
        </w:rPr>
      </w:pPr>
      <w:r>
        <w:rPr>
          <w:b/>
          <w:szCs w:val="24"/>
        </w:rPr>
        <w:t>DĖL LIETUVOS HIGIENOS NORMOS HN 23:2011 „CHEMINIŲ MEDŽIAGŲ PROFESINIO POVEIKIO RIBINIAI DYDŽIAI. MATAVIMO IR POVEIKIO VERTINIMO BENDRIEJI REIKALAVIMAI“ PATVIRTINIMO</w:t>
      </w:r>
    </w:p>
    <w:p>
      <w:pPr>
        <w:jc w:val="center"/>
        <w:rPr>
          <w:b/>
          <w:szCs w:val="24"/>
        </w:rPr>
      </w:pPr>
    </w:p>
    <w:p>
      <w:pPr>
        <w:jc w:val="center"/>
        <w:rPr>
          <w:color w:val="000000"/>
        </w:rPr>
      </w:pPr>
      <w:r>
        <w:rPr>
          <w:color w:val="000000"/>
        </w:rPr>
        <w:t>2011 m. rugsėjo 1 d. Nr. V-824/A1-389</w:t>
      </w:r>
    </w:p>
    <w:p>
      <w:pPr>
        <w:jc w:val="center"/>
        <w:rPr>
          <w:color w:val="000000"/>
        </w:rPr>
      </w:pPr>
      <w:r>
        <w:rPr>
          <w:color w:val="000000"/>
        </w:rPr>
        <w:t>Vilnius</w:t>
      </w:r>
    </w:p>
    <w:p>
      <w:pPr>
        <w:jc w:val="center"/>
        <w:rPr>
          <w:szCs w:val="24"/>
        </w:rPr>
      </w:pPr>
    </w:p>
    <w:p>
      <w:pPr>
        <w:ind w:firstLine="720"/>
        <w:jc w:val="both"/>
        <w:rPr>
          <w:szCs w:val="24"/>
        </w:rPr>
      </w:pPr>
    </w:p>
    <w:p>
      <w:pPr>
        <w:widowControl w:val="0"/>
        <w:suppressAutoHyphens/>
        <w:ind w:firstLine="720"/>
        <w:jc w:val="both"/>
        <w:rPr>
          <w:color w:val="000000"/>
          <w:szCs w:val="24"/>
        </w:rPr>
      </w:pPr>
      <w:r>
        <w:rPr>
          <w:color w:val="000000"/>
          <w:spacing w:val="-3"/>
          <w:szCs w:val="24"/>
        </w:rPr>
        <w:t xml:space="preserve">Siekdami gerinti darbuotojų saugą ir sveikatą ir įgyvendindami </w:t>
      </w:r>
      <w:r>
        <w:rPr>
          <w:bCs/>
          <w:szCs w:val="24"/>
        </w:rPr>
        <w:t>1991 m. gegužės 29 d. Komisijos direktyvos 91/322/EEB dėl orientacinių ribinių verčių nustatymo, įgyvendinant Tarybos direktyvą 80/1107/EEB dėl darbuotojų apsaugos nuo pavojingo cheminių, fizinių ir biologinių veiksnių poveikio darbe (OL </w:t>
      </w:r>
      <w:r>
        <w:rPr>
          <w:bCs/>
          <w:i/>
          <w:szCs w:val="24"/>
        </w:rPr>
        <w:t>2004 m. specialusis leidimas,</w:t>
      </w:r>
      <w:r>
        <w:rPr>
          <w:bCs/>
          <w:szCs w:val="24"/>
        </w:rPr>
        <w:t xml:space="preserve"> 5 skyrius, 1 tomas, p. 412), 2000 m. birželio 8 d. Komisijos direktyvos 2000/39/EB, nustatančios pirmąjį orientacinių profesinio poveikio ribinių dydžių sąrašą, įgyvendinant Tarybos direktyvą 98/24/EB dėl darbuotojų saugos ir sveikatos apsaugos nuo rizikos, susijusios su cheminiais veiksniais darbe (OL </w:t>
      </w:r>
      <w:r>
        <w:rPr>
          <w:bCs/>
          <w:i/>
          <w:szCs w:val="24"/>
        </w:rPr>
        <w:t>2004 m. specialusis leidimas</w:t>
      </w:r>
      <w:r>
        <w:rPr>
          <w:bCs/>
          <w:szCs w:val="24"/>
        </w:rPr>
        <w:t xml:space="preserve">, 5 skyrius, 3 tomas, p. 432), 2006 m. vasario 7 d. Komisijos direktyvos 2006/15/EB, nustatančios antrąjį orientacinių profesinio poveikio ribinių verčių sąrašą, įgyvendinant Tarybos direktyvą 98/24/EB, ir iš dalies keičiančios direktyvas 91/322/EEB ir 2000/39/EB (OL 2006 L 38, p. 36), </w:t>
      </w:r>
      <w:r>
        <w:rPr>
          <w:szCs w:val="24"/>
        </w:rPr>
        <w:t xml:space="preserve">2009 m. lapkričio 30 d. Europos Parlamento ir Tarybos direktyvos 2009/148/EB dėl darbuotojų apsaugos nuo rizikos, susijusios su asbesto veikimu darbe (OL 2009 L 330, p. 28), </w:t>
      </w:r>
      <w:r>
        <w:rPr>
          <w:color w:val="000000"/>
          <w:spacing w:val="-3"/>
          <w:szCs w:val="24"/>
        </w:rPr>
        <w:t>2009 m. gruodžio 17 d. Komisijos</w:t>
      </w:r>
      <w:r>
        <w:rPr>
          <w:color w:val="000000"/>
          <w:spacing w:val="-3"/>
          <w:szCs w:val="24"/>
          <w:lang w:val="en-GB"/>
        </w:rPr>
        <w:t xml:space="preserve"> </w:t>
      </w:r>
      <w:r>
        <w:rPr>
          <w:color w:val="000000"/>
          <w:spacing w:val="-3"/>
          <w:szCs w:val="24"/>
        </w:rPr>
        <w:t>direktyvos 2009/161/ES</w:t>
      </w:r>
      <w:r>
        <w:rPr>
          <w:color w:val="000000"/>
          <w:szCs w:val="24"/>
        </w:rPr>
        <w:t xml:space="preserve">, kuria sudaromas trečiasis orientacinių profesinio poveikio ribinių verčių sąrašas, įgyvendinant Tarybos direktyvą 98/24/EB, ir iš dalies keičiama Komisijos direktyva 2000/39/EB (OL 2009 L 338, p. 87), 2017 m. sausio 31 d. Komisijos direktyvos (ES) 2017/164, kuria sudaromas ketvirtasis orientacinių profesinio poveikio ribinių verčių sąrašas pagal Tarybos direktyvą 98/24/EB ir iš dalies keičiamos Komisijos direktyvos 91/322/EEB, 2000/39/EB ir 2009/161/ES (OL 2017 L 27, p. 115), </w:t>
      </w:r>
      <w:r>
        <w:rPr>
          <w:bCs/>
          <w:szCs w:val="24"/>
        </w:rPr>
        <w:t>2017 m. gruodžio 12 d. Europos Parlamento ir Tarybos direktyvos (ES) 2017/2398, kuria iš dalies keičiama Direktyva 2004/37/EB dėl darbuotojų apsaugos nuo rizikos, susijusios su kancerogenų arba mutagenų poveikiu darbe</w:t>
      </w:r>
      <w:r>
        <w:rPr>
          <w:color w:val="000000"/>
          <w:szCs w:val="24"/>
        </w:rPr>
        <w:t xml:space="preserve"> (OL 2017 L 345, p. 87) nuostatas:</w:t>
      </w:r>
    </w:p>
    <w:p>
      <w:pPr>
        <w:widowControl w:val="0"/>
        <w:suppressAutoHyphens/>
        <w:ind w:firstLine="720"/>
        <w:jc w:val="both"/>
        <w:rPr>
          <w:color w:val="000000"/>
          <w:szCs w:val="24"/>
        </w:rPr>
      </w:pPr>
      <w:r>
        <w:rPr>
          <w:color w:val="000000"/>
          <w:szCs w:val="24"/>
        </w:rPr>
        <w:t>1</w:t>
      </w:r>
      <w:r>
        <w:rPr>
          <w:color w:val="000000"/>
          <w:szCs w:val="24"/>
        </w:rPr>
        <w:t xml:space="preserve">. </w:t>
      </w:r>
      <w:r>
        <w:rPr>
          <w:color w:val="000000"/>
          <w:spacing w:val="60"/>
          <w:szCs w:val="24"/>
        </w:rPr>
        <w:t>Tvirtiname</w:t>
      </w:r>
      <w:r>
        <w:rPr>
          <w:color w:val="000000"/>
          <w:szCs w:val="24"/>
        </w:rPr>
        <w:t xml:space="preserve"> Lietuvos higienos normą HN 23:2011 „Cheminių medžiagų profesinio poveikio ribiniai dydžiai. Matavimo ir poveikio vertinimo bendrieji reikalavimai“ (pridedama).</w:t>
      </w:r>
    </w:p>
    <w:p>
      <w:pPr>
        <w:widowControl w:val="0"/>
        <w:suppressAutoHyphens/>
        <w:ind w:firstLine="720"/>
        <w:jc w:val="both"/>
      </w:pPr>
      <w:r>
        <w:rPr>
          <w:color w:val="000000"/>
          <w:szCs w:val="24"/>
        </w:rPr>
        <w:t>2</w:t>
      </w:r>
      <w:r>
        <w:rPr>
          <w:color w:val="000000"/>
          <w:szCs w:val="24"/>
        </w:rPr>
        <w:t xml:space="preserve">. </w:t>
      </w:r>
      <w:r>
        <w:rPr>
          <w:color w:val="000000"/>
          <w:spacing w:val="60"/>
          <w:szCs w:val="24"/>
        </w:rPr>
        <w:t>Pavedame</w:t>
      </w:r>
      <w:r>
        <w:rPr>
          <w:color w:val="000000"/>
          <w:szCs w:val="24"/>
        </w:rPr>
        <w:t xml:space="preserve"> įsakymo vykdymą kontroliuoti sveikatos apsaugos ir socialinės apsaugos ir darbo viceministrams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 xml:space="preserve">SVEIKATOS APSAUGOS MINISTRAS </w:t>
        <w:tab/>
        <w:t>RAIMONDAS ŠUKYS</w:t>
      </w: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SOCIALINĖS APSAUGOS IR DARBO MINISTRAS </w:t>
        <w:tab/>
        <w:t>DONATAS JANKAUSKAS</w:t>
      </w: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60"/>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sveikatos apsaugos </w:t>
      </w:r>
    </w:p>
    <w:p>
      <w:pPr>
        <w:widowControl w:val="0"/>
        <w:suppressAutoHyphens/>
        <w:ind w:left="4535"/>
        <w:rPr>
          <w:color w:val="000000"/>
        </w:rPr>
      </w:pPr>
      <w:r>
        <w:rPr>
          <w:color w:val="000000"/>
        </w:rPr>
        <w:t xml:space="preserve">ministro ir Lietuvos Respublikos </w:t>
      </w:r>
    </w:p>
    <w:p>
      <w:pPr>
        <w:widowControl w:val="0"/>
        <w:suppressAutoHyphens/>
        <w:ind w:left="4535"/>
        <w:rPr>
          <w:color w:val="000000"/>
        </w:rPr>
      </w:pPr>
      <w:r>
        <w:rPr>
          <w:color w:val="000000"/>
        </w:rPr>
        <w:t xml:space="preserve">socialinės apsaugos ir darbo ministro </w:t>
      </w:r>
    </w:p>
    <w:p>
      <w:pPr>
        <w:widowControl w:val="0"/>
        <w:suppressAutoHyphens/>
        <w:ind w:left="4535"/>
        <w:rPr>
          <w:color w:val="000000"/>
          <w:spacing w:val="-1"/>
        </w:rPr>
      </w:pPr>
      <w:r>
        <w:rPr>
          <w:color w:val="000000"/>
        </w:rPr>
        <w:t>2011 m</w:t>
      </w:r>
      <w:r>
        <w:rPr>
          <w:color w:val="000000"/>
          <w:spacing w:val="-1"/>
        </w:rPr>
        <w:t xml:space="preserve">. rugsėjo 1 d. įsakymu </w:t>
      </w:r>
    </w:p>
    <w:p>
      <w:pPr>
        <w:widowControl w:val="0"/>
        <w:suppressAutoHyphens/>
        <w:ind w:left="4535"/>
        <w:rPr>
          <w:color w:val="000000"/>
        </w:rPr>
      </w:pPr>
      <w:r>
        <w:rPr>
          <w:color w:val="000000"/>
          <w:spacing w:val="-1"/>
        </w:rPr>
        <w:t>Nr. V-824/A1-389</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LIETUVOS HIGIENOS NORMA HN 23:2011 </w:t>
        <w:br/>
        <w:t>„CHEMINIŲ MEDŽIAGŲ PROFESINIO POVEIKIO RIBINIAI DYDŽIAI. MATAVIMO IR POVEIKIO VERTINIMO BENDRIEJI REIKALAVIMAI“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1</w:t>
      </w:r>
      <w:r>
        <w:rPr>
          <w:color w:val="000000"/>
        </w:rPr>
        <w:t>. Higienos norma „Cheminių medžiagų profesinio poveikio ribiniai dydžiai. Matavimo ir poveikio vertinimo bendrieji reikalavimai“</w:t>
      </w:r>
      <w:r>
        <w:rPr>
          <w:b/>
          <w:bCs/>
          <w:color w:val="000000"/>
        </w:rPr>
        <w:t xml:space="preserve"> </w:t>
      </w:r>
      <w:r>
        <w:rPr>
          <w:color w:val="000000"/>
        </w:rPr>
        <w:t>(toliau – higienos norma) nustato cheminių medžiagų profesinio poveikio ribinius dydžius, cheminių medžiagų poveikio darbuotojų sveikatai vertinimo, cheminių medžiagų koncentracijų matavimo bendruosius reikalavimus.</w:t>
      </w:r>
    </w:p>
    <w:p>
      <w:pPr>
        <w:widowControl w:val="0"/>
        <w:suppressAutoHyphens/>
        <w:ind w:firstLine="567"/>
        <w:jc w:val="both"/>
        <w:rPr>
          <w:color w:val="000000"/>
        </w:rPr>
      </w:pPr>
      <w:r>
        <w:rPr>
          <w:color w:val="000000"/>
        </w:rPr>
        <w:t>2</w:t>
      </w:r>
      <w:r>
        <w:rPr>
          <w:color w:val="000000"/>
        </w:rPr>
        <w:t>. Higienos norma taikoma vertinant cheminių medžiagų koncentracijas darbo aplinkos ore, siekiant apsaugoti darbuotojus nuo rizikos, susijusios su cheminių medžiagų poveikiu jų sveikatai darbo vietose.</w:t>
      </w:r>
    </w:p>
    <w:p>
      <w:pPr>
        <w:widowControl w:val="0"/>
        <w:suppressAutoHyphens/>
        <w:ind w:firstLine="567"/>
        <w:jc w:val="both"/>
        <w:rPr>
          <w:color w:val="000000"/>
        </w:rPr>
      </w:pPr>
      <w:r>
        <w:rPr>
          <w:color w:val="000000"/>
        </w:rPr>
        <w:t>3</w:t>
      </w:r>
      <w:r>
        <w:rPr>
          <w:color w:val="000000"/>
        </w:rPr>
        <w:t>. Higienos norma turi vadovautis juridiniai ir fiziniai asmenys:</w:t>
      </w:r>
    </w:p>
    <w:p>
      <w:pPr>
        <w:widowControl w:val="0"/>
        <w:suppressAutoHyphens/>
        <w:ind w:firstLine="567"/>
        <w:jc w:val="both"/>
        <w:rPr>
          <w:color w:val="000000"/>
        </w:rPr>
      </w:pPr>
      <w:r>
        <w:rPr>
          <w:color w:val="000000"/>
        </w:rPr>
        <w:t>3.1</w:t>
      </w:r>
      <w:r>
        <w:rPr>
          <w:color w:val="000000"/>
        </w:rPr>
        <w:t>. projektuojantys naujas technologijas, gaminantys ir naudojantys technologinę įrangą, kuri gali daryti įtaką darbo aplinkos oro užterštumui ir darbuotojų sveikatai;</w:t>
      </w:r>
    </w:p>
    <w:p>
      <w:pPr>
        <w:widowControl w:val="0"/>
        <w:suppressAutoHyphens/>
        <w:ind w:firstLine="567"/>
        <w:jc w:val="both"/>
        <w:rPr>
          <w:color w:val="000000"/>
        </w:rPr>
      </w:pPr>
      <w:r>
        <w:rPr>
          <w:color w:val="000000"/>
        </w:rPr>
        <w:t>3.2</w:t>
      </w:r>
      <w:r>
        <w:rPr>
          <w:color w:val="000000"/>
        </w:rPr>
        <w:t>. įrengiantys naujas darbo vietas ir naudojantys darbo vietas, kuriose darbo aplinkos oro užterštumas gali turėti įtakos darbuotojų sveikatai;</w:t>
      </w:r>
    </w:p>
    <w:p>
      <w:pPr>
        <w:widowControl w:val="0"/>
        <w:suppressAutoHyphens/>
        <w:ind w:firstLine="567"/>
        <w:jc w:val="both"/>
        <w:rPr>
          <w:color w:val="000000"/>
          <w:spacing w:val="-3"/>
        </w:rPr>
      </w:pPr>
      <w:r>
        <w:rPr>
          <w:color w:val="000000"/>
          <w:spacing w:val="-3"/>
        </w:rPr>
        <w:t>3.3</w:t>
      </w:r>
      <w:r>
        <w:rPr>
          <w:color w:val="000000"/>
          <w:spacing w:val="-3"/>
        </w:rPr>
        <w:t>. vertinantys ir kontroliuojantys darbo aplinkos oro užterštumą ir jo poveikį darbuotojų sveikatai.</w:t>
      </w:r>
    </w:p>
    <w:p>
      <w:pPr>
        <w:widowControl w:val="0"/>
        <w:suppressAutoHyphens/>
        <w:ind w:firstLine="567"/>
        <w:jc w:val="both"/>
        <w:rPr>
          <w:color w:val="000000"/>
        </w:rPr>
      </w:pPr>
      <w:r>
        <w:rPr>
          <w:color w:val="000000"/>
        </w:rPr>
        <w:t>4</w:t>
      </w:r>
      <w:r>
        <w:rPr>
          <w:color w:val="000000"/>
        </w:rPr>
        <w:t>. Į higienos normos reikalavimus turi būti atsižvelgiama rengiant norminius dokumentus, susijusius su cheminių medžiagų poveikiu darbuotojų sveikatai darbo vietose.</w:t>
      </w:r>
    </w:p>
    <w:p>
      <w:pPr>
        <w:widowControl w:val="0"/>
        <w:suppressAutoHyphens/>
        <w:ind w:firstLine="567"/>
        <w:jc w:val="both"/>
        <w:rPr>
          <w:color w:val="000000"/>
        </w:rPr>
      </w:pPr>
      <w:r>
        <w:rPr>
          <w:color w:val="000000"/>
        </w:rPr>
        <w:t>5</w:t>
      </w:r>
      <w:r>
        <w:rPr>
          <w:color w:val="000000"/>
        </w:rPr>
        <w:t>. Higienos norma netaikoma radioaktyviosioms cheminėms medžiagoms.</w:t>
      </w:r>
    </w:p>
    <w:p>
      <w:pPr>
        <w:widowControl w:val="0"/>
        <w:suppressAutoHyphens/>
        <w:ind w:firstLine="567"/>
        <w:jc w:val="both"/>
        <w:rPr>
          <w:color w:val="000000"/>
        </w:rPr>
      </w:pPr>
    </w:p>
    <w:p>
      <w:pPr>
        <w:jc w:val="center"/>
        <w:rPr>
          <w:szCs w:val="24"/>
        </w:rPr>
      </w:pPr>
      <w:r>
        <w:rPr>
          <w:b/>
          <w:szCs w:val="24"/>
        </w:rPr>
        <w:t>II</w:t>
      </w:r>
      <w:r>
        <w:rPr>
          <w:b/>
          <w:szCs w:val="24"/>
        </w:rPr>
        <w:t xml:space="preserve"> SKYRIUS</w:t>
      </w:r>
    </w:p>
    <w:p>
      <w:pPr>
        <w:jc w:val="center"/>
        <w:rPr>
          <w:b/>
          <w:szCs w:val="24"/>
        </w:rPr>
      </w:pPr>
      <w:r>
        <w:rPr>
          <w:b/>
          <w:szCs w:val="24"/>
        </w:rPr>
        <w:t>NUORODOS</w:t>
      </w:r>
    </w:p>
    <w:p>
      <w:pPr>
        <w:jc w:val="center"/>
        <w:rPr>
          <w:szCs w:val="24"/>
        </w:rPr>
      </w:pPr>
    </w:p>
    <w:p>
      <w:pPr>
        <w:ind w:firstLine="720"/>
        <w:jc w:val="both"/>
        <w:rPr>
          <w:szCs w:val="24"/>
        </w:rPr>
      </w:pPr>
      <w:r>
        <w:rPr>
          <w:szCs w:val="24"/>
        </w:rPr>
        <w:t>6</w:t>
      </w:r>
      <w:r>
        <w:rPr>
          <w:szCs w:val="24"/>
        </w:rPr>
        <w:t>. Teisės aktai, į kuriuos higienos normoje pateikiamos nuorodos:</w:t>
      </w:r>
    </w:p>
    <w:p>
      <w:pPr>
        <w:widowControl w:val="0"/>
        <w:suppressAutoHyphens/>
        <w:ind w:firstLine="567"/>
        <w:jc w:val="both"/>
        <w:rPr>
          <w:szCs w:val="24"/>
        </w:rPr>
      </w:pPr>
      <w:r>
        <w:rPr>
          <w:szCs w:val="24"/>
        </w:rPr>
        <w:t>6.1</w:t>
      </w:r>
      <w:r>
        <w:rPr>
          <w:szCs w:val="24"/>
        </w:rPr>
        <w:t>. Lietuvos Respublikos darbuotojų saugos ir sveikatos įstatymas;</w:t>
      </w:r>
    </w:p>
    <w:p>
      <w:pPr>
        <w:widowControl w:val="0"/>
        <w:suppressAutoHyphens/>
        <w:ind w:firstLine="567"/>
        <w:jc w:val="both"/>
        <w:rPr>
          <w:bCs/>
          <w:szCs w:val="24"/>
        </w:rPr>
      </w:pPr>
      <w:r>
        <w:rPr>
          <w:szCs w:val="24"/>
        </w:rPr>
        <w:t>6.2</w:t>
      </w:r>
      <w:r>
        <w:rPr>
          <w:szCs w:val="24"/>
        </w:rPr>
        <w:t>. Lietuvos Respublikos cheminių medžiagų ir preparatų įstatymas;</w:t>
      </w:r>
    </w:p>
    <w:p>
      <w:pPr>
        <w:widowControl w:val="0"/>
        <w:suppressAutoHyphens/>
        <w:ind w:firstLine="567"/>
        <w:jc w:val="both"/>
        <w:rPr>
          <w:szCs w:val="24"/>
        </w:rPr>
      </w:pPr>
      <w:r>
        <w:rPr>
          <w:szCs w:val="24"/>
        </w:rPr>
        <w:t>6.3</w:t>
      </w:r>
      <w:r>
        <w:rPr>
          <w:szCs w:val="24"/>
        </w:rPr>
        <w:t>. Lietuvos Respublikos socialinės apsaugos ir darbo ministro ir Lietuvos Respublikos sveikatos apsaugos ministro 2012 m. spalio 25 d. įsakymas Nr. A1-457/V-961 „Dėl Profesinės rizikos vertinimo bendrųjų nuostatų patvirtinimo“;</w:t>
      </w:r>
    </w:p>
    <w:p>
      <w:pPr>
        <w:widowControl w:val="0"/>
        <w:suppressAutoHyphens/>
        <w:ind w:firstLine="567"/>
        <w:jc w:val="both"/>
        <w:rPr>
          <w:szCs w:val="24"/>
        </w:rPr>
      </w:pPr>
      <w:r>
        <w:rPr>
          <w:szCs w:val="24"/>
        </w:rPr>
        <w:t>6.4</w:t>
      </w:r>
      <w:r>
        <w:rPr>
          <w:szCs w:val="24"/>
        </w:rPr>
        <w:t>. Lietuvos Respublikos socialinės apsaugos ir darbo ministro ir Lietuvos Respublikos sveikatos apsaugos ministro 2001 m. liepos 24 d. įsakymas Nr. 97/406 „Dėl Darbuotojų apsaugos nuo cheminių veiksnių darbe nuostatų bei Darbuotojų apsaugos nuo kancerogenų ir mutagenų poveikio darbe nuostatų patvirtinimo“;</w:t>
      </w:r>
    </w:p>
    <w:p>
      <w:pPr>
        <w:widowControl w:val="0"/>
        <w:suppressAutoHyphens/>
        <w:ind w:firstLine="567"/>
        <w:jc w:val="both"/>
        <w:rPr>
          <w:szCs w:val="24"/>
        </w:rPr>
      </w:pPr>
      <w:r>
        <w:rPr>
          <w:szCs w:val="24"/>
        </w:rPr>
        <w:t>6.5</w:t>
      </w:r>
      <w:r>
        <w:rPr>
          <w:szCs w:val="24"/>
        </w:rPr>
        <w:t>. Lietuvos Respublikos socialinės apsaugos ir darbo ministro ir Lietuvos Respublikos sveikatos apsaugos ministro 2004 m. liepos 16 d. įsakymas Nr. A1-184/V-546 „Dėl Darbo su asbestu nuostatų patvirtinimo“;</w:t>
      </w:r>
    </w:p>
    <w:p>
      <w:pPr>
        <w:widowControl w:val="0"/>
        <w:suppressAutoHyphens/>
        <w:ind w:firstLine="567"/>
        <w:jc w:val="both"/>
        <w:rPr>
          <w:color w:val="000000"/>
        </w:rPr>
      </w:pPr>
      <w:r>
        <w:rPr>
          <w:szCs w:val="24"/>
        </w:rPr>
        <w:t>6.6</w:t>
      </w:r>
      <w:r>
        <w:rPr>
          <w:szCs w:val="24"/>
        </w:rPr>
        <w:t>. Lietuvos Respublikos sveikatos apsaugos ministro 2006 m. sausio 13 d. įsakymas Nr. V-34 „Dėl Asbesto skaidulų koncentracijos ore matavimo metodinių nurodymų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jc w:val="center"/>
        <w:rPr>
          <w:szCs w:val="24"/>
        </w:rPr>
      </w:pPr>
      <w:r>
        <w:rPr>
          <w:b/>
          <w:szCs w:val="24"/>
        </w:rPr>
        <w:t>III</w:t>
      </w:r>
      <w:r>
        <w:rPr>
          <w:b/>
          <w:szCs w:val="24"/>
        </w:rPr>
        <w:t xml:space="preserve"> SKYRIUS</w:t>
      </w:r>
    </w:p>
    <w:p>
      <w:pPr>
        <w:jc w:val="center"/>
        <w:rPr>
          <w:b/>
          <w:szCs w:val="24"/>
        </w:rPr>
      </w:pPr>
      <w:r>
        <w:rPr>
          <w:b/>
          <w:szCs w:val="24"/>
        </w:rPr>
        <w:t>SĄVOKOS IR JŲ</w:t>
      </w:r>
      <w:r>
        <w:rPr>
          <w:szCs w:val="24"/>
        </w:rPr>
        <w:t xml:space="preserve"> </w:t>
      </w:r>
      <w:r>
        <w:rPr>
          <w:b/>
          <w:szCs w:val="24"/>
        </w:rPr>
        <w:t>APIBRĖŽTYS</w:t>
      </w:r>
    </w:p>
    <w:p>
      <w:pPr>
        <w:jc w:val="center"/>
        <w:rPr>
          <w:szCs w:val="24"/>
        </w:rPr>
      </w:pPr>
    </w:p>
    <w:p>
      <w:pPr>
        <w:widowControl w:val="0"/>
        <w:suppressAutoHyphens/>
        <w:ind w:firstLine="567"/>
        <w:jc w:val="both"/>
        <w:rPr>
          <w:color w:val="000000"/>
          <w:spacing w:val="-3"/>
          <w:szCs w:val="24"/>
        </w:rPr>
      </w:pPr>
      <w:r>
        <w:rPr>
          <w:color w:val="000000"/>
          <w:spacing w:val="-3"/>
          <w:szCs w:val="24"/>
        </w:rPr>
        <w:t>7</w:t>
      </w:r>
      <w:r>
        <w:rPr>
          <w:color w:val="000000"/>
          <w:spacing w:val="-3"/>
          <w:szCs w:val="24"/>
        </w:rPr>
        <w:t>. Higienos normoje vartojamos sąvokos ir jų apibrėžtys:</w:t>
      </w:r>
    </w:p>
    <w:p>
      <w:pPr>
        <w:widowControl w:val="0"/>
        <w:suppressAutoHyphens/>
        <w:ind w:firstLine="567"/>
        <w:jc w:val="both"/>
        <w:rPr>
          <w:color w:val="000000"/>
          <w:spacing w:val="-3"/>
          <w:szCs w:val="24"/>
        </w:rPr>
      </w:pPr>
      <w:r>
        <w:rPr>
          <w:bCs/>
          <w:color w:val="000000"/>
          <w:szCs w:val="24"/>
        </w:rPr>
        <w:t>7.1</w:t>
      </w:r>
      <w:r>
        <w:rPr>
          <w:bCs/>
          <w:color w:val="000000"/>
          <w:szCs w:val="24"/>
        </w:rPr>
        <w:t xml:space="preserve">. </w:t>
      </w:r>
      <w:r>
        <w:rPr>
          <w:b/>
          <w:bCs/>
          <w:szCs w:val="24"/>
        </w:rPr>
        <w:t>Cheminė medžiaga</w:t>
      </w:r>
      <w:r>
        <w:rPr>
          <w:bCs/>
          <w:szCs w:val="24"/>
        </w:rPr>
        <w:t xml:space="preserve"> </w:t>
      </w:r>
      <w:r>
        <w:rPr>
          <w:color w:val="000000"/>
          <w:szCs w:val="24"/>
        </w:rPr>
        <w:t>– cheminis elementas arba junginys, grynas arba mišinyje, egzistuojantis natūraliai arba tikslingai ar netikslingai pagamintas, naudojamas arba išskiriamas, įskaitant išskiriamą kaip atliekos, bet kokio darbo proceso metu, tiekiamas rinkai arba netiekiamas.</w:t>
      </w:r>
    </w:p>
    <w:p>
      <w:pPr>
        <w:widowControl w:val="0"/>
        <w:suppressAutoHyphens/>
        <w:ind w:firstLine="567"/>
        <w:jc w:val="both"/>
        <w:rPr>
          <w:color w:val="000000"/>
          <w:szCs w:val="24"/>
        </w:rPr>
      </w:pPr>
      <w:r>
        <w:rPr>
          <w:color w:val="000000"/>
          <w:spacing w:val="-3"/>
          <w:szCs w:val="24"/>
        </w:rPr>
        <w:t>7.2</w:t>
      </w:r>
      <w:r>
        <w:rPr>
          <w:color w:val="000000"/>
          <w:spacing w:val="-3"/>
          <w:szCs w:val="24"/>
        </w:rPr>
        <w:t xml:space="preserve">. </w:t>
      </w:r>
      <w:r>
        <w:rPr>
          <w:b/>
          <w:bCs/>
          <w:color w:val="000000"/>
          <w:szCs w:val="24"/>
        </w:rPr>
        <w:t xml:space="preserve">Cheminės medžiagos fibrogeninis poveikis </w:t>
      </w:r>
      <w:r>
        <w:rPr>
          <w:bCs/>
          <w:color w:val="000000"/>
          <w:szCs w:val="24"/>
        </w:rPr>
        <w:t xml:space="preserve">(toliau – fibrogeninis poveikis) </w:t>
      </w:r>
      <w:r>
        <w:rPr>
          <w:color w:val="000000"/>
          <w:szCs w:val="24"/>
        </w:rPr>
        <w:t>– cheminės medžiagos savybė darbuotojui sukelti plaučių audinio ir krūtinplėvės fibrozinius pakitimus.</w:t>
      </w:r>
    </w:p>
    <w:p>
      <w:pPr>
        <w:widowControl w:val="0"/>
        <w:suppressAutoHyphens/>
        <w:ind w:firstLine="567"/>
        <w:jc w:val="both"/>
        <w:rPr>
          <w:color w:val="000000"/>
          <w:szCs w:val="24"/>
        </w:rPr>
      </w:pPr>
      <w:r>
        <w:rPr>
          <w:bCs/>
          <w:color w:val="000000"/>
          <w:szCs w:val="24"/>
        </w:rPr>
        <w:t>7.3</w:t>
      </w:r>
      <w:r>
        <w:rPr>
          <w:bCs/>
          <w:color w:val="000000"/>
          <w:szCs w:val="24"/>
        </w:rPr>
        <w:t xml:space="preserve">. </w:t>
      </w:r>
      <w:r>
        <w:rPr>
          <w:b/>
          <w:bCs/>
          <w:color w:val="000000"/>
          <w:szCs w:val="24"/>
        </w:rPr>
        <w:t>Cheminės medžiagos ilgalaikio profesinio poveikio</w:t>
      </w:r>
      <w:r>
        <w:rPr>
          <w:b/>
          <w:color w:val="000000"/>
          <w:szCs w:val="24"/>
        </w:rPr>
        <w:t xml:space="preserve"> </w:t>
      </w:r>
      <w:r>
        <w:rPr>
          <w:b/>
          <w:bCs/>
          <w:color w:val="000000"/>
          <w:szCs w:val="24"/>
        </w:rPr>
        <w:t>ribinis dydis</w:t>
      </w:r>
      <w:r>
        <w:rPr>
          <w:bCs/>
          <w:color w:val="000000"/>
          <w:szCs w:val="24"/>
        </w:rPr>
        <w:t xml:space="preserve"> (toliau – ilgalaikio poveikio ribinis dydis) </w:t>
      </w:r>
      <w:r>
        <w:rPr>
          <w:color w:val="000000"/>
          <w:szCs w:val="24"/>
        </w:rPr>
        <w:t>– cheminės medžiagos koncentracijos darbuotojo kvėpavimo erdvėje dinaminio svertinio vidurkio, matuojamo arba apskaičiuojamo per 8 valandų darbo dieną (pamainą) ir 40 valandų darbo savaitę, didžiausias leidžiamas dydis.</w:t>
      </w:r>
    </w:p>
    <w:p>
      <w:pPr>
        <w:widowControl w:val="0"/>
        <w:suppressAutoHyphens/>
        <w:ind w:firstLine="567"/>
        <w:jc w:val="both"/>
        <w:rPr>
          <w:color w:val="000000"/>
          <w:szCs w:val="24"/>
        </w:rPr>
      </w:pPr>
      <w:r>
        <w:rPr>
          <w:color w:val="000000"/>
          <w:spacing w:val="-3"/>
          <w:szCs w:val="24"/>
        </w:rPr>
        <w:t>7.4</w:t>
      </w:r>
      <w:r>
        <w:rPr>
          <w:color w:val="000000"/>
          <w:spacing w:val="-3"/>
          <w:szCs w:val="24"/>
        </w:rPr>
        <w:t xml:space="preserve">. </w:t>
      </w:r>
      <w:r>
        <w:rPr>
          <w:b/>
          <w:bCs/>
          <w:color w:val="000000"/>
          <w:szCs w:val="24"/>
        </w:rPr>
        <w:t xml:space="preserve">Cheminės medžiagos </w:t>
      </w:r>
      <w:r>
        <w:rPr>
          <w:b/>
          <w:bCs/>
          <w:szCs w:val="24"/>
        </w:rPr>
        <w:t xml:space="preserve">jautrinantis </w:t>
      </w:r>
      <w:r>
        <w:rPr>
          <w:b/>
          <w:bCs/>
          <w:color w:val="000000"/>
          <w:szCs w:val="24"/>
        </w:rPr>
        <w:t xml:space="preserve">poveikis </w:t>
      </w:r>
      <w:r>
        <w:rPr>
          <w:bCs/>
          <w:color w:val="000000"/>
          <w:szCs w:val="24"/>
        </w:rPr>
        <w:t xml:space="preserve">(toliau – jautrinantis poveikis) </w:t>
      </w:r>
      <w:r>
        <w:rPr>
          <w:color w:val="000000"/>
          <w:szCs w:val="24"/>
        </w:rPr>
        <w:t>– cheminės medžiagos savybė įjautrinti darbuotojo organizmą, sukelti padidėjusio jautrumo reakciją ir (arba) alerginę ligą.</w:t>
      </w:r>
    </w:p>
    <w:p>
      <w:pPr>
        <w:widowControl w:val="0"/>
        <w:suppressAutoHyphens/>
        <w:ind w:firstLine="567"/>
        <w:jc w:val="both"/>
        <w:rPr>
          <w:color w:val="000000"/>
          <w:szCs w:val="24"/>
        </w:rPr>
      </w:pPr>
      <w:r>
        <w:rPr>
          <w:bCs/>
          <w:color w:val="000000"/>
          <w:szCs w:val="24"/>
        </w:rPr>
        <w:t>7.5</w:t>
      </w:r>
      <w:r>
        <w:rPr>
          <w:bCs/>
          <w:color w:val="000000"/>
          <w:szCs w:val="24"/>
        </w:rPr>
        <w:t xml:space="preserve">. </w:t>
      </w:r>
      <w:r>
        <w:rPr>
          <w:b/>
          <w:bCs/>
          <w:color w:val="000000"/>
          <w:szCs w:val="24"/>
        </w:rPr>
        <w:t xml:space="preserve">Cheminės medžiagos kancerogeninis poveikis </w:t>
      </w:r>
      <w:r>
        <w:rPr>
          <w:bCs/>
          <w:color w:val="000000"/>
          <w:szCs w:val="24"/>
        </w:rPr>
        <w:t xml:space="preserve">(toliau – kancerogeninis poveikis) </w:t>
      </w:r>
      <w:r>
        <w:rPr>
          <w:color w:val="000000"/>
          <w:szCs w:val="24"/>
        </w:rPr>
        <w:t>– cheminės medžiagos savybė darbuotojams sukelti vėžį arba padidinti darbuotojų sergamumą vėžiu.</w:t>
      </w:r>
    </w:p>
    <w:p>
      <w:pPr>
        <w:widowControl w:val="0"/>
        <w:suppressAutoHyphens/>
        <w:ind w:firstLine="567"/>
        <w:jc w:val="both"/>
        <w:rPr>
          <w:color w:val="000000"/>
          <w:spacing w:val="-3"/>
          <w:szCs w:val="24"/>
        </w:rPr>
      </w:pPr>
      <w:r>
        <w:rPr>
          <w:color w:val="000000"/>
          <w:spacing w:val="-3"/>
          <w:szCs w:val="24"/>
        </w:rPr>
        <w:t>7.6</w:t>
      </w:r>
      <w:r>
        <w:rPr>
          <w:color w:val="000000"/>
          <w:spacing w:val="-3"/>
          <w:szCs w:val="24"/>
        </w:rPr>
        <w:t xml:space="preserve">. </w:t>
      </w:r>
      <w:r>
        <w:rPr>
          <w:b/>
          <w:color w:val="000000"/>
          <w:spacing w:val="-3"/>
          <w:szCs w:val="24"/>
        </w:rPr>
        <w:t xml:space="preserve">Cheminės medžiagos koncentracijos </w:t>
      </w:r>
      <w:r>
        <w:rPr>
          <w:b/>
          <w:bCs/>
          <w:color w:val="000000"/>
          <w:szCs w:val="24"/>
        </w:rPr>
        <w:t>dinaminis svertinis vidurkis</w:t>
      </w:r>
      <w:r>
        <w:rPr>
          <w:bCs/>
          <w:color w:val="000000"/>
          <w:szCs w:val="24"/>
        </w:rPr>
        <w:t xml:space="preserve"> </w:t>
      </w:r>
      <w:r>
        <w:rPr>
          <w:color w:val="000000"/>
          <w:szCs w:val="24"/>
        </w:rPr>
        <w:t>–</w:t>
      </w:r>
      <w:r>
        <w:rPr>
          <w:bCs/>
          <w:color w:val="000000"/>
          <w:szCs w:val="24"/>
        </w:rPr>
        <w:t xml:space="preserve"> </w:t>
      </w:r>
      <w:r>
        <w:rPr>
          <w:color w:val="000000"/>
          <w:szCs w:val="24"/>
        </w:rPr>
        <w:t>rodiklis, kuriuo parodoma cheminės medžiagos koncentracijos darbo aplinkos ore vidutinė</w:t>
      </w:r>
      <w:r>
        <w:rPr>
          <w:bCs/>
          <w:color w:val="000000"/>
          <w:szCs w:val="24"/>
        </w:rPr>
        <w:t xml:space="preserve"> </w:t>
      </w:r>
      <w:r>
        <w:rPr>
          <w:color w:val="000000"/>
          <w:szCs w:val="24"/>
        </w:rPr>
        <w:t>vertė per 8 val. darbo dieną (pamainą). Cheminės medžiagos koncentracijos dinaminio svertinio vidurkio apskaičiavimo formulė pateikiama higienos normos 35 punkte.</w:t>
      </w:r>
    </w:p>
    <w:p>
      <w:pPr>
        <w:widowControl w:val="0"/>
        <w:suppressAutoHyphens/>
        <w:ind w:firstLine="567"/>
        <w:jc w:val="both"/>
        <w:rPr>
          <w:color w:val="000000"/>
          <w:szCs w:val="24"/>
        </w:rPr>
      </w:pPr>
      <w:r>
        <w:rPr>
          <w:bCs/>
          <w:color w:val="000000"/>
          <w:szCs w:val="24"/>
        </w:rPr>
        <w:t>7.7</w:t>
      </w:r>
      <w:r>
        <w:rPr>
          <w:bCs/>
          <w:color w:val="000000"/>
          <w:szCs w:val="24"/>
        </w:rPr>
        <w:t xml:space="preserve">. </w:t>
      </w:r>
      <w:r>
        <w:rPr>
          <w:b/>
          <w:bCs/>
          <w:color w:val="000000"/>
          <w:szCs w:val="24"/>
        </w:rPr>
        <w:t>Cheminės medžiagos mutageninis poveikis</w:t>
      </w:r>
      <w:r>
        <w:rPr>
          <w:bCs/>
          <w:color w:val="000000"/>
          <w:szCs w:val="24"/>
        </w:rPr>
        <w:t xml:space="preserve"> (toliau – mutageninis poveikis)</w:t>
      </w:r>
      <w:r>
        <w:rPr>
          <w:color w:val="000000"/>
          <w:szCs w:val="24"/>
        </w:rPr>
        <w:t>– cheminės medžiagos savybė darbuotojams sukelti paveldimų genetinių pažeidimų arba padidinti jų dažnumą.</w:t>
      </w:r>
    </w:p>
    <w:p>
      <w:pPr>
        <w:widowControl w:val="0"/>
        <w:suppressAutoHyphens/>
        <w:ind w:firstLine="567"/>
        <w:jc w:val="both"/>
        <w:rPr>
          <w:color w:val="000000"/>
          <w:spacing w:val="-3"/>
          <w:szCs w:val="24"/>
        </w:rPr>
      </w:pPr>
      <w:r>
        <w:rPr>
          <w:bCs/>
          <w:color w:val="000000"/>
          <w:szCs w:val="24"/>
        </w:rPr>
        <w:t>7.8</w:t>
      </w:r>
      <w:r>
        <w:rPr>
          <w:bCs/>
          <w:color w:val="000000"/>
          <w:szCs w:val="24"/>
        </w:rPr>
        <w:t xml:space="preserve">. </w:t>
      </w:r>
      <w:r>
        <w:rPr>
          <w:b/>
          <w:bCs/>
          <w:color w:val="000000"/>
          <w:szCs w:val="24"/>
        </w:rPr>
        <w:t>Cheminės medžiagos poveikio atskaitos laikotarpis</w:t>
      </w:r>
      <w:r>
        <w:rPr>
          <w:bCs/>
          <w:color w:val="000000"/>
          <w:szCs w:val="24"/>
        </w:rPr>
        <w:t xml:space="preserve"> (toliau – atskaitos laikotarpis)</w:t>
      </w:r>
      <w:r>
        <w:rPr>
          <w:color w:val="000000"/>
          <w:szCs w:val="24"/>
        </w:rPr>
        <w:t xml:space="preserve"> – standartizuotas laiko tarpas, kuriam nustatomas cheminės medžiagos profesinio poveikio ribinis dydis. Yra standartizuoti ilgalaikiai ir trumpalaikiai atskaitos laikotarpiai.</w:t>
      </w:r>
    </w:p>
    <w:p>
      <w:pPr>
        <w:widowControl w:val="0"/>
        <w:suppressAutoHyphens/>
        <w:ind w:firstLine="567"/>
        <w:jc w:val="both"/>
        <w:rPr>
          <w:color w:val="000000"/>
          <w:szCs w:val="24"/>
        </w:rPr>
      </w:pPr>
      <w:r>
        <w:rPr>
          <w:bCs/>
          <w:color w:val="000000"/>
          <w:szCs w:val="24"/>
        </w:rPr>
        <w:t>7.9</w:t>
      </w:r>
      <w:r>
        <w:rPr>
          <w:bCs/>
          <w:color w:val="000000"/>
          <w:szCs w:val="24"/>
        </w:rPr>
        <w:t xml:space="preserve">. </w:t>
      </w:r>
      <w:r>
        <w:rPr>
          <w:b/>
          <w:bCs/>
          <w:color w:val="000000"/>
          <w:szCs w:val="24"/>
        </w:rPr>
        <w:t>Cheminės medžiagos profesinio poveikio</w:t>
      </w:r>
      <w:r>
        <w:rPr>
          <w:b/>
          <w:color w:val="000000"/>
          <w:szCs w:val="24"/>
        </w:rPr>
        <w:t xml:space="preserve"> </w:t>
      </w:r>
      <w:r>
        <w:rPr>
          <w:b/>
          <w:bCs/>
          <w:color w:val="000000"/>
          <w:szCs w:val="24"/>
        </w:rPr>
        <w:t>ribinis dydis</w:t>
      </w:r>
      <w:r>
        <w:rPr>
          <w:bCs/>
          <w:color w:val="000000"/>
          <w:szCs w:val="24"/>
        </w:rPr>
        <w:t xml:space="preserve"> (toliau </w:t>
      </w:r>
      <w:r>
        <w:rPr>
          <w:color w:val="000000"/>
          <w:szCs w:val="24"/>
        </w:rPr>
        <w:t xml:space="preserve">– </w:t>
      </w:r>
      <w:r>
        <w:rPr>
          <w:bCs/>
          <w:color w:val="000000"/>
          <w:szCs w:val="24"/>
        </w:rPr>
        <w:t xml:space="preserve">ribinis dydis) </w:t>
      </w:r>
      <w:r>
        <w:rPr>
          <w:color w:val="000000"/>
          <w:szCs w:val="24"/>
        </w:rPr>
        <w:t>– cheminės medžiagos darbuotojo kvėpavimo erdvėje vidutinės koncentracijos, matuojamos per standartizuotą tyrimo laikotarpį, didžiausias leidžiamas dydis.</w:t>
      </w:r>
    </w:p>
    <w:p>
      <w:pPr>
        <w:widowControl w:val="0"/>
        <w:suppressAutoHyphens/>
        <w:ind w:firstLine="567"/>
        <w:jc w:val="both"/>
        <w:rPr>
          <w:szCs w:val="24"/>
        </w:rPr>
      </w:pPr>
      <w:r>
        <w:rPr>
          <w:spacing w:val="-3"/>
          <w:szCs w:val="24"/>
        </w:rPr>
        <w:t>7.10</w:t>
      </w:r>
      <w:r>
        <w:rPr>
          <w:spacing w:val="-3"/>
          <w:szCs w:val="24"/>
        </w:rPr>
        <w:t xml:space="preserve">. </w:t>
      </w:r>
      <w:r>
        <w:rPr>
          <w:b/>
          <w:bCs/>
          <w:szCs w:val="24"/>
        </w:rPr>
        <w:t>Cheminės medžiagos toksinis poveikis reprodukcijai</w:t>
      </w:r>
      <w:r>
        <w:rPr>
          <w:bCs/>
          <w:szCs w:val="24"/>
        </w:rPr>
        <w:t xml:space="preserve"> (toliau – </w:t>
      </w:r>
      <w:r>
        <w:rPr>
          <w:color w:val="000000"/>
          <w:szCs w:val="24"/>
        </w:rPr>
        <w:t>reprodukcijai toksiškas poveikis</w:t>
      </w:r>
      <w:r>
        <w:rPr>
          <w:color w:val="000000"/>
          <w:szCs w:val="24"/>
          <w:lang w:val="en-GB"/>
        </w:rPr>
        <w:t xml:space="preserve">) </w:t>
      </w:r>
      <w:r>
        <w:rPr>
          <w:szCs w:val="24"/>
        </w:rPr>
        <w:t>– cheminės medžiagos savybė darbuotojų palikuonims sukelti nepaveldimų sveikatos sutrikimų arba padidinti jų dažnumą ir (arba) pakenkti darbuotojų lytiniam pajėgumui ar reprodukcijos funkcijoms arba padidinti šių pažeidimų dažnumą.</w:t>
      </w:r>
    </w:p>
    <w:p>
      <w:pPr>
        <w:widowControl w:val="0"/>
        <w:suppressAutoHyphens/>
        <w:ind w:firstLine="567"/>
        <w:jc w:val="both"/>
        <w:rPr>
          <w:color w:val="000000"/>
          <w:szCs w:val="24"/>
        </w:rPr>
      </w:pPr>
      <w:r>
        <w:rPr>
          <w:color w:val="000000"/>
          <w:spacing w:val="-3"/>
          <w:szCs w:val="24"/>
        </w:rPr>
        <w:t>7.11</w:t>
      </w:r>
      <w:r>
        <w:rPr>
          <w:color w:val="000000"/>
          <w:spacing w:val="-3"/>
          <w:szCs w:val="24"/>
        </w:rPr>
        <w:t xml:space="preserve">. </w:t>
      </w:r>
      <w:r>
        <w:rPr>
          <w:b/>
          <w:color w:val="000000"/>
          <w:spacing w:val="-3"/>
          <w:szCs w:val="24"/>
        </w:rPr>
        <w:t xml:space="preserve">Cheminės medžiagos </w:t>
      </w:r>
      <w:r>
        <w:rPr>
          <w:b/>
          <w:bCs/>
          <w:color w:val="000000"/>
          <w:szCs w:val="24"/>
        </w:rPr>
        <w:t>trumpalaikio profesinio poveikio ribinis dydis</w:t>
      </w:r>
      <w:r>
        <w:rPr>
          <w:bCs/>
          <w:color w:val="000000"/>
          <w:szCs w:val="24"/>
        </w:rPr>
        <w:t xml:space="preserve"> (toliau – trumpalaikio poveikio ribinis dydis) </w:t>
      </w:r>
      <w:r>
        <w:rPr>
          <w:color w:val="000000"/>
          <w:szCs w:val="24"/>
        </w:rPr>
        <w:t xml:space="preserve">– cheminės medžiagos, kuri </w:t>
      </w:r>
      <w:r>
        <w:rPr>
          <w:szCs w:val="24"/>
        </w:rPr>
        <w:t xml:space="preserve">ne ilgiau kaip 15 minučių ir ne daugiau kaip 4 kartus per darbo dieną (pamainą) kasdien veikdama darbuotoją neturėtų sukelti neigiamų pojūčių ar pakenkti jo </w:t>
      </w:r>
      <w:r>
        <w:rPr>
          <w:color w:val="000000"/>
          <w:szCs w:val="24"/>
        </w:rPr>
        <w:t>sveikatai, vidutinės koncentracijos darbuotojo kvėpavimo erdvėje, matuojamos per 15 minučių, didžiausias leidžiamas dydis.</w:t>
      </w:r>
    </w:p>
    <w:p>
      <w:pPr>
        <w:widowControl w:val="0"/>
        <w:suppressAutoHyphens/>
        <w:ind w:firstLine="567"/>
        <w:jc w:val="both"/>
        <w:rPr>
          <w:color w:val="000000"/>
          <w:spacing w:val="-3"/>
          <w:szCs w:val="24"/>
        </w:rPr>
      </w:pPr>
      <w:r>
        <w:rPr>
          <w:color w:val="000000"/>
          <w:szCs w:val="24"/>
        </w:rPr>
        <w:t>7.12</w:t>
      </w:r>
      <w:r>
        <w:rPr>
          <w:color w:val="000000"/>
          <w:szCs w:val="24"/>
        </w:rPr>
        <w:t xml:space="preserve">. </w:t>
      </w:r>
      <w:r>
        <w:rPr>
          <w:b/>
          <w:bCs/>
          <w:color w:val="000000"/>
          <w:szCs w:val="24"/>
        </w:rPr>
        <w:t>Higieninis</w:t>
      </w:r>
      <w:r>
        <w:rPr>
          <w:b/>
          <w:color w:val="000000"/>
          <w:szCs w:val="24"/>
        </w:rPr>
        <w:t xml:space="preserve"> </w:t>
      </w:r>
      <w:r>
        <w:rPr>
          <w:b/>
          <w:bCs/>
          <w:color w:val="000000"/>
          <w:szCs w:val="24"/>
        </w:rPr>
        <w:t>efektas</w:t>
      </w:r>
      <w:r>
        <w:rPr>
          <w:bCs/>
          <w:color w:val="000000"/>
          <w:szCs w:val="24"/>
        </w:rPr>
        <w:t xml:space="preserve"> </w:t>
      </w:r>
      <w:r>
        <w:rPr>
          <w:color w:val="000000"/>
          <w:szCs w:val="24"/>
        </w:rPr>
        <w:t>– poveikį sveikatai turinčių sąveikaujančių cheminių medžiagų bendras poveikis darbuotojui. Higieninis efektas apskaičiuojamas pagal higienos normos 16 punkte nurodytą formulę.</w:t>
      </w:r>
    </w:p>
    <w:p>
      <w:pPr>
        <w:widowControl w:val="0"/>
        <w:suppressAutoHyphens/>
        <w:ind w:firstLine="567"/>
        <w:jc w:val="both"/>
        <w:rPr>
          <w:color w:val="000000"/>
          <w:szCs w:val="24"/>
        </w:rPr>
      </w:pPr>
      <w:r>
        <w:rPr>
          <w:bCs/>
          <w:color w:val="000000"/>
          <w:szCs w:val="24"/>
        </w:rPr>
        <w:t>7.13</w:t>
      </w:r>
      <w:r>
        <w:rPr>
          <w:bCs/>
          <w:color w:val="000000"/>
          <w:szCs w:val="24"/>
        </w:rPr>
        <w:t xml:space="preserve">. </w:t>
      </w:r>
      <w:r>
        <w:rPr>
          <w:b/>
          <w:bCs/>
          <w:color w:val="000000"/>
          <w:szCs w:val="24"/>
        </w:rPr>
        <w:t>Kvėpavimo erdvė</w:t>
      </w:r>
      <w:r>
        <w:rPr>
          <w:bCs/>
          <w:color w:val="000000"/>
          <w:szCs w:val="24"/>
        </w:rPr>
        <w:t xml:space="preserve"> </w:t>
      </w:r>
      <w:r>
        <w:rPr>
          <w:color w:val="000000"/>
          <w:szCs w:val="24"/>
        </w:rPr>
        <w:t>– tai 30 cm spindulio pusiau sferinė erdvė prie darbuotojo veido.</w:t>
      </w:r>
    </w:p>
    <w:p>
      <w:pPr>
        <w:widowControl w:val="0"/>
        <w:suppressAutoHyphens/>
        <w:ind w:firstLine="567"/>
        <w:jc w:val="both"/>
        <w:rPr>
          <w:color w:val="000000"/>
          <w:spacing w:val="-3"/>
          <w:szCs w:val="24"/>
        </w:rPr>
      </w:pPr>
      <w:r>
        <w:rPr>
          <w:bCs/>
          <w:color w:val="000000"/>
          <w:szCs w:val="24"/>
        </w:rPr>
        <w:t>7.14</w:t>
      </w:r>
      <w:r>
        <w:rPr>
          <w:bCs/>
          <w:color w:val="000000"/>
          <w:szCs w:val="24"/>
        </w:rPr>
        <w:t xml:space="preserve">. </w:t>
      </w:r>
      <w:r>
        <w:rPr>
          <w:b/>
          <w:bCs/>
          <w:color w:val="000000"/>
          <w:szCs w:val="24"/>
        </w:rPr>
        <w:t>Neviršytinas ribinis dydis</w:t>
      </w:r>
      <w:r>
        <w:rPr>
          <w:bCs/>
          <w:color w:val="000000"/>
          <w:szCs w:val="24"/>
        </w:rPr>
        <w:t xml:space="preserve"> </w:t>
      </w:r>
      <w:r>
        <w:rPr>
          <w:color w:val="000000"/>
          <w:szCs w:val="24"/>
        </w:rPr>
        <w:t>– ūmaus poveikio cheminės medžiagos darbuotojo kvėpavimo erdvėje vidutinės koncentracijos, matuojamos per 15 minučių ar kitą atskaitos laikotarpį, nurodytą higienos normos 1 priedo 1 lentelėje, didžiausias leidžiamas dydis.</w:t>
      </w:r>
    </w:p>
    <w:p>
      <w:pPr>
        <w:widowControl w:val="0"/>
        <w:suppressAutoHyphens/>
        <w:ind w:firstLine="567"/>
        <w:jc w:val="both"/>
        <w:rPr>
          <w:color w:val="000000"/>
          <w:szCs w:val="24"/>
        </w:rPr>
      </w:pPr>
      <w:r>
        <w:rPr>
          <w:color w:val="000000"/>
          <w:spacing w:val="-3"/>
          <w:szCs w:val="24"/>
        </w:rPr>
        <w:t>7.15</w:t>
      </w:r>
      <w:r>
        <w:rPr>
          <w:color w:val="000000"/>
          <w:spacing w:val="-3"/>
          <w:szCs w:val="24"/>
        </w:rPr>
        <w:t xml:space="preserve">. </w:t>
      </w:r>
      <w:r>
        <w:rPr>
          <w:b/>
          <w:bCs/>
          <w:color w:val="000000"/>
          <w:szCs w:val="24"/>
        </w:rPr>
        <w:t>Ūmaus poveikio cheminė medžiaga</w:t>
      </w:r>
      <w:r>
        <w:rPr>
          <w:color w:val="000000"/>
          <w:szCs w:val="24"/>
        </w:rPr>
        <w:t xml:space="preserve"> – cheminė medžiaga, kuri pasižymi ardomosiomis, dirginamosiomis arba toksiškomis ar labai toksiškomis savybėmis ir kurios veikiamas darbuotojas gali ūmiai apsinuodyti ir (arba) ūmiai susirgti arba net numirti.</w:t>
      </w:r>
    </w:p>
    <w:p>
      <w:pPr>
        <w:widowControl w:val="0"/>
        <w:suppressAutoHyphens/>
        <w:ind w:firstLine="567"/>
        <w:jc w:val="both"/>
        <w:rPr>
          <w:color w:val="000000"/>
        </w:rPr>
      </w:pPr>
      <w:r>
        <w:rPr>
          <w:color w:val="000000"/>
          <w:szCs w:val="24"/>
        </w:rPr>
        <w:t>7.16</w:t>
      </w:r>
      <w:r>
        <w:rPr>
          <w:color w:val="000000"/>
          <w:szCs w:val="24"/>
        </w:rPr>
        <w:t>. Kitos higienos normoje vartojamos sąvokos suprantamos taip, kaip jos apibrėžtos teisės aktuose [6.1, 6.2, 6.3, 6.4, 6.5].</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w:t>
        <w:br/>
        <w:t xml:space="preserve">ŽYMENYS IR SUTRUMPINIMAI </w:t>
      </w:r>
    </w:p>
    <w:p>
      <w:pPr>
        <w:widowControl w:val="0"/>
        <w:suppressAutoHyphens/>
        <w:ind w:firstLine="567"/>
        <w:jc w:val="both"/>
        <w:rPr>
          <w:color w:val="000000"/>
        </w:rPr>
      </w:pPr>
      <w:r>
        <w:rPr>
          <w:color w:val="000000"/>
        </w:rPr>
        <w:t xml:space="preserve">CAS numeris: cheminių medžiagų santrumpų tarnybos (angl. </w:t>
      </w:r>
      <w:r>
        <w:rPr>
          <w:i/>
          <w:iCs/>
          <w:color w:val="000000"/>
        </w:rPr>
        <w:t>Chemical Abstracts Service</w:t>
      </w:r>
      <w:r>
        <w:rPr>
          <w:color w:val="000000"/>
        </w:rPr>
        <w:t>) medžiagai suteiktas registracijos numeris;</w:t>
      </w:r>
    </w:p>
    <w:p>
      <w:pPr>
        <w:widowControl w:val="0"/>
        <w:suppressAutoHyphens/>
        <w:ind w:firstLine="567"/>
        <w:jc w:val="both"/>
        <w:rPr>
          <w:color w:val="000000"/>
        </w:rPr>
      </w:pPr>
      <w:r>
        <w:rPr>
          <w:color w:val="000000"/>
        </w:rPr>
        <w:t>ppm: promilės pagal tūrį ore (ml/m</w:t>
      </w:r>
      <w:r>
        <w:rPr>
          <w:color w:val="000000"/>
          <w:vertAlign w:val="superscript"/>
        </w:rPr>
        <w:t>3</w:t>
      </w:r>
      <w:r>
        <w:rPr>
          <w:color w:val="000000"/>
        </w:rPr>
        <w:t>, cm</w:t>
      </w:r>
      <w:r>
        <w:rPr>
          <w:color w:val="000000"/>
          <w:vertAlign w:val="superscript"/>
        </w:rPr>
        <w:t>3</w:t>
      </w:r>
      <w:r>
        <w:rPr>
          <w:color w:val="000000"/>
        </w:rPr>
        <w:t>/m</w:t>
      </w:r>
      <w:r>
        <w:rPr>
          <w:color w:val="000000"/>
          <w:vertAlign w:val="superscript"/>
        </w:rPr>
        <w:t>3</w:t>
      </w:r>
      <w:r>
        <w:rPr>
          <w:color w:val="000000"/>
        </w:rPr>
        <w:t xml:space="preserve">) arba milijoninė tūrio dalis (angl. </w:t>
      </w:r>
      <w:r>
        <w:rPr>
          <w:i/>
          <w:iCs/>
          <w:color w:val="000000"/>
        </w:rPr>
        <w:t>Part per million</w:t>
      </w:r>
      <w:r>
        <w:rPr>
          <w:color w:val="000000"/>
        </w:rPr>
        <w:t>);</w:t>
      </w:r>
    </w:p>
    <w:p>
      <w:pPr>
        <w:widowControl w:val="0"/>
        <w:suppressAutoHyphens/>
        <w:ind w:firstLine="567"/>
        <w:jc w:val="both"/>
        <w:rPr>
          <w:color w:val="000000"/>
        </w:rPr>
      </w:pPr>
      <w:r>
        <w:rPr>
          <w:color w:val="000000"/>
        </w:rPr>
        <w:t>F – fibrogeninis poveikis;</w:t>
      </w:r>
    </w:p>
    <w:p>
      <w:pPr>
        <w:widowControl w:val="0"/>
        <w:suppressAutoHyphens/>
        <w:ind w:firstLine="567"/>
        <w:jc w:val="both"/>
        <w:rPr>
          <w:color w:val="000000"/>
        </w:rPr>
      </w:pPr>
      <w:r>
        <w:rPr>
          <w:color w:val="000000"/>
        </w:rPr>
        <w:t>J – jautrinantis poveikis;</w:t>
      </w:r>
    </w:p>
    <w:p>
      <w:pPr>
        <w:widowControl w:val="0"/>
        <w:suppressAutoHyphens/>
        <w:ind w:firstLine="567"/>
        <w:jc w:val="both"/>
        <w:rPr>
          <w:color w:val="000000"/>
        </w:rPr>
      </w:pPr>
      <w:r>
        <w:rPr>
          <w:color w:val="000000"/>
        </w:rPr>
        <w:t>K – kancerogeninis poveikis;</w:t>
      </w:r>
    </w:p>
    <w:p>
      <w:pPr>
        <w:widowControl w:val="0"/>
        <w:suppressAutoHyphens/>
        <w:ind w:firstLine="567"/>
        <w:jc w:val="both"/>
        <w:rPr>
          <w:color w:val="000000"/>
        </w:rPr>
      </w:pPr>
      <w:r>
        <w:rPr>
          <w:color w:val="000000"/>
        </w:rPr>
        <w:t>M – mutageninis poveikis;</w:t>
      </w:r>
    </w:p>
    <w:p>
      <w:pPr>
        <w:widowControl w:val="0"/>
        <w:suppressAutoHyphens/>
        <w:ind w:firstLine="567"/>
        <w:jc w:val="both"/>
        <w:rPr>
          <w:color w:val="000000"/>
        </w:rPr>
      </w:pPr>
      <w:r>
        <w:rPr>
          <w:color w:val="000000"/>
        </w:rPr>
        <w:t>O – medžiaga į organizmą gali prasiskverbti pro nepažeistą odą;</w:t>
      </w:r>
    </w:p>
    <w:p>
      <w:pPr>
        <w:widowControl w:val="0"/>
        <w:suppressAutoHyphens/>
        <w:ind w:firstLine="567"/>
        <w:jc w:val="both"/>
        <w:rPr>
          <w:color w:val="000000"/>
        </w:rPr>
      </w:pPr>
      <w:r>
        <w:rPr>
          <w:color w:val="000000"/>
        </w:rPr>
        <w:t>R – reprodukcijai toksiškas poveikis;</w:t>
      </w:r>
    </w:p>
    <w:p>
      <w:pPr>
        <w:widowControl w:val="0"/>
        <w:suppressAutoHyphens/>
        <w:ind w:firstLine="567"/>
        <w:jc w:val="both"/>
        <w:rPr>
          <w:color w:val="000000"/>
        </w:rPr>
      </w:pPr>
      <w:r>
        <w:rPr>
          <w:color w:val="000000"/>
        </w:rPr>
        <w:t>Ū – ūmus poveikis.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keepNext/>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w:t>
        <w:br/>
        <w:t xml:space="preserve">CHEMINIŲ MEDŽIAGŲ POVEIKIO DARBUOTOJŲ SVEIKATAI VERTINIMAS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keepNext/>
        <w:suppressAutoHyphens/>
        <w:ind w:firstLine="567"/>
        <w:jc w:val="both"/>
        <w:rPr>
          <w:color w:val="000000"/>
        </w:rPr>
      </w:pPr>
      <w:r>
        <w:rPr>
          <w:color w:val="000000"/>
        </w:rPr>
        <w:t>8</w:t>
      </w:r>
      <w:r>
        <w:rPr>
          <w:color w:val="000000"/>
        </w:rPr>
        <w:t>. Darbo aplinkos oro užterštumas chemine medžiaga turi būti kuo mažesnis net ir tais atvejais, kai cheminės medžiagos koncentracija neviršija jos ribinio dydžio, nurodyto šios higienos normos 1 priede. Tai ypač svarbu, jei darbuotoją vienu metu veikia kelios cheminės medžiagos arba joms veikiant jis dirba sunkų fizinį darbą.</w:t>
      </w:r>
    </w:p>
    <w:p>
      <w:pPr>
        <w:widowControl w:val="0"/>
        <w:suppressAutoHyphens/>
        <w:ind w:firstLine="567"/>
        <w:jc w:val="both"/>
        <w:rPr>
          <w:color w:val="000000"/>
        </w:rPr>
      </w:pPr>
      <w:r>
        <w:rPr>
          <w:color w:val="000000"/>
        </w:rPr>
        <w:t>9</w:t>
      </w:r>
      <w:r>
        <w:rPr>
          <w:color w:val="000000"/>
        </w:rPr>
        <w:t>. Cheminių medžiagų ribiniai dydžiai yra nustatyti pagal principą, kad dauguma darbuotojų gali dirbti tokiomis sąlygomis, nepatirdami cheminės medžiagos poveikio jų sveikatai.</w:t>
      </w:r>
    </w:p>
    <w:p>
      <w:pPr>
        <w:widowControl w:val="0"/>
        <w:suppressAutoHyphens/>
        <w:ind w:firstLine="567"/>
        <w:jc w:val="both"/>
        <w:rPr>
          <w:color w:val="000000"/>
        </w:rPr>
      </w:pPr>
      <w:r>
        <w:rPr>
          <w:color w:val="000000"/>
        </w:rPr>
        <w:t>10</w:t>
      </w:r>
      <w:r>
        <w:rPr>
          <w:color w:val="000000"/>
        </w:rPr>
        <w:t>. Dėl individualaus jautrumo cheminei medžiagai kai kurių darbuotojų savijauta gali pablogėti ir tada, kai cheminės medžiagos koncentracija darbo aplinkos ore mažesnė nei ribinis jos dydis. Gali sutrikti pavienių darbuotojų sveikata ar išsivystyti profesinė liga. Kai kurie darbuotojai gali būti ypač jautrūs ar neįprastai reaguoti į naudojamas chemines medžiagas. Šių darbuotojų neįmanoma tinkamai apsaugoti nuo tokių cheminių medžiagų žalingo poveikio net esant mažoms jų koncentracijoms darbo aplinkos ore. Tokiais atvejais taikytinų profesinės saugos priemonių pobūdį turi įvertinti profesinės sveikatos specialistas.</w:t>
      </w:r>
    </w:p>
    <w:p>
      <w:pPr>
        <w:ind w:firstLine="567"/>
        <w:jc w:val="both"/>
        <w:rPr>
          <w:color w:val="000000"/>
        </w:rPr>
      </w:pPr>
      <w:r>
        <w:rPr>
          <w:color w:val="000000"/>
          <w:szCs w:val="24"/>
        </w:rPr>
        <w:t>11</w:t>
      </w:r>
      <w:r>
        <w:rPr>
          <w:color w:val="000000"/>
          <w:szCs w:val="24"/>
        </w:rPr>
        <w:t>. Pagal cheminės medžiagos poveikio pobūdį ir atskaitos laikotarpį, ribiniai dydžiai skirstomi į ilgalaikio ir trumpalaikio poveikio ribinius dydžius. Higienos normos 1 priede pagal cheminės medžiagos žalingo poveikio pobūdį ir veikimo trukmę pateikti ilgalaikio poveikio ribiniai dydžiai, trumpalaikio poveikio ribiniai dydžiai ir neviršytini ribiniai dydžiai.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firstLine="567"/>
        <w:jc w:val="both"/>
        <w:rPr>
          <w:color w:val="000000"/>
        </w:rPr>
      </w:pPr>
      <w:r>
        <w:rPr>
          <w:color w:val="000000"/>
          <w:szCs w:val="24"/>
        </w:rPr>
        <w:t>12</w:t>
      </w:r>
      <w:r>
        <w:rPr>
          <w:color w:val="000000"/>
          <w:szCs w:val="24"/>
        </w:rPr>
        <w:t>. Trumpalaikio poveikio ribinis dydis nėra atskiras ribinis dydis. Jis papildo ilgalaikio poveikio ribinį dydį ir nustatomas tuo atveju, kai cheminės medžiagos trumpalaikis koncentracijos padidėjimas gali būti žalingas darbuotojo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firstLine="567"/>
        <w:jc w:val="both"/>
        <w:rPr>
          <w:color w:val="000000"/>
        </w:rPr>
      </w:pPr>
      <w:r>
        <w:rPr>
          <w:color w:val="000000"/>
          <w:szCs w:val="24"/>
        </w:rPr>
        <w:t>13</w:t>
      </w:r>
      <w:r>
        <w:rPr>
          <w:color w:val="000000"/>
          <w:szCs w:val="24"/>
        </w:rPr>
        <w:t>. Jei per 15 minučių išmatuota cheminės medžiagos koncentracija yra didesnė kaip ilgalaikio poveikio ribinis dydis ir lygi trumpalaikio poveikio ribiniam dydžiui, tokios koncentracijos poveikis negali trukti ilgiau kaip 15 minučių ir gali kartotis ne daugiau kaip 4 kartus per darbo pamainą, kai intervalai tarp pasikartojimų ne mažesni kaip 60 minučių.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firstLine="567"/>
        <w:jc w:val="both"/>
        <w:rPr>
          <w:color w:val="000000"/>
        </w:rPr>
      </w:pPr>
      <w:r>
        <w:rPr>
          <w:color w:val="000000"/>
          <w:szCs w:val="24"/>
        </w:rPr>
        <w:t>14</w:t>
      </w:r>
      <w:r>
        <w:rPr>
          <w:color w:val="000000"/>
          <w:szCs w:val="24"/>
        </w:rPr>
        <w:t>. Neviršytinas ribinis dydis yra nustatomas ūmaus poveikio cheminėms medžiagoms, kurios gali pakenkti darbuotojo sveikatai per trumpą laiką. Ūmaus poveikio cheminės medžiagos koncentracija neturi viršyti nustatyto neviršytino ribinio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15</w:t>
      </w:r>
      <w:r>
        <w:rPr>
          <w:color w:val="000000"/>
        </w:rPr>
        <w:t>. Darbo aplinkos ore esant kelioms skirtingo poveikio cheminėms medžiagoms, kiekvienos cheminės medžiagos ribinis dydis yra toks pats, kaip ir šioms cheminėms medžiagoms veikiant atskirai.</w:t>
      </w:r>
    </w:p>
    <w:p>
      <w:pPr>
        <w:widowControl w:val="0"/>
        <w:suppressAutoHyphens/>
        <w:ind w:firstLine="567"/>
        <w:jc w:val="both"/>
        <w:rPr>
          <w:color w:val="000000"/>
        </w:rPr>
      </w:pPr>
      <w:r>
        <w:rPr>
          <w:color w:val="000000"/>
        </w:rPr>
        <w:t>16</w:t>
      </w:r>
      <w:r>
        <w:rPr>
          <w:color w:val="000000"/>
        </w:rPr>
        <w:t>. Higieninis efektas apskaičiuojamas pagal formulę:</w:t>
      </w:r>
    </w:p>
    <w:p>
      <w:pPr>
        <w:widowControl w:val="0"/>
        <w:suppressAutoHyphens/>
        <w:ind w:firstLine="567"/>
        <w:jc w:val="both"/>
        <w:rPr>
          <w:color w:val="000000"/>
        </w:rPr>
      </w:pPr>
    </w:p>
    <w:p>
      <w:pPr>
        <w:ind w:left="567"/>
        <w:rPr>
          <w:color w:val="000000"/>
        </w:rPr>
      </w:pPr>
      <w:r>
        <w:rPr>
          <w:position w:val="-30"/>
        </w:rPr>
        <w:object w:dxaOrig="31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pt;height:34pt" o:ole="">
            <v:imagedata r:id="rId15" o:title=""/>
          </v:shape>
          <o:OLEObject Type="Embed" ProgID="Equation.3" ShapeID="_x0000_i1025" DrawAspect="Content" ObjectID="_0000000001" r:id="rId16"/>
        </w:object>
      </w:r>
      <w:r>
        <w:rPr>
          <w:color w:val="000000"/>
        </w:rPr>
        <w:t xml:space="preserve">, </w:t>
      </w:r>
      <w:r>
        <w:rPr>
          <w:vanish/>
        </w:rPr>
        <w:t>(C1 / RD1) + (C2 / RD2) + (C3 / RD3) + ... + (Cn / RDn) &lt;= 1,</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1,</w:t>
      </w:r>
      <w:r>
        <w:rPr>
          <w:color w:val="000000"/>
        </w:rPr>
        <w:t xml:space="preserve"> C</w:t>
      </w:r>
      <w:r>
        <w:rPr>
          <w:color w:val="000000"/>
          <w:vertAlign w:val="subscript"/>
        </w:rPr>
        <w:t>2,</w:t>
      </w:r>
      <w:r>
        <w:rPr>
          <w:color w:val="000000"/>
        </w:rPr>
        <w:t xml:space="preserve"> C</w:t>
      </w:r>
      <w:r>
        <w:rPr>
          <w:color w:val="000000"/>
          <w:vertAlign w:val="subscript"/>
        </w:rPr>
        <w:t>3</w:t>
      </w:r>
      <w:r>
        <w:rPr>
          <w:color w:val="000000"/>
        </w:rPr>
        <w:t xml:space="preserve"> ir C</w:t>
      </w:r>
      <w:r>
        <w:rPr>
          <w:color w:val="000000"/>
          <w:vertAlign w:val="subscript"/>
        </w:rPr>
        <w:t>n</w:t>
      </w:r>
      <w:r>
        <w:rPr>
          <w:color w:val="000000"/>
        </w:rPr>
        <w:t xml:space="preserve"> – atskirų cheminių medžiagų išmatuotų koncentracijų dydžiai (mg/m</w:t>
      </w:r>
      <w:r>
        <w:rPr>
          <w:color w:val="000000"/>
          <w:vertAlign w:val="superscript"/>
        </w:rPr>
        <w:t>3</w:t>
      </w:r>
      <w:r>
        <w:rPr>
          <w:color w:val="000000"/>
        </w:rPr>
        <w:t xml:space="preserve"> arba ppm);</w:t>
      </w:r>
    </w:p>
    <w:p>
      <w:pPr>
        <w:widowControl w:val="0"/>
        <w:suppressAutoHyphens/>
        <w:ind w:firstLine="567"/>
        <w:jc w:val="both"/>
        <w:rPr>
          <w:color w:val="000000"/>
        </w:rPr>
      </w:pPr>
      <w:r>
        <w:rPr>
          <w:color w:val="000000"/>
        </w:rPr>
        <w:t>RD</w:t>
      </w:r>
      <w:r>
        <w:rPr>
          <w:color w:val="000000"/>
          <w:vertAlign w:val="subscript"/>
        </w:rPr>
        <w:t xml:space="preserve">1, </w:t>
      </w:r>
      <w:r>
        <w:rPr>
          <w:color w:val="000000"/>
        </w:rPr>
        <w:t>RD</w:t>
      </w:r>
      <w:r>
        <w:rPr>
          <w:color w:val="000000"/>
          <w:vertAlign w:val="subscript"/>
        </w:rPr>
        <w:t xml:space="preserve">2, </w:t>
      </w:r>
      <w:r>
        <w:rPr>
          <w:color w:val="000000"/>
        </w:rPr>
        <w:t>RD</w:t>
      </w:r>
      <w:r>
        <w:rPr>
          <w:color w:val="000000"/>
          <w:vertAlign w:val="subscript"/>
        </w:rPr>
        <w:t xml:space="preserve">3 </w:t>
      </w:r>
      <w:r>
        <w:rPr>
          <w:color w:val="000000"/>
        </w:rPr>
        <w:t>ir RD</w:t>
      </w:r>
      <w:r>
        <w:rPr>
          <w:color w:val="000000"/>
          <w:vertAlign w:val="subscript"/>
        </w:rPr>
        <w:t>n</w:t>
      </w:r>
      <w:r>
        <w:rPr>
          <w:color w:val="000000"/>
        </w:rPr>
        <w:t xml:space="preserve"> – šių cheminių medžiagų ribiniai dydžiai, nurodyti tais pačiais matavimo vienetais.</w:t>
      </w:r>
    </w:p>
    <w:p>
      <w:pPr>
        <w:widowControl w:val="0"/>
        <w:suppressAutoHyphens/>
        <w:ind w:firstLine="567"/>
        <w:jc w:val="both"/>
        <w:rPr>
          <w:color w:val="000000"/>
        </w:rPr>
      </w:pPr>
      <w:r>
        <w:rPr>
          <w:color w:val="000000"/>
        </w:rPr>
        <w:t>17</w:t>
      </w:r>
      <w:r>
        <w:rPr>
          <w:color w:val="000000"/>
        </w:rPr>
        <w:t>. Higieninį efektą sveikatai turi įvertinti profesinės sveikatos specialistas pagal kompetenciją.</w:t>
      </w:r>
    </w:p>
    <w:p>
      <w:pPr>
        <w:widowControl w:val="0"/>
        <w:suppressAutoHyphens/>
        <w:ind w:firstLine="567"/>
        <w:jc w:val="both"/>
        <w:rPr>
          <w:color w:val="000000"/>
        </w:rPr>
      </w:pPr>
      <w:r>
        <w:rPr>
          <w:color w:val="000000"/>
        </w:rPr>
        <w:t>18</w:t>
      </w:r>
      <w:r>
        <w:rPr>
          <w:color w:val="000000"/>
        </w:rPr>
        <w:t>. Darbo aplinkos ore esančios cheminės medžiagos poveikis darbuotojo sveikatai gali sustiprėti šios medžiagos papildomai patekus per odą, taip pat jį sustiprina fizikiniai veiksniai (karštis, triukšmas, vibracija ir kt.), rūkymas ir (ar) vaistų vartojimas.</w:t>
      </w:r>
    </w:p>
    <w:p>
      <w:pPr>
        <w:widowControl w:val="0"/>
        <w:suppressAutoHyphens/>
        <w:ind w:firstLine="567"/>
        <w:jc w:val="both"/>
        <w:rPr>
          <w:color w:val="000000"/>
        </w:rPr>
      </w:pPr>
      <w:r>
        <w:rPr>
          <w:color w:val="000000"/>
        </w:rPr>
        <w:t>19</w:t>
      </w:r>
      <w:r>
        <w:rPr>
          <w:color w:val="000000"/>
        </w:rPr>
        <w:t>. Sunkiai fiziškai dirbant, intensyviau kvėpuojama, daugiau cheminės medžiagos patenka į žmogaus organizmą, didėja jos poveikis sveikatai. Toks cheminės medžiagos ir sunkaus fizinio darbo bendras poveikis turi būti įvertinamas konsultuojantis su profesinės sveikatos specialistu.</w:t>
      </w:r>
    </w:p>
    <w:p>
      <w:pPr>
        <w:widowControl w:val="0"/>
        <w:suppressAutoHyphens/>
        <w:ind w:firstLine="567"/>
        <w:jc w:val="both"/>
        <w:rPr>
          <w:color w:val="000000"/>
        </w:rPr>
      </w:pPr>
      <w:r>
        <w:rPr>
          <w:color w:val="000000"/>
        </w:rPr>
        <w:t>20</w:t>
      </w:r>
      <w:r>
        <w:rPr>
          <w:color w:val="000000"/>
        </w:rPr>
        <w:t>. Kancerogeninėms cheminėms medžiagoms, 1 priede pažymėtoms „K“ simboliu, būdingas latentinis laikotarpis (10–30 m.) iki pirmųjų ligos požymių. Šis laikotarpis priklauso nuo kancerogeninės cheminės medžiagos savybių ir jos koncentracijos. Kuo mažesnė tokios kancerogeninės cheminės medžiagos koncentracija darbo aplinkos ore, tuo mažesnė rizika susirgti vėžiu.</w:t>
      </w:r>
    </w:p>
    <w:p>
      <w:pPr>
        <w:widowControl w:val="0"/>
        <w:suppressAutoHyphens/>
        <w:ind w:firstLine="567"/>
        <w:jc w:val="both"/>
        <w:rPr>
          <w:color w:val="000000"/>
        </w:rPr>
      </w:pPr>
      <w:r>
        <w:rPr>
          <w:color w:val="000000"/>
        </w:rPr>
        <w:t>21</w:t>
      </w:r>
      <w:r>
        <w:rPr>
          <w:color w:val="000000"/>
        </w:rPr>
        <w:t>. Cheminės medžiagos, 1 priede pažymėtos „J“ simboliu, taip pat ir kitos, lentelėje nepažymėtos tokiu simboliu, gali sukelti padidėjusio jautrumo reakciją arba alerginę ligą. Alergija yra viena iš padidėjusio jautrumo formų, pasireiškianti darbuotojo reakcija į kontaktą su chemine medžiaga, dėl kurios daugelis darbuotojų paprastai nesuserga. Darbuotojai, kurių jautrumas cheminei medžiagai padidėjęs, neturi pakartotinai patekti į tokia chemine medžiaga užterštą darbo aplinką.</w:t>
      </w:r>
    </w:p>
    <w:p>
      <w:pPr>
        <w:ind w:firstLine="567"/>
        <w:jc w:val="both"/>
        <w:rPr>
          <w:color w:val="000000"/>
        </w:rPr>
      </w:pPr>
      <w:r>
        <w:rPr>
          <w:szCs w:val="24"/>
        </w:rPr>
        <w:t>22</w:t>
      </w:r>
      <w:r>
        <w:rPr>
          <w:szCs w:val="24"/>
        </w:rPr>
        <w:t>. Vertinant ilgalaikį cheminės medžiagos poveikį darbuotojo sveikatai, kvėpavimo erdvėje išmatuota cheminės medžiagos koncentracija turi būti lyginama su jos ilgalaikio poveikio ribiniu dydžiu.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firstLine="567"/>
        <w:jc w:val="both"/>
        <w:rPr>
          <w:color w:val="000000"/>
        </w:rPr>
      </w:pPr>
      <w:r>
        <w:rPr>
          <w:color w:val="000000"/>
          <w:szCs w:val="24"/>
        </w:rPr>
        <w:t>23</w:t>
      </w:r>
      <w:r>
        <w:rPr>
          <w:color w:val="000000"/>
          <w:szCs w:val="24"/>
        </w:rPr>
        <w:t>. Cheminių medžiagų ribiniai dydžiai pateikti higienos normos 1 priede, kuriame nurodytas cheminės medžiagos pavadinimas, CAS numeris, ilgalaikio poveikio ribinis dydis, trumpalaikio poveikio ribinis dydis ir neviršytinas ribinis dydis, mg/m</w:t>
      </w:r>
      <w:r>
        <w:rPr>
          <w:color w:val="000000"/>
          <w:szCs w:val="24"/>
          <w:vertAlign w:val="superscript"/>
        </w:rPr>
        <w:t xml:space="preserve">3 </w:t>
      </w:r>
      <w:r>
        <w:rPr>
          <w:color w:val="000000"/>
          <w:szCs w:val="24"/>
        </w:rPr>
        <w:t>ir ppm, poveikio žymuo ir atitinkamos pastabos.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24</w:t>
      </w:r>
      <w:r>
        <w:rPr>
          <w:color w:val="000000"/>
        </w:rPr>
        <w:t>. Jeigu šios higienos normos lentelėje cheminė medžiaga ir jos ribinis dydis nenurodyti, galima naudotis tą cheminę medžiagą gaminančios ar naudojančios Europos Sąjungos šalies norminiais dokumentais, nustatančiais ribinius dydžius, iki ši cheminė medžiaga bus įrašyta į Lietuvos higienos normą.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w:t>
        <w:br/>
        <w:t xml:space="preserve">BENDRIEJI MATAVIMO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25</w:t>
      </w:r>
      <w:r>
        <w:rPr>
          <w:color w:val="000000"/>
        </w:rPr>
        <w:t>. Cheminių medžiagų koncentracijos darbo aplinkos ore matuojamos tam skirtais metrologiškai patikrintais matavimo prietaisais.</w:t>
      </w:r>
    </w:p>
    <w:p>
      <w:pPr>
        <w:widowControl w:val="0"/>
        <w:suppressAutoHyphens/>
        <w:ind w:firstLine="567"/>
        <w:jc w:val="both"/>
        <w:rPr>
          <w:color w:val="000000"/>
        </w:rPr>
      </w:pPr>
      <w:r>
        <w:rPr>
          <w:color w:val="000000"/>
        </w:rPr>
        <w:t>26</w:t>
      </w:r>
      <w:r>
        <w:rPr>
          <w:color w:val="000000"/>
        </w:rPr>
        <w:t>. Nustatant cheminės medžiagos koncentraciją darbo aplinkos ore, jei tik įmanoma, naudojami darbuotojų nešiojamieji asmeniniai ėminių ėmimo prietaisai.</w:t>
      </w:r>
    </w:p>
    <w:p>
      <w:pPr>
        <w:widowControl w:val="0"/>
        <w:suppressAutoHyphens/>
        <w:ind w:firstLine="567"/>
        <w:jc w:val="both"/>
        <w:rPr>
          <w:color w:val="000000"/>
        </w:rPr>
      </w:pPr>
      <w:r>
        <w:rPr>
          <w:color w:val="000000"/>
        </w:rPr>
        <w:t>27</w:t>
      </w:r>
      <w:r>
        <w:rPr>
          <w:color w:val="000000"/>
        </w:rPr>
        <w:t>. Matavimo prietaisai, ėminių paėmimo tvarka, tyrimo metodai turi atitikti galiojančius norminius dokumentus (higienos normas, standartus, taisykles, metodikas).</w:t>
      </w:r>
    </w:p>
    <w:p>
      <w:pPr>
        <w:widowControl w:val="0"/>
        <w:suppressAutoHyphens/>
        <w:ind w:firstLine="567"/>
        <w:jc w:val="both"/>
        <w:rPr>
          <w:color w:val="000000"/>
        </w:rPr>
      </w:pPr>
      <w:r>
        <w:rPr>
          <w:color w:val="000000"/>
        </w:rPr>
        <w:t>28</w:t>
      </w:r>
      <w:r>
        <w:rPr>
          <w:color w:val="000000"/>
        </w:rPr>
        <w:t>. Matavimo prietaisai turi būti naudojami pagal jų gamintojų instrukcijas.</w:t>
      </w:r>
    </w:p>
    <w:p>
      <w:pPr>
        <w:widowControl w:val="0"/>
        <w:suppressAutoHyphens/>
        <w:ind w:firstLine="567"/>
        <w:jc w:val="both"/>
        <w:rPr>
          <w:color w:val="000000"/>
        </w:rPr>
      </w:pPr>
      <w:r>
        <w:rPr>
          <w:color w:val="000000"/>
        </w:rPr>
        <w:t>29</w:t>
      </w:r>
      <w:r>
        <w:rPr>
          <w:color w:val="000000"/>
        </w:rPr>
        <w:t>. Darbo aplinkos oro užterštumo matavimai turi būti atliekami pirmą kartą pradedant naudoti chemines medžiagas darbo vietoje, kaip nors pasikeitus darbo sąlygoms, technologiniam procesui, vertinant cheminių veiksnių profesinę riziką darbo vietoje. Matavimai turi būti vykdomi teisės aktų nustatyta tvarka pagal galiojančius standartus ar kitus įteisintus metodus.</w:t>
      </w:r>
    </w:p>
    <w:p>
      <w:pPr>
        <w:widowControl w:val="0"/>
        <w:suppressAutoHyphens/>
        <w:ind w:firstLine="567"/>
        <w:jc w:val="both"/>
        <w:rPr>
          <w:color w:val="000000"/>
        </w:rPr>
      </w:pPr>
      <w:r>
        <w:rPr>
          <w:color w:val="000000"/>
        </w:rPr>
        <w:t>30</w:t>
      </w:r>
      <w:r>
        <w:rPr>
          <w:color w:val="000000"/>
        </w:rPr>
        <w:t>. Esant identiškai įrangai arba atliekant tokias pat gamybines operacijas, cheminių medžiagų koncentracijos turi būti matuojamos tose darbo vietose, kuriose galimas didžiausias darbo aplinkos oro užterštumas (ne mažiau kaip 10 proc. darbo vietų).</w:t>
      </w:r>
    </w:p>
    <w:p>
      <w:pPr>
        <w:widowControl w:val="0"/>
        <w:suppressAutoHyphens/>
        <w:ind w:firstLine="567"/>
        <w:jc w:val="both"/>
        <w:rPr>
          <w:color w:val="000000"/>
        </w:rPr>
      </w:pPr>
      <w:r>
        <w:rPr>
          <w:color w:val="000000"/>
        </w:rPr>
        <w:t>31</w:t>
      </w:r>
      <w:r>
        <w:rPr>
          <w:color w:val="000000"/>
        </w:rPr>
        <w:t>. Kiekvienoje darbo vietoje turi būti nustatyta, kokios cheminės medžiagos, turinčios poveikį darbuotojų sveikatai, gali išsiskirti į darbo aplinką.</w:t>
      </w:r>
    </w:p>
    <w:p>
      <w:pPr>
        <w:widowControl w:val="0"/>
        <w:suppressAutoHyphens/>
        <w:ind w:firstLine="567"/>
        <w:jc w:val="both"/>
        <w:rPr>
          <w:color w:val="000000"/>
          <w:spacing w:val="-3"/>
        </w:rPr>
      </w:pPr>
      <w:r>
        <w:rPr>
          <w:color w:val="000000"/>
          <w:spacing w:val="-3"/>
        </w:rPr>
        <w:t>32</w:t>
      </w:r>
      <w:r>
        <w:rPr>
          <w:color w:val="000000"/>
          <w:spacing w:val="-3"/>
        </w:rPr>
        <w:t>. Oro ėminiai, reikalingi cheminės medžiagos koncentracijai nustatyti, turi būti imami darbuotojo kvėpavimo erdvėje, esant technologinio proceso įprastinei eigai ir veikiant vėdinimo sistemai.</w:t>
      </w:r>
    </w:p>
    <w:p>
      <w:pPr>
        <w:widowControl w:val="0"/>
        <w:suppressAutoHyphens/>
        <w:ind w:firstLine="567"/>
        <w:jc w:val="both"/>
        <w:rPr>
          <w:color w:val="000000"/>
        </w:rPr>
      </w:pPr>
      <w:r>
        <w:rPr>
          <w:color w:val="000000"/>
        </w:rPr>
        <w:t>33</w:t>
      </w:r>
      <w:r>
        <w:rPr>
          <w:color w:val="000000"/>
        </w:rPr>
        <w:t>. Oro ėminių skaičius priklauso nuo cheminės medžiagos poveikio, technologinio proceso, cheminės medžiagos koncentracijos, ėminių ėmimo trukmės.</w:t>
      </w:r>
    </w:p>
    <w:p>
      <w:pPr>
        <w:ind w:firstLine="567"/>
        <w:jc w:val="both"/>
        <w:rPr>
          <w:color w:val="000000"/>
        </w:rPr>
      </w:pPr>
      <w:r>
        <w:rPr>
          <w:color w:val="000000"/>
          <w:szCs w:val="24"/>
        </w:rPr>
        <w:t>34</w:t>
      </w:r>
      <w:r>
        <w:rPr>
          <w:color w:val="000000"/>
          <w:szCs w:val="24"/>
        </w:rPr>
        <w:t>. Kad būtų įvertinta cheminės medžiagos koncentracijos atitiktis ilgalaikio poveikio ribiniam dydžiui, oro ėminiai gali būti imami visą darbo dieną (pamainą), net ir per pertraukas, išskyrus poilsio ir pietų pertraukas, kai pasišalinama iš darbo vietos. Jei galimybės pasišalinti iš darbo vietos nėra, pietų pertrauka įtraukiama į visą darbo laiką, nes tuo metu darbuotojas yra veikiamas cheminės medžiagos. Oro ėminių skaičius gali būti nuo vieno darbo pamainos trukmės ėminio iki kelių trumpalaikių ėminių, imamų kelis kartus per darbo pamainą. Ėminių ėmimo trukmė turi būti ne trumpesnė kaip 25 proc. bendros poveikio trukmės, jeigu darbo metu nevyksta jokių didelių poveikio pokyčių. Jei darbo diena (pamaina) trunka ilgiau nei 8 valandas, ėminiai turi būti periodiškai imami visą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35</w:t>
      </w:r>
      <w:r>
        <w:rPr>
          <w:color w:val="000000"/>
        </w:rPr>
        <w:t>. Išmatuota cheminės medžiagos koncentracija yra vertinama apskaičiuojant dinaminį svertinį vidurkį, lyginamą su ilgalaikio poveikio ribiniu dydžiu. Cheminės medžiagos koncentracijos dinaminis svertinis vidurkis apskaičiuojamas pagal formulę:</w:t>
      </w:r>
    </w:p>
    <w:p>
      <w:pPr>
        <w:widowControl w:val="0"/>
        <w:suppressAutoHyphens/>
        <w:ind w:firstLine="567"/>
        <w:jc w:val="both"/>
        <w:rPr>
          <w:color w:val="000000"/>
        </w:rPr>
      </w:pPr>
    </w:p>
    <w:p>
      <w:pPr>
        <w:ind w:left="567"/>
        <w:rPr>
          <w:color w:val="000000"/>
        </w:rPr>
      </w:pPr>
      <w:r>
        <w:rPr>
          <w:position w:val="-30"/>
        </w:rPr>
        <w:object w:dxaOrig="3585" w:dyaOrig="705">
          <v:shape id="_x0000_i1026" type="#_x0000_t75" style="width:179.6pt;height:35.6pt" o:ole="">
            <v:imagedata r:id="rId17" o:title=""/>
          </v:shape>
          <o:OLEObject Type="Embed" ProgID="Equation.3" ShapeID="_x0000_i1026" DrawAspect="Content" ObjectID="_0000000001" r:id="rId18"/>
        </w:object>
      </w:r>
      <w:r>
        <w:rPr>
          <w:vanish/>
        </w:rPr>
        <w:t>CDSV = (C1t1 + C2t2 + C3t3 + ... + Cntn) / (t1 + t2 + t3 + ... + tn)</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DSV</w:t>
      </w:r>
      <w:r>
        <w:rPr>
          <w:color w:val="000000"/>
        </w:rPr>
        <w:t xml:space="preserve"> – cheminės medžiagos koncentracijos dinaminis svertinis vidurkis (mg/m</w:t>
      </w:r>
      <w:r>
        <w:rPr>
          <w:color w:val="000000"/>
          <w:vertAlign w:val="superscript"/>
        </w:rPr>
        <w:t>3</w:t>
      </w:r>
      <w:r>
        <w:rPr>
          <w:color w:val="000000"/>
        </w:rPr>
        <w:t xml:space="preserve"> arba ppm);</w:t>
      </w:r>
    </w:p>
    <w:p>
      <w:pPr>
        <w:widowControl w:val="0"/>
        <w:suppressAutoHyphens/>
        <w:ind w:firstLine="567"/>
        <w:jc w:val="both"/>
        <w:rPr>
          <w:color w:val="000000"/>
        </w:rPr>
      </w:pPr>
      <w:r>
        <w:rPr>
          <w:color w:val="000000"/>
        </w:rPr>
        <w:t>C</w:t>
      </w:r>
      <w:r>
        <w:rPr>
          <w:color w:val="000000"/>
          <w:vertAlign w:val="subscript"/>
        </w:rPr>
        <w:t>1</w:t>
      </w:r>
      <w:r>
        <w:rPr>
          <w:color w:val="000000"/>
        </w:rPr>
        <w:t>, C</w:t>
      </w:r>
      <w:r>
        <w:rPr>
          <w:color w:val="000000"/>
          <w:vertAlign w:val="subscript"/>
        </w:rPr>
        <w:t>2</w:t>
      </w:r>
      <w:r>
        <w:rPr>
          <w:color w:val="000000"/>
        </w:rPr>
        <w:t>, C</w:t>
      </w:r>
      <w:r>
        <w:rPr>
          <w:color w:val="000000"/>
          <w:vertAlign w:val="subscript"/>
        </w:rPr>
        <w:t xml:space="preserve">3 </w:t>
      </w:r>
      <w:r>
        <w:rPr>
          <w:color w:val="000000"/>
        </w:rPr>
        <w:t>ir C</w:t>
      </w:r>
      <w:r>
        <w:rPr>
          <w:color w:val="000000"/>
          <w:vertAlign w:val="subscript"/>
        </w:rPr>
        <w:t>n</w:t>
      </w:r>
      <w:r>
        <w:rPr>
          <w:color w:val="000000"/>
        </w:rPr>
        <w:t xml:space="preserve"> – koncentracijos dydis atskirais laiko tarpais tais pačiais matavimo vienetais (mg/m</w:t>
      </w:r>
      <w:r>
        <w:rPr>
          <w:color w:val="000000"/>
          <w:vertAlign w:val="superscript"/>
        </w:rPr>
        <w:t>3</w:t>
      </w:r>
      <w:r>
        <w:rPr>
          <w:color w:val="000000"/>
        </w:rPr>
        <w:t xml:space="preserve"> arba ppm);</w:t>
      </w:r>
    </w:p>
    <w:p>
      <w:pPr>
        <w:widowControl w:val="0"/>
        <w:suppressAutoHyphens/>
        <w:ind w:firstLine="567"/>
        <w:jc w:val="both"/>
        <w:rPr>
          <w:color w:val="000000"/>
        </w:rPr>
      </w:pPr>
      <w:r>
        <w:rPr>
          <w:color w:val="000000"/>
        </w:rPr>
        <w:t>t</w:t>
      </w:r>
      <w:r>
        <w:rPr>
          <w:color w:val="000000"/>
          <w:vertAlign w:val="subscript"/>
        </w:rPr>
        <w:t>1</w:t>
      </w:r>
      <w:r>
        <w:rPr>
          <w:color w:val="000000"/>
        </w:rPr>
        <w:t>, t</w:t>
      </w:r>
      <w:r>
        <w:rPr>
          <w:color w:val="000000"/>
          <w:vertAlign w:val="subscript"/>
        </w:rPr>
        <w:t>2</w:t>
      </w:r>
      <w:r>
        <w:rPr>
          <w:color w:val="000000"/>
        </w:rPr>
        <w:t>, t</w:t>
      </w:r>
      <w:r>
        <w:rPr>
          <w:color w:val="000000"/>
          <w:vertAlign w:val="subscript"/>
        </w:rPr>
        <w:t>3</w:t>
      </w:r>
      <w:r>
        <w:rPr>
          <w:color w:val="000000"/>
        </w:rPr>
        <w:t xml:space="preserve"> ir t</w:t>
      </w:r>
      <w:r>
        <w:rPr>
          <w:color w:val="000000"/>
          <w:vertAlign w:val="subscript"/>
        </w:rPr>
        <w:t>n</w:t>
      </w:r>
      <w:r>
        <w:rPr>
          <w:color w:val="000000"/>
        </w:rPr>
        <w:t xml:space="preserve"> – atskirų oro ėminių paėmimo trukmė minutėmis.</w:t>
      </w:r>
    </w:p>
    <w:p>
      <w:pPr>
        <w:widowControl w:val="0"/>
        <w:suppressAutoHyphens/>
        <w:ind w:firstLine="567"/>
        <w:jc w:val="both"/>
        <w:rPr>
          <w:color w:val="000000"/>
        </w:rPr>
      </w:pPr>
      <w:r>
        <w:rPr>
          <w:color w:val="000000"/>
        </w:rPr>
        <w:t>Cheminės medžiagos koncentracijos dinaminio svertinio vidurkio apskaičiavimo pavyzdys pateiktas 2 priede.</w:t>
      </w:r>
    </w:p>
    <w:p>
      <w:pPr>
        <w:ind w:firstLine="567"/>
        <w:jc w:val="both"/>
        <w:rPr>
          <w:color w:val="000000"/>
        </w:rPr>
      </w:pPr>
      <w:r>
        <w:rPr>
          <w:color w:val="000000"/>
          <w:szCs w:val="24"/>
        </w:rPr>
        <w:t>36</w:t>
      </w:r>
      <w:r>
        <w:rPr>
          <w:color w:val="000000"/>
          <w:szCs w:val="24"/>
        </w:rPr>
        <w:t xml:space="preserve">. Kad būtų įvertinta cheminės medžiagos koncentracijos atitiktis trumpalaikio poveikio ribiniam dydžiui, matavimai atliekami visą darbo dieną (pamainą) oro ėminius imant ne rečiau kaip kas 15 minučių. </w:t>
      </w:r>
      <w:r>
        <w:rPr>
          <w:szCs w:val="24"/>
        </w:rPr>
        <w:t>Oro ėminiai imami ne trumpiau kaip 15 min.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firstLine="567"/>
        <w:jc w:val="both"/>
        <w:rPr>
          <w:color w:val="000000"/>
        </w:rPr>
      </w:pPr>
      <w:r>
        <w:rPr>
          <w:color w:val="000000"/>
          <w:szCs w:val="24"/>
        </w:rPr>
        <w:t>37</w:t>
      </w:r>
      <w:r>
        <w:rPr>
          <w:color w:val="000000"/>
          <w:szCs w:val="24"/>
        </w:rPr>
        <w:t>. Kad būtų įvertinta cheminės medžiagos koncentracijos atitiktis neviršytinam ribiniam dydžiui, matavimai atliekami visą darbo dieną (pamainą)</w:t>
      </w:r>
      <w:r>
        <w:rPr>
          <w:b/>
          <w:color w:val="000000"/>
          <w:szCs w:val="24"/>
        </w:rPr>
        <w:t xml:space="preserve"> </w:t>
      </w:r>
      <w:r>
        <w:rPr>
          <w:color w:val="000000"/>
          <w:szCs w:val="24"/>
        </w:rPr>
        <w:t xml:space="preserve">oro ėminius imant ne rečiau kaip kas 15 minučių, </w:t>
      </w:r>
      <w:r>
        <w:rPr>
          <w:szCs w:val="24"/>
        </w:rPr>
        <w:t>išskyrus amoniaką, izocianatus, kurių koncentracijai nustatyti oro ėminiai imami kas 5–10 min</w:t>
      </w:r>
      <w:r>
        <w:rPr>
          <w:color w:val="000000"/>
          <w:szCs w:val="24"/>
        </w:rPr>
        <w:t xml:space="preserve">. </w:t>
      </w:r>
      <w:r>
        <w:rPr>
          <w:szCs w:val="24"/>
        </w:rPr>
        <w:t>Oro ėminiai imami ne trumpiau kaip 15 min., amoniako, izocianatų koncentracijai nustatyti – 5 min., akrilo rūgšties – 1 min.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widowControl w:val="0"/>
        <w:suppressAutoHyphens/>
        <w:ind w:firstLine="567"/>
        <w:jc w:val="both"/>
        <w:rPr>
          <w:color w:val="000000"/>
        </w:rPr>
      </w:pPr>
      <w:r>
        <w:rPr>
          <w:color w:val="000000"/>
        </w:rPr>
        <w:t>38</w:t>
      </w:r>
      <w:r>
        <w:rPr>
          <w:color w:val="000000"/>
        </w:rPr>
        <w:t>. Dujų ir garų koncentracijų dydžiai turi būti išreikšti miligramais kubiniame metre (mg/m</w:t>
      </w:r>
      <w:r>
        <w:rPr>
          <w:color w:val="000000"/>
          <w:vertAlign w:val="superscript"/>
        </w:rPr>
        <w:t>3</w:t>
      </w:r>
      <w:r>
        <w:rPr>
          <w:color w:val="000000"/>
        </w:rPr>
        <w:t>), esant 20 °C oro temperatūrai ir 101,3 kPa atmosferos slėgiui, arba milijoninėmis tūrio dalimis (ppm, ml/m</w:t>
      </w:r>
      <w:r>
        <w:rPr>
          <w:color w:val="000000"/>
          <w:vertAlign w:val="superscript"/>
        </w:rPr>
        <w:t>3</w:t>
      </w:r>
      <w:r>
        <w:rPr>
          <w:color w:val="000000"/>
        </w:rPr>
        <w:t>), nepriklausančiomis nuo oro temperatūros ir atmosferos slėgio pokyčių.</w:t>
      </w:r>
    </w:p>
    <w:p>
      <w:pPr>
        <w:widowControl w:val="0"/>
        <w:suppressAutoHyphens/>
        <w:ind w:firstLine="567"/>
        <w:jc w:val="both"/>
        <w:rPr>
          <w:color w:val="000000"/>
        </w:rPr>
      </w:pPr>
      <w:r>
        <w:rPr>
          <w:color w:val="000000"/>
        </w:rPr>
        <w:t>39</w:t>
      </w:r>
      <w:r>
        <w:rPr>
          <w:color w:val="000000"/>
        </w:rPr>
        <w:t>. Ore suspenduotų (kietos ar skystos, dulkių, dūmų ar rūko dalelės) cheminių medžiagų koncentracijų dydžiai turi būti išreikšti miligramais kubiniame metre (mg/m</w:t>
      </w:r>
      <w:r>
        <w:rPr>
          <w:color w:val="000000"/>
          <w:vertAlign w:val="superscript"/>
        </w:rPr>
        <w:t>3</w:t>
      </w:r>
      <w:r>
        <w:rPr>
          <w:color w:val="000000"/>
        </w:rPr>
        <w:t>) darbo vietoje esančiomis aplinkos oro (oro temperatūros ir atmosferos slėgio) sąlygomis.</w:t>
      </w:r>
    </w:p>
    <w:p>
      <w:pPr>
        <w:widowControl w:val="0"/>
        <w:suppressAutoHyphens/>
        <w:ind w:firstLine="567"/>
        <w:jc w:val="both"/>
        <w:rPr>
          <w:color w:val="000000"/>
        </w:rPr>
      </w:pPr>
      <w:r>
        <w:rPr>
          <w:color w:val="000000"/>
        </w:rPr>
        <w:t>40</w:t>
      </w:r>
      <w:r>
        <w:rPr>
          <w:color w:val="000000"/>
        </w:rPr>
        <w:t>. Ore esančių plaušelių (skaidulų) koncentracijų dydžiai turi būti pateikti plaušelių skaičiumi kubiniame centimetre (plaušelių skaičius/cm</w:t>
      </w:r>
      <w:r>
        <w:rPr>
          <w:color w:val="000000"/>
          <w:vertAlign w:val="superscript"/>
        </w:rPr>
        <w:t>3</w:t>
      </w:r>
      <w:r>
        <w:rPr>
          <w:color w:val="000000"/>
        </w:rPr>
        <w:t>) darbo vietoje esančiomis aplinkos oro (oro temperatūros ir atmosferos slėgio) sąlygomis.</w:t>
      </w:r>
    </w:p>
    <w:p>
      <w:pPr>
        <w:widowControl w:val="0"/>
        <w:suppressAutoHyphens/>
        <w:ind w:firstLine="567"/>
        <w:jc w:val="both"/>
        <w:rPr>
          <w:color w:val="000000"/>
        </w:rPr>
      </w:pPr>
      <w:r>
        <w:rPr>
          <w:color w:val="000000"/>
        </w:rPr>
        <w:t>41</w:t>
      </w:r>
      <w:r>
        <w:rPr>
          <w:color w:val="000000"/>
        </w:rPr>
        <w:t>. Atlikus matavimą, galutiniai duomenys turi būti išreikšti tais pačiais vienetais kaip ir cheminių medžiagų ribiniai dydžiai. Tai gali būti atlikta matuojant arba perskaičiuota pagal formulę:</w:t>
      </w:r>
    </w:p>
    <w:p>
      <w:pPr>
        <w:widowControl w:val="0"/>
        <w:suppressAutoHyphens/>
        <w:ind w:firstLine="567"/>
        <w:jc w:val="both"/>
        <w:rPr>
          <w:color w:val="000000"/>
        </w:rPr>
      </w:pPr>
    </w:p>
    <w:p>
      <w:pPr>
        <w:ind w:left="567"/>
        <w:rPr>
          <w:color w:val="000000"/>
        </w:rPr>
      </w:pPr>
      <w:r>
        <w:rPr>
          <w:position w:val="-28"/>
        </w:rPr>
        <w:object w:dxaOrig="2640" w:dyaOrig="660">
          <v:shape id="_x0000_i1027" type="#_x0000_t75" style="width:132.15pt;height:33.25pt" o:ole="">
            <v:imagedata r:id="rId19" o:title=""/>
          </v:shape>
          <o:OLEObject Type="Embed" ProgID="Equation.3" ShapeID="_x0000_i1027" DrawAspect="Content" ObjectID="_0000000001" r:id="rId20"/>
        </w:object>
      </w:r>
      <w:r>
        <w:rPr>
          <w:vanish/>
        </w:rPr>
        <w:t>C(mg/m</w:t>
      </w:r>
      <w:r>
        <w:rPr>
          <w:vanish/>
          <w:vertAlign w:val="superscript"/>
        </w:rPr>
        <w:t>3</w:t>
      </w:r>
      <w:r>
        <w:rPr>
          <w:vanish/>
        </w:rPr>
        <w:t>) = (C(pmm) * M) / 24,04</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 – cheminės medžiagos koncentracija;</w:t>
      </w:r>
    </w:p>
    <w:p>
      <w:pPr>
        <w:widowControl w:val="0"/>
        <w:suppressAutoHyphens/>
        <w:ind w:firstLine="567"/>
        <w:jc w:val="both"/>
        <w:rPr>
          <w:color w:val="000000"/>
        </w:rPr>
      </w:pPr>
      <w:r>
        <w:rPr>
          <w:color w:val="000000"/>
        </w:rPr>
        <w:t>M – molekulinė cheminės medžiagos masė (g/mol);</w:t>
      </w:r>
    </w:p>
    <w:p>
      <w:pPr>
        <w:widowControl w:val="0"/>
        <w:suppressAutoHyphens/>
        <w:ind w:firstLine="567"/>
        <w:jc w:val="both"/>
        <w:rPr>
          <w:color w:val="000000"/>
        </w:rPr>
      </w:pPr>
      <w:r>
        <w:rPr>
          <w:color w:val="000000"/>
        </w:rPr>
        <w:t>24,04 – molinis tūris (l/mol), kai temperatūra – 20 °C ir atmosferos slėgis – 101,3 kPa (760 mmHg).</w:t>
      </w:r>
    </w:p>
    <w:p>
      <w:pPr>
        <w:widowControl w:val="0"/>
        <w:suppressAutoHyphens/>
        <w:ind w:firstLine="567"/>
        <w:jc w:val="both"/>
        <w:rPr>
          <w:color w:val="000000"/>
        </w:rPr>
      </w:pPr>
      <w:r>
        <w:rPr>
          <w:color w:val="000000"/>
        </w:rPr>
        <w:t>42</w:t>
      </w:r>
      <w:r>
        <w:rPr>
          <w:color w:val="000000"/>
        </w:rPr>
        <w:t>. Gauti rezultatai pateikiami tyrimų protokole.</w:t>
      </w:r>
    </w:p>
    <w:p>
      <w:pPr>
        <w:widowControl w:val="0"/>
        <w:suppressAutoHyphens/>
        <w:ind w:firstLine="567"/>
        <w:jc w:val="both"/>
        <w:rPr>
          <w:color w:val="000000"/>
        </w:rPr>
      </w:pPr>
      <w:r>
        <w:rPr>
          <w:color w:val="000000"/>
        </w:rPr>
        <w:t>43</w:t>
      </w:r>
      <w:r>
        <w:rPr>
          <w:color w:val="000000"/>
        </w:rPr>
        <w:t>. Cheminių medžiagų koncentracijų dydžiai lyginami su jų ribiniais dydžiais, pateiktais šios higienos normos 1 priede, atsižvelgiant į 1 priede pateiktas pastabas.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suppressAutoHyphens/>
        <w:jc w:val="both"/>
        <w:rPr>
          <w:color w:val="000000"/>
        </w:rPr>
        <w:sectPr>
          <w:pgSz w:w="11906" w:h="16838"/>
          <w:pgMar w:top="1134" w:right="1134" w:bottom="1134" w:left="1701" w:header="567" w:footer="567" w:gutter="0"/>
          <w:pgNumType w:start="1"/>
          <w:cols w:space="1296"/>
          <w:titlePg/>
          <w:docGrid w:linePitch="360"/>
        </w:sectPr>
      </w:pPr>
    </w:p>
    <w:p>
      <w:pPr>
        <w:tabs>
          <w:tab w:val="center" w:pos="4153"/>
          <w:tab w:val="right" w:pos="8306"/>
        </w:tabs>
        <w:rPr>
          <w:lang w:val="en-GB"/>
        </w:rPr>
      </w:pPr>
    </w:p>
    <w:p>
      <w:pPr>
        <w:ind w:left="9100"/>
      </w:pPr>
      <w:r>
        <w:t xml:space="preserve">Lietuvos higienos normos HN 23:2011 „Cheminių </w:t>
      </w:r>
    </w:p>
    <w:p>
      <w:pPr>
        <w:ind w:left="9100"/>
      </w:pPr>
      <w:r>
        <w:t xml:space="preserve">medžiagų ribiniai dydžiai. Matavimo ir poveikio </w:t>
      </w:r>
    </w:p>
    <w:p>
      <w:pPr>
        <w:ind w:left="9100"/>
      </w:pPr>
      <w:r>
        <w:t>vertinimo bendrieji reikalavimai“</w:t>
      </w:r>
    </w:p>
    <w:p>
      <w:pPr>
        <w:ind w:left="9100"/>
      </w:pPr>
      <w:r>
        <w:t>1</w:t>
      </w:r>
      <w:r>
        <w:t xml:space="preserve"> priedas</w:t>
      </w:r>
    </w:p>
    <w:p>
      <w:pPr>
        <w:rPr>
          <w:color w:val="000000"/>
        </w:rPr>
      </w:pPr>
    </w:p>
    <w:p>
      <w:pPr>
        <w:jc w:val="center"/>
        <w:rPr>
          <w:b/>
          <w:color w:val="000000"/>
        </w:rPr>
      </w:pPr>
      <w:r>
        <w:rPr>
          <w:b/>
          <w:color w:val="000000"/>
        </w:rPr>
        <w:t xml:space="preserve">CHEMINIŲ MEDŽIAGŲ PROFESINIO POVEIKIO  RIBINIAI </w:t>
      </w:r>
      <w:r>
        <w:rPr>
          <w:b/>
        </w:rPr>
        <w:t>DYDŽIAI</w:t>
      </w:r>
    </w:p>
    <w:p>
      <w:pPr>
        <w:rPr>
          <w:b/>
          <w:color w:val="000000"/>
        </w:rPr>
      </w:pPr>
    </w:p>
    <w:p>
      <w:pPr>
        <w:rPr>
          <w:b/>
          <w:color w:val="000000"/>
        </w:rPr>
      </w:pPr>
      <w:r>
        <w:rPr>
          <w:color w:val="000000"/>
        </w:rPr>
        <w:t>1</w:t>
      </w:r>
      <w:r>
        <w:rPr>
          <w:color w:val="000000"/>
        </w:rPr>
        <w:t xml:space="preserve">. </w:t>
      </w:r>
      <w:r>
        <w:rPr>
          <w:color w:val="000000"/>
          <w:szCs w:val="24"/>
        </w:rPr>
        <w:t>Darbo aplinkos oro užterštumas chemine medžiaga turi neviršyti 1 lentelėje nurodytų cheminių medžiagų ribinių dydžių (toliau – RD)</w:t>
      </w:r>
      <w:r>
        <w:rPr>
          <w:color w:val="000000"/>
        </w:rPr>
        <w:t>.</w:t>
      </w:r>
    </w:p>
    <w:p>
      <w:pPr>
        <w:rPr>
          <w:b/>
          <w:color w:val="000000"/>
        </w:rPr>
      </w:pPr>
    </w:p>
    <w:p>
      <w:pPr/>
      <w:r>
        <w:rPr>
          <w:color w:val="000000"/>
          <w:szCs w:val="24"/>
        </w:rPr>
        <w:t>1 lentelė</w:t>
      </w:r>
      <w:r>
        <w:rPr>
          <w:bCs/>
          <w:szCs w:val="24"/>
        </w:rPr>
        <w:t xml:space="preserve">. </w:t>
      </w:r>
      <w:r>
        <w:rPr>
          <w:szCs w:val="24"/>
        </w:rPr>
        <w:t>Cheminių medžiagų RD</w:t>
      </w:r>
    </w:p>
    <w:p>
      <w:pPr/>
    </w:p>
    <w:tbl>
      <w:tblPr>
        <w:tblW w:w="14700" w:type="dxa"/>
        <w:tblInd w:w="28" w:type="dxa"/>
        <w:tblLayout w:type="fixed"/>
        <w:tblLook w:val="0000" w:firstRow="0" w:lastRow="0" w:firstColumn="0" w:lastColumn="0" w:noHBand="0" w:noVBand="0"/>
      </w:tblPr>
      <w:tblGrid>
        <w:gridCol w:w="600"/>
        <w:gridCol w:w="2800"/>
        <w:gridCol w:w="1200"/>
        <w:gridCol w:w="808"/>
        <w:gridCol w:w="892"/>
        <w:gridCol w:w="800"/>
        <w:gridCol w:w="700"/>
        <w:gridCol w:w="708"/>
        <w:gridCol w:w="704"/>
        <w:gridCol w:w="1000"/>
        <w:gridCol w:w="4488"/>
      </w:tblGrid>
      <w:tr>
        <w:trPr>
          <w:trHeight w:val="20"/>
          <w:tblHeader/>
        </w:trPr>
        <w:tc>
          <w:tcPr>
            <w:tcW w:w="4600" w:type="dxa"/>
            <w:gridSpan w:val="3"/>
            <w:vMerge w:val="restart"/>
            <w:tcBorders>
              <w:top w:val="single" w:sz="4" w:space="0" w:color="auto"/>
              <w:left w:val="single" w:sz="6" w:space="0" w:color="auto"/>
            </w:tcBorders>
            <w:shd w:val="clear" w:color="auto" w:fill="auto"/>
            <w:tcMar>
              <w:left w:w="28" w:type="dxa"/>
              <w:right w:w="28" w:type="dxa"/>
            </w:tcMar>
            <w:vAlign w:val="cente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br w:type="page"/>
              <w:br w:type="page"/>
              <w:t>Cheminė medžiaga</w:t>
            </w:r>
          </w:p>
        </w:tc>
        <w:tc>
          <w:tcPr>
            <w:tcW w:w="4612" w:type="dxa"/>
            <w:gridSpan w:val="6"/>
            <w:tcBorders>
              <w:top w:val="single" w:sz="4" w:space="0" w:color="auto"/>
              <w:left w:val="single" w:sz="6" w:space="0" w:color="auto"/>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RD</w:t>
            </w:r>
          </w:p>
        </w:tc>
        <w:tc>
          <w:tcPr>
            <w:tcW w:w="1000" w:type="dxa"/>
            <w:vMerge w:val="restart"/>
            <w:tcBorders>
              <w:top w:val="single" w:sz="6" w:space="0" w:color="auto"/>
              <w:left w:val="nil"/>
              <w:right w:val="single" w:sz="6" w:space="0" w:color="auto"/>
            </w:tcBorders>
            <w:tcMar>
              <w:left w:w="28" w:type="dxa"/>
              <w:right w:w="28" w:type="dxa"/>
            </w:tcMar>
            <w:vAlign w:val="cente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Poveikio sveikatai ypatumų žymenys</w:t>
            </w:r>
          </w:p>
        </w:tc>
        <w:tc>
          <w:tcPr>
            <w:tcW w:w="4488" w:type="dxa"/>
            <w:vMerge w:val="restart"/>
            <w:tcBorders>
              <w:top w:val="single" w:sz="6" w:space="0" w:color="auto"/>
              <w:left w:val="single" w:sz="6" w:space="0" w:color="auto"/>
              <w:right w:val="single" w:sz="6" w:space="0" w:color="auto"/>
            </w:tcBorders>
            <w:shd w:val="clear" w:color="auto" w:fill="auto"/>
            <w:tcMar>
              <w:left w:w="28" w:type="dxa"/>
              <w:right w:w="28" w:type="dxa"/>
            </w:tcMar>
            <w:vAlign w:val="cente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Pastabos</w:t>
            </w:r>
          </w:p>
        </w:tc>
      </w:tr>
      <w:tr>
        <w:trPr>
          <w:trHeight w:val="20"/>
          <w:tblHeader/>
        </w:trPr>
        <w:tc>
          <w:tcPr>
            <w:tcW w:w="4600" w:type="dxa"/>
            <w:gridSpan w:val="3"/>
            <w:vMerge/>
            <w:tcBorders>
              <w:left w:val="single" w:sz="6" w:space="0" w:color="auto"/>
              <w:bottom w:val="nil"/>
            </w:tcBorders>
            <w:shd w:val="clear" w:color="auto" w:fill="auto"/>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1700" w:type="dxa"/>
            <w:gridSpan w:val="2"/>
            <w:tcBorders>
              <w:left w:val="single" w:sz="6" w:space="0" w:color="auto"/>
              <w:bottom w:val="nil"/>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 xml:space="preserve">Ilgalaikio poveikio ribinis dydis </w:t>
            </w:r>
          </w:p>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(toliau – IPRD)</w:t>
            </w:r>
          </w:p>
        </w:tc>
        <w:tc>
          <w:tcPr>
            <w:tcW w:w="1500" w:type="dxa"/>
            <w:gridSpan w:val="2"/>
            <w:tcBorders>
              <w:left w:val="nil"/>
              <w:bottom w:val="nil"/>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Trumpalaikio poveikio ribinis dydis</w:t>
            </w:r>
          </w:p>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(toliau –TPRD)</w:t>
            </w:r>
          </w:p>
        </w:tc>
        <w:tc>
          <w:tcPr>
            <w:tcW w:w="1412" w:type="dxa"/>
            <w:gridSpan w:val="2"/>
            <w:tcBorders>
              <w:left w:val="nil"/>
              <w:bottom w:val="nil"/>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Neviršytinas ribinis dydis</w:t>
            </w:r>
          </w:p>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(toliau –NRD)</w:t>
            </w:r>
          </w:p>
        </w:tc>
        <w:tc>
          <w:tcPr>
            <w:tcW w:w="1000" w:type="dxa"/>
            <w:vMerge/>
            <w:tcBorders>
              <w:left w:val="nil"/>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4488" w:type="dxa"/>
            <w:vMerge/>
            <w:tcBorders>
              <w:left w:val="single" w:sz="6" w:space="0" w:color="auto"/>
              <w:right w:val="single" w:sz="6" w:space="0" w:color="auto"/>
            </w:tcBorders>
            <w:shd w:val="clear" w:color="auto" w:fill="auto"/>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r>
      <w:tr>
        <w:trPr>
          <w:trHeight w:val="20"/>
          <w:tblHeader/>
        </w:trPr>
        <w:tc>
          <w:tcPr>
            <w:tcW w:w="600" w:type="dxa"/>
            <w:tcBorders>
              <w:top w:val="single" w:sz="6" w:space="0" w:color="auto"/>
              <w:left w:val="single" w:sz="6" w:space="0" w:color="auto"/>
              <w:bottom w:val="single" w:sz="4"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Eil. Nr.</w:t>
            </w:r>
          </w:p>
        </w:tc>
        <w:tc>
          <w:tcPr>
            <w:tcW w:w="2800" w:type="dxa"/>
            <w:tcBorders>
              <w:top w:val="single" w:sz="6" w:space="0" w:color="auto"/>
              <w:left w:val="single" w:sz="6" w:space="0" w:color="auto"/>
              <w:bottom w:val="single" w:sz="4"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Pavadinimas</w:t>
            </w:r>
          </w:p>
        </w:tc>
        <w:tc>
          <w:tcPr>
            <w:tcW w:w="1200" w:type="dxa"/>
            <w:tcBorders>
              <w:top w:val="single" w:sz="6" w:space="0" w:color="auto"/>
              <w:left w:val="single" w:sz="6" w:space="0" w:color="auto"/>
              <w:bottom w:val="single" w:sz="4"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CAS Nr.</w:t>
            </w:r>
          </w:p>
        </w:tc>
        <w:tc>
          <w:tcPr>
            <w:tcW w:w="808" w:type="dxa"/>
            <w:tcBorders>
              <w:top w:val="single" w:sz="6" w:space="0" w:color="auto"/>
              <w:left w:val="single" w:sz="6" w:space="0" w:color="auto"/>
              <w:bottom w:val="single" w:sz="4"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r>
              <w:rPr>
                <w:b/>
                <w:sz w:val="22"/>
                <w:szCs w:val="22"/>
              </w:rPr>
              <w:t xml:space="preserve"> </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800" w:type="dxa"/>
            <w:tcBorders>
              <w:top w:val="single" w:sz="6" w:space="0" w:color="auto"/>
              <w:left w:val="nil"/>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p>
        </w:tc>
        <w:tc>
          <w:tcPr>
            <w:tcW w:w="700" w:type="dxa"/>
            <w:tcBorders>
              <w:top w:val="single" w:sz="6" w:space="0" w:color="auto"/>
              <w:left w:val="nil"/>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708" w:type="dxa"/>
            <w:tcBorders>
              <w:top w:val="single" w:sz="6" w:space="0" w:color="auto"/>
              <w:left w:val="nil"/>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1000" w:type="dxa"/>
            <w:vMerge/>
            <w:tcBorders>
              <w:left w:val="single" w:sz="6" w:space="0" w:color="auto"/>
              <w:bottom w:val="single" w:sz="6" w:space="0" w:color="auto"/>
              <w:right w:val="single" w:sz="6" w:space="0" w:color="auto"/>
            </w:tcBorders>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4488" w:type="dxa"/>
            <w:vMerge/>
            <w:tcBorders>
              <w:left w:val="single" w:sz="6" w:space="0" w:color="auto"/>
              <w:bottom w:val="single" w:sz="6" w:space="0" w:color="auto"/>
              <w:right w:val="single" w:sz="6" w:space="0" w:color="auto"/>
            </w:tcBorders>
            <w:shd w:val="clear" w:color="auto" w:fill="auto"/>
            <w:tcMar>
              <w:left w:w="28" w:type="dxa"/>
              <w:right w:w="28" w:type="dxa"/>
            </w:tcMar>
          </w:tcPr>
          <w:p>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r>
      <w:tr>
        <w:trPr>
          <w:trHeight w:val="20"/>
          <w:tblHeader/>
        </w:trPr>
        <w:tc>
          <w:tcPr>
            <w:tcW w:w="600" w:type="dxa"/>
            <w:tcBorders>
              <w:top w:val="single" w:sz="6" w:space="0" w:color="auto"/>
              <w:left w:val="single" w:sz="6" w:space="0" w:color="auto"/>
              <w:bottom w:val="single" w:sz="4" w:space="0" w:color="auto"/>
            </w:tcBorders>
            <w:tcMar>
              <w:left w:w="28" w:type="dxa"/>
              <w:right w:w="28" w:type="dxa"/>
            </w:tcMar>
          </w:tcPr>
          <w:p>
            <w:pPr>
              <w:jc w:val="center"/>
              <w:rPr>
                <w:b/>
                <w:sz w:val="22"/>
                <w:szCs w:val="22"/>
              </w:rPr>
            </w:pPr>
            <w:r>
              <w:rPr>
                <w:b/>
                <w:sz w:val="22"/>
                <w:szCs w:val="22"/>
              </w:rPr>
              <w:t>1</w:t>
            </w:r>
          </w:p>
        </w:tc>
        <w:tc>
          <w:tcPr>
            <w:tcW w:w="2800" w:type="dxa"/>
            <w:tcBorders>
              <w:top w:val="single" w:sz="6" w:space="0" w:color="auto"/>
              <w:left w:val="single" w:sz="6" w:space="0" w:color="auto"/>
              <w:bottom w:val="single" w:sz="4" w:space="0" w:color="auto"/>
            </w:tcBorders>
            <w:tcMar>
              <w:left w:w="28" w:type="dxa"/>
              <w:right w:w="28" w:type="dxa"/>
            </w:tcMar>
          </w:tcPr>
          <w:p>
            <w:pPr>
              <w:jc w:val="center"/>
              <w:rPr>
                <w:b/>
                <w:sz w:val="22"/>
                <w:szCs w:val="22"/>
              </w:rPr>
            </w:pPr>
            <w:r>
              <w:rPr>
                <w:b/>
                <w:sz w:val="22"/>
                <w:szCs w:val="22"/>
              </w:rPr>
              <w:t>2</w:t>
            </w:r>
          </w:p>
        </w:tc>
        <w:tc>
          <w:tcPr>
            <w:tcW w:w="1200" w:type="dxa"/>
            <w:tcBorders>
              <w:top w:val="single" w:sz="6" w:space="0" w:color="auto"/>
              <w:left w:val="single" w:sz="6" w:space="0" w:color="auto"/>
              <w:bottom w:val="single" w:sz="4" w:space="0" w:color="auto"/>
            </w:tcBorders>
            <w:tcMar>
              <w:left w:w="28" w:type="dxa"/>
              <w:right w:w="28" w:type="dxa"/>
            </w:tcMar>
          </w:tcPr>
          <w:p>
            <w:pPr>
              <w:jc w:val="center"/>
              <w:rPr>
                <w:b/>
                <w:sz w:val="22"/>
                <w:szCs w:val="22"/>
              </w:rPr>
            </w:pPr>
            <w:r>
              <w:rPr>
                <w:b/>
                <w:sz w:val="22"/>
                <w:szCs w:val="22"/>
              </w:rPr>
              <w:t>3</w:t>
            </w:r>
          </w:p>
        </w:tc>
        <w:tc>
          <w:tcPr>
            <w:tcW w:w="808" w:type="dxa"/>
            <w:tcBorders>
              <w:top w:val="single" w:sz="6" w:space="0" w:color="auto"/>
              <w:left w:val="single" w:sz="6" w:space="0" w:color="auto"/>
              <w:bottom w:val="single" w:sz="4" w:space="0" w:color="auto"/>
            </w:tcBorders>
            <w:tcMar>
              <w:left w:w="28" w:type="dxa"/>
              <w:right w:w="28" w:type="dxa"/>
            </w:tcMar>
          </w:tcPr>
          <w:p>
            <w:pPr>
              <w:jc w:val="center"/>
              <w:rPr>
                <w:b/>
                <w:sz w:val="22"/>
                <w:szCs w:val="22"/>
              </w:rPr>
            </w:pPr>
            <w:r>
              <w:rPr>
                <w:b/>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b/>
                <w:sz w:val="22"/>
                <w:szCs w:val="22"/>
              </w:rPr>
            </w:pPr>
            <w:r>
              <w:rPr>
                <w:b/>
                <w:sz w:val="22"/>
                <w:szCs w:val="22"/>
              </w:rPr>
              <w:t>5</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b/>
                <w:sz w:val="22"/>
                <w:szCs w:val="22"/>
              </w:rPr>
            </w:pPr>
            <w:r>
              <w:rPr>
                <w:b/>
                <w:sz w:val="22"/>
                <w:szCs w:val="22"/>
              </w:rPr>
              <w:t>6</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b/>
                <w:sz w:val="22"/>
                <w:szCs w:val="22"/>
              </w:rPr>
            </w:pPr>
            <w:r>
              <w:rPr>
                <w:b/>
                <w:sz w:val="22"/>
                <w:szCs w:val="22"/>
              </w:rPr>
              <w:t>7</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b/>
                <w:sz w:val="22"/>
                <w:szCs w:val="22"/>
              </w:rPr>
            </w:pPr>
            <w:r>
              <w:rPr>
                <w:b/>
                <w:sz w:val="22"/>
                <w:szCs w:val="22"/>
              </w:rPr>
              <w:t>8</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b/>
                <w:sz w:val="22"/>
                <w:szCs w:val="22"/>
              </w:rPr>
            </w:pPr>
            <w:r>
              <w:rPr>
                <w:b/>
                <w:sz w:val="22"/>
                <w:szCs w:val="22"/>
              </w:rPr>
              <w:t>9</w:t>
            </w:r>
          </w:p>
        </w:tc>
        <w:tc>
          <w:tcPr>
            <w:tcW w:w="1000" w:type="dxa"/>
            <w:tcBorders>
              <w:top w:val="single" w:sz="6" w:space="0" w:color="auto"/>
              <w:left w:val="single" w:sz="6" w:space="0" w:color="auto"/>
              <w:bottom w:val="single" w:sz="4" w:space="0" w:color="auto"/>
              <w:right w:val="single" w:sz="4" w:space="0" w:color="auto"/>
            </w:tcBorders>
            <w:tcMar>
              <w:left w:w="28" w:type="dxa"/>
              <w:right w:w="28" w:type="dxa"/>
            </w:tcMar>
          </w:tcPr>
          <w:p>
            <w:pPr>
              <w:jc w:val="center"/>
              <w:rPr>
                <w:b/>
                <w:sz w:val="22"/>
                <w:szCs w:val="22"/>
              </w:rPr>
            </w:pPr>
            <w:r>
              <w:rPr>
                <w:b/>
                <w:sz w:val="22"/>
                <w:szCs w:val="22"/>
              </w:rPr>
              <w:t>10</w:t>
            </w:r>
          </w:p>
        </w:tc>
        <w:tc>
          <w:tcPr>
            <w:tcW w:w="4488" w:type="dxa"/>
            <w:tcBorders>
              <w:top w:val="single" w:sz="6" w:space="0" w:color="auto"/>
              <w:left w:val="single" w:sz="4" w:space="0" w:color="auto"/>
              <w:bottom w:val="single" w:sz="4" w:space="0" w:color="auto"/>
              <w:right w:val="single" w:sz="6" w:space="0" w:color="auto"/>
            </w:tcBorders>
            <w:tcMar>
              <w:left w:w="28" w:type="dxa"/>
              <w:right w:w="28" w:type="dxa"/>
            </w:tcMar>
          </w:tcPr>
          <w:p>
            <w:pPr>
              <w:jc w:val="center"/>
              <w:rPr>
                <w:b/>
                <w:sz w:val="22"/>
                <w:szCs w:val="22"/>
              </w:rPr>
            </w:pPr>
            <w:r>
              <w:rPr>
                <w:b/>
                <w:sz w:val="22"/>
                <w:szCs w:val="22"/>
              </w:rPr>
              <w:t>11</w:t>
            </w: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Acetacto rūgšties metilbenzilo esteris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140-11-4</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Acetaldehidas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75-07-0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45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25</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90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50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Acetamidas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60-35-5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25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60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25</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Acetoacetanilidas (acetoacto rūgšties anhidridas)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102-01-2</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Acetochloras (2-chlor-N-(etoksimetil)- N-(2-etil-6-metilfenil) acetamidas, acetalas)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34256-82-1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Acetofenonas (metilfenilketonas)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98-86-2</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7.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Acetonanilas (2,2,4-trimetil-1,2-didrochinolinas)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26780-96-1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67-64-1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1210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500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2420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1000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9.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Acetonitrilas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75-05-8</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70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40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10.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Acetopropilacetatas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5185-97-7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Acetopropilo alkoholis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1071-73-4</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Acto rūgšties anhidridas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108-24-7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20</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5</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Acto rūgštis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color w:val="000000"/>
                <w:sz w:val="22"/>
                <w:szCs w:val="22"/>
              </w:rPr>
              <w:t>64-19-7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25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50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20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Adipino rūgštis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124-04-9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Akrilaldehidas, akroleinas, prop-2-enalis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color w:val="000000"/>
                <w:sz w:val="22"/>
                <w:szCs w:val="22"/>
              </w:rPr>
              <w:t>107-02-8</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0,05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0,02</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0,12</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0,05</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Akrilamidas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79-06-1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0,1</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 M O R</w:t>
            </w:r>
          </w:p>
        </w:tc>
        <w:tc>
          <w:tcPr>
            <w:tcW w:w="4488" w:type="dxa"/>
            <w:tcBorders>
              <w:left w:val="single" w:sz="4" w:space="0" w:color="auto"/>
              <w:bottom w:val="single" w:sz="4" w:space="0" w:color="auto"/>
              <w:right w:val="single" w:sz="6" w:space="0" w:color="auto"/>
            </w:tcBorders>
            <w:tcMar>
              <w:left w:w="28" w:type="dxa"/>
              <w:right w:w="28" w:type="dxa"/>
            </w:tcMar>
          </w:tcPr>
          <w:p>
            <w:pPr>
              <w:ind w:left="-57" w:right="-57"/>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17.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Akrilnitrilas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107-13-1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4,5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13</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6</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 Ū</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Akrilo rūgšties chloranhidridas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814-68-6</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19.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Akrilo rūgštis, prop-2-enoinė rūgštis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color w:val="000000"/>
                <w:sz w:val="22"/>
                <w:szCs w:val="22"/>
              </w:rPr>
              <w:t>79-10-7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29</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trike/>
                <w:color w:val="000000"/>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trike/>
                <w:color w:val="000000"/>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59</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20</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r>
              <w:rPr>
                <w:sz w:val="22"/>
                <w:szCs w:val="22"/>
              </w:rPr>
              <w:t>NRD per 1 min. ataskaitos laikotarpį.</w:t>
            </w: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20.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vanish/>
                <w:sz w:val="22"/>
                <w:szCs w:val="22"/>
              </w:rPr>
              <w:t>beta</w:t>
            </w:r>
            <w:r>
              <w:rPr>
                <w:sz w:val="22"/>
                <w:szCs w:val="22"/>
              </w:rPr>
              <w:t>?-alaninas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107-95-9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Alavo neorganiniai junginiai (kaip Sn)</w:t>
            </w:r>
          </w:p>
        </w:tc>
        <w:tc>
          <w:tcPr>
            <w:tcW w:w="12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Alavo organiniai junginiai (kaip Sn)</w:t>
            </w:r>
          </w:p>
        </w:tc>
        <w:tc>
          <w:tcPr>
            <w:tcW w:w="12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0,2</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Alilo acetatas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591-87-7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Alilo alkoholis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107-18-6</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4,8</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12,1</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5</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Alilo aminas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107-11-9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14</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6</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Alilo chloridas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107-05-1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9</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3</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 M</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27.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Alilo cianidas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109-75-1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0,3</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Aliuminio hidroksidas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21645-51-2</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29. </w:t>
            </w:r>
          </w:p>
        </w:tc>
        <w:tc>
          <w:tcPr>
            <w:tcW w:w="2800" w:type="dxa"/>
            <w:tcBorders>
              <w:top w:val="single" w:sz="6" w:space="0" w:color="auto"/>
              <w:left w:val="single" w:sz="6" w:space="0" w:color="auto"/>
              <w:bottom w:val="single" w:sz="6" w:space="0" w:color="auto"/>
            </w:tcBorders>
            <w:tcMar>
              <w:left w:w="28" w:type="dxa"/>
              <w:right w:w="28" w:type="dxa"/>
            </w:tcMar>
          </w:tcPr>
          <w:p>
            <w:pPr>
              <w:rPr>
                <w:sz w:val="22"/>
                <w:szCs w:val="22"/>
              </w:rPr>
            </w:pPr>
            <w:r>
              <w:rPr>
                <w:sz w:val="22"/>
                <w:szCs w:val="22"/>
              </w:rPr>
              <w:t>Aliuminio nitridas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24304-00-5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tcBorders>
            <w:tcMar>
              <w:left w:w="28" w:type="dxa"/>
              <w:right w:w="28" w:type="dxa"/>
            </w:tcMar>
          </w:tcPr>
          <w:p>
            <w:pPr>
              <w:tabs>
                <w:tab w:val="left" w:pos="57"/>
              </w:tabs>
              <w:rPr>
                <w:sz w:val="22"/>
                <w:szCs w:val="22"/>
              </w:rPr>
            </w:pPr>
            <w:r>
              <w:rPr>
                <w:sz w:val="22"/>
                <w:szCs w:val="22"/>
              </w:rPr>
              <w:t xml:space="preserve">30. </w:t>
            </w:r>
          </w:p>
        </w:tc>
        <w:tc>
          <w:tcPr>
            <w:tcW w:w="2800" w:type="dxa"/>
            <w:tcBorders>
              <w:top w:val="single" w:sz="6" w:space="0" w:color="auto"/>
              <w:left w:val="single" w:sz="6" w:space="0" w:color="auto"/>
            </w:tcBorders>
            <w:tcMar>
              <w:left w:w="28" w:type="dxa"/>
              <w:right w:w="28" w:type="dxa"/>
            </w:tcMar>
          </w:tcPr>
          <w:p>
            <w:pPr>
              <w:rPr>
                <w:sz w:val="22"/>
                <w:szCs w:val="22"/>
              </w:rPr>
            </w:pPr>
            <w:r>
              <w:rPr>
                <w:sz w:val="22"/>
                <w:szCs w:val="22"/>
              </w:rPr>
              <w:t>Aliuminis ir jo oksidas (kaip Al):</w:t>
            </w:r>
          </w:p>
        </w:tc>
        <w:tc>
          <w:tcPr>
            <w:tcW w:w="1200" w:type="dxa"/>
            <w:tcBorders>
              <w:top w:val="single" w:sz="6" w:space="0" w:color="auto"/>
              <w:left w:val="single" w:sz="6" w:space="0" w:color="auto"/>
            </w:tcBorders>
            <w:tcMar>
              <w:left w:w="28" w:type="dxa"/>
              <w:right w:w="28" w:type="dxa"/>
            </w:tcMar>
          </w:tcPr>
          <w:p>
            <w:pPr>
              <w:ind w:firstLine="55"/>
              <w:rPr>
                <w:sz w:val="22"/>
                <w:szCs w:val="22"/>
              </w:rPr>
            </w:pPr>
          </w:p>
        </w:tc>
        <w:tc>
          <w:tcPr>
            <w:tcW w:w="808" w:type="dxa"/>
            <w:tcBorders>
              <w:left w:val="single" w:sz="6" w:space="0" w:color="auto"/>
            </w:tcBorders>
            <w:tcMar>
              <w:left w:w="28" w:type="dxa"/>
              <w:right w:w="28" w:type="dxa"/>
            </w:tcMar>
          </w:tcPr>
          <w:p>
            <w:pPr>
              <w:ind w:firstLine="55"/>
              <w:jc w:val="center"/>
              <w:rPr>
                <w:sz w:val="22"/>
                <w:szCs w:val="22"/>
              </w:rPr>
            </w:pPr>
          </w:p>
        </w:tc>
        <w:tc>
          <w:tcPr>
            <w:tcW w:w="892" w:type="dxa"/>
            <w:tcBorders>
              <w:top w:val="single" w:sz="6" w:space="0" w:color="auto"/>
              <w:left w:val="single" w:sz="6" w:space="0" w:color="auto"/>
              <w:right w:val="single" w:sz="6" w:space="0" w:color="auto"/>
            </w:tcBorders>
            <w:tcMar>
              <w:left w:w="28" w:type="dxa"/>
              <w:right w:w="28" w:type="dxa"/>
            </w:tcMar>
          </w:tcPr>
          <w:p>
            <w:pPr>
              <w:ind w:firstLine="55"/>
              <w:jc w:val="center"/>
              <w:rPr>
                <w:sz w:val="22"/>
                <w:szCs w:val="22"/>
              </w:rPr>
            </w:pPr>
          </w:p>
        </w:tc>
        <w:tc>
          <w:tcPr>
            <w:tcW w:w="800" w:type="dxa"/>
            <w:tcBorders>
              <w:top w:val="single" w:sz="6" w:space="0" w:color="auto"/>
              <w:left w:val="nil"/>
              <w:right w:val="single" w:sz="6" w:space="0" w:color="auto"/>
            </w:tcBorders>
            <w:tcMar>
              <w:left w:w="28" w:type="dxa"/>
              <w:right w:w="28" w:type="dxa"/>
            </w:tcMar>
          </w:tcPr>
          <w:p>
            <w:pPr>
              <w:ind w:firstLine="55"/>
              <w:jc w:val="center"/>
              <w:rPr>
                <w:sz w:val="22"/>
                <w:szCs w:val="22"/>
              </w:rPr>
            </w:pPr>
          </w:p>
        </w:tc>
        <w:tc>
          <w:tcPr>
            <w:tcW w:w="700" w:type="dxa"/>
            <w:tcBorders>
              <w:top w:val="single" w:sz="6" w:space="0" w:color="auto"/>
              <w:left w:val="nil"/>
              <w:right w:val="single" w:sz="6" w:space="0" w:color="auto"/>
            </w:tcBorders>
            <w:tcMar>
              <w:left w:w="28" w:type="dxa"/>
              <w:right w:w="28" w:type="dxa"/>
            </w:tcMar>
          </w:tcPr>
          <w:p>
            <w:pPr>
              <w:ind w:firstLine="55"/>
              <w:jc w:val="center"/>
              <w:rPr>
                <w:sz w:val="22"/>
                <w:szCs w:val="22"/>
              </w:rPr>
            </w:pPr>
          </w:p>
        </w:tc>
        <w:tc>
          <w:tcPr>
            <w:tcW w:w="708" w:type="dxa"/>
            <w:tcBorders>
              <w:top w:val="single" w:sz="6" w:space="0" w:color="auto"/>
              <w:left w:val="nil"/>
              <w:right w:val="single" w:sz="6" w:space="0" w:color="auto"/>
            </w:tcBorders>
            <w:tcMar>
              <w:left w:w="28" w:type="dxa"/>
              <w:right w:w="28" w:type="dxa"/>
            </w:tcMar>
          </w:tcPr>
          <w:p>
            <w:pPr>
              <w:ind w:firstLine="55"/>
              <w:jc w:val="center"/>
              <w:rPr>
                <w:sz w:val="22"/>
                <w:szCs w:val="22"/>
              </w:rPr>
            </w:pPr>
          </w:p>
        </w:tc>
        <w:tc>
          <w:tcPr>
            <w:tcW w:w="704" w:type="dxa"/>
            <w:tcBorders>
              <w:top w:val="single" w:sz="6" w:space="0" w:color="auto"/>
              <w:left w:val="single" w:sz="6" w:space="0" w:color="auto"/>
              <w:right w:val="single" w:sz="6" w:space="0" w:color="auto"/>
            </w:tcBorders>
            <w:tcMar>
              <w:left w:w="28" w:type="dxa"/>
              <w:right w:w="28" w:type="dxa"/>
            </w:tcMar>
          </w:tcPr>
          <w:p>
            <w:pPr>
              <w:ind w:firstLine="55"/>
              <w:jc w:val="center"/>
              <w:rPr>
                <w:sz w:val="22"/>
                <w:szCs w:val="22"/>
              </w:rPr>
            </w:pPr>
          </w:p>
        </w:tc>
        <w:tc>
          <w:tcPr>
            <w:tcW w:w="1000" w:type="dxa"/>
            <w:tcBorders>
              <w:left w:val="single" w:sz="6"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left w:val="single" w:sz="6" w:space="0" w:color="auto"/>
            </w:tcBorders>
            <w:tcMar>
              <w:left w:w="28" w:type="dxa"/>
              <w:right w:w="28" w:type="dxa"/>
            </w:tcMar>
          </w:tcPr>
          <w:p>
            <w:pPr>
              <w:tabs>
                <w:tab w:val="left" w:pos="57"/>
              </w:tabs>
              <w:rPr>
                <w:sz w:val="22"/>
                <w:szCs w:val="22"/>
              </w:rPr>
            </w:pPr>
          </w:p>
        </w:tc>
        <w:tc>
          <w:tcPr>
            <w:tcW w:w="2800" w:type="dxa"/>
            <w:tcBorders>
              <w:left w:val="single" w:sz="6" w:space="0" w:color="auto"/>
            </w:tcBorders>
            <w:tcMar>
              <w:left w:w="28" w:type="dxa"/>
              <w:right w:w="28" w:type="dxa"/>
            </w:tcMar>
          </w:tcPr>
          <w:p>
            <w:pPr>
              <w:rPr>
                <w:sz w:val="22"/>
                <w:szCs w:val="22"/>
              </w:rPr>
            </w:pPr>
            <w:r>
              <w:rPr>
                <w:sz w:val="22"/>
                <w:szCs w:val="22"/>
              </w:rPr>
              <w:t xml:space="preserve">- įkvepiamoji frakcija </w:t>
            </w:r>
          </w:p>
        </w:tc>
        <w:tc>
          <w:tcPr>
            <w:tcW w:w="1200" w:type="dxa"/>
            <w:tcBorders>
              <w:left w:val="single" w:sz="6" w:space="0" w:color="auto"/>
            </w:tcBorders>
            <w:tcMar>
              <w:left w:w="28" w:type="dxa"/>
              <w:right w:w="28" w:type="dxa"/>
            </w:tcMar>
          </w:tcPr>
          <w:p>
            <w:pPr>
              <w:ind w:firstLine="55"/>
              <w:rPr>
                <w:sz w:val="22"/>
                <w:szCs w:val="22"/>
              </w:rPr>
            </w:pPr>
          </w:p>
        </w:tc>
        <w:tc>
          <w:tcPr>
            <w:tcW w:w="808" w:type="dxa"/>
            <w:tcBorders>
              <w:left w:val="single" w:sz="6" w:space="0" w:color="auto"/>
            </w:tcBorders>
            <w:tcMar>
              <w:left w:w="28" w:type="dxa"/>
              <w:right w:w="28" w:type="dxa"/>
            </w:tcMar>
          </w:tcPr>
          <w:p>
            <w:pPr>
              <w:jc w:val="center"/>
              <w:rPr>
                <w:sz w:val="22"/>
                <w:szCs w:val="22"/>
              </w:rPr>
            </w:pPr>
            <w:r>
              <w:rPr>
                <w:sz w:val="22"/>
                <w:szCs w:val="22"/>
              </w:rPr>
              <w:t>5</w:t>
            </w:r>
          </w:p>
        </w:tc>
        <w:tc>
          <w:tcPr>
            <w:tcW w:w="892" w:type="dxa"/>
            <w:tcBorders>
              <w:left w:val="single" w:sz="6"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left w:val="nil"/>
              <w:right w:val="single" w:sz="6" w:space="0" w:color="auto"/>
            </w:tcBorders>
            <w:tcMar>
              <w:left w:w="28" w:type="dxa"/>
              <w:right w:w="28" w:type="dxa"/>
            </w:tcMar>
          </w:tcPr>
          <w:p>
            <w:pPr>
              <w:jc w:val="center"/>
              <w:rPr>
                <w:sz w:val="22"/>
                <w:szCs w:val="22"/>
              </w:rPr>
            </w:pPr>
            <w:r>
              <w:rPr>
                <w:sz w:val="22"/>
                <w:szCs w:val="22"/>
              </w:rPr>
              <w:t>-</w:t>
            </w:r>
          </w:p>
        </w:tc>
        <w:tc>
          <w:tcPr>
            <w:tcW w:w="700" w:type="dxa"/>
            <w:tcBorders>
              <w:left w:val="nil"/>
              <w:right w:val="single" w:sz="6" w:space="0" w:color="auto"/>
            </w:tcBorders>
            <w:tcMar>
              <w:left w:w="28" w:type="dxa"/>
              <w:right w:w="28" w:type="dxa"/>
            </w:tcMar>
          </w:tcPr>
          <w:p>
            <w:pPr>
              <w:jc w:val="center"/>
              <w:rPr>
                <w:sz w:val="22"/>
                <w:szCs w:val="22"/>
              </w:rPr>
            </w:pPr>
            <w:r>
              <w:rPr>
                <w:sz w:val="22"/>
                <w:szCs w:val="22"/>
              </w:rPr>
              <w:t>-</w:t>
            </w:r>
          </w:p>
        </w:tc>
        <w:tc>
          <w:tcPr>
            <w:tcW w:w="708" w:type="dxa"/>
            <w:tcBorders>
              <w:left w:val="nil"/>
              <w:right w:val="single" w:sz="6" w:space="0" w:color="auto"/>
            </w:tcBorders>
            <w:tcMar>
              <w:left w:w="28" w:type="dxa"/>
              <w:right w:w="28" w:type="dxa"/>
            </w:tcMar>
          </w:tcPr>
          <w:p>
            <w:pPr>
              <w:jc w:val="center"/>
              <w:rPr>
                <w:sz w:val="22"/>
                <w:szCs w:val="22"/>
              </w:rPr>
            </w:pPr>
            <w:r>
              <w:rPr>
                <w:sz w:val="22"/>
                <w:szCs w:val="22"/>
              </w:rPr>
              <w:t>-</w:t>
            </w:r>
          </w:p>
        </w:tc>
        <w:tc>
          <w:tcPr>
            <w:tcW w:w="704" w:type="dxa"/>
            <w:tcBorders>
              <w:left w:val="single" w:sz="6"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left w:val="single" w:sz="6" w:space="0" w:color="auto"/>
              <w:bottom w:val="single" w:sz="4" w:space="0" w:color="auto"/>
            </w:tcBorders>
            <w:tcMar>
              <w:left w:w="28" w:type="dxa"/>
              <w:right w:w="28" w:type="dxa"/>
            </w:tcMar>
          </w:tcPr>
          <w:p>
            <w:pPr>
              <w:tabs>
                <w:tab w:val="left" w:pos="57"/>
              </w:tabs>
              <w:rPr>
                <w:sz w:val="22"/>
                <w:szCs w:val="22"/>
              </w:rPr>
            </w:pPr>
          </w:p>
        </w:tc>
        <w:tc>
          <w:tcPr>
            <w:tcW w:w="2800" w:type="dxa"/>
            <w:tcBorders>
              <w:left w:val="single" w:sz="6" w:space="0" w:color="auto"/>
              <w:bottom w:val="single" w:sz="4" w:space="0" w:color="auto"/>
            </w:tcBorders>
            <w:tcMar>
              <w:left w:w="28" w:type="dxa"/>
              <w:right w:w="28" w:type="dxa"/>
            </w:tcMar>
          </w:tcPr>
          <w:p>
            <w:pPr>
              <w:rPr>
                <w:sz w:val="22"/>
                <w:szCs w:val="22"/>
              </w:rPr>
            </w:pPr>
            <w:r>
              <w:rPr>
                <w:sz w:val="22"/>
                <w:szCs w:val="22"/>
              </w:rPr>
              <w:t xml:space="preserve">- alveolinė frakcija </w:t>
            </w:r>
          </w:p>
        </w:tc>
        <w:tc>
          <w:tcPr>
            <w:tcW w:w="1200" w:type="dxa"/>
            <w:tcBorders>
              <w:left w:val="single" w:sz="6" w:space="0" w:color="auto"/>
              <w:bottom w:val="single" w:sz="4" w:space="0" w:color="auto"/>
            </w:tcBorders>
            <w:tcMar>
              <w:left w:w="28" w:type="dxa"/>
              <w:right w:w="28" w:type="dxa"/>
            </w:tcMar>
          </w:tcPr>
          <w:p>
            <w:pPr>
              <w:ind w:firstLine="55"/>
              <w:rPr>
                <w:sz w:val="22"/>
                <w:szCs w:val="22"/>
              </w:rPr>
            </w:pP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2</w:t>
            </w:r>
          </w:p>
        </w:tc>
        <w:tc>
          <w:tcPr>
            <w:tcW w:w="892" w:type="dxa"/>
            <w:tcBorders>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r>
              <w:rPr>
                <w:color w:val="000000"/>
                <w:sz w:val="22"/>
                <w:szCs w:val="22"/>
              </w:rPr>
              <w:t>Žiūrėti 1 priedo 3 punktą.</w:t>
            </w: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 xml:space="preserve">Aliuminis ir tirpūs jo  junginiai (kaip Al)</w:t>
            </w:r>
          </w:p>
        </w:tc>
        <w:tc>
          <w:tcPr>
            <w:tcW w:w="12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 xml:space="preserve">Amilacetatas, tretinis </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625-16-1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270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50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540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100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Amilformiatas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638-49-3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Amilacetatas ir jo izomerai, išskyrus pentilacetatą ir tret-amilo acetatą</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p>
        </w:tc>
        <w:tc>
          <w:tcPr>
            <w:tcW w:w="808" w:type="dxa"/>
            <w:tcBorders>
              <w:left w:val="single" w:sz="6" w:space="0" w:color="auto"/>
              <w:bottom w:val="single" w:sz="6" w:space="0" w:color="auto"/>
            </w:tcBorders>
            <w:tcMar>
              <w:left w:w="28" w:type="dxa"/>
              <w:right w:w="28" w:type="dxa"/>
            </w:tcMar>
          </w:tcPr>
          <w:p>
            <w:pPr>
              <w:jc w:val="center"/>
              <w:rPr>
                <w:sz w:val="22"/>
                <w:szCs w:val="22"/>
              </w:rPr>
            </w:pPr>
            <w:r>
              <w:rPr>
                <w:sz w:val="22"/>
                <w:szCs w:val="22"/>
              </w:rPr>
              <w:t>540</w:t>
            </w:r>
          </w:p>
        </w:tc>
        <w:tc>
          <w:tcPr>
            <w:tcW w:w="892" w:type="dxa"/>
            <w:tcBorders>
              <w:top w:val="single" w:sz="6" w:space="0" w:color="auto"/>
              <w:left w:val="single" w:sz="6" w:space="0" w:color="auto"/>
              <w:bottom w:val="single" w:sz="6" w:space="0" w:color="auto"/>
              <w:right w:val="single" w:sz="6" w:space="0" w:color="auto"/>
            </w:tcBorders>
            <w:tcMar>
              <w:left w:w="28" w:type="dxa"/>
              <w:right w:w="28" w:type="dxa"/>
            </w:tcMar>
          </w:tcPr>
          <w:p>
            <w:pPr>
              <w:jc w:val="center"/>
              <w:rPr>
                <w:sz w:val="22"/>
                <w:szCs w:val="22"/>
              </w:rPr>
            </w:pPr>
            <w:r>
              <w:rPr>
                <w:sz w:val="22"/>
                <w:szCs w:val="22"/>
              </w:rPr>
              <w:t>100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810</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150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 </w:t>
            </w:r>
          </w:p>
        </w:tc>
        <w:tc>
          <w:tcPr>
            <w:tcW w:w="2800" w:type="dxa"/>
            <w:tcBorders>
              <w:top w:val="single" w:sz="4" w:space="0" w:color="auto"/>
              <w:left w:val="single" w:sz="4" w:space="0" w:color="auto"/>
              <w:bottom w:val="single" w:sz="4" w:space="0" w:color="auto"/>
              <w:right w:val="single" w:sz="4" w:space="0" w:color="auto"/>
            </w:tcBorders>
            <w:tcMar>
              <w:left w:w="28" w:type="dxa"/>
              <w:right w:w="28" w:type="dxa"/>
            </w:tcMar>
          </w:tcPr>
          <w:p>
            <w:pPr>
              <w:rPr>
                <w:sz w:val="22"/>
                <w:szCs w:val="22"/>
              </w:rPr>
            </w:pPr>
            <w:r>
              <w:rPr>
                <w:sz w:val="22"/>
                <w:szCs w:val="22"/>
              </w:rPr>
              <w:t>Amilo alkoholis</w:t>
            </w:r>
          </w:p>
        </w:tc>
        <w:tc>
          <w:tcPr>
            <w:tcW w:w="1200" w:type="dxa"/>
            <w:tcBorders>
              <w:top w:val="single" w:sz="4" w:space="0" w:color="auto"/>
              <w:left w:val="single" w:sz="4" w:space="0" w:color="auto"/>
              <w:bottom w:val="single" w:sz="4" w:space="0" w:color="auto"/>
              <w:right w:val="single" w:sz="4" w:space="0" w:color="auto"/>
            </w:tcBorders>
            <w:tcMar>
              <w:left w:w="28" w:type="dxa"/>
              <w:right w:w="28" w:type="dxa"/>
            </w:tcMar>
          </w:tcPr>
          <w:p>
            <w:pPr>
              <w:rPr>
                <w:sz w:val="22"/>
                <w:szCs w:val="22"/>
              </w:rPr>
            </w:pPr>
            <w:r>
              <w:rPr>
                <w:sz w:val="22"/>
                <w:szCs w:val="22"/>
              </w:rPr>
              <w:t>30899-19-5</w:t>
            </w:r>
          </w:p>
        </w:tc>
        <w:tc>
          <w:tcPr>
            <w:tcW w:w="808" w:type="dxa"/>
            <w:tcBorders>
              <w:top w:val="single" w:sz="6" w:space="0" w:color="auto"/>
              <w:left w:val="single" w:sz="4"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4"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top w:val="single" w:sz="4" w:space="0" w:color="auto"/>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Amilo bromidas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110-53-2</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37.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 xml:space="preserve">Amilo (tretinio) hidroperoksidas </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3425-61-4</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 xml:space="preserve">Aminazinas (N-(3 -dimetilaminopropil)- 3-chlorfenotiazinchlorhidatas)  </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50-53-3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39.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lang w:val="en-GB"/>
              </w:rPr>
              <w:t>2-aminoetanolis (etanolaminas)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color w:val="000000"/>
                <w:sz w:val="22"/>
                <w:szCs w:val="22"/>
              </w:rPr>
              <w:t>141-43-5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2,5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7,6</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3</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40.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4-amino-3,5,6-trichlorpikolino rūgšties natrio druska</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50655-56-6</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2-amino-4-nitroanizolis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99-59-2</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42. </w:t>
            </w:r>
          </w:p>
        </w:tc>
        <w:tc>
          <w:tcPr>
            <w:tcW w:w="28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r>
              <w:rPr>
                <w:sz w:val="22"/>
                <w:szCs w:val="22"/>
              </w:rPr>
              <w:t>?</w:t>
            </w:r>
            <w:r>
              <w:rPr>
                <w:vanish/>
                <w:sz w:val="22"/>
                <w:szCs w:val="22"/>
              </w:rPr>
              <w:t>alfa</w:t>
            </w:r>
            <w:r>
              <w:rPr>
                <w:sz w:val="22"/>
                <w:szCs w:val="22"/>
              </w:rPr>
              <w:t>-aminoantrachinonas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82-45-1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43. </w:t>
            </w:r>
          </w:p>
        </w:tc>
        <w:tc>
          <w:tcPr>
            <w:tcW w:w="28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r>
              <w:rPr>
                <w:sz w:val="22"/>
                <w:szCs w:val="22"/>
              </w:rPr>
              <w:t>Aminopelargono rūgštis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1120-12-3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8</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Aminopirimidinas (2-metil-4-amino-5-etoksimetilpirimidinas)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73-66-5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color w:val="000000"/>
                <w:sz w:val="22"/>
                <w:szCs w:val="22"/>
              </w:rPr>
              <w:t>44</w:t>
            </w:r>
            <w:r>
              <w:rPr>
                <w:color w:val="000000"/>
                <w:sz w:val="22"/>
                <w:szCs w:val="22"/>
                <w:vertAlign w:val="superscript"/>
              </w:rPr>
              <w:t>1</w:t>
            </w:r>
            <w:r>
              <w:rPr>
                <w:color w:val="000000"/>
                <w:sz w:val="22"/>
                <w:szCs w:val="22"/>
              </w:rPr>
              <w:t>.</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Amitrolas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color w:val="000000"/>
                <w:sz w:val="22"/>
                <w:szCs w:val="22"/>
              </w:rPr>
              <w:t>61-82-5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0,2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Amofosas (mono- ir diamino fosfatų mišinys)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299-86-5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F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Amoniakas (bevandenis)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7664-41-7</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20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36</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50</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47.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Amonio chloridas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12125-02-9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Amonio diizopropiltiofosfatas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29918-57-8</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49.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Amonio sulfamatas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7773-06-0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50.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Amonio tiosulfatas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7783-18-8</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Anabazino bazė (3-/2-piperidil/-piridinas)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494-52-0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Anabazino hidrochloridas (3-/2-pi peri/-dil/-piridino hidrochloridas)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15251-47-5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Anabazino sulfatas (3-/2-piperidil/-piridino sulfatas)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18262-71-0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Analginas (natrio 1-fenil-2,3-dimetil-4-metilaminpirazol-n-5-N-metansulfatas)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68-89-3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ind w:firstLine="55"/>
              <w:jc w:val="center"/>
              <w:rPr>
                <w:sz w:val="22"/>
                <w:szCs w:val="22"/>
              </w:rPr>
            </w:pPr>
          </w:p>
        </w:tc>
        <w:tc>
          <w:tcPr>
            <w:tcW w:w="708" w:type="dxa"/>
            <w:tcBorders>
              <w:top w:val="single" w:sz="6" w:space="0" w:color="auto"/>
              <w:left w:val="nil"/>
              <w:bottom w:val="single" w:sz="4" w:space="0" w:color="auto"/>
              <w:right w:val="single" w:sz="6" w:space="0" w:color="auto"/>
            </w:tcBorders>
            <w:tcMar>
              <w:left w:w="28" w:type="dxa"/>
              <w:right w:w="28" w:type="dxa"/>
            </w:tcMar>
          </w:tcPr>
          <w:p>
            <w:pPr>
              <w:ind w:firstLine="55"/>
              <w:jc w:val="center"/>
              <w:rPr>
                <w:sz w:val="22"/>
                <w:szCs w:val="22"/>
              </w:rPr>
            </w:pP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Anglies dioksidas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124-38-9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9000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5000</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r>
              <w:rPr>
                <w:color w:val="000000"/>
                <w:sz w:val="22"/>
                <w:szCs w:val="22"/>
              </w:rPr>
              <w:t>Anglies dioksidas dažnai laikomas kaip indikatorius darbo patalpose, kuriose oro teršalai susidaro dėl žmonių buvimo jose.</w:t>
            </w: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56.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Anglies disulfidas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75-15-0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5</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25</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8</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 </w:t>
            </w:r>
          </w:p>
        </w:tc>
        <w:tc>
          <w:tcPr>
            <w:tcW w:w="2800" w:type="dxa"/>
            <w:tcBorders>
              <w:top w:val="single" w:sz="4" w:space="0" w:color="auto"/>
              <w:left w:val="single" w:sz="4" w:space="0" w:color="auto"/>
              <w:right w:val="single" w:sz="4" w:space="0" w:color="auto"/>
            </w:tcBorders>
            <w:tcMar>
              <w:left w:w="28" w:type="dxa"/>
              <w:right w:w="28" w:type="dxa"/>
            </w:tcMar>
          </w:tcPr>
          <w:p>
            <w:pPr>
              <w:rPr>
                <w:sz w:val="22"/>
                <w:szCs w:val="22"/>
              </w:rPr>
            </w:pPr>
            <w:r>
              <w:rPr>
                <w:sz w:val="22"/>
                <w:szCs w:val="22"/>
              </w:rPr>
              <w:t>Anglies monoksidas</w:t>
            </w:r>
          </w:p>
        </w:tc>
        <w:tc>
          <w:tcPr>
            <w:tcW w:w="1200" w:type="dxa"/>
            <w:tcBorders>
              <w:top w:val="single" w:sz="4" w:space="0" w:color="auto"/>
              <w:left w:val="single" w:sz="4" w:space="0" w:color="auto"/>
              <w:right w:val="single" w:sz="4" w:space="0" w:color="auto"/>
            </w:tcBorders>
            <w:tcMar>
              <w:left w:w="28" w:type="dxa"/>
              <w:right w:w="28" w:type="dxa"/>
            </w:tcMar>
          </w:tcPr>
          <w:p>
            <w:pPr>
              <w:rPr>
                <w:sz w:val="22"/>
                <w:szCs w:val="22"/>
              </w:rPr>
            </w:pPr>
            <w:r>
              <w:rPr>
                <w:color w:val="000000"/>
                <w:sz w:val="22"/>
                <w:szCs w:val="22"/>
              </w:rPr>
              <w:t>630-08-0</w:t>
            </w:r>
          </w:p>
        </w:tc>
        <w:tc>
          <w:tcPr>
            <w:tcW w:w="808"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23</w:t>
            </w:r>
          </w:p>
        </w:tc>
        <w:tc>
          <w:tcPr>
            <w:tcW w:w="892"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20</w:t>
            </w:r>
          </w:p>
        </w:tc>
        <w:tc>
          <w:tcPr>
            <w:tcW w:w="800"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117</w:t>
            </w:r>
          </w:p>
        </w:tc>
        <w:tc>
          <w:tcPr>
            <w:tcW w:w="700"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100</w:t>
            </w:r>
          </w:p>
        </w:tc>
        <w:tc>
          <w:tcPr>
            <w:tcW w:w="708"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1000" w:type="dxa"/>
            <w:tcBorders>
              <w:top w:val="single" w:sz="4" w:space="0" w:color="auto"/>
              <w:left w:val="single" w:sz="4" w:space="0" w:color="auto"/>
              <w:right w:val="single" w:sz="4" w:space="0" w:color="auto"/>
            </w:tcBorders>
            <w:tcMar>
              <w:left w:w="28" w:type="dxa"/>
              <w:right w:w="28" w:type="dxa"/>
            </w:tcMar>
          </w:tcPr>
          <w:p>
            <w:pPr>
              <w:jc w:val="center"/>
              <w:rPr>
                <w:sz w:val="22"/>
                <w:szCs w:val="22"/>
              </w:rPr>
            </w:pPr>
            <w:r>
              <w:rPr>
                <w:color w:val="000000"/>
                <w:sz w:val="22"/>
                <w:szCs w:val="22"/>
              </w:rPr>
              <w:t>R Ū</w:t>
            </w:r>
          </w:p>
        </w:tc>
        <w:tc>
          <w:tcPr>
            <w:tcW w:w="4488" w:type="dxa"/>
            <w:tcBorders>
              <w:top w:val="single" w:sz="4" w:space="0" w:color="auto"/>
              <w:left w:val="single" w:sz="4" w:space="0" w:color="auto"/>
              <w:right w:val="single" w:sz="4"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58.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Anglies tetrachloridas, tetrachlormetanas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lang w:val="en-GB"/>
              </w:rPr>
              <w:t>56-23-5</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color w:val="000000"/>
                <w:sz w:val="22"/>
                <w:szCs w:val="22"/>
              </w:rPr>
              <w:t>6,4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19</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3</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color w:val="000000"/>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K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59.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Anilinas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62-53-3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8</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2</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 M 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60.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p-anizidinas (p-aminoanizolas)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104-94-9</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61.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o-anizidinas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90-04-0</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62.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Anizolas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100-66-3</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63.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9,10-antrachinonas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84-65-1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64.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Arsanas (arseno hidridas, arsinas)</w:t>
            </w:r>
          </w:p>
        </w:tc>
        <w:tc>
          <w:tcPr>
            <w:tcW w:w="12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7784-42-1</w:t>
            </w: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0,02</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p>
        </w:tc>
      </w:tr>
      <w:tr>
        <w:trPr>
          <w:trHeight w:val="20"/>
        </w:trPr>
        <w:tc>
          <w:tcPr>
            <w:tcW w:w="600" w:type="dxa"/>
            <w:tcBorders>
              <w:top w:val="single" w:sz="6" w:space="0" w:color="auto"/>
              <w:left w:val="single" w:sz="6" w:space="0" w:color="auto"/>
              <w:bottom w:val="single" w:sz="4" w:space="0" w:color="auto"/>
            </w:tcBorders>
            <w:tcMar>
              <w:left w:w="28" w:type="dxa"/>
              <w:right w:w="28" w:type="dxa"/>
            </w:tcMar>
          </w:tcPr>
          <w:p>
            <w:pPr>
              <w:tabs>
                <w:tab w:val="left" w:pos="57"/>
              </w:tabs>
              <w:rPr>
                <w:sz w:val="22"/>
                <w:szCs w:val="22"/>
              </w:rPr>
            </w:pPr>
            <w:r>
              <w:rPr>
                <w:sz w:val="22"/>
                <w:szCs w:val="22"/>
              </w:rPr>
              <w:t xml:space="preserve">65. </w:t>
            </w:r>
          </w:p>
        </w:tc>
        <w:tc>
          <w:tcPr>
            <w:tcW w:w="2800" w:type="dxa"/>
            <w:tcBorders>
              <w:top w:val="single" w:sz="6" w:space="0" w:color="auto"/>
              <w:left w:val="single" w:sz="6" w:space="0" w:color="auto"/>
              <w:bottom w:val="single" w:sz="4" w:space="0" w:color="auto"/>
            </w:tcBorders>
            <w:tcMar>
              <w:left w:w="28" w:type="dxa"/>
              <w:right w:w="28" w:type="dxa"/>
            </w:tcMar>
          </w:tcPr>
          <w:p>
            <w:pPr>
              <w:rPr>
                <w:sz w:val="22"/>
                <w:szCs w:val="22"/>
              </w:rPr>
            </w:pPr>
            <w:r>
              <w:rPr>
                <w:sz w:val="22"/>
                <w:szCs w:val="22"/>
              </w:rPr>
              <w:t>Arsenas ir jo neorganiniai junginiai, išskyrus arsaną (kaip As)</w:t>
            </w:r>
          </w:p>
        </w:tc>
        <w:tc>
          <w:tcPr>
            <w:tcW w:w="1200" w:type="dxa"/>
            <w:tcBorders>
              <w:top w:val="single" w:sz="6" w:space="0" w:color="auto"/>
              <w:left w:val="single" w:sz="6" w:space="0" w:color="auto"/>
              <w:bottom w:val="single" w:sz="4" w:space="0" w:color="auto"/>
            </w:tcBorders>
            <w:tcMar>
              <w:left w:w="28" w:type="dxa"/>
              <w:right w:w="28" w:type="dxa"/>
            </w:tcMar>
          </w:tcPr>
          <w:p>
            <w:pPr>
              <w:ind w:firstLine="55"/>
              <w:rPr>
                <w:sz w:val="22"/>
                <w:szCs w:val="22"/>
              </w:rPr>
            </w:pPr>
          </w:p>
        </w:tc>
        <w:tc>
          <w:tcPr>
            <w:tcW w:w="808" w:type="dxa"/>
            <w:tcBorders>
              <w:left w:val="single" w:sz="6" w:space="0" w:color="auto"/>
              <w:bottom w:val="single" w:sz="4" w:space="0" w:color="auto"/>
            </w:tcBorders>
            <w:tcMar>
              <w:left w:w="28" w:type="dxa"/>
              <w:right w:w="28" w:type="dxa"/>
            </w:tcMar>
          </w:tcPr>
          <w:p>
            <w:pPr>
              <w:jc w:val="center"/>
              <w:rPr>
                <w:sz w:val="22"/>
                <w:szCs w:val="22"/>
              </w:rPr>
            </w:pPr>
            <w:r>
              <w:rPr>
                <w:sz w:val="22"/>
                <w:szCs w:val="22"/>
              </w:rPr>
              <w:t>0,03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pPr>
              <w:jc w:val="center"/>
              <w:rPr>
                <w:sz w:val="22"/>
                <w:szCs w:val="22"/>
              </w:rPr>
            </w:pPr>
            <w:r>
              <w:rPr>
                <w:sz w:val="22"/>
                <w:szCs w:val="22"/>
              </w:rPr>
              <w:t>K</w:t>
            </w:r>
            <w:r>
              <w:rPr>
                <w:sz w:val="22"/>
                <w:szCs w:val="22"/>
                <w:vertAlign w:val="superscript"/>
              </w:rPr>
              <w:t xml:space="preserve"> </w:t>
            </w:r>
          </w:p>
        </w:tc>
        <w:tc>
          <w:tcPr>
            <w:tcW w:w="4488" w:type="dxa"/>
            <w:tcBorders>
              <w:left w:val="single" w:sz="4" w:space="0" w:color="auto"/>
              <w:bottom w:val="single" w:sz="4" w:space="0" w:color="auto"/>
              <w:right w:val="single" w:sz="6" w:space="0" w:color="auto"/>
            </w:tcBorders>
            <w:tcMar>
              <w:left w:w="28" w:type="dxa"/>
              <w:right w:w="28" w:type="dxa"/>
            </w:tcMar>
          </w:tcPr>
          <w:p>
            <w:pPr>
              <w:rPr>
                <w:color w:val="000000"/>
                <w:sz w:val="22"/>
                <w:szCs w:val="22"/>
              </w:rPr>
            </w:pPr>
            <w:r>
              <w:rPr>
                <w:color w:val="000000"/>
                <w:sz w:val="22"/>
                <w:szCs w:val="22"/>
              </w:rPr>
              <w:t>Kai kurie duomenys rodo, kad sieros dioksidas gali sustiprinti kancerogenines arseno savybes.</w:t>
            </w:r>
          </w:p>
          <w:p>
            <w:pPr>
              <w:rPr>
                <w:color w:val="000000"/>
                <w:sz w:val="22"/>
                <w:szCs w:val="22"/>
              </w:rPr>
            </w:pPr>
            <w:r>
              <w:rPr>
                <w:color w:val="000000"/>
                <w:sz w:val="22"/>
                <w:szCs w:val="22"/>
              </w:rPr>
              <w:t>Projektuojant naujus objektus ar keičiant senus, reikia stengtis užtikrinti, kad arseno ir jo neorganinių junginių, išskyrus arseno hidridą, poveikis per darbo dieną būtų priimtinas pagal IPRD 0,01 mg/m</w:t>
            </w:r>
            <w:r>
              <w:rPr>
                <w:color w:val="000000"/>
                <w:sz w:val="22"/>
                <w:szCs w:val="22"/>
                <w:vertAlign w:val="superscript"/>
              </w:rPr>
              <w:t>3</w:t>
            </w:r>
            <w:r>
              <w:rPr>
                <w:color w:val="000000"/>
                <w:sz w:val="22"/>
                <w:szCs w:val="22"/>
              </w:rPr>
              <w:t xml:space="preserve"> (kaip 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Asbestas (visos atmainos)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 xml:space="preserve">K </w:t>
            </w:r>
            <w:r>
              <w:rPr>
                <w:sz w:val="22"/>
                <w:szCs w:val="22"/>
                <w:vertAlign w:val="superscript"/>
              </w:rPr>
              <w:t xml:space="preserve"> </w:t>
            </w:r>
          </w:p>
        </w:tc>
        <w:tc>
          <w:tcPr>
            <w:tcW w:w="4488" w:type="dxa"/>
            <w:tcBorders>
              <w:top w:val="nil"/>
              <w:left w:val="nil"/>
              <w:bottom w:val="single" w:sz="4" w:space="0" w:color="auto"/>
              <w:right w:val="single" w:sz="4" w:space="0" w:color="auto"/>
            </w:tcBorders>
            <w:tcMar>
              <w:left w:w="28" w:type="dxa"/>
              <w:right w:w="28" w:type="dxa"/>
            </w:tcMar>
          </w:tcPr>
          <w:p>
            <w:pPr>
              <w:rPr>
                <w:color w:val="000000"/>
                <w:sz w:val="22"/>
                <w:szCs w:val="22"/>
              </w:rPr>
            </w:pPr>
            <w:r>
              <w:rPr>
                <w:color w:val="000000"/>
                <w:sz w:val="22"/>
                <w:szCs w:val="22"/>
              </w:rPr>
              <w:t xml:space="preserve">Asbestas yra šie pluoštiniai silikatai: aktinolitas, amozitas, antofilitas, chrizotilas, krokidolitas, tremolitas (6.6). </w:t>
            </w:r>
          </w:p>
          <w:p>
            <w:pPr>
              <w:rPr>
                <w:color w:val="000000"/>
                <w:sz w:val="22"/>
                <w:szCs w:val="22"/>
              </w:rPr>
            </w:pPr>
            <w:r>
              <w:rPr>
                <w:color w:val="000000"/>
                <w:sz w:val="22"/>
                <w:szCs w:val="22"/>
              </w:rPr>
              <w:t>Plaušelis čia apibrėžiamas kaip alveolinės frakcijos plaušelis, kurio ilgio ir pločio mažiausias santykis yra 3:1, mažiausias ilgis – 5 µ</w:t>
            </w:r>
            <w:r>
              <w:rPr>
                <w:vanish/>
                <w:sz w:val="22"/>
                <w:szCs w:val="22"/>
              </w:rPr>
              <w:t>miu</w:t>
            </w:r>
            <w:r>
              <w:rPr>
                <w:color w:val="000000"/>
                <w:sz w:val="22"/>
                <w:szCs w:val="22"/>
              </w:rPr>
              <w:t>m (mikrometrai) ir didžiausias plotis – 3 µ</w:t>
            </w:r>
            <w:r>
              <w:rPr>
                <w:vanish/>
                <w:sz w:val="22"/>
                <w:szCs w:val="22"/>
              </w:rPr>
              <w:t>miu</w:t>
            </w:r>
            <w:r>
              <w:rPr>
                <w:color w:val="000000"/>
                <w:sz w:val="22"/>
                <w:szCs w:val="22"/>
              </w:rPr>
              <w:t xml:space="preserve">m. Ore esančių plaušelių koncentracija nustatoma faziniu kontrastiniu optiniu mikroskopu  membraninio filtro metodu (6.6).</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2 - acetiloksibenzenkarboksirūgštis (acetilsalicilo rūgštis, aspirinas)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50-78-2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Aviacinis žibalas, varikliams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Žiūrėti 1 priedo 2 punktą.</w:t>
            </w:r>
          </w:p>
        </w:tc>
      </w:tr>
      <w:tr>
        <w:trPr>
          <w:trHeight w:val="20"/>
        </w:trPr>
        <w:tc>
          <w:tcPr>
            <w:tcW w:w="600" w:type="dxa"/>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 </w:t>
            </w:r>
          </w:p>
        </w:tc>
        <w:tc>
          <w:tcPr>
            <w:tcW w:w="2800" w:type="dxa"/>
            <w:tcBorders>
              <w:top w:val="single" w:sz="4" w:space="0" w:color="auto"/>
              <w:left w:val="nil"/>
              <w:right w:val="single" w:sz="4" w:space="0" w:color="auto"/>
            </w:tcBorders>
            <w:shd w:val="clear" w:color="auto" w:fill="auto"/>
            <w:tcMar>
              <w:left w:w="28" w:type="dxa"/>
              <w:right w:w="28" w:type="dxa"/>
            </w:tcMar>
          </w:tcPr>
          <w:p>
            <w:pPr>
              <w:rPr>
                <w:sz w:val="22"/>
                <w:szCs w:val="22"/>
              </w:rPr>
            </w:pPr>
            <w:r>
              <w:rPr>
                <w:sz w:val="22"/>
                <w:szCs w:val="22"/>
              </w:rPr>
              <w:t>Azoto dioksidas</w:t>
            </w:r>
          </w:p>
        </w:tc>
        <w:tc>
          <w:tcPr>
            <w:tcW w:w="1200" w:type="dxa"/>
            <w:tcBorders>
              <w:top w:val="single" w:sz="4" w:space="0" w:color="auto"/>
              <w:left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10102-44-0</w:t>
            </w:r>
          </w:p>
        </w:tc>
        <w:tc>
          <w:tcPr>
            <w:tcW w:w="808"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0,96</w:t>
            </w:r>
          </w:p>
        </w:tc>
        <w:tc>
          <w:tcPr>
            <w:tcW w:w="892"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0,5</w:t>
            </w:r>
          </w:p>
        </w:tc>
        <w:tc>
          <w:tcPr>
            <w:tcW w:w="800"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1,91</w:t>
            </w:r>
          </w:p>
        </w:tc>
        <w:tc>
          <w:tcPr>
            <w:tcW w:w="700"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708"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single" w:sz="4" w:space="0" w:color="auto"/>
              <w:left w:val="nil"/>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single" w:sz="4" w:space="0" w:color="auto"/>
              <w:left w:val="nil"/>
              <w:right w:val="single" w:sz="4" w:space="0" w:color="auto"/>
            </w:tcBorders>
            <w:tcMar>
              <w:left w:w="28" w:type="dxa"/>
              <w:right w:w="28" w:type="dxa"/>
            </w:tcMar>
          </w:tcPr>
          <w:p>
            <w:pPr>
              <w:jc w:val="center"/>
              <w:rPr>
                <w:sz w:val="22"/>
                <w:szCs w:val="22"/>
              </w:rPr>
            </w:pPr>
            <w:r>
              <w:rPr>
                <w:color w:val="000000"/>
                <w:sz w:val="22"/>
                <w:szCs w:val="22"/>
              </w:rPr>
              <w:t>Ū</w:t>
            </w: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Azoto monoksidas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10102-43-9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Diazoto oksidas (azoto suboksidas)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10024-97-2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 aliuminatas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12253-23-5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Bario-aliuminio titanatas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52869-91-7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Baris (tirpieji junginiai, kaip Ba)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 feritas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12047-11-9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 hidrofosfatas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10048-98-3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513-77-9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Bario tetratitanatas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12009-31-3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Bario-kalcio titanatas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52869-93-9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Benz(a)pirenas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50-32-8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 M J O</w:t>
            </w:r>
            <w:r>
              <w:rPr>
                <w:sz w:val="22"/>
                <w:szCs w:val="22"/>
                <w:vertAlign w:val="superscript"/>
              </w:rPr>
              <w:t xml:space="preserve">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Benz(a)pireno gali būti kartu su kitais policikliniais aromatiniais angliavandeniliais dūmuose, dulkėse ar rūke, pvz., iš bitumo ir asfalto, bei kai kuriose alyvose ir degimo produktuose.</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Benzalchloridas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100-52-7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82-05-3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p-benzchinonas (1,4-benzchinonas, 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106-51-4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p-benzchinonas (chinonas) yra oksiduojanti medžiaga, kuri redukuojasi į hidrochinoną. Hidrochinonas vėl lengvai virsta p-benzchinonu, pvz., veikiamas atmosferos deguonies.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Benzenas (benzolas)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71-43-2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Benzilbutilftalatas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85-68-7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Tas pats RD, išreikštas mg/m</w:t>
            </w:r>
            <w:r>
              <w:rPr>
                <w:color w:val="000000"/>
                <w:sz w:val="22"/>
                <w:szCs w:val="22"/>
                <w:vertAlign w:val="superscript"/>
              </w:rPr>
              <w:t>3</w:t>
            </w:r>
            <w:r>
              <w:rPr>
                <w:color w:val="000000"/>
                <w:sz w:val="22"/>
                <w:szCs w:val="22"/>
              </w:rPr>
              <w:t>, yra taikomas ftalatams, kurių RD šioje normoje nenustatyti.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100-51-6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Benzilo nitrilas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90. </w:t>
            </w:r>
          </w:p>
        </w:tc>
        <w:tc>
          <w:tcPr>
            <w:tcW w:w="2800"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Benzinas, aviacinis, automobilinis, plačios frakcijos reaktyvinis ir alifatinis, skirtas grandininiams pjūklams </w:t>
            </w:r>
          </w:p>
        </w:tc>
        <w:tc>
          <w:tcPr>
            <w:tcW w:w="1200" w:type="dxa"/>
            <w:tcBorders>
              <w:top w:val="nil"/>
              <w:left w:val="single" w:sz="4" w:space="0" w:color="auto"/>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Žiūrėti 1 priedo 2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Benzoilchloridas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Benzoksazalonas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59-49-4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Benzolsulforūgšties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98-09-9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Benzotrichloridas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98-07-7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Benzotrifluoridas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98-08-8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Berilis ir jo junginiai (kaip Be)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Betanalis (fenmedifamas, O-(3-etoksikarbonil-aminofenil)-N-(tolil-3) karbamatas)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13684-63-4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Bisfenolis A, 4,4´-izopropil-idendifenolis </w:t>
            </w:r>
          </w:p>
          <w:p>
            <w:pPr>
              <w:rPr>
                <w:sz w:val="22"/>
                <w:szCs w:val="22"/>
              </w:rPr>
            </w:pPr>
            <w:r>
              <w:rPr>
                <w:sz w:val="22"/>
                <w:szCs w:val="22"/>
              </w:rPr>
              <w:t>- įkvepiamoji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80-05-7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R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Bis-(chlormetil)-benzenas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28347-13-9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100.</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Bis-(chlormetil)-ksilenas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25640-76-0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Bismutas ir neorganiniai jo junginiai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7440-69-9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Boras amorfinis ir kristalinis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7440-42-8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Boro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7637-07-2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Boro karbidas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12069-32-8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Boro nitridai (heksagonalinis ir kubinis)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10043-11-5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Boro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10043-35-3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Bromacetopropilacetatas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20206-80-8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7726-95-6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81-96-9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108-86-1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109-65-9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111</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593-60-2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Bromfenolis (orto-izomeras) </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95-56-7</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Bromfenolis (para-izomeras)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106-41-2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Bromoformas (tribrommetanas)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75-25-2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2-brompentanas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107-81-3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1,3-butadienas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106-99-0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2-butanolis (antr-butilo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78-92-2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2-metil-2-propanolis (tret-butilo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75-65-0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n-butanolis (n-butilo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71-36-3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Butanonas (metiletilketonas)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78-93-3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n-butilglicidileteris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2426-08-6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544-16-1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Butilo (tretinio) hidroperoksidas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75-91-2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Butilo acetatas,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Butilo 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141-32-2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Butilo 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138-22-7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Koncentracijos RD, išreikštas ppm, taip pat taikomas tiems laktatams, kurių konkretus RD šioje higienos normoje nenurodytas.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n-butilo 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97-88-1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4-aminobenzensulfamidas (sulfanilamidas, tret-butilperoksiacetatas, streptocidas)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63-74-1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di-tret-butilperoksidas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130</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But-2-in-1,4-diolis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110-65-6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Cs w:val="24"/>
              </w:rPr>
            </w:pPr>
            <w:r>
              <w:rPr>
                <w:szCs w:val="24"/>
              </w:rPr>
              <w:t>2-(2-butoksietoksi)-etanolis (dietilenglikolio monobutileteris, oksidietanolio monobutileteris)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Cs w:val="24"/>
              </w:rPr>
            </w:pPr>
            <w:r>
              <w:rPr>
                <w:color w:val="000000"/>
                <w:szCs w:val="24"/>
              </w:rPr>
              <w:t>112-34-5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67,5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101,2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Cs w:val="24"/>
              </w:rPr>
            </w:pPr>
            <w:r>
              <w:rPr>
                <w:color w:val="000000"/>
                <w:szCs w:val="24"/>
              </w:rPr>
              <w:t>-</w:t>
            </w:r>
          </w:p>
        </w:tc>
        <w:tc>
          <w:tcPr>
            <w:tcW w:w="1000" w:type="dxa"/>
            <w:tcBorders>
              <w:top w:val="nil"/>
              <w:left w:val="nil"/>
              <w:bottom w:val="single" w:sz="4" w:space="0" w:color="auto"/>
              <w:right w:val="single" w:sz="4" w:space="0" w:color="auto"/>
            </w:tcBorders>
            <w:tcMar>
              <w:left w:w="28" w:type="dxa"/>
              <w:right w:w="28" w:type="dxa"/>
            </w:tcMar>
          </w:tcPr>
          <w:p>
            <w:pPr>
              <w:jc w:val="center"/>
              <w:rPr>
                <w:szCs w:val="24"/>
              </w:rPr>
            </w:pPr>
            <w:r>
              <w:rPr>
                <w:color w:val="000000"/>
                <w:szCs w:val="24"/>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2-(2-metoksietoksi)etanolis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111-77-3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Cerio (IV)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1306-38-3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Cerio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7758-88-5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Cezio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21351-79-1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Chinolinas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91-22-5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2-chlor-1,3-butadienas (chlorprenas)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126-99-8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Chloracetopropilacetatas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13045-16-4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Chloralis (trichloracetaldehidas)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75-87-6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108-42-9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p-chloranilinas (4-chloranilinas)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106-47-8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J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7782-50-5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Chlorbenzenas (monochlorbenzenas)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108-90-7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p-chlorbenzilchloridas (a-chlor-4-chlortoluenas)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104-83-6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p-chlorbenztrichloridas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5216-25-1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p-chlorbenztrifluoridas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98-56-6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Chlorcianas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506-77-4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542-18-7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Chlordifluormetanas (CFC 22, freonas 22)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75-45-6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Chloretanas (etilo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75-00-3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268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2-chloretanolis (etileno 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107-07-3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Šios medžiagos skystos formos skvarba per odą yra tokia didelė, kad gali sukelti pavojų gyvybei.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Chlorfenilizocianatas (p-, m-izomerai)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104-12-1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Chlorofosas (diloksas, diptereksas)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52-68-6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95-49-8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Chromas, neorganinio chromo (II) junginiai ir neorganinio chromo (III) junginiai (netirpūs)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Chromo (VI) junginiai (kaip Cr)</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Chrominas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1407-01-8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Chromo (VI) trioksidas (chromo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1333-82-0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Cianamidas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420-04-2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0,58</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Cianido rūgštis (kaip cianidas)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r>
              <w:rPr>
                <w:color w:val="000000"/>
                <w:sz w:val="22"/>
                <w:szCs w:val="22"/>
              </w:rPr>
              <w:t>74-90-8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0,9</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4,5</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Cianurchloridas (2,4,6-trichlor-1,3,5-tiazinas)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108-77-0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Cianuro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Cikloheksanonas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108-94-1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Cikloheksanonoksimas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100-64-1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108-91-8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Cikloheksilamino 3,5-dinitrobenzoatas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5473-16-5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34067-50-0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34067-46-4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34139-62-3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Cikloheksilkarbamidas (cikloheksilšlapalas)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698-90-8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542-92-7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p-cimenas (p-metilizopropilbenzenas)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99-87-6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Cinebas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12122-67-7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Cinko fosfidas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1314-84-7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Cinko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1314-98-3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Cinko chloridas,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7646-85-7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Cinko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1314-13-2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Cirkonas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14940-68-2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Cirkonis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Cirkonio (IV)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1314-23-4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Cirkonio karbidas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12070-14-3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Cirkonio nitridas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25658-42-8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188.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Ciramas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137-30-4</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DDT </w:t>
            </w:r>
          </w:p>
          <w:p>
            <w:pPr>
              <w:rPr>
                <w:sz w:val="22"/>
                <w:szCs w:val="22"/>
              </w:rPr>
            </w:pPr>
            <w:r>
              <w:rPr>
                <w:sz w:val="22"/>
                <w:szCs w:val="22"/>
              </w:rPr>
              <w:t>(p-dichlorfeniltrichloretanas)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50-29-3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DDVF (dichlofosas, nuvanas)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62-73-7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n-decilo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112-30-1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Dekahidronaftalenas (dekalinas)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91-17-8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Dekanai ir kiti aukštesnieji alifatiniai angliavandeniliai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Nurodytas angliavandenilių garų RD. Alifatinių angliavandenilių, turinčių daugiau kaip 12 anglies atomų (tridekano ir aukštesniųjų), sočiųjų garų koncentracija 20°C temperatūroje yra mažesnė kaip 350 mg/m</w:t>
            </w:r>
            <w:r>
              <w:rPr>
                <w:sz w:val="22"/>
                <w:szCs w:val="22"/>
                <w:vertAlign w:val="superscript"/>
              </w:rPr>
              <w:t>3</w:t>
            </w:r>
            <w:r>
              <w:rPr>
                <w:sz w:val="22"/>
                <w:szCs w:val="22"/>
              </w:rPr>
              <w:t xml:space="preserve">. Tačiau šie angliavandeniliai gali turėti įtakos higieniniam </w:t>
            </w:r>
            <w:r>
              <w:rPr>
                <w:color w:val="000000"/>
                <w:sz w:val="22"/>
                <w:szCs w:val="22"/>
              </w:rPr>
              <w:t>efektui.</w:t>
            </w:r>
            <w:r>
              <w:rPr>
                <w:color w:val="00CCFF"/>
                <w:sz w:val="22"/>
                <w:szCs w:val="22"/>
              </w:rPr>
              <w:t xml:space="preserve"> </w:t>
            </w:r>
            <w:r>
              <w:rPr>
                <w:sz w:val="22"/>
                <w:szCs w:val="22"/>
              </w:rPr>
              <w:t>Aerozolio (dalelių ar lašelių) formos angliavandeniliams taikomas RD, nurodytas organinėms dulkėms ir rūkui, 5 mg/m</w:t>
            </w:r>
            <w:r>
              <w:rPr>
                <w:sz w:val="22"/>
                <w:szCs w:val="22"/>
                <w:vertAlign w:val="superscript"/>
              </w:rPr>
              <w:t>3</w:t>
            </w:r>
            <w:r>
              <w:rPr>
                <w:sz w:val="22"/>
                <w:szCs w:val="22"/>
              </w:rPr>
              <w:t>.</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Denacilas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38363-29-0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Dezoksonas-3 (kaip acto rūgštis)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59593-05-4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Di-(2-etilheksil) ftalatas (dioktilftalatas)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117-81-7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p>
            <w:pPr>
              <w:rPr>
                <w:sz w:val="22"/>
                <w:szCs w:val="22"/>
              </w:rPr>
            </w:pPr>
            <w:r>
              <w:rPr>
                <w:sz w:val="22"/>
                <w:szCs w:val="22"/>
              </w:rPr>
              <w:t>Kaip ir kiti oktilftalatai, di-(2-etilheksil) ftalatas neapibrėžtai vadinamas tiesiog DOF’u. Di-(2-etilheksil) ftalatas (DEHF) dažnai vadinamas di-sec-oktilftalatu, o tai cheminiu požiūriu nėra visiškai teisinga.</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196</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Diacetilas, butadionas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431-03-8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0,36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Diacetono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123-42-2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Dialilaminas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124-02-7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Dialilftalatas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131-17-9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Dialilizoftalatas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1087-21-4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Diamindifeniloksidas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101-80-4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4,4-diamindifenilsulfidas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139-65-1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1,4-diamindifenilsulfonas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80-08-0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203</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Difenileteris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101-84-8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Difenilftalatas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84-62-8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Diboranas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19287-45-7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Dibrombenzantronas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81-98-1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1,2-dibrompropanas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78-75-1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Dibutiladipinatas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105-99-7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Dibutilfenilfosfatas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2528-36-1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Dibutilftalatas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84-74-2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502-56-7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Dibutilsebacinatas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109-43-3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alfa</w:t>
            </w:r>
            <w:r>
              <w:rPr>
                <w:sz w:val="22"/>
                <w:szCs w:val="22"/>
              </w:rPr>
              <w:t>?,</w:t>
            </w:r>
            <w:r>
              <w:rPr>
                <w:vanish/>
                <w:sz w:val="22"/>
                <w:szCs w:val="22"/>
              </w:rPr>
              <w:t xml:space="preserve"> alfa</w:t>
            </w:r>
            <w:r>
              <w:rPr>
                <w:sz w:val="22"/>
                <w:szCs w:val="22"/>
              </w:rPr>
              <w:t>?-?dichlor-</w:t>
            </w:r>
            <w:r>
              <w:rPr>
                <w:vanish/>
                <w:sz w:val="22"/>
                <w:szCs w:val="22"/>
              </w:rPr>
              <w:t>alfa</w:t>
            </w:r>
            <w:r>
              <w:rPr>
                <w:sz w:val="22"/>
                <w:szCs w:val="22"/>
              </w:rPr>
              <w:t>?-fluortoluenas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498-67-9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1,3-dichloracetonas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534-07-6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79-43-6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3,4-dichloranilinas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95-76-1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Dichloras (2,3-dichlor-1,4-naftachinonas)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117-80-6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2,3-dichlorbutadienas-1,3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1653-19-6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3,4-dichlorbutenas-1</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64037-54-3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1,3-dichlorbutenas-2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7415-31-8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1,4-dichlorbutenas-2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764-41-0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4,4-dichlordifenilsulfonas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80-07-9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1,1-dichloretanas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75-34-3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1,2-dichloretanas (etileno dichloridas)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107-06-2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3,4-dichlorfenilizocianatas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102-36-3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Dichlorfeniltrichlorsilanas (kaip vandenilio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27137-85-5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96-23-1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1,2-dichlorizobutanas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594-37-6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1,3-dichlorizobutilenas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3375-22-2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3,4-dichlornitrobenzenas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99-54-7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1,2-dichlorbenzenas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1,4-dichlorbenzenas, p-dichlorbenzenas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106-46-7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60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Dichlordifluormetanas (CFC 12, freonas 12)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75-71-8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Dichlorfluormetanas (CFC 21, freonas 21)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1,2-dichlorpropanas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2,3-dichlorpropilenas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w:t>
            </w:r>
            <w:r>
              <w:rPr>
                <w:vanish/>
                <w:sz w:val="22"/>
                <w:szCs w:val="22"/>
              </w:rPr>
              <w:t>alfa</w:t>
            </w:r>
            <w:r>
              <w:rPr>
                <w:sz w:val="22"/>
                <w:szCs w:val="22"/>
              </w:rPr>
              <w:t>,?</w:t>
            </w:r>
            <w:r>
              <w:rPr>
                <w:vanish/>
                <w:sz w:val="22"/>
                <w:szCs w:val="22"/>
              </w:rPr>
              <w:t>alfa</w:t>
            </w:r>
            <w:r>
              <w:rPr>
                <w:sz w:val="22"/>
                <w:szCs w:val="22"/>
              </w:rPr>
              <w:t>-dichlorpropiono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75-99-0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Dichlorstirenas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6607-45-0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2,4-dichlortoluenas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95-73-8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Diciklobutilidenas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6708-14-1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77-73-6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Dietanolaminas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111-42-2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109-89-7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Dietilaminoetanolis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100-37-8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??dietilaminetilmerkaptanas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100-38-9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Dietilaminoetilmetakrilatas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105-16-8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25340-17-4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Dietilentriaminas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111-40-0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84-66-2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Dietilgyvsidabris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627-44-1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Dietilmaleinatas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141-05-9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Dietileteris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60-29-7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308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616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Dietilperfluoradipinatas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376-50-1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Dietilperfluorgliutaratas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424-40-8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Dietiltelūridas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627-54-3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Difenilaminas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122-39-4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Fenilbenzenas (difenilas, bifenilas)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92-52-4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0,4</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Difosforo pentoksidas (fosforo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1314-56-3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Difosforo pentasulfidas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1314-80-3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Diglicidilo eteris (DGE)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2238-07-5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Diizodecilftalatas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26761-40-0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Diizopropilaminas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108-18-9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2,6-diizopropilfenilizocianatas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28178-42-9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Tačiau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N,N-dimetilacetamidas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127-19-5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R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Garų pavidalu ši medžiaga lengvai skverbiasi per odą.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124-40-3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N,N-dimetilanilinas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121-69-7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Dimetildisulfidas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624-92-0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IPRD, lygus 1 ppm, taikomas dimetildisulfido, dimetilsulfido ir metilmerkaptano koncentracijų sumai.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115-10-6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2280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598-56-1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N,N-dimetilformamidas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68-12-2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R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Šios </w:t>
            </w:r>
            <w:r>
              <w:rPr>
                <w:color w:val="000000"/>
                <w:sz w:val="22"/>
                <w:szCs w:val="22"/>
              </w:rPr>
              <w:t>medžiagos skystos formos skvarba per odą yra tokia didelė, kad gali sukelti pavojų gyvybei</w:t>
            </w:r>
            <w:r>
              <w:rPr>
                <w:color w:val="C00000"/>
                <w:sz w:val="22"/>
                <w:szCs w:val="22"/>
              </w:rPr>
              <w:t>.</w:t>
            </w:r>
            <w:r>
              <w:rPr>
                <w:sz w:val="22"/>
                <w:szCs w:val="22"/>
              </w:rPr>
              <w:t xml:space="preserve"> </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131-11-3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75-18-3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IPRD, lygus 1 ppm, taikomas dimetildisulfido, dimetilsulfido ir metilmerkaptano koncentracijų sumai.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Dimetilsulfoksidas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67-68-5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Dinitrobenzenas,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25154-54-5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Dinitrotoluenas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25321-14-6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1,4-dioksanas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123-91-1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Disulfiramas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97-77-8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Dyzelinis automobilinis kuras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Žiūrėti 1 priedo 2  punktą.</w:t>
            </w:r>
          </w:p>
        </w:tc>
      </w:tr>
      <w:tr>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279. </w:t>
            </w:r>
          </w:p>
        </w:tc>
        <w:tc>
          <w:tcPr>
            <w:tcW w:w="2800" w:type="dxa"/>
            <w:tcBorders>
              <w:top w:val="single" w:sz="4" w:space="0" w:color="auto"/>
              <w:left w:val="nil"/>
              <w:right w:val="single" w:sz="4" w:space="0" w:color="auto"/>
            </w:tcBorders>
            <w:shd w:val="clear" w:color="auto" w:fill="auto"/>
            <w:tcMar>
              <w:left w:w="28" w:type="dxa"/>
              <w:right w:w="28" w:type="dxa"/>
            </w:tcMar>
          </w:tcPr>
          <w:p>
            <w:pPr>
              <w:rPr>
                <w:sz w:val="22"/>
                <w:szCs w:val="22"/>
              </w:rPr>
            </w:pPr>
            <w:r>
              <w:rPr>
                <w:sz w:val="22"/>
                <w:szCs w:val="22"/>
              </w:rPr>
              <w:t xml:space="preserve">Dulkės: </w:t>
            </w:r>
          </w:p>
        </w:tc>
        <w:tc>
          <w:tcPr>
            <w:tcW w:w="1200" w:type="dxa"/>
            <w:vMerge w:val="restart"/>
            <w:tcBorders>
              <w:top w:val="single" w:sz="4" w:space="0" w:color="auto"/>
              <w:left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single" w:sz="4" w:space="0" w:color="auto"/>
              <w:left w:val="nil"/>
              <w:right w:val="single" w:sz="4" w:space="0" w:color="auto"/>
            </w:tcBorders>
            <w:tcMar>
              <w:left w:w="28" w:type="dxa"/>
              <w:right w:w="28" w:type="dxa"/>
            </w:tcMar>
          </w:tcPr>
          <w:p>
            <w:pPr>
              <w:jc w:val="center"/>
              <w:rPr>
                <w:sz w:val="22"/>
                <w:szCs w:val="22"/>
              </w:rPr>
            </w:pP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rPr>
                <w:sz w:val="22"/>
                <w:szCs w:val="22"/>
              </w:rPr>
            </w:pPr>
          </w:p>
        </w:tc>
        <w:tc>
          <w:tcPr>
            <w:tcW w:w="2800" w:type="dxa"/>
            <w:tcBorders>
              <w:left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left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left w:val="nil"/>
              <w:right w:val="single" w:sz="4" w:space="0" w:color="auto"/>
            </w:tcBorders>
            <w:tcMar>
              <w:left w:w="28" w:type="dxa"/>
              <w:right w:w="28" w:type="dxa"/>
            </w:tcMar>
          </w:tcPr>
          <w:p>
            <w:pPr>
              <w:jc w:val="center"/>
              <w:rPr>
                <w:sz w:val="22"/>
                <w:szCs w:val="22"/>
              </w:rPr>
            </w:pPr>
          </w:p>
        </w:tc>
        <w:tc>
          <w:tcPr>
            <w:tcW w:w="4488" w:type="dxa"/>
            <w:tcBorders>
              <w:left w:val="single" w:sz="4" w:space="0" w:color="auto"/>
              <w:right w:val="single" w:sz="4" w:space="0" w:color="auto"/>
            </w:tcBorders>
            <w:shd w:val="clear" w:color="auto" w:fill="auto"/>
            <w:tcMar>
              <w:left w:w="28" w:type="dxa"/>
              <w:right w:w="28" w:type="dxa"/>
            </w:tcMar>
          </w:tcPr>
          <w:p>
            <w:pPr>
              <w:rPr>
                <w:sz w:val="22"/>
                <w:szCs w:val="22"/>
              </w:rPr>
            </w:pPr>
            <w:r>
              <w:rPr>
                <w:sz w:val="22"/>
                <w:szCs w:val="22"/>
              </w:rPr>
              <w:t>Jei susidaro organinių ir neorganinių dulkių mišinys, organinė dalis negali sudaryti daugiau kaip 5 mg/m</w:t>
            </w:r>
            <w:r>
              <w:rPr>
                <w:sz w:val="22"/>
                <w:szCs w:val="22"/>
                <w:vertAlign w:val="superscript"/>
              </w:rPr>
              <w:t>3</w:t>
            </w:r>
            <w:r>
              <w:rPr>
                <w:sz w:val="22"/>
                <w:szCs w:val="22"/>
              </w:rPr>
              <w:t>. Jei kurios nors medžiagos dulkių nurodytas atskiras RD, taikomas būtent jis.</w:t>
            </w: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left w:val="single" w:sz="4" w:space="0" w:color="auto"/>
              <w:bottom w:val="single" w:sz="4" w:space="0" w:color="auto"/>
              <w:right w:val="single" w:sz="4" w:space="0" w:color="auto"/>
            </w:tcBorders>
            <w:tcMar>
              <w:left w:w="28" w:type="dxa"/>
              <w:right w:w="28" w:type="dxa"/>
            </w:tcMar>
          </w:tcPr>
          <w:p>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280. </w:t>
            </w:r>
          </w:p>
        </w:tc>
        <w:tc>
          <w:tcPr>
            <w:tcW w:w="2800" w:type="dxa"/>
            <w:tcBorders>
              <w:top w:val="single" w:sz="4" w:space="0" w:color="auto"/>
              <w:left w:val="nil"/>
              <w:right w:val="single" w:sz="4" w:space="0" w:color="auto"/>
            </w:tcBorders>
            <w:shd w:val="clear" w:color="auto" w:fill="auto"/>
            <w:tcMar>
              <w:left w:w="28" w:type="dxa"/>
              <w:right w:w="28" w:type="dxa"/>
            </w:tcMar>
          </w:tcPr>
          <w:p>
            <w:pPr>
              <w:rPr>
                <w:sz w:val="22"/>
                <w:szCs w:val="22"/>
              </w:rPr>
            </w:pPr>
            <w:r>
              <w:rPr>
                <w:sz w:val="22"/>
                <w:szCs w:val="22"/>
              </w:rPr>
              <w:t>Organinės kilmės dulkės ir rūkas,</w:t>
            </w:r>
          </w:p>
        </w:tc>
        <w:tc>
          <w:tcPr>
            <w:tcW w:w="1200" w:type="dxa"/>
            <w:vMerge w:val="restart"/>
            <w:tcBorders>
              <w:top w:val="single" w:sz="4" w:space="0" w:color="auto"/>
              <w:left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single" w:sz="4" w:space="0" w:color="auto"/>
              <w:left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single" w:sz="4" w:space="0" w:color="auto"/>
              <w:left w:val="nil"/>
              <w:right w:val="single" w:sz="4" w:space="0" w:color="auto"/>
            </w:tcBorders>
            <w:tcMar>
              <w:left w:w="28" w:type="dxa"/>
              <w:right w:w="28" w:type="dxa"/>
            </w:tcMar>
          </w:tcPr>
          <w:p>
            <w:pPr>
              <w:jc w:val="center"/>
              <w:rPr>
                <w:sz w:val="22"/>
                <w:szCs w:val="22"/>
              </w:rPr>
            </w:pP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įkvepiamoji frakcija</w:t>
            </w:r>
          </w:p>
        </w:tc>
        <w:tc>
          <w:tcPr>
            <w:tcW w:w="1200" w:type="dxa"/>
            <w:vMerge/>
            <w:tcBorders>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Jei nurodyta kurios nors medžiagos dulkių ir rūko atskiras RD, taikomas būtent jis.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Anglies dulkės (įskaitant suodžius)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7782-42-5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282.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Cemento dulkės: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xml:space="preserve">- įkvepiamoji frakcija </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Grafito dulkės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Medvilnės dulkės (medvilnės žaliava)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Kietosios medienos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r>
              <w:rPr>
                <w:sz w:val="22"/>
                <w:szCs w:val="22"/>
              </w:rPr>
              <w:t>Įvertinant impregnuoto medžio dulkes, reikia atsižvelgti į junginius, esančius impregnavimo medžiagoje. Tokių junginių, kurių nurodytas RD, kiekis yra įvertinamas analizuojant medžio dulkes arba atliekant skaičiavimus, pagrįstus impregnavimo medžiagos medienoje kiekiu. Jei to kiekio negalima apskaičiuoti, taikomas 0,5 mg/m</w:t>
            </w:r>
            <w:r>
              <w:rPr>
                <w:sz w:val="22"/>
                <w:szCs w:val="22"/>
                <w:vertAlign w:val="superscript"/>
              </w:rPr>
              <w:t>3</w:t>
            </w:r>
            <w:r>
              <w:rPr>
                <w:sz w:val="22"/>
                <w:szCs w:val="22"/>
              </w:rPr>
              <w:t xml:space="preserve"> RD. Esant smulkių medžio dulkių poveikiui, ypač baldų pramonėje, yra tam tikra rizika susirgti nosies vėžiu.</w:t>
            </w:r>
          </w:p>
          <w:p>
            <w:pPr>
              <w:jc w:val="both"/>
              <w:rPr>
                <w:sz w:val="22"/>
                <w:szCs w:val="22"/>
              </w:rPr>
            </w:pPr>
            <w:r>
              <w:rPr>
                <w:sz w:val="22"/>
                <w:szCs w:val="22"/>
              </w:rPr>
              <w:t>Įkvepiamoji frakcija; jei kietosios medienos dulkės yra susimaišiusios su kitokiomis medienos dulkėmis, RD taikomas visoms tame mišinyje esančioms dulkėms.</w:t>
            </w: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286.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Polivinilchlorido (PVC) dulkės: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rPr>
                <w:sz w:val="22"/>
                <w:szCs w:val="22"/>
              </w:rPr>
            </w:pPr>
            <w:r>
              <w:rPr>
                <w:sz w:val="22"/>
                <w:szCs w:val="22"/>
              </w:rPr>
              <w:t>9002-86-2</w:t>
            </w: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r>
              <w:rPr>
                <w:sz w:val="22"/>
                <w:szCs w:val="22"/>
              </w:rPr>
              <w:t>RD taikomas PVC dulkėms su priedais ar be jų.</w:t>
            </w: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Popieriaus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popieriaus dulkių, tarp jų cheminių medžiagų, esančių popieriuje ir ant popieriaus, dulkių RD.</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Reaktoplastiko (termorektyvinio fenoplastiko)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RD taikomas sukietintų arba beveik sukietintų, turinčių stiklo pluošto </w:t>
            </w:r>
            <w:r>
              <w:rPr>
                <w:color w:val="000000"/>
                <w:sz w:val="22"/>
                <w:szCs w:val="22"/>
              </w:rPr>
              <w:t>arba jo neturinčių</w:t>
            </w:r>
            <w:r>
              <w:rPr>
                <w:sz w:val="22"/>
                <w:szCs w:val="22"/>
              </w:rPr>
              <w:t>, epoksidinių, akrilatinių, poliuretaninių ar esterinių plastikų, bakelito dulkėms ir pan. Čia įskaitomos ir dulkės iš nekietintos miltelinės epoksi tipo medžiagos ir pan. Tam tikriems pigmentams ir panašiems priedams taikomi atskiri RD.</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Tekstilės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Epichlorhidrinas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106-89-8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Etanolis (etilo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64-17-5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140-88-5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75-04-7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442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884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74-85-1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Etilencianhidrinas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109-78-4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Etil-2-ciankrilatas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7085-85-0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107-15-3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299.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Etilenglikoldinitratas (nitroglikolis)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628-96-6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izopropileterio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19234-20-9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izopropileteris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109-59-1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metakrilo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868-77-9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monobutileterio acetatas (butilo glikolio acetatas, 2-butoksietilo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112-07-2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monobutileteris (butilglikolis, 2-butoksietanolis)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111-76-2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Etilenglikolio monopropileteris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2807-30-9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Etilenglikolis (1,2-etandiolis, 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107-21-1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Šis RD taikomas bendrai garų ir aerozolio koncentracijai.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Etileniminas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151-56-4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R K MO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Etilensulfidas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420-12-2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308</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2-etilheksan-1-olis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104-76-7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2-etilheksenalis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645-62-5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2-etilheksildifenilfosfitas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1241-94-7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Etilheksilo 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6283-86-9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ppm, turi būti taikomas laktatams, kurių RD šioje normoje nenustatytas.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Etilmerkaptanas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75-08-1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Etilmerkurfosfatas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2440-45-1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314.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Etilmetakrilatas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97-63-2</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N-etilmorfolinas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100-74-3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N-etil-N-</w:t>
            </w:r>
            <w:r>
              <w:rPr>
                <w:vanish/>
                <w:sz w:val="22"/>
                <w:szCs w:val="22"/>
              </w:rPr>
              <w:t>beta</w:t>
            </w:r>
            <w:r>
              <w:rPr>
                <w:sz w:val="22"/>
                <w:szCs w:val="22"/>
              </w:rPr>
              <w:t>??cianetilanilinas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148-87-8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141-78-6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1100</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74-96-4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Etilo 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97-64-3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ppm, turi būti taikomas laktatams, kurių RD šioje normoje nenustatytas.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O-etil-O-fenilchlortiofosfatas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38052-05-0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Etiltoluenas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25550-14-5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2-etoksietanolis (etilglikolis, etilenglikolio monoetileteris)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color w:val="000000"/>
                <w:sz w:val="22"/>
                <w:szCs w:val="22"/>
              </w:rPr>
            </w:pPr>
            <w:r>
              <w:rPr>
                <w:color w:val="000000"/>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Atsižvelgiant į reprodukcijos sutrikimo ir prasiskverbimo per odą tiek skysčio, tiek garų pavidalu riziką, svarbu vengti sąlyčio su oda. Kelių tirpiklių poveikio atveju etilenglikolio esterių ir kitų tirpiklių higieninis efektas skaičiuojamas pagal pavyzdį, pateiktą 2 priede. Galima nepaisyti etilenglikolio esterių įtakos kitiems, ne reprodukcijos, sutrikimams.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2-etoksietilacetatas (etilglikolio acetatas, etilenglikolio monoetileterio acetatas)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111-15-9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Atsižvelgiant į reprodukcijos sutrikimo ir prasiskverbimo per odą </w:t>
            </w:r>
            <w:r>
              <w:rPr>
                <w:color w:val="000000"/>
                <w:sz w:val="22"/>
                <w:szCs w:val="22"/>
              </w:rPr>
              <w:t>tiek</w:t>
            </w:r>
            <w:r>
              <w:rPr>
                <w:sz w:val="22"/>
                <w:szCs w:val="22"/>
              </w:rPr>
              <w:t xml:space="preserve"> skysčio, tiek garų pavidalu riziką, svarbu vengti sąlyčio su oda. Kelių tirpiklių poveikio atveju etilenglikolio esterių ir kitų tirpiklių </w:t>
            </w:r>
            <w:r>
              <w:rPr>
                <w:color w:val="000000"/>
                <w:sz w:val="22"/>
                <w:szCs w:val="22"/>
              </w:rPr>
              <w:t xml:space="preserve">higieninis efektas </w:t>
            </w:r>
            <w:r>
              <w:rPr>
                <w:sz w:val="22"/>
                <w:szCs w:val="22"/>
              </w:rPr>
              <w:t xml:space="preserve">skaičiuojamas pagal pavyzdį, pateiktą </w:t>
            </w:r>
            <w:r>
              <w:rPr>
                <w:color w:val="000000"/>
                <w:sz w:val="22"/>
                <w:szCs w:val="22"/>
              </w:rPr>
              <w:t>2</w:t>
            </w:r>
            <w:r>
              <w:rPr>
                <w:sz w:val="22"/>
                <w:szCs w:val="22"/>
              </w:rPr>
              <w:t xml:space="preserve"> priede. Galima nepaisyti etilenglikolio esterių įtakos kitiems, ne reprodukcijos, sutrikimams.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Fenilacto rūgšties natrio druska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114-70-5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106-50-3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108-45-2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95-54-5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103-71-9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Fenilmetilkarbamidas (fenilmetilšlapalas)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538-32-9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Fenilo glicidilo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122-60-1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2-fenilpropenas (</w:t>
            </w:r>
            <w:r>
              <w:rPr>
                <w:vanish/>
                <w:sz w:val="22"/>
                <w:szCs w:val="22"/>
              </w:rPr>
              <w:t>alfa</w:t>
            </w:r>
            <w:r>
              <w:rPr>
                <w:sz w:val="22"/>
                <w:szCs w:val="22"/>
              </w:rPr>
              <w:t>?-metilstirenas)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246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492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Fenoksiacto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122-59-8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3-fenoksibenzaldehidas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93-99-2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m-fenoksifenolis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713-68-8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108-95-2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Fenoplastikas (dulkės reaktoplastiko)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9003-35-4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RD taikomas sukietintų arba beveik sukietintų, turinčių stiklo pluošto arba jų neturinčių, epoksidinių, akrilatinių, poliuretaninių ar esterinių plastikų, bakelito dulkėms ir pan. Čia įskaitomos ir dulkės iš nekietintos miltelinės epoksi tipo medžiagos ir pan. Tam tikriems pigmentams ir panašiems priedams taikomi atskiri RD.</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Ferochromas (65? chromo mišinys su geležimi)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Fluoras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7782-41-4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Fluorcirkonatas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7783-64-4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Fluoridai, išskyrus vandenilio fluoridą,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Formaldehidas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Formalglikolis (dioksolanas-1,3)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646-06-0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Formamidas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75-12-7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Fosfinas (fosfanas, vandenilio fosfidas)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7803-51-2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Baltasis fosforas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12185-10-3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Fosforo chloroksidas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10025-87-3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Fosforo pentachloridas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10026-13-8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Fosforo rūgštis, orto-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7664-38-2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Fosforo tiotrichloridas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3982-91-0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Fosforo 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7719-12-2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Ftalatai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RD galima taikyti šiems ftalatams: benzilbutil-, dibutil-, di-(2-etilheksil-), dimetil-, dibenzil-, dietil-, diizodecil-, dioktilo. Tas pats RD, išreikštas mg/m</w:t>
            </w:r>
            <w:r>
              <w:rPr>
                <w:sz w:val="22"/>
                <w:szCs w:val="22"/>
                <w:vertAlign w:val="superscript"/>
              </w:rPr>
              <w:t>3</w:t>
            </w:r>
            <w:r>
              <w:rPr>
                <w:sz w:val="22"/>
                <w:szCs w:val="22"/>
              </w:rPr>
              <w:t>, gali būti taikomas ftalatams, kurių RD šioje normoje nenustatytas.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Ftalio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85-44-9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2-furaldehidas (furfurolas)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98-01-1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110-00-9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2-furankarboninės rūgšties butilo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583-33-5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Furazolidonas (N-/5-nitro-2-furfuriliden/3-amino-2-oksazolidonas)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67-45-8</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Furfurilo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Galantaminas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357-70-0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Galio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12653-62-2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Geležies oksidas (kaip Fe),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1309-37-1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Germanio (IV) chloridas (kaip Ge)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10038-98-9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Germanio hidridas (germanas)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7782-65-2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Germanio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1310-53-8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Germanis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7440-56-4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Glicidolis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556-52-5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Gliftoras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8065-71-2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Glutaro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111-30-8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Granozanas (cerezanas, etilmerkurchloridas)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107-27-7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Gyvsidabrio alkiliniai junginiai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Gyvsidabrio junginiai, išskyrus nurodytus kitur šiame sąraše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Gyvsidabris ir dvivalenčiai neorganiniai gyvsidabrio junginiai, įskaitant gyvsidabrio oksidą ir gyvsidabrio chloridą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110"/>
              <w:jc w:val="center"/>
              <w:rPr>
                <w:sz w:val="22"/>
                <w:szCs w:val="22"/>
              </w:rPr>
            </w:pPr>
            <w:r>
              <w:rPr>
                <w:sz w:val="22"/>
                <w:szCs w:val="22"/>
              </w:rPr>
              <w:t>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Atliekant gyvsidabrio ir jo dvivalenčių neorganinių junginių stebėseną, be orientacinių profesinio poveikio ribinių verčių būtina atsižvelgti į atitinkamus biologinės stebėsenos metodus.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2-brom-2chlor-1,1,1-trifluoretanas (2-brom-1,1,1-trifluor-2-chloretanas, fluotanas)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151-67-7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Heksabrombenzenas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87-82-1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116-16-5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58-89-9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Heksachlorbenzenas (HChB, 1,2,3,4,5,6,- eksachlorbenzenas)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118-74-1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Heksachlorbutadienas (HChBD, perchlordivinilas)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87-68-3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77-47-4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Heksachlorofenas (2,2-dihidroksi-3,3,5,5,6,6-heksachlordifenilmetanas)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70-30-4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Heksachlor-p-ksilenas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68-36-0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Heksafluorbenzenas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392-56-3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Heksafluorpropilenas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116-15-4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Heksametildisilazanas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999-97-3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Heksametilendiizocianatas (HDI)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822-06-0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0,07</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Tačiau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Heksametilendiaminas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trike/>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trike/>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Heksametileniminas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111-49-9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Heksametilentetraminas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100-97-0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trike/>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trike/>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Heksanai, išskyrus n-heksaną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2-heksanonas (metil-n-butilketonas)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591-78-6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Heksileno glikolis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107-41-5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120</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Heksilo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111-25-1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Heptanas, visi izomerai (išskyrus n-heptaną)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n-heptanas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142-82-5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2085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3128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2-heptanonas (metilamilketonas)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110-43-0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3-heptanonas (etilbutilketonas)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106-35-4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95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n-heptilo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111-70-6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Hidrazinas ir jo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302-01-2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 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399.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Hidrochinonas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123-31-9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K M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p-benzchinonas (chinonas) yra oksiduojanti medžiaga, kuri redukuojasi į hidrochinoną. Hidrochinonas vėl lengvai virsta p-benzchinonu, pvz., veikiamas atmosferos deguonies.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2-hidroksietilakrilatas (etilenglikolio akrilo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818-61-1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beta</w:t>
            </w:r>
            <w:r>
              <w:rPr>
                <w:sz w:val="22"/>
                <w:szCs w:val="22"/>
              </w:rPr>
              <w:t>?-hidroksietilmerkaptanas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60-24-2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Indis ir  neorganiniai jo junginiai (kaip In)</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7440-74-6 </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Interkordinas (intensainas, karbokromenas)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655-35-6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404.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Išmetamosios dujos (variklių):</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single" w:sz="4" w:space="0" w:color="auto"/>
              <w:left w:val="single" w:sz="4" w:space="0" w:color="auto"/>
              <w:right w:val="single" w:sz="4" w:space="0" w:color="auto"/>
            </w:tcBorders>
            <w:tcMar>
              <w:left w:w="28" w:type="dxa"/>
              <w:right w:w="28" w:type="dxa"/>
            </w:tcMar>
          </w:tcPr>
          <w:p>
            <w:pPr>
              <w:jc w:val="center"/>
              <w:rPr>
                <w:sz w:val="22"/>
                <w:szCs w:val="22"/>
              </w:rPr>
            </w:pPr>
          </w:p>
        </w:tc>
        <w:tc>
          <w:tcPr>
            <w:tcW w:w="448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Specialieji azoto dioksido ir anglies monoksido RD pateikti atsižvelgiant į variklių išmetamose dujose esančių medžiagų, tarp jų ir kancerogenų, bendrą poveikį. Tokiu atveju šios medžiagos naudojamos kaip indikatoriai. Poveikis turi būti priimtinas abiejų reikšmių atveju: anglies monoksido – išmetamųjų dujų iš benziną ir dujas naudojančių variklių, azoto dioksido – išmetamųjų dūmų iš dyzelinį kurą naudojančių variklių. Anglies monoksido ir azoto dioksido </w:t>
            </w:r>
            <w:r>
              <w:rPr>
                <w:color w:val="000000"/>
                <w:sz w:val="22"/>
                <w:szCs w:val="22"/>
              </w:rPr>
              <w:t>higieninio efekto skaičiuoti</w:t>
            </w:r>
            <w:r>
              <w:rPr>
                <w:sz w:val="22"/>
                <w:szCs w:val="22"/>
              </w:rPr>
              <w:t xml:space="preserve"> nereikia.</w:t>
            </w: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xml:space="preserve">- pagal anglies monoksidą </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single" w:sz="4" w:space="0" w:color="auto"/>
              <w:right w:val="single" w:sz="4" w:space="0" w:color="auto"/>
            </w:tcBorders>
            <w:tcMar>
              <w:left w:w="28" w:type="dxa"/>
              <w:right w:w="28" w:type="dxa"/>
            </w:tcMar>
          </w:tcPr>
          <w:p>
            <w:pPr>
              <w:jc w:val="center"/>
              <w:rPr>
                <w:sz w:val="22"/>
                <w:szCs w:val="22"/>
              </w:rPr>
            </w:pPr>
          </w:p>
        </w:tc>
        <w:tc>
          <w:tcPr>
            <w:tcW w:w="4488"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pagal azoto dioksidą</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single" w:sz="4" w:space="0" w:color="auto"/>
              <w:bottom w:val="single" w:sz="4" w:space="0" w:color="auto"/>
              <w:right w:val="single" w:sz="4" w:space="0" w:color="auto"/>
            </w:tcBorders>
            <w:tcMar>
              <w:left w:w="28" w:type="dxa"/>
              <w:right w:w="28" w:type="dxa"/>
            </w:tcMar>
          </w:tcPr>
          <w:p>
            <w:pPr>
              <w:jc w:val="center"/>
              <w:rPr>
                <w:sz w:val="22"/>
                <w:szCs w:val="22"/>
              </w:rPr>
            </w:pPr>
          </w:p>
        </w:tc>
        <w:tc>
          <w:tcPr>
            <w:tcW w:w="4488"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Itrio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1314-36-9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Izoamilo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123-51-3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Izoamilo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107-82-4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Izobutilenas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115-11-7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Izobutilmetakrilatas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97-86-9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Izocianatai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RD taikomas tokiems izocianatams: diizopropilfenilo, fenilo (FI), heksametileno (HDI), izoforono (IPDI), metilenbisfenilo (MDI), naftaleno (NDI), tolueno (TDI), trimetilheksametileno (TMDI).</w:t>
            </w:r>
          </w:p>
          <w:p>
            <w:pPr>
              <w:rPr>
                <w:color w:val="000000"/>
                <w:sz w:val="22"/>
                <w:szCs w:val="22"/>
              </w:rPr>
            </w:pPr>
            <w:r>
              <w:rPr>
                <w:color w:val="000000"/>
                <w:sz w:val="22"/>
                <w:szCs w:val="22"/>
              </w:rPr>
              <w:t>Nustatytas 5 min. poveikio trukmės NRD.</w:t>
            </w:r>
          </w:p>
          <w:p>
            <w:pPr>
              <w:rPr>
                <w:color w:val="000000"/>
                <w:sz w:val="22"/>
                <w:szCs w:val="22"/>
              </w:rPr>
            </w:pPr>
            <w:r>
              <w:rPr>
                <w:color w:val="000000"/>
                <w:sz w:val="22"/>
                <w:szCs w:val="22"/>
              </w:rPr>
              <w:t>Tas pats RD, išreikštas ppm, taikoma izocianatams, kurių RD nenustatytas. Ši nuostata taikoma ir dulkių ar lašelių (aerozolių) pavidalo izocianatams, įskaitant prepolimerizuotus izocianatus (aduktus). Skirtingų medžiagų RD, išreikšti mg/m</w:t>
            </w:r>
            <w:r>
              <w:rPr>
                <w:color w:val="000000"/>
                <w:sz w:val="22"/>
                <w:szCs w:val="22"/>
                <w:vertAlign w:val="superscript"/>
              </w:rPr>
              <w:t>3</w:t>
            </w:r>
            <w:r>
              <w:rPr>
                <w:color w:val="000000"/>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3-izociantoluenas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10340-91-7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Izoforonas (1,5,5-trimetilcikloheksenonas-3)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78-59-1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Izoforono diizocianatas (IPDI)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4098-71-9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Izoftalio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121-91-5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Izooktilo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26952-21-6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78-78-4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123-92-2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78-79-5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2-propanolis (izopropanolis, izopropilo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67-63-0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75-31-0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Izopropilbenzenas (kumenas)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98-82-8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35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lang w:val="en-GB"/>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lang w:val="en-GB"/>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Izopropilnitritas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541-42-4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Izopropilnitratas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1712-64-7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Izosviesto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Izosviesto rūgšties metilo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547-63-7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Izovalerijono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590-86-3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Jodas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7553-56-2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Kadmio stearatas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2223-93-0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430.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Kadmis ir jo neorganiniai junginiai (kaip Cd):</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Kalcio aliumochromo fosfatas (kaip chromo (VI) 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59157-64-1</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Kalcio cianamidas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156-62-7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Kalcio dihidroksidas (gesintos kalkės)</w:t>
            </w:r>
          </w:p>
          <w:p>
            <w:pPr>
              <w:rPr>
                <w:sz w:val="22"/>
                <w:szCs w:val="22"/>
              </w:rPr>
            </w:pPr>
            <w:r>
              <w:rPr>
                <w:sz w:val="22"/>
                <w:szCs w:val="22"/>
              </w:rPr>
              <w:t>-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1305-62-0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Kalcio oksidas</w:t>
            </w:r>
          </w:p>
          <w:p>
            <w:pPr>
              <w:rPr>
                <w:sz w:val="22"/>
                <w:szCs w:val="22"/>
              </w:rPr>
            </w:pPr>
            <w:r>
              <w:rPr>
                <w:sz w:val="22"/>
                <w:szCs w:val="22"/>
              </w:rPr>
              <w:t>-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1305-78-8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7447-40-7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435</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cianidas (kaip cianidas)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151-50-8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584-08-7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7757-79-1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silicio fluoridas (kalio heksafluorsilikatas)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16871-90-2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Kalio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7778-80-5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Kamparas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76-22-2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Kaprolaktamas (dulkės + garai)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105-60-2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Kaprono rūgšties metilo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106-70-7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Kaprono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142-62-1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Karbofosas (malationas, sumitoksas)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121-75-5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ind w:right="-57"/>
              <w:rPr>
                <w:sz w:val="22"/>
                <w:szCs w:val="22"/>
              </w:rPr>
            </w:pPr>
            <w:r>
              <w:rPr>
                <w:sz w:val="22"/>
                <w:szCs w:val="22"/>
              </w:rPr>
              <w:t>Karbonilo dichloridas (fosgenas)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75-44-5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0,4</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3-karenas (plg.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13466-78-9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Spygliuočių sakai jautrina odą. Atskirų terpenų, išskyrus 3-kareną, jautrinantis poveikis nėra ištirtas.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Katechinas (katecholis)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120-80-9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Ketoeteris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6627-69-6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Kobaltas ir jo neorganinai junginiai (kaip Co)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Kobalto hidrokarbonilas ir jo skilimo produktai (kaip Co)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Kofeinas (bazė)</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58-08-2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Krezilo glicidilo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2186-24-5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Krezolas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1319-77-3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Kristobalitas (silicio dioksido atmaina),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14464-46-1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Krotono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4170-30-3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Ksilenas, mišrūs izomerai, grynas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1330-20-7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221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442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108-38-3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95-47-6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221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442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106-42-3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221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442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Ksilidinas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1300-73-8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Kumoleno (izopropilbenzeno) hidroperoksidas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80-15-9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Kuprocinas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8066-21-5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Kvarcas, silicio dioksido atmaina,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14808-60-7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Lavsanas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25038-59-9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Ličio hidridas</w:t>
            </w:r>
          </w:p>
          <w:p>
            <w:pPr>
              <w:rPr>
                <w:sz w:val="22"/>
                <w:szCs w:val="22"/>
              </w:rPr>
            </w:pPr>
            <w:r>
              <w:rPr>
                <w:sz w:val="22"/>
                <w:szCs w:val="22"/>
              </w:rPr>
              <w:t>- įkvepiamoji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7580-67-8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color w:val="000000"/>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0,02</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Ligroinas (petroleum naphtha)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Limonenas (plg.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138-86-3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Spygliuočių sakai jautrina odą. Atskirų terpenų, išskyrus 3-kareną, jautrinantis poveikis nėra ištirtas. </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Linuronas (afalonas, N-metil-N’-metoksi-N’-/3,4-dichlorfenil/-šlapalas)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330-55-2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Mafenido acetatas (4-aminometilbenzensulfamido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13009-99-9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Magnezitas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546-93-0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Magnio chloratas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10326-21-3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Magnio diboridas (kaip Mg)</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12007-25-9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Magnio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1309-48-4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Magnio poliboridas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12230-32-9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Maleino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0,6</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476.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Manganas ir neorganiniai jo junginiai (kaip Mn):</w:t>
            </w:r>
          </w:p>
          <w:p>
            <w:pPr>
              <w:rPr>
                <w:sz w:val="22"/>
                <w:szCs w:val="22"/>
              </w:rPr>
            </w:pPr>
            <w:r>
              <w:rPr>
                <w:sz w:val="22"/>
                <w:szCs w:val="22"/>
              </w:rPr>
              <w:t>- įkvepiamoji frakcija</w:t>
            </w:r>
          </w:p>
          <w:p>
            <w:pPr>
              <w:rPr>
                <w:sz w:val="22"/>
                <w:szCs w:val="22"/>
              </w:rPr>
            </w:pPr>
            <w:r>
              <w:rPr>
                <w:sz w:val="22"/>
                <w:szCs w:val="22"/>
              </w:rPr>
              <w:t>- alveolinė frakcija</w:t>
            </w:r>
          </w:p>
        </w:tc>
        <w:tc>
          <w:tcPr>
            <w:tcW w:w="1200" w:type="dxa"/>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0,2</w:t>
            </w:r>
          </w:p>
          <w:p>
            <w:pPr>
              <w:ind w:firstLine="55"/>
              <w:jc w:val="center"/>
              <w:rPr>
                <w:sz w:val="22"/>
                <w:szCs w:val="22"/>
              </w:rPr>
            </w:pPr>
            <w:r>
              <w:rPr>
                <w:color w:val="000000"/>
                <w:sz w:val="22"/>
                <w:szCs w:val="22"/>
              </w:rPr>
              <w:t>0,05</w:t>
            </w:r>
          </w:p>
        </w:tc>
        <w:tc>
          <w:tcPr>
            <w:tcW w:w="892"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w:t>
            </w:r>
          </w:p>
          <w:p>
            <w:pPr>
              <w:ind w:firstLine="55"/>
              <w:jc w:val="center"/>
              <w:rPr>
                <w:sz w:val="22"/>
                <w:szCs w:val="22"/>
              </w:rPr>
            </w:pPr>
            <w:r>
              <w:rPr>
                <w:color w:val="000000"/>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w:t>
            </w:r>
          </w:p>
          <w:p>
            <w:pPr>
              <w:ind w:firstLine="55"/>
              <w:jc w:val="center"/>
              <w:rPr>
                <w:sz w:val="22"/>
                <w:szCs w:val="22"/>
              </w:rPr>
            </w:pPr>
            <w:r>
              <w:rPr>
                <w:color w:val="000000"/>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w:t>
            </w:r>
          </w:p>
          <w:p>
            <w:pPr>
              <w:ind w:firstLine="55"/>
              <w:jc w:val="center"/>
              <w:rPr>
                <w:sz w:val="22"/>
                <w:szCs w:val="22"/>
              </w:rPr>
            </w:pPr>
            <w:r>
              <w:rPr>
                <w:color w:val="000000"/>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w:t>
            </w:r>
          </w:p>
          <w:p>
            <w:pPr>
              <w:ind w:firstLine="55"/>
              <w:jc w:val="center"/>
              <w:rPr>
                <w:sz w:val="22"/>
                <w:szCs w:val="22"/>
              </w:rPr>
            </w:pPr>
            <w:r>
              <w:rPr>
                <w:color w:val="000000"/>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widowControl w:val="0"/>
              <w:suppressAutoHyphens/>
              <w:jc w:val="center"/>
              <w:rPr>
                <w:color w:val="000000"/>
                <w:sz w:val="22"/>
                <w:szCs w:val="22"/>
              </w:rPr>
            </w:pPr>
            <w:r>
              <w:rPr>
                <w:color w:val="000000"/>
                <w:sz w:val="22"/>
                <w:szCs w:val="22"/>
              </w:rPr>
              <w:t>-</w:t>
            </w:r>
          </w:p>
          <w:p>
            <w:pPr>
              <w:ind w:firstLine="55"/>
              <w:jc w:val="center"/>
              <w:rPr>
                <w:sz w:val="22"/>
                <w:szCs w:val="22"/>
              </w:rPr>
            </w:pPr>
            <w:r>
              <w:rPr>
                <w:color w:val="000000"/>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Mangano ciklopentadieniltrikarbonilas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12079-65-1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Medvilnės žaliava (dulkės, medvilnės)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9003-08-1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Melamino cianuratas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37640-57-6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Metafosas (metacidas)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298-00-0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Metakrilamidas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79-39-0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Metakrilo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760-93-0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Metakrilo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Metaldehidas (metacetalaldehidas, acetaldehido tetrameras)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Metalilchloridas (1-chlor-2-metil-propenas-2)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563-47-3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Metanolis (metilo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67-56-1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2-metil-5-etilpiridinas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104-90-5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79-20-9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96-33-3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4-metil-2-pentanolis (metilizobutilkarbinolis, izoheksilo alkoholis, metilamino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108-11-2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74-89-5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o-metilanizolas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578-58-5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5-metilbenzotriazolas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136-85-6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1-metilbutilacetatas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626-38-0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Metilchloracetatas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96-34-4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Metilchlorformiatas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79-22-1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Metilcianakrilatas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137-05-3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499.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108-87-2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Metilciklopropilketonas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765-43-5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Metildihidropiranas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2270-61-3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Metileno bisfenilizocianatas (MDI)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101-68-8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Metileno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74-95-3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Metileno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75-09-2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Ozono sluoksnį ardanti medžiaga. Naudojimas ribojamas.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i/>
                <w:sz w:val="20"/>
              </w:rPr>
            </w:pPr>
            <w:r>
              <w:rPr>
                <w:i/>
                <w:sz w:val="20"/>
              </w:rPr>
              <w:t>Neteko galios nuo 2018-08-21</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Metiletilketono 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1338-23-4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Metilheksilketonas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111-13-7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5-metilheptanonas-3 (etilamilketonas)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541-85-5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107</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Metilizoamilketonas </w:t>
              <w:br/>
              <w:t>(5-metilheksanonas-2)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110-12-3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Metilizobutilketonas (MIBK) </w:t>
              <w:br/>
              <w:t>(4-metilpentanonas-2)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108-10-1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624-83-9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JŪ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Metilizotiocianatas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556-61-6</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74-93-1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IPRD, lygus 1 ppm, taikomas dimetildisulfido, dimetilsulfido ir metilmerkaptano koncentracijų sumai.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Metilmetakrilatas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80-62-6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416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N-metilmorfolinas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109-02-4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1-metilnaftalinas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90-12-0 </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2-metilnaftalinas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91-57-6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Metilformiatas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107-31-3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Metilo jodidas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2-metiltiofenas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554-14-3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3-metiltiofenas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616-44-4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Metilvinilketonas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78-94-4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2-metoksietanolis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109-86-4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color w:val="000000"/>
                <w:sz w:val="22"/>
                <w:szCs w:val="22"/>
              </w:rPr>
            </w:pPr>
            <w:r>
              <w:rPr>
                <w:color w:val="000000"/>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Atsižvelgiant į reprodukcijos sutrikimo ir prasiskverbimo per odą tiek skysčio, tiek garų pavidalu riziką, svarbu vengti sąlyčio su oda. Kelių tirpiklių poveikio atveju etilenglikolio esterių ir kitų tirpiklių higieninis efektas reprodukcijai skaičiuojamas pagal 1 priede pateiktą pavyzdį. Galima nepaisyti etilenglikolio esterių įtakos kitiems, ne reprodukcijos, sutrikimams.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2-metoksietilacetatas (metilglikolio acetatas, etilenglikolio monometileterio acetatas, metilcelozolvacetatas)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110-49-6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r>
              <w:rPr>
                <w:color w:val="000000"/>
                <w:sz w:val="22"/>
                <w:szCs w:val="22"/>
              </w:rPr>
              <w:t>Atsižvelgiant į reprodukcijos sutrikimo ir prasiskverbimo per odą tiek skysčio, tiek garų pavidalu riziką, svarbu vengti sąlyčio su oda. Veikiant keliems tirpikliams, etilenglikolio esterių ir kitų tirpiklių higieninis efektas reprodukcijai skaičiuojamas pagal 1 priede pateiktą pavyzdį. Galima nepaisyti etilenglikolio esterių įtakos kitiems, ne reprodukcijos, sutrikimams.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1-metoksi-2-propilacetatas (propilenglikolio monometilo eterio acetatas, PGMEA)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108-65-6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color w:val="000000"/>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1-metoksipropanolis-2 (propilenglikolio monometileteris, PGME)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107-98-2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190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Mezitilenas (trimetilbenzenas)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108-67-8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Molibdenas ir labai tirpūs jo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531. </w:t>
            </w:r>
          </w:p>
        </w:tc>
        <w:tc>
          <w:tcPr>
            <w:tcW w:w="2800" w:type="dxa"/>
            <w:tcBorders>
              <w:top w:val="nil"/>
              <w:left w:val="nil"/>
              <w:right w:val="single" w:sz="4" w:space="0" w:color="auto"/>
            </w:tcBorders>
            <w:shd w:val="clear" w:color="auto" w:fill="auto"/>
            <w:tcMar>
              <w:left w:w="28" w:type="dxa"/>
              <w:right w:w="28" w:type="dxa"/>
            </w:tcMar>
          </w:tcPr>
          <w:p>
            <w:pPr>
              <w:rPr>
                <w:sz w:val="22"/>
                <w:szCs w:val="22"/>
              </w:rPr>
            </w:pPr>
            <w:r>
              <w:rPr>
                <w:sz w:val="22"/>
                <w:szCs w:val="22"/>
              </w:rPr>
              <w:t xml:space="preserve">Molibdenas ir vidutiniškai tirpūs junginiai: </w:t>
            </w:r>
          </w:p>
        </w:tc>
        <w:tc>
          <w:tcPr>
            <w:tcW w:w="12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right w:val="single" w:sz="4" w:space="0" w:color="auto"/>
            </w:tcBorders>
            <w:shd w:val="clear" w:color="auto" w:fill="auto"/>
            <w:tcMar>
              <w:left w:w="28" w:type="dxa"/>
              <w:right w:w="28" w:type="dxa"/>
            </w:tcMar>
          </w:tcPr>
          <w:p>
            <w:pPr>
              <w:rPr>
                <w:sz w:val="22"/>
                <w:szCs w:val="22"/>
              </w:rPr>
            </w:pPr>
            <w:r>
              <w:rPr>
                <w:sz w:val="22"/>
                <w:szCs w:val="22"/>
              </w:rPr>
              <w:t xml:space="preserve">- įkvepiamoji frakcija </w:t>
            </w:r>
          </w:p>
        </w:tc>
        <w:tc>
          <w:tcPr>
            <w:tcW w:w="1200"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c>
          <w:tcPr>
            <w:tcW w:w="808"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 alveolinė frakcija </w:t>
            </w:r>
          </w:p>
        </w:tc>
        <w:tc>
          <w:tcPr>
            <w:tcW w:w="1200"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Monobenziltoluenas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713-36-0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Monochloracto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79-11-8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Mononitronaftalenas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27254-36-0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110-91-8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Naftalenas (naftalinas)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91-20-3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2,6-naftalendikarboninė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1141-38-4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1,4,5,8-naftalendikarboninės rūgšties dianhidridas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81-30-1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2,6-naftalendikarboninės rūgšties dichloranhidridas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2351-36-2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Naftaleno diizocianatas (NDI)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3173-72-6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1,4,5,8-naftalentetrakarboninė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128-97-2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Naftalio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81-84-5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alfa</w:t>
            </w:r>
            <w:r>
              <w:rPr>
                <w:sz w:val="22"/>
                <w:szCs w:val="22"/>
              </w:rPr>
              <w:t>?-naftochinonas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2-naftoinė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93-09-4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alfa</w:t>
            </w:r>
            <w:r>
              <w:rPr>
                <w:sz w:val="22"/>
                <w:szCs w:val="22"/>
              </w:rPr>
              <w:t>?-naftolis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90-15-3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beta</w:t>
            </w:r>
            <w:r>
              <w:rPr>
                <w:sz w:val="22"/>
                <w:szCs w:val="22"/>
              </w:rPr>
              <w:t>?-naftolis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135-19-3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azidas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26628-22-8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chloratas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7775-09-9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7647-14-5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chloritas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7758-19-2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550</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cianidas (kaip cianidas)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143-33-9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hidroksidas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1310-73-2</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7632-00-0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pentachlorfenoliatas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131-52-2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perboratas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1333-73-9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rodanidas (techninis)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540-72-7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silicio fluoridas (natrio heksafluorsilikatas)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16893-85-9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7757-82-6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Natrio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1313-8225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Dinatrio tetraborato dekahidratas (boraksas)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1303-96-4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Neopentanas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463-82-1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Nikelio junginiai: oksidas, karbonatas ir tirpūs junginiai (kaip Ni)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J</w:t>
            </w:r>
          </w:p>
          <w:p>
            <w:pPr>
              <w:jc w:val="center"/>
              <w:rPr>
                <w:sz w:val="22"/>
                <w:szCs w:val="22"/>
              </w:rPr>
            </w:pPr>
            <w:r>
              <w:rPr>
                <w:sz w:val="22"/>
                <w:szCs w:val="22"/>
              </w:rPr>
              <w:t>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Nikelio karbonilas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13463-39-3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Nikelis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7440-02-0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Nikotinamidas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98-92-0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Nikotinas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54-11-5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Nikotino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59-67-6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Nikotino sulfatas (1-metil-2/3-piridil/-pirolidinsulfatas)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65-30-5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Nitrafenas (turintis 72,5–67,5 ? alkilfenolių)</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1836-75-5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Nitrato rūgštis (azoto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7697-37-2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Nitroamofoska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53124-23-5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p-nitroanilinas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100-01-6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o-nitroanilinas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88-74-4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p-nitroanizolis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o-nitroanizolis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91-23-6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98-95-3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b/>
                <w:bCs/>
                <w:sz w:val="22"/>
                <w:szCs w:val="22"/>
              </w:rPr>
            </w:pPr>
            <w:r>
              <w:rPr>
                <w:b/>
                <w:bCs/>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b/>
                <w:bCs/>
                <w:sz w:val="22"/>
                <w:szCs w:val="22"/>
              </w:rPr>
            </w:pPr>
            <w:r>
              <w:rPr>
                <w:b/>
                <w:bCs/>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p-nitrobenzoinė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62-23-7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1-nitrobutanas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627-05-4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1122-60-7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79-24-3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62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Nitroformas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517-25-9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25168-04-1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75-52-5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1-nitropropanas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108-03-2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2-nitropropanas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79-46-9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Nitrotoluenas,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1321-12-6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1-nitrozoanabazinas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1133-64-8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4-nitrozodifenilaminas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55-18-5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Nonanai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Nonilakrilatas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2664-55-3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n-nonilo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143-08-8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Oksalo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144-62-7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2-(2-butoksietoksi) etilacetatas (2-oksidietanolio monobutileterio acetatas, dietilenglikolio monobutileterio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2,2-oksidietanolis (dietilenglikolis, diglikolis)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111-46-6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Oksiranas (etilenoksidas)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75-21-8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 Ū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Oktanai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n-oktilo alkoholis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111-87-5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Ozonas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10028-15-6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0,6</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Papaverino hidrochloridas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61-25-6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599.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Paraldehidas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1768-31-6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Pentachlornitrobenzenas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82-68-8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Pentachlorfenolis ir jo druskos (kaip pentachlorfenolis)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87-86-5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Pentachlorfenolio druskų RD taikomas perskaičiavus šias druskas į gryną pentachlorfenolį.</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Pentaeritrolis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115-77-5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Pentafluoranilinas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771-60-8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Pentafluorbenzenas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363-72-4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Pentafluorfenolis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771-61-9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Pentafluorpropiono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422-64-0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109-66-0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3-pentilacetatas (izopentilacetatas)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620-11-1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628-63-7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Perchlormetilmerkaptanas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594-42-3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Perchlor-4-metilciklopentanas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3424-05-3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Perfluordietilmetilaminas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758-48-5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Perfluorizobutilenas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382-21-8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Perfluorpentanas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678-26-2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616.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Petrolio eteris (industrinis)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r>
              <w:rPr>
                <w:sz w:val="22"/>
                <w:szCs w:val="22"/>
              </w:rPr>
              <w:t>Šis RD taikomas petrolio eteriui, kuriame mažiau kaip 0,2 ? benzeno.</w:t>
            </w:r>
          </w:p>
          <w:p>
            <w:pPr>
              <w:rPr>
                <w:sz w:val="22"/>
                <w:szCs w:val="22"/>
              </w:rPr>
            </w:pPr>
            <w:r>
              <w:rPr>
                <w:sz w:val="22"/>
                <w:szCs w:val="22"/>
              </w:rPr>
              <w:t>Petrolio eteriui (tam tikrai naftos frakcijai) paprastai nurodomas virimo temperatūros intervalas. Atskirų rūšių petrolio eteryje daugiausia būna arba heksanų (apie 25–50 ? n-heksano, virimo temperatūra apie 60–80 °C), arba heptanų (virimo temperatūra apie 80–110 °C), arba oktanų (virimo temperatūra apie 100–140 °C).</w:t>
            </w: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heksanų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180</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heptanų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800</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1200</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r>
              <w:rPr>
                <w:sz w:val="22"/>
                <w:szCs w:val="22"/>
              </w:rPr>
              <w:t>RD taikomas petrolio eteriui, kuriame yra mažiau kaip 5? n-heksano</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oktanų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Pikolinai (izomerų mišinys)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1333-41-1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Pikrino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88-89-1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alfa</w:t>
            </w:r>
            <w:r>
              <w:rPr>
                <w:sz w:val="22"/>
                <w:szCs w:val="22"/>
              </w:rPr>
              <w:t>?-pinenas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80-56-8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Spygliuočių sakai jautrina odą. Atskirų terpenų, išskyrus 3-kareną, jautrinantis poveikis nėra ištirtas.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vanish/>
                <w:sz w:val="22"/>
                <w:szCs w:val="22"/>
              </w:rPr>
              <w:t>beta</w:t>
            </w:r>
            <w:r>
              <w:rPr>
                <w:sz w:val="22"/>
                <w:szCs w:val="22"/>
              </w:rPr>
              <w:t>?-pinenas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127-91-3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Spygliuočių sakai jautrina odą. Atskirų terpenų, išskyrus 3-kareną, jautrinantis poveikis nėra ištirtas.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Piperazinas (heksahidropirazinas)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trike/>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Šie dydžiai taip pat taikomi piperazino druskoms, perskaičiavus į grynąjį piperaziną.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Piperidinas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129-00-0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Piretrumas (grynintas iš jautrinančių laktonų)</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8003-34-7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110-86-1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Piromelito rūgšties dianhidridas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89-32-7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n-metil-2-pirolidonas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872-50-4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Platina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7440-06-4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Natūralūs kristaliniai plaušeliai, išskyrus asbestą ir erionitą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 xml:space="preserve">m. Ore esančių plaušelių koncentracija nustatoma faziniu kontrastiniu optiniu mikroskopu  membraninio filtro metodu (6.6).</w:t>
            </w:r>
          </w:p>
          <w:p>
            <w:pPr>
              <w:rPr>
                <w:sz w:val="22"/>
                <w:szCs w:val="22"/>
              </w:rPr>
            </w:pPr>
            <w:r>
              <w:rPr>
                <w:sz w:val="22"/>
                <w:szCs w:val="22"/>
              </w:rPr>
              <w:t>Mineralams, kuriuose yra kristalinių plaušelių, priskiriami atapulgitas, haloizitas, sepiolitas ir volastonitas.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Sintetiniai neorganiniai kristaliniai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 xml:space="preserve">m. Ore esančių plaušelių koncentracija nustatoma faziniu kontrastiniu optiniu mikroskopu  membraninio filtro metodu (6.6).</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Sintetiniai neorganiniai amorfiniai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 xml:space="preserve">m. Ore esančių plaušelių koncentracija nustatoma faziniu kontrastiniu optiniu mikroskopu  membraninio filtro metodu (6.6).</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Polichlorpinenas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25267-15-6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Polichlorinti bifenilai (PCB)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Polietilenas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9002-88-4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Polipropilenas (nestabilizuotas)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9003-07-0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2-(2-metoksipropoksi)-propanolis, (2-etoksimetiletoksi)-propanolis, dipropilenglikolio monometileteris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34590-94-8</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308</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Propargilo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107-19-7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Propenas (propilenas)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115-07-1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109-60-4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107-10-8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Propanolis, visi izomerai (propilo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Propilenchlorhidrinas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78-89-7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Propilenglikolio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108-32-7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2-hidroksipropilakrilatas (propilenglikolio monoakrilatas)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999-61-1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Propilenglikolis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57-55-6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Propilenglikolio dinitratas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6423-43-4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Propileno oksidas (1, 2-epoksipropanas)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75-56-9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widowControl w:val="0"/>
              <w:suppressAutoHyphens/>
              <w:jc w:val="center"/>
              <w:rPr>
                <w:sz w:val="22"/>
                <w:szCs w:val="22"/>
              </w:rPr>
            </w:pPr>
            <w:r>
              <w:rPr>
                <w:color w:val="000000"/>
                <w:sz w:val="22"/>
                <w:szCs w:val="22"/>
              </w:rPr>
              <w:t>2,4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widowControl w:val="0"/>
              <w:suppressAutoHyphens/>
              <w:jc w:val="center"/>
              <w:rPr>
                <w:sz w:val="22"/>
                <w:szCs w:val="22"/>
              </w:rPr>
            </w:pPr>
            <w:r>
              <w:rPr>
                <w:color w:val="000000"/>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Propilpropionatas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106-36-5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123-38-6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651.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Radonas, atliekant požeminius darbus;</w:t>
            </w:r>
          </w:p>
        </w:tc>
        <w:tc>
          <w:tcPr>
            <w:tcW w:w="12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10043-92-2</w:t>
            </w:r>
          </w:p>
        </w:tc>
        <w:tc>
          <w:tcPr>
            <w:tcW w:w="8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400 Bq/m</w:t>
            </w:r>
            <w:r>
              <w:rPr>
                <w:sz w:val="22"/>
                <w:szCs w:val="22"/>
                <w:vertAlign w:val="superscript"/>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r>
              <w:rPr>
                <w:sz w:val="22"/>
                <w:szCs w:val="22"/>
              </w:rPr>
              <w:t xml:space="preserve">K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Požeminiams darbams RD taikomas kaip metinė dozė.</w:t>
            </w:r>
          </w:p>
          <w:p>
            <w:pPr>
              <w:rPr>
                <w:sz w:val="22"/>
                <w:szCs w:val="22"/>
              </w:rPr>
            </w:pPr>
            <w:r>
              <w:rPr>
                <w:sz w:val="22"/>
                <w:szCs w:val="22"/>
              </w:rPr>
              <w:t>Radono dariniai, kaip ir radonas, yra kancerogeniški.</w:t>
            </w:r>
          </w:p>
        </w:tc>
      </w:tr>
      <w:tr>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kitus darbus</w:t>
            </w:r>
          </w:p>
        </w:tc>
        <w:tc>
          <w:tcPr>
            <w:tcW w:w="1200" w:type="dxa"/>
            <w:vMerge/>
            <w:tcBorders>
              <w:top w:val="nil"/>
              <w:left w:val="single" w:sz="4" w:space="0" w:color="auto"/>
              <w:bottom w:val="single" w:sz="4" w:space="0" w:color="auto"/>
              <w:right w:val="single" w:sz="4" w:space="0" w:color="auto"/>
            </w:tcBorders>
            <w:tcMar>
              <w:left w:w="28" w:type="dxa"/>
              <w:right w:w="28" w:type="dxa"/>
            </w:tcMar>
          </w:tcPr>
          <w:p>
            <w:pPr>
              <w:rPr>
                <w:sz w:val="22"/>
                <w:szCs w:val="22"/>
              </w:rPr>
            </w:pPr>
          </w:p>
        </w:tc>
        <w:tc>
          <w:tcPr>
            <w:tcW w:w="808" w:type="dxa"/>
            <w:vMerge/>
            <w:tcBorders>
              <w:top w:val="nil"/>
              <w:left w:val="single" w:sz="4" w:space="0" w:color="auto"/>
              <w:bottom w:val="single" w:sz="4" w:space="0" w:color="auto"/>
              <w:right w:val="single" w:sz="4" w:space="0" w:color="auto"/>
            </w:tcBorders>
            <w:tcMar>
              <w:left w:w="28" w:type="dxa"/>
              <w:right w:w="28" w:type="dxa"/>
            </w:tcMar>
          </w:tcPr>
          <w:p>
            <w:pPr>
              <w:jc w:val="center"/>
              <w:rPr>
                <w:sz w:val="22"/>
                <w:szCs w:val="22"/>
              </w:rPr>
            </w:pP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Taikomas radono dujų kiekio RD gali būti ir kaip metinis vidurkinis. Matuojant radoną, galima išmatuoti radono dujas arba jo darinius.</w:t>
            </w:r>
          </w:p>
          <w:p>
            <w:pPr>
              <w:rPr>
                <w:sz w:val="22"/>
                <w:szCs w:val="22"/>
              </w:rPr>
            </w:pPr>
            <w:r>
              <w:rPr>
                <w:sz w:val="22"/>
                <w:szCs w:val="22"/>
              </w:rPr>
              <w:t>Radono dariniai, kaip ir radonas, yra kancerogeniški.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Rezorcino monometileteris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150-19-6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Rezorcinolis (rezorcinas)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108-46-3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Riboflavinas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83-88-5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Rubidžio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1310-82-3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Sacharolis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Sebacino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111-20-6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Selenas ir jo neorganiniai junginiai, išskyrus vandenilio selenidą (kaip Se)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Sidabras ir mažai tirpūs jo junginiai (kaip Ag)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Sidabras, tirpieji junginiai (kaip Ag)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7704-34-9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Sieros dioksidas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7446-09-5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2,7</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ind w:firstLine="55"/>
              <w:jc w:val="center"/>
              <w:rPr>
                <w:sz w:val="22"/>
                <w:szCs w:val="22"/>
              </w:rPr>
            </w:pPr>
            <w:r>
              <w:rPr>
                <w:color w:val="000000"/>
                <w:sz w:val="22"/>
                <w:szCs w:val="22"/>
              </w:rPr>
              <w:t>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Sieros heksafluoridas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2551-62-4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Sieros pentafluoridas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5714-22-7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Sieros rūgštis (rūkas)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7664-93-9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Renkantis tinkamą poveikio stebėsenos modelį turi būti atsižvelgiama į galimus apribojimus ir trukdžius, galinčius kilti, kai esama kitų sieros junginių.</w:t>
            </w:r>
          </w:p>
          <w:p>
            <w:pPr>
              <w:rPr>
                <w:sz w:val="22"/>
                <w:szCs w:val="22"/>
              </w:rPr>
            </w:pPr>
            <w:r>
              <w:rPr>
                <w:sz w:val="22"/>
                <w:szCs w:val="22"/>
              </w:rPr>
              <w:t>Rūkas (migla) apibrėžiamas kaip įkvepiama dalis.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Sieros tetrafluoridas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7783-60-0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0,4</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pPr>
              <w:ind w:firstLine="55"/>
              <w:jc w:val="center"/>
              <w:rPr>
                <w:sz w:val="22"/>
                <w:szCs w:val="22"/>
              </w:rPr>
            </w:pPr>
            <w:r>
              <w:rPr>
                <w:sz w:val="22"/>
                <w:szCs w:val="22"/>
              </w:rPr>
              <w:t xml:space="preserve">Ū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Silicio nitridas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12033-89-5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Silicio tetraboridas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12007-81-7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Sintoks-12, Sintoks-20M</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66106-01-2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Skruzdžių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64-18-6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Stearatai (išskyrus nikelio stearatą)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Čia įtraukti stearatai: aliuminio stearatas [7047-84-9], aliuminio distearatas [300-92-5], aliuminio tristearatas [637-12-7], amonio stearatas [1002-89-7], butilo stearatas [123-95-5], dietilenglikolio monostearatas [106-11-6], etilenglikolio monostearatas [111-60-49], glicerolio monostearatas [31566-31-1], kalcio stearatas [1592-23-0], kalio stearatas [593-29-3], ličio stearatas [4485-12-5], magnio stearatas [557-04-0], natrio stearatas [822-16-2], cinko stearatas [557-05-1]. </w:t>
            </w:r>
          </w:p>
          <w:p>
            <w:pPr>
              <w:rPr>
                <w:sz w:val="22"/>
                <w:szCs w:val="22"/>
              </w:rPr>
            </w:pPr>
            <w:r>
              <w:rPr>
                <w:sz w:val="22"/>
                <w:szCs w:val="22"/>
              </w:rPr>
              <w:t>RD netaikomas tokiems metalų stearatams, kuriuose yra toksiškų metalų, pvz., švino.</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Stibanas (stibio 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7803-52-3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Stibis ir jo oksidai (kaip Sb)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Stiklo pluoštas (sintetiniai neorganiniai, amorfiniai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 xml:space="preserve">m. Ore esančių plaušelių koncentracija nustatoma faziniu kontrastiniu optiniu mikroskopu  membraninio filtro metodu (6.6).</w:t>
            </w: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675.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Stirenas (stirolas)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100-42-5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ind w:firstLine="55"/>
              <w:jc w:val="center"/>
              <w:rPr>
                <w:sz w:val="22"/>
                <w:szCs w:val="22"/>
              </w:rPr>
            </w:pPr>
            <w:r>
              <w:rPr>
                <w:sz w:val="22"/>
                <w:szCs w:val="22"/>
              </w:rPr>
              <w:t xml:space="preserve">O </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Projektuojant naujus objektus ar keičiant senus, reikia stengtis užtikrinti, kad stireno poveikis per darbo dieną būtų priimtinas laikantis IPRD 10 ppm koncentracijos.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(p-aminobenzensulfamidas)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107-71-1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Strofantidino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60-38-8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Stroncio 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7446-28-8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Stroncio karbonatas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1633-05-2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Stroncio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7759-02-6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Stroncio 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10042-76-9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Stroncio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1314-11-0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Stroncio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18480-07-4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Sulfacilas (p-aminobenzensulfacetamidas)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144-80-9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Sulfadimetoksinas (2,6-dimetoksi-4-p-/aminobenzensulfamido/-pirimidinas)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122-11-2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Sulfadimezinas (2-/p-aminobenzensulfamido/-4,6-dimetil-pirimidinas)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57-68-1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Sulfalenas (2-/p- aminobenzensulfamido/-3- metoksipirazinas)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152-47-6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Sulfazinas (metazinas, 4,6-bis-(izopropilamino)-simtriazinas)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68-35-9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Sulfidai (dimetildisulfido, dimetilsulfido ir metilmerkaptano bendra suma)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Sulfolanas (tetrametilsulfonas)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126-33-0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Sulfotepas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3689-24-5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Suvirinimo aerozoliai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Suvirinimo aerozolis – tai kietujų, skystųjų arba kietųjų ir skystųjų dalelių suspensijos dujinėje terpėje visa įkvepiamoji frakcija. Priklausomai nuo suvirinimo lydinio sudėties, naudojamų elektrodų ir suvirinimo proceso į aplinką gali išsiskirti ozonas (pvz., suvirinant aliuminį, titaną bei jų lydinius elektros lanku apsauginėje argono atmosferoje), anglies monoksidas (pvz., elektros lanku suvirinant legiruotą plieną), metalai (geležis, manganas, chromas, nikelis), fluoridai (padengti fliusu ir tuščiaviduriai elektrodai yra paruošiami su fluoridais). Todėl visų pirma reikia nustatyti, ar neviršijami aerozolio sudėtinių dalių atskiri RD. Jei suvirinimo elektrode, suvirinamame metale ar jo dangoje nėra toksiškų medžiagų ir suvirinimo metu nesusidaro toksiškų dujų, užtenka nustatyti bendrą suvirinimo aerozolio koncentraciją.</w:t>
            </w:r>
          </w:p>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Suodžiai (dulkės, anglies)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Sviesto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107-92-6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695.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Švinas ir jo neorganinai junginiai (kaip Pb):</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R</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r>
              <w:rPr>
                <w:sz w:val="22"/>
                <w:szCs w:val="22"/>
              </w:rPr>
              <w:t>Nustatytas švino biologinis RD.</w:t>
            </w:r>
          </w:p>
          <w:p>
            <w:pPr>
              <w:rPr>
                <w:sz w:val="22"/>
                <w:szCs w:val="22"/>
              </w:rPr>
            </w:pPr>
            <w:r>
              <w:rPr>
                <w:sz w:val="22"/>
                <w:szCs w:val="22"/>
              </w:rPr>
              <w:t>Projektuojant naujus objektus ar keičiant senus, reikia stengtis užtikrinti, kad švino ir neorganinių jo junginių poveikis per darbo dieną būtų priimtinas laikantis IPRD 0,05 mg/m</w:t>
            </w:r>
            <w:r>
              <w:rPr>
                <w:sz w:val="22"/>
                <w:szCs w:val="22"/>
                <w:vertAlign w:val="superscript"/>
              </w:rPr>
              <w:t>3</w:t>
            </w:r>
            <w:r>
              <w:rPr>
                <w:sz w:val="22"/>
                <w:szCs w:val="22"/>
              </w:rPr>
              <w:t xml:space="preserve"> koncentracijos, nepaisant dalelių dydžio. Tai netaikoma švino sulfidui.</w:t>
            </w: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0,15</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Švinas, organiniai junginiai (švino tetraetilatas, švino tetrametilatas) (kaip Pb)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Švino hidrochinonatas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57218-73-2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Švino salicilatas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15748-73-9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699.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Talio bromidas (kaip Ta)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7789-40-4 </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Talio jodidas (kaip Ta)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7790-30-9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701.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Talkas: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Taninas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1401-55-4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Tantalas ir jo oksidai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1314-61-0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Telūras ir jo junginiai (kaip Te)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Tepalo rūkas, įskaitant dūmus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8012-95-1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Kaitinant kai kurias alyvas išsiskiria policikliniai aromatiniai angliavandeniliai, kurie gali būti kancerogeniški. Tokių medžiagų gali būti ir pačiose alyvose.</w:t>
            </w:r>
          </w:p>
          <w:p>
            <w:pPr>
              <w:rPr>
                <w:sz w:val="22"/>
                <w:szCs w:val="22"/>
              </w:rPr>
            </w:pPr>
            <w:r>
              <w:rPr>
                <w:sz w:val="22"/>
                <w:szCs w:val="22"/>
              </w:rPr>
              <w:t>Metalo pjovimo aušinamųjų skysčių ir panašių vandens pagrindu paruoštų skysčių aerozoliuose, kuriuose, be alyvos, gali būti ir kitų medžiagų, RD taikomas bendrai, atsižvelgiant į visą nevandeninę dalį. Jei atskirų medžiagų RD yra nustatyti mažesni, tai jie ir turi būti taikomi.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705</w:t>
            </w:r>
            <w:r>
              <w:rPr>
                <w:sz w:val="22"/>
                <w:szCs w:val="22"/>
                <w:vertAlign w:val="superscript"/>
              </w:rPr>
              <w:t>1</w:t>
            </w:r>
            <w:r>
              <w:rPr>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Terfenilas, hidrintas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61788-32-7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Terpenai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68956-56-9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Spygliuočių sakai jautrina odą. Atskirų terpenų, išskyrus 3-kareną, jautrinantis poveikis nėra ištirtas.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Terpentinas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8006-64-2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J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Spygliuočių sakai jautrina odą. Atskirų terpenų, išskyrus 3-kareną, jautrinantis poveikis nėra ištirtas.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Tetrabrometanas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79-27-6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Tetrabrommetanas (anglies tetrabromidas)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558-13-4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Tetrachlorbutadienas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58334-79-5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1,2,3,4-tetrachlorbutanas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3405-32-1</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25322-20-7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Tetrachloretilenas (1,1,2,2-tetrachloretenas, perchloretilenas)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127-18-4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Tetrachlorfenolis ir jo druskos (perskaičiavus į tetrachlorefenolį)</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25167-83-3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714</w:t>
            </w:r>
            <w:r>
              <w:rPr>
                <w:sz w:val="22"/>
                <w:szCs w:val="22"/>
                <w:vertAlign w:val="superscript"/>
              </w:rPr>
              <w:t>1</w:t>
            </w:r>
            <w:r>
              <w:rPr>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Tetraetilortosilikatas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78-10-4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Tetraetilšvinas (kaip Pb) (švino tetraetilatas)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78-00-2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1,1,1,2-tetrafluoretanas (HFC-134a, norfluranas)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811-97-2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Tetrahidrofuranas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109-99-9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Tetrametilšvinas (kaip Pb) (švino tetrametilatas)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Tetranitrometanas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509-14-8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Kol kas trūksta įrodymų dėl tetranitrometano kancerogeniškumo žmogui, bet jų užtenka dėl kancerogeniškumo eksperimentiniams gyvūnams. Tarptautinio vėžio tyrinėjimo centro duomenimis, tetranitrometanas yra priskiriamas B2 grupei, t. y. gali būti  kancerogeniškas žmogui.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Tiofosas (parationas)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56-38-2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Tioglikolio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68-11-1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Tiramas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137-26-8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Titano dioksidas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13463-67-7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108-88-3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192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384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Tolueno diizocianatas (TDI)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584-84-9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0,07</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J K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725</w:t>
            </w:r>
            <w:r>
              <w:rPr>
                <w:sz w:val="22"/>
                <w:szCs w:val="22"/>
                <w:vertAlign w:val="superscript"/>
              </w:rPr>
              <w:t>1</w:t>
            </w:r>
            <w:r>
              <w:rPr>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o-toluidinas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95-53-4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Tret-butil-metil-eteris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1634-04-4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367</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1,2,4-trichlorbenzenas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37,8</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1,1,1-trichloretanas (metilchloroformas)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71-55-6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90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79-01-6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M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Trichloretilene gali būti specialių stabilizuojančių agentų, kurių koncentracija nedidelė, pvz., epichlorhidrino.</w:t>
            </w:r>
          </w:p>
          <w:p>
            <w:pPr>
              <w:rPr>
                <w:sz w:val="22"/>
                <w:szCs w:val="22"/>
              </w:rPr>
            </w:pPr>
            <w:r>
              <w:rPr>
                <w:sz w:val="22"/>
                <w:szCs w:val="22"/>
              </w:rPr>
              <w:t>Kai kuriose šalyse šios cheminės medžiagos naudojimas uždraustas.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Trichlorfenolis ir jo druskos (perskaičiavus į trichlorfenolį)</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Chlorfenolio druskoms RD reikšmė taikoma jas perskaičiavus į gryną chlorfenolį.</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Trichlorfluormetanas (CFC 11, freonas 11)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75-69-4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Trichlornaftalenas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1321-65-9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color w:val="000000"/>
                <w:sz w:val="22"/>
                <w:szCs w:val="22"/>
              </w:rPr>
              <w:t>732</w:t>
            </w:r>
            <w:r>
              <w:rPr>
                <w:color w:val="000000"/>
                <w:sz w:val="22"/>
                <w:szCs w:val="22"/>
                <w:vertAlign w:val="superscript"/>
              </w:rPr>
              <w:t>1</w:t>
            </w:r>
            <w:r>
              <w:rPr>
                <w:color w:val="000000"/>
                <w:sz w:val="22"/>
                <w:szCs w:val="22"/>
              </w:rPr>
              <w:t>.</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67-66-3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1,1,2-trichlor-1,2,2-trifluoretanas (CFC 113, freonas 113)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76-13-1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1,2,3-trichlorpropanas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96-18-4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Trichlorsilanas (kaip HCl)</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10025-78-2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2,3,6-trichlortoluenas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2077-46-5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Trichoderminas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4682-50-2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Tridimitas (silicio dioksido atmaina, plg. kristobalitas, kvarcas),  įkvepiamoji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15468-32-3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Chinonas (p-benzchinonas) yra oksiduojanti medžiaga, kuri redukuojasi į hidrochinoną. Hidrochinonas vėl lengvai virsta p-benzchinonu, pvz., veikiamas atmosferos deguonies (žr. hidrochinoną).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Trietanolaminas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102-71-6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121-44-8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12,6</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Trietilentetraminas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112-24-3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2-chlor-2-(difluormetoksi)-1,1,1-trifluoretanas (2,2,2-trifluor-1- chloretilo difluormetilo eteris, izofluranas)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26675-46-7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2-chlor-1-(difluormetoksi)-1,1,2-trifluoretanas (1,1,2-trifluor-2- chloretildifluormetilo eteris, efranas, enfluranas)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13838-16-9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Trifluoracto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76-05-1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Trifluorchloretilenas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79-38-9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Trifluoretilaminas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29010-16-0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747.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Trimelito rūgštis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528-44-9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Trimelito rūgšties anhidridas (TMA)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552-30-7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Trimetilbenzenas ir jo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Tas pats RD, išreikštas mg/m</w:t>
            </w:r>
            <w:r>
              <w:rPr>
                <w:sz w:val="22"/>
                <w:szCs w:val="22"/>
                <w:vertAlign w:val="superscript"/>
              </w:rPr>
              <w:t>3</w:t>
            </w:r>
            <w:r>
              <w:rPr>
                <w:sz w:val="22"/>
                <w:szCs w:val="22"/>
              </w:rPr>
              <w:t>, yra taikomas kitiems polialkilbenzenams.</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75-50-3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Trimetilheksametilendi-izocianatas (TMDI)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28679-16-5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Nustatytas 5 min. poveikio trukmės NRD.</w:t>
            </w:r>
          </w:p>
          <w:p>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Trimetilolpropanas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77-99-6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Trinikelio disulfidas (nikelio subsulfidas) (kaip Ni)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12035-72-2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ind w:right="-116"/>
              <w:rPr>
                <w:sz w:val="22"/>
                <w:szCs w:val="22"/>
              </w:rPr>
            </w:pPr>
            <w:r>
              <w:rPr>
                <w:color w:val="000000"/>
                <w:sz w:val="22"/>
                <w:szCs w:val="22"/>
              </w:rPr>
              <w:t xml:space="preserve">Trinitroglicerolis </w:t>
            </w:r>
            <w:r>
              <w:rPr>
                <w:sz w:val="22"/>
                <w:szCs w:val="22"/>
              </w:rPr>
              <w:t>(1,2,3-propantriiltrinitratas, nitroglicerolis, nitroglicerinas, glicerolio trinitratas)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lang w:val="en-GB"/>
              </w:rPr>
              <w:t>55-63-0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0,095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0,19</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0,02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Trinitrotoluenas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118-96-7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jc w:val="center"/>
              <w:rPr>
                <w:sz w:val="22"/>
                <w:szCs w:val="22"/>
              </w:rPr>
            </w:pPr>
            <w:r>
              <w:rPr>
                <w:color w:val="000000"/>
                <w:sz w:val="22"/>
                <w:szCs w:val="22"/>
              </w:rPr>
              <w:t>755</w:t>
            </w:r>
            <w:r>
              <w:rPr>
                <w:sz w:val="22"/>
                <w:szCs w:val="22"/>
                <w:vertAlign w:val="superscript"/>
              </w:rPr>
              <w:t>1</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Ugniai atsparūs keraminiai pluoštai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p>
        </w:tc>
        <w:tc>
          <w:tcPr>
            <w:tcW w:w="1700" w:type="dxa"/>
            <w:gridSpan w:val="2"/>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lang w:val="en-GB"/>
              </w:rPr>
              <w:t>0,3 pl/cm</w:t>
            </w:r>
            <w:r>
              <w:rPr>
                <w:sz w:val="22"/>
                <w:szCs w:val="22"/>
                <w:vertAlign w:val="superscript"/>
                <w:lang w:val="en-GB"/>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Urano netirpūs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0,075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Urano tirpūs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Urea (karbamidas, 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57-13-6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Vaitspiritas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apie 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apie 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xml:space="preserve">Taikoma vaitspiritui, naudojamam kaip dažų tirpiklis ir skiediklis, t. y. ligroinui, kuriame yra 17–22 ? aromatinių junginių (apie 15–20 ? pagal tūrį), o virimo temperatūros intervalas yra maždaug 150–200°C. Apytikris dydis, pateikiamas ppm,  apskaičiuotas vaitspirito, kuriame yra 22 ? aromatinių medžiagų.</w:t>
            </w:r>
          </w:p>
        </w:tc>
      </w:tr>
      <w:tr>
        <w:trPr>
          <w:trHeight w:val="20"/>
        </w:trPr>
        <w:tc>
          <w:tcPr>
            <w:tcW w:w="600" w:type="dxa"/>
            <w:tcBorders>
              <w:top w:val="single" w:sz="4" w:space="0" w:color="auto"/>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r>
              <w:rPr>
                <w:sz w:val="22"/>
                <w:szCs w:val="22"/>
              </w:rPr>
              <w:t xml:space="preserve">760.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Valerijono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109-52-4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761.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Vanadžio pentoksidas (kaip V):</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rPr>
                <w:sz w:val="22"/>
                <w:szCs w:val="22"/>
              </w:rPr>
            </w:pPr>
            <w:r>
              <w:rPr>
                <w:sz w:val="22"/>
                <w:szCs w:val="22"/>
              </w:rPr>
              <w:t>1314-62-1</w:t>
            </w: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M R </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10035-10-6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6,7</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7647-01-0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7664-39-3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1,8</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7722-84-1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selenidas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7783-07-5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0,17</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0,05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Vandenilio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7783-06-4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14</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20</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Vario ftalocianinas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147-14-8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Vario hidrochinonatas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64887-62-3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Vario salicilatas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20936-31-6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Vario trichlorfenoliatas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25267-55-4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val="restart"/>
            <w:tcBorders>
              <w:top w:val="nil"/>
              <w:left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772. </w:t>
            </w: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Varis ir neorganiniai jo junginiai (kaip Cu)</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pPr>
              <w:ind w:firstLine="55"/>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pPr>
              <w:rPr>
                <w:sz w:val="22"/>
                <w:szCs w:val="22"/>
              </w:rPr>
            </w:pPr>
          </w:p>
        </w:tc>
      </w:tr>
      <w:tr>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shd w:val="clear" w:color="auto" w:fill="auto"/>
            <w:tcMar>
              <w:left w:w="28" w:type="dxa"/>
              <w:right w:w="28" w:type="dxa"/>
            </w:tcMar>
          </w:tcPr>
          <w:p>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Žiūrėti 1 priedo 3 punktą.</w:t>
            </w: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Vinilacetatas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108-05-4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17,6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35,2</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Vinilidenchloridas, 1,1-dichloretilenas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color w:val="000000"/>
                <w:sz w:val="22"/>
                <w:szCs w:val="22"/>
              </w:rPr>
              <w:t>75-35-4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Vinilchlorido monomeras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75-01-4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2,6</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color w:val="000000"/>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color w:val="000000"/>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2-Vinilpiridinas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100-69-6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Viniltoluenas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25013-15-4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Vitavaksas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5234-8-4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Volframas, labai tirpūs junginiai (kaip W)</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r>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pPr>
              <w:tabs>
                <w:tab w:val="left" w:pos="57"/>
              </w:tabs>
              <w:rPr>
                <w:sz w:val="22"/>
                <w:szCs w:val="22"/>
              </w:rPr>
            </w:pPr>
            <w:r>
              <w:rPr>
                <w:sz w:val="22"/>
                <w:szCs w:val="22"/>
              </w:rPr>
              <w:t xml:space="preserve">780.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pPr>
              <w:rPr>
                <w:sz w:val="22"/>
                <w:szCs w:val="22"/>
              </w:rPr>
            </w:pPr>
            <w:r>
              <w:rPr>
                <w:sz w:val="22"/>
                <w:szCs w:val="22"/>
              </w:rPr>
              <w:t>Volframas ir mažai tirpūs junginiai (kaip W)</w:t>
            </w:r>
          </w:p>
        </w:tc>
        <w:tc>
          <w:tcPr>
            <w:tcW w:w="1200" w:type="dxa"/>
            <w:tcBorders>
              <w:top w:val="nil"/>
              <w:left w:val="nil"/>
              <w:bottom w:val="single" w:sz="4" w:space="0" w:color="auto"/>
              <w:right w:val="single" w:sz="4" w:space="0" w:color="auto"/>
            </w:tcBorders>
            <w:shd w:val="clear" w:color="auto" w:fill="auto"/>
            <w:tcMar>
              <w:left w:w="28" w:type="dxa"/>
              <w:right w:w="28" w:type="dxa"/>
            </w:tcMar>
          </w:tcPr>
          <w:p>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pPr>
              <w:rPr>
                <w:sz w:val="22"/>
                <w:szCs w:val="22"/>
              </w:rPr>
            </w:pPr>
          </w:p>
        </w:tc>
      </w:tr>
    </w:tbl>
    <w:p>
      <w:pPr/>
    </w:p>
    <w:p>
      <w:pPr>
        <w:ind w:firstLine="720"/>
        <w:jc w:val="both"/>
      </w:pPr>
      <w:r>
        <w:rPr>
          <w:color w:val="000000"/>
        </w:rPr>
        <w:t>2</w:t>
      </w:r>
      <w:r>
        <w:rPr>
          <w:color w:val="000000"/>
        </w:rPr>
        <w:t xml:space="preserve">. Aviacinio, automobilių benzino, dyzelinio bei reaktyvinio kuro ir žibalo atskiri RD nenustatyti, nes šios kuro rūšys yra cheminių medžiagų mišiniai, o tikslios tų cheminių medžiagų koncentracijos dažniausiai būna nežinomos, be to, skirtingų kuro partijų jos gali būti nevienodos. 1 priede pateikti apytikriai </w:t>
      </w:r>
      <w:r>
        <w:t>RD,</w:t>
      </w:r>
      <w:r>
        <w:rPr>
          <w:color w:val="000000"/>
        </w:rPr>
        <w:t xml:space="preserve"> kuriuos galima naudoti profilaktiniame saugos darbe bei vertinant profesinę riziką. Šie </w:t>
      </w:r>
      <w:r>
        <w:t xml:space="preserve">RD atspindi bendrą didžiausią leistiną angliavandenilių koncentraciją ore ir jais galima vadovautis, kaip ir šiame  higienos normos priede normoje pateiktoje Cheminių medžiagų ribinių dydžių lentelėje nurodytais RD.</w:t>
      </w:r>
    </w:p>
    <w:p>
      <w:pPr>
        <w:jc w:val="both"/>
        <w:rPr>
          <w:color w:val="000000"/>
        </w:rPr>
      </w:pPr>
    </w:p>
    <w:p>
      <w:pPr>
        <w:ind w:firstLine="720"/>
        <w:jc w:val="both"/>
        <w:rPr>
          <w:color w:val="000000"/>
        </w:rPr>
      </w:pPr>
      <w:r>
        <w:rPr>
          <w:color w:val="000000"/>
        </w:rPr>
        <w:t xml:space="preserve">2 lentelė. Apytikriai angliavandenilių ribiniai </w:t>
      </w:r>
      <w:r>
        <w:t>dydžiai,</w:t>
      </w:r>
      <w:r>
        <w:rPr>
          <w:color w:val="000000"/>
        </w:rPr>
        <w:t xml:space="preserve"> mg/m</w:t>
      </w:r>
      <w:r>
        <w:rPr>
          <w:color w:val="000000"/>
          <w:vertAlign w:val="superscript"/>
        </w:rPr>
        <w:t>3</w:t>
      </w:r>
    </w:p>
    <w:p>
      <w:pPr>
        <w:rPr>
          <w:color w:val="000000"/>
        </w:rPr>
      </w:pPr>
    </w:p>
    <w:tbl>
      <w:tblPr>
        <w:tblW w:w="0" w:type="auto"/>
        <w:tblInd w:w="108" w:type="dxa"/>
        <w:tblLayout w:type="fixed"/>
        <w:tblLook w:val="0000" w:firstRow="0" w:lastRow="0" w:firstColumn="0" w:lastColumn="0" w:noHBand="0" w:noVBand="0"/>
      </w:tblPr>
      <w:tblGrid>
        <w:gridCol w:w="4800"/>
        <w:gridCol w:w="2923"/>
        <w:gridCol w:w="2200"/>
        <w:gridCol w:w="1559"/>
        <w:gridCol w:w="1134"/>
      </w:tblGrid>
      <w:tr>
        <w:trPr>
          <w:cantSplit/>
        </w:trPr>
        <w:tc>
          <w:tcPr>
            <w:tcW w:w="4800" w:type="dxa"/>
            <w:vMerge w:val="restart"/>
            <w:tcBorders>
              <w:top w:val="single" w:sz="4" w:space="0" w:color="auto"/>
              <w:left w:val="single" w:sz="4" w:space="0" w:color="auto"/>
              <w:right w:val="single" w:sz="4" w:space="0" w:color="auto"/>
            </w:tcBorders>
            <w:vAlign w:val="center"/>
          </w:tcPr>
          <w:p>
            <w:pPr>
              <w:keepNext/>
              <w:jc w:val="center"/>
              <w:outlineLvl w:val="2"/>
              <w:rPr>
                <w:color w:val="000000"/>
                <w:sz w:val="22"/>
              </w:rPr>
            </w:pPr>
            <w:r>
              <w:rPr>
                <w:color w:val="000000"/>
                <w:sz w:val="22"/>
              </w:rPr>
              <w:t>Produktas</w:t>
            </w:r>
          </w:p>
        </w:tc>
        <w:tc>
          <w:tcPr>
            <w:tcW w:w="5123" w:type="dxa"/>
            <w:gridSpan w:val="2"/>
            <w:tcBorders>
              <w:top w:val="single" w:sz="4" w:space="0" w:color="auto"/>
              <w:left w:val="nil"/>
              <w:bottom w:val="single" w:sz="4" w:space="0" w:color="auto"/>
              <w:right w:val="single" w:sz="4" w:space="0" w:color="auto"/>
            </w:tcBorders>
          </w:tcPr>
          <w:p>
            <w:pPr>
              <w:jc w:val="center"/>
              <w:rPr>
                <w:sz w:val="22"/>
              </w:rPr>
            </w:pPr>
            <w:r>
              <w:rPr>
                <w:sz w:val="22"/>
              </w:rPr>
              <w:t>Pagrindinė skaičiuotina sudedamoji dalis, tūrio procentai produkte</w:t>
            </w:r>
          </w:p>
        </w:tc>
        <w:tc>
          <w:tcPr>
            <w:tcW w:w="2693" w:type="dxa"/>
            <w:gridSpan w:val="2"/>
            <w:tcBorders>
              <w:top w:val="single" w:sz="4" w:space="0" w:color="auto"/>
              <w:left w:val="nil"/>
              <w:bottom w:val="single" w:sz="4" w:space="0" w:color="auto"/>
              <w:right w:val="single" w:sz="4" w:space="0" w:color="auto"/>
            </w:tcBorders>
          </w:tcPr>
          <w:p>
            <w:pPr>
              <w:jc w:val="center"/>
              <w:rPr>
                <w:sz w:val="22"/>
              </w:rPr>
            </w:pPr>
            <w:r>
              <w:rPr>
                <w:sz w:val="22"/>
              </w:rPr>
              <w:t>Suminis angliavandenilių RD ore, mg/m</w:t>
            </w:r>
            <w:r>
              <w:rPr>
                <w:sz w:val="22"/>
                <w:vertAlign w:val="superscript"/>
              </w:rPr>
              <w:t>3</w:t>
            </w:r>
          </w:p>
        </w:tc>
      </w:tr>
      <w:tr>
        <w:trPr>
          <w:cantSplit/>
        </w:trPr>
        <w:tc>
          <w:tcPr>
            <w:tcW w:w="4800" w:type="dxa"/>
            <w:vMerge/>
            <w:tcBorders>
              <w:left w:val="single" w:sz="4" w:space="0" w:color="auto"/>
              <w:right w:val="single" w:sz="4" w:space="0" w:color="auto"/>
            </w:tcBorders>
          </w:tcPr>
          <w:p>
            <w:pPr>
              <w:rPr>
                <w:color w:val="000000"/>
                <w:sz w:val="22"/>
              </w:rPr>
            </w:pPr>
          </w:p>
        </w:tc>
        <w:tc>
          <w:tcPr>
            <w:tcW w:w="2923" w:type="dxa"/>
            <w:tcBorders>
              <w:left w:val="nil"/>
              <w:bottom w:val="single" w:sz="4" w:space="0" w:color="auto"/>
              <w:right w:val="single" w:sz="4" w:space="0" w:color="auto"/>
            </w:tcBorders>
          </w:tcPr>
          <w:p>
            <w:pPr>
              <w:jc w:val="center"/>
              <w:rPr>
                <w:color w:val="000000"/>
                <w:sz w:val="22"/>
              </w:rPr>
            </w:pPr>
            <w:r>
              <w:rPr>
                <w:color w:val="000000"/>
                <w:sz w:val="22"/>
              </w:rPr>
              <w:t>Aromatiniai junginiai, skaičiuojami kaip trimetilbenzenas</w:t>
            </w:r>
          </w:p>
        </w:tc>
        <w:tc>
          <w:tcPr>
            <w:tcW w:w="2200" w:type="dxa"/>
            <w:tcBorders>
              <w:left w:val="single" w:sz="4" w:space="0" w:color="auto"/>
              <w:bottom w:val="single" w:sz="4" w:space="0" w:color="auto"/>
              <w:right w:val="single" w:sz="4" w:space="0" w:color="auto"/>
            </w:tcBorders>
          </w:tcPr>
          <w:p>
            <w:pPr>
              <w:jc w:val="center"/>
              <w:rPr>
                <w:color w:val="000000"/>
                <w:sz w:val="22"/>
              </w:rPr>
            </w:pPr>
            <w:r>
              <w:rPr>
                <w:color w:val="000000"/>
                <w:sz w:val="22"/>
              </w:rPr>
              <w:t>Likutis, skaičiuojamas kaip oktanas</w:t>
            </w:r>
          </w:p>
        </w:tc>
        <w:tc>
          <w:tcPr>
            <w:tcW w:w="1559" w:type="dxa"/>
            <w:tcBorders>
              <w:left w:val="single" w:sz="4" w:space="0" w:color="auto"/>
              <w:bottom w:val="single" w:sz="4" w:space="0" w:color="auto"/>
              <w:right w:val="single" w:sz="4" w:space="0" w:color="auto"/>
            </w:tcBorders>
            <w:vAlign w:val="center"/>
          </w:tcPr>
          <w:p>
            <w:pPr>
              <w:jc w:val="center"/>
              <w:rPr>
                <w:sz w:val="22"/>
              </w:rPr>
            </w:pPr>
            <w:r>
              <w:rPr>
                <w:sz w:val="22"/>
              </w:rPr>
              <w:t>IPRD</w:t>
            </w:r>
          </w:p>
        </w:tc>
        <w:tc>
          <w:tcPr>
            <w:tcW w:w="1134" w:type="dxa"/>
            <w:tcBorders>
              <w:left w:val="single" w:sz="4" w:space="0" w:color="auto"/>
              <w:bottom w:val="single" w:sz="4" w:space="0" w:color="auto"/>
              <w:right w:val="single" w:sz="4" w:space="0" w:color="auto"/>
            </w:tcBorders>
            <w:vAlign w:val="center"/>
          </w:tcPr>
          <w:p>
            <w:pPr>
              <w:jc w:val="center"/>
              <w:rPr>
                <w:sz w:val="22"/>
              </w:rPr>
            </w:pPr>
            <w:r>
              <w:rPr>
                <w:sz w:val="22"/>
              </w:rPr>
              <w:t>TPRD</w:t>
            </w:r>
          </w:p>
        </w:tc>
      </w:tr>
      <w:tr>
        <w:trPr>
          <w:cantSplit/>
        </w:trPr>
        <w:tc>
          <w:tcPr>
            <w:tcW w:w="4800" w:type="dxa"/>
            <w:tcBorders>
              <w:top w:val="single" w:sz="4" w:space="0" w:color="auto"/>
              <w:left w:val="single" w:sz="4" w:space="0" w:color="auto"/>
              <w:bottom w:val="single" w:sz="4" w:space="0" w:color="auto"/>
              <w:right w:val="single" w:sz="4" w:space="0" w:color="auto"/>
            </w:tcBorders>
          </w:tcPr>
          <w:p>
            <w:pPr>
              <w:rPr>
                <w:color w:val="000000"/>
                <w:sz w:val="22"/>
              </w:rPr>
            </w:pPr>
            <w:r>
              <w:rPr>
                <w:color w:val="000000"/>
                <w:sz w:val="22"/>
              </w:rPr>
              <w:t>Alifatinis benzinas, skirtas grandininiams pjūklams</w:t>
            </w:r>
          </w:p>
        </w:tc>
        <w:tc>
          <w:tcPr>
            <w:tcW w:w="2923" w:type="dxa"/>
            <w:tcBorders>
              <w:left w:val="nil"/>
              <w:bottom w:val="single" w:sz="4" w:space="0" w:color="auto"/>
              <w:right w:val="single" w:sz="4" w:space="0" w:color="auto"/>
            </w:tcBorders>
          </w:tcPr>
          <w:p>
            <w:pPr>
              <w:jc w:val="center"/>
              <w:rPr>
                <w:color w:val="000000"/>
                <w:sz w:val="22"/>
              </w:rPr>
            </w:pPr>
            <w:r>
              <w:rPr>
                <w:color w:val="000000"/>
                <w:sz w:val="22"/>
              </w:rPr>
              <w:t>-</w:t>
            </w:r>
          </w:p>
        </w:tc>
        <w:tc>
          <w:tcPr>
            <w:tcW w:w="2200" w:type="dxa"/>
            <w:tcBorders>
              <w:left w:val="single" w:sz="4" w:space="0" w:color="auto"/>
              <w:bottom w:val="single" w:sz="4" w:space="0" w:color="auto"/>
              <w:right w:val="single" w:sz="4" w:space="0" w:color="auto"/>
            </w:tcBorders>
          </w:tcPr>
          <w:p>
            <w:pPr>
              <w:jc w:val="center"/>
              <w:rPr>
                <w:color w:val="000000"/>
                <w:sz w:val="22"/>
              </w:rPr>
            </w:pPr>
            <w:r>
              <w:rPr>
                <w:color w:val="000000"/>
                <w:sz w:val="22"/>
              </w:rPr>
              <w:t>100</w:t>
            </w:r>
          </w:p>
        </w:tc>
        <w:tc>
          <w:tcPr>
            <w:tcW w:w="1559" w:type="dxa"/>
            <w:tcBorders>
              <w:left w:val="nil"/>
              <w:bottom w:val="single" w:sz="4" w:space="0" w:color="auto"/>
              <w:right w:val="single" w:sz="4" w:space="0" w:color="auto"/>
            </w:tcBorders>
          </w:tcPr>
          <w:p>
            <w:pPr>
              <w:jc w:val="center"/>
              <w:rPr>
                <w:color w:val="000000"/>
                <w:sz w:val="22"/>
              </w:rPr>
            </w:pPr>
            <w:r>
              <w:rPr>
                <w:color w:val="000000"/>
                <w:sz w:val="22"/>
              </w:rPr>
              <w:t>900</w:t>
            </w:r>
          </w:p>
        </w:tc>
        <w:tc>
          <w:tcPr>
            <w:tcW w:w="1134" w:type="dxa"/>
            <w:tcBorders>
              <w:left w:val="single" w:sz="4" w:space="0" w:color="auto"/>
              <w:bottom w:val="single" w:sz="4" w:space="0" w:color="auto"/>
              <w:right w:val="single" w:sz="4" w:space="0" w:color="auto"/>
            </w:tcBorders>
          </w:tcPr>
          <w:p>
            <w:pPr>
              <w:jc w:val="center"/>
              <w:rPr>
                <w:color w:val="000000"/>
                <w:sz w:val="22"/>
              </w:rPr>
            </w:pPr>
            <w:r>
              <w:rPr>
                <w:color w:val="000000"/>
                <w:sz w:val="22"/>
              </w:rPr>
              <w:t>-</w:t>
            </w:r>
          </w:p>
        </w:tc>
      </w:tr>
      <w:tr>
        <w:trPr>
          <w:cantSplit/>
        </w:trPr>
        <w:tc>
          <w:tcPr>
            <w:tcW w:w="4800" w:type="dxa"/>
            <w:tcBorders>
              <w:left w:val="single" w:sz="4" w:space="0" w:color="auto"/>
              <w:bottom w:val="single" w:sz="4" w:space="0" w:color="auto"/>
              <w:right w:val="single" w:sz="4" w:space="0" w:color="auto"/>
            </w:tcBorders>
          </w:tcPr>
          <w:p>
            <w:pPr>
              <w:rPr>
                <w:color w:val="000000"/>
                <w:sz w:val="22"/>
              </w:rPr>
            </w:pPr>
            <w:r>
              <w:rPr>
                <w:color w:val="000000"/>
                <w:sz w:val="22"/>
              </w:rPr>
              <w:t>Automobilinis benzinas</w:t>
            </w:r>
          </w:p>
        </w:tc>
        <w:tc>
          <w:tcPr>
            <w:tcW w:w="2923"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50</w:t>
            </w:r>
          </w:p>
        </w:tc>
        <w:tc>
          <w:tcPr>
            <w:tcW w:w="2200"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50</w:t>
            </w:r>
          </w:p>
        </w:tc>
        <w:tc>
          <w:tcPr>
            <w:tcW w:w="1559"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200</w:t>
            </w:r>
          </w:p>
        </w:tc>
        <w:tc>
          <w:tcPr>
            <w:tcW w:w="1134"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300</w:t>
            </w:r>
          </w:p>
        </w:tc>
      </w:tr>
      <w:tr>
        <w:tc>
          <w:tcPr>
            <w:tcW w:w="4800" w:type="dxa"/>
            <w:tcBorders>
              <w:top w:val="single" w:sz="4" w:space="0" w:color="auto"/>
              <w:left w:val="single" w:sz="4" w:space="0" w:color="auto"/>
              <w:right w:val="single" w:sz="4" w:space="0" w:color="auto"/>
            </w:tcBorders>
          </w:tcPr>
          <w:p>
            <w:pPr>
              <w:rPr>
                <w:color w:val="000000"/>
                <w:sz w:val="22"/>
              </w:rPr>
            </w:pPr>
            <w:r>
              <w:rPr>
                <w:color w:val="000000"/>
                <w:sz w:val="22"/>
              </w:rPr>
              <w:t>Aviacinis benzinas</w:t>
            </w:r>
          </w:p>
        </w:tc>
        <w:tc>
          <w:tcPr>
            <w:tcW w:w="2923"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500</w:t>
            </w:r>
          </w:p>
        </w:tc>
      </w:tr>
      <w:tr>
        <w:tc>
          <w:tcPr>
            <w:tcW w:w="4800" w:type="dxa"/>
            <w:tcBorders>
              <w:top w:val="single" w:sz="4" w:space="0" w:color="auto"/>
              <w:left w:val="single" w:sz="4" w:space="0" w:color="auto"/>
              <w:bottom w:val="single" w:sz="4" w:space="0" w:color="auto"/>
              <w:right w:val="single" w:sz="4" w:space="0" w:color="auto"/>
            </w:tcBorders>
          </w:tcPr>
          <w:p>
            <w:pPr>
              <w:rPr>
                <w:color w:val="000000"/>
                <w:sz w:val="22"/>
              </w:rPr>
            </w:pPr>
            <w:r>
              <w:rPr>
                <w:color w:val="000000"/>
                <w:sz w:val="22"/>
              </w:rPr>
              <w:t>Plačios frakcijos reaktyvinis kuras</w:t>
            </w:r>
          </w:p>
        </w:tc>
        <w:tc>
          <w:tcPr>
            <w:tcW w:w="2923"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500</w:t>
            </w:r>
          </w:p>
        </w:tc>
      </w:tr>
      <w:tr>
        <w:tc>
          <w:tcPr>
            <w:tcW w:w="4800" w:type="dxa"/>
            <w:tcBorders>
              <w:top w:val="single" w:sz="4" w:space="0" w:color="auto"/>
              <w:left w:val="single" w:sz="4" w:space="0" w:color="auto"/>
              <w:bottom w:val="single" w:sz="4" w:space="0" w:color="auto"/>
              <w:right w:val="single" w:sz="4" w:space="0" w:color="auto"/>
            </w:tcBorders>
          </w:tcPr>
          <w:p>
            <w:pPr>
              <w:rPr>
                <w:color w:val="000000"/>
                <w:sz w:val="22"/>
              </w:rPr>
            </w:pPr>
            <w:r>
              <w:rPr>
                <w:color w:val="000000"/>
                <w:sz w:val="22"/>
              </w:rPr>
              <w:t>Aviacinis žibalas</w:t>
            </w:r>
          </w:p>
        </w:tc>
        <w:tc>
          <w:tcPr>
            <w:tcW w:w="2923"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pPr>
              <w:jc w:val="center"/>
              <w:rPr>
                <w:color w:val="000000"/>
                <w:sz w:val="22"/>
              </w:rPr>
            </w:pPr>
            <w:r>
              <w:rPr>
                <w:color w:val="000000"/>
                <w:sz w:val="22"/>
              </w:rPr>
              <w:t>500</w:t>
            </w:r>
          </w:p>
        </w:tc>
      </w:tr>
    </w:tbl>
    <w:p>
      <w:pPr>
        <w:rPr>
          <w:color w:val="000000"/>
        </w:rPr>
      </w:pPr>
    </w:p>
    <w:p>
      <w:pPr>
        <w:ind w:firstLine="720"/>
      </w:pPr>
      <w:r>
        <w:t>Dydžiai yra apskaičiuojami pagal 1 lentelėje pateiktas koncentracijas, naudojant šią formulę:</w:t>
      </w:r>
    </w:p>
    <w:p>
      <w:pPr/>
    </w:p>
    <w:p>
      <w:pPr>
        <w:ind w:left="567"/>
      </w:pPr>
      <w:r>
        <w:rPr>
          <w:position w:val="-34"/>
          <w:lang w:eastAsia="lt-LT"/>
        </w:rPr>
        <w:drawing>
          <wp:inline distT="0" distB="0" distL="0" distR="0">
            <wp:extent cx="1800225" cy="457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r>
        <w:rPr>
          <w:vanish/>
        </w:rPr>
        <w:t>Hb = 100 / ((C1 / RD1) + (C2 / RD2) + (C3 / RD3) + ... + (Cn / RDn))</w:t>
      </w:r>
      <w:r>
        <w:t>,</w:t>
      </w:r>
    </w:p>
    <w:p>
      <w:pPr>
        <w:jc w:val="both"/>
      </w:pPr>
      <w:r>
        <w:t>čia:</w:t>
      </w:r>
    </w:p>
    <w:p>
      <w:pPr>
        <w:ind w:firstLine="720"/>
        <w:jc w:val="both"/>
        <w:rPr>
          <w:vertAlign w:val="superscript"/>
        </w:rPr>
      </w:pPr>
      <w:r>
        <w:t>H</w:t>
      </w:r>
      <w:r>
        <w:rPr>
          <w:vertAlign w:val="subscript"/>
        </w:rPr>
        <w:t>b</w:t>
      </w:r>
      <w:r>
        <w:t xml:space="preserve"> – bendra angliavandenilių mišinio koncentracija ore, mg/m</w:t>
      </w:r>
      <w:r>
        <w:rPr>
          <w:vertAlign w:val="superscript"/>
        </w:rPr>
        <w:t>3</w:t>
      </w:r>
      <w:r>
        <w:t>;</w:t>
      </w:r>
    </w:p>
    <w:p>
      <w:pPr>
        <w:ind w:firstLine="720"/>
        <w:jc w:val="both"/>
      </w:pPr>
      <w:r>
        <w:t>C</w:t>
      </w:r>
      <w:r>
        <w:rPr>
          <w:vertAlign w:val="subscript"/>
        </w:rPr>
        <w:t>1</w:t>
      </w:r>
      <w:r>
        <w:t>, C</w:t>
      </w:r>
      <w:r>
        <w:rPr>
          <w:vertAlign w:val="subscript"/>
        </w:rPr>
        <w:t>2</w:t>
      </w:r>
      <w:r>
        <w:t>, C</w:t>
      </w:r>
      <w:r>
        <w:rPr>
          <w:vertAlign w:val="subscript"/>
        </w:rPr>
        <w:t>3</w:t>
      </w:r>
      <w:r>
        <w:t>, C</w:t>
      </w:r>
      <w:r>
        <w:rPr>
          <w:vertAlign w:val="subscript"/>
        </w:rPr>
        <w:t>n</w:t>
      </w:r>
      <w:r>
        <w:t xml:space="preserve"> – 1-os, 2-os 3-ios ir n-os kenksmingos cheminės medžiagos kiekis produkte, </w:t>
        <w:sym w:font="Symbol" w:char="F025"/>
        <w:t>;</w:t>
      </w:r>
    </w:p>
    <w:p>
      <w:pPr>
        <w:ind w:firstLine="720"/>
        <w:jc w:val="both"/>
      </w:pPr>
      <w:r>
        <w:t>RD</w:t>
      </w:r>
      <w:r>
        <w:rPr>
          <w:vertAlign w:val="subscript"/>
        </w:rPr>
        <w:t>1</w:t>
      </w:r>
      <w:r>
        <w:t>, RD</w:t>
      </w:r>
      <w:r>
        <w:rPr>
          <w:vertAlign w:val="subscript"/>
        </w:rPr>
        <w:t>2</w:t>
      </w:r>
      <w:r>
        <w:t>, RD</w:t>
      </w:r>
      <w:r>
        <w:rPr>
          <w:vertAlign w:val="subscript"/>
        </w:rPr>
        <w:t>3</w:t>
      </w:r>
      <w:r>
        <w:t>,</w:t>
      </w:r>
      <w:r>
        <w:rPr>
          <w:vertAlign w:val="subscript"/>
        </w:rPr>
        <w:t xml:space="preserve"> </w:t>
      </w:r>
      <w:r>
        <w:t>RD</w:t>
      </w:r>
      <w:r>
        <w:rPr>
          <w:vertAlign w:val="subscript"/>
        </w:rPr>
        <w:t>n</w:t>
      </w:r>
      <w:r>
        <w:t xml:space="preserve"> – 1-os, 2-os 3-ios ir n-os kenksmingos cheminės medžiagos RD, mg/m</w:t>
      </w:r>
      <w:r>
        <w:rPr>
          <w:vertAlign w:val="superscript"/>
        </w:rPr>
        <w:t>3</w:t>
      </w:r>
      <w:r>
        <w:t>.</w:t>
      </w:r>
    </w:p>
    <w:p>
      <w:pPr>
        <w:ind w:firstLine="720"/>
        <w:jc w:val="both"/>
      </w:pPr>
    </w:p>
    <w:p>
      <w:pPr>
        <w:ind w:firstLine="720"/>
        <w:jc w:val="both"/>
      </w:pPr>
      <w:r>
        <w:t>Nustatyta, kad medžiagų komponentai sukelia suminį poveikį. Garų ir skysčių sudėtis yra laikoma maždaug vienoda. Procentinė tūrio dalis laikoma lygia procentinei svorio daliai. Jeigu žinomos sudėtinių cheminių medžiagų koncentracijos, tai apskaičiuojant bendrą angliavandenilių mišinio koncentraciją ore rekomenduojama jomis pasinaudoti. Jei kuro sudėtyje yra benzeno ir (ar) tetraetilšvino, jų koncentracija darbo vietoje vertinama pagal šių medžiagų RD.</w:t>
      </w:r>
    </w:p>
    <w:p>
      <w:pPr>
        <w:jc w:val="both"/>
      </w:pPr>
    </w:p>
    <w:p>
      <w:pPr>
        <w:ind w:firstLine="720"/>
        <w:jc w:val="both"/>
        <w:rPr>
          <w:color w:val="000000"/>
        </w:rPr>
      </w:pPr>
      <w:r>
        <w:rPr>
          <w:color w:val="000000"/>
        </w:rPr>
        <w:t>3</w:t>
      </w:r>
      <w:r>
        <w:rPr>
          <w:color w:val="000000"/>
        </w:rPr>
        <w:t xml:space="preserve">. Alveolinė frakcija </w:t>
      </w:r>
      <w:r>
        <w:t>–</w:t>
      </w:r>
      <w:r>
        <w:rPr>
          <w:color w:val="000000"/>
        </w:rPr>
        <w:t xml:space="preserve"> tai dulkių dalis, pereinanti per preseparatorių, kurio parametrai atitinka Johanesburgo konvencijos parametrus, pateiktus 3 lentelėje.</w:t>
      </w:r>
    </w:p>
    <w:p>
      <w:pPr>
        <w:jc w:val="both"/>
        <w:rPr>
          <w:color w:val="000000"/>
        </w:rPr>
      </w:pPr>
    </w:p>
    <w:p>
      <w:pPr>
        <w:ind w:firstLine="720"/>
        <w:jc w:val="both"/>
        <w:rPr>
          <w:color w:val="000000"/>
        </w:rPr>
      </w:pPr>
      <w:r>
        <w:rPr>
          <w:color w:val="000000"/>
        </w:rPr>
        <w:t>3 lentelė. Johanesburgo konvencijos parametrai</w:t>
      </w:r>
    </w:p>
    <w:p>
      <w:pPr>
        <w:jc w:val="both"/>
        <w:rPr>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tblGrid>
      <w:tr>
        <w:tc>
          <w:tcPr>
            <w:tcW w:w="3827" w:type="dxa"/>
          </w:tcPr>
          <w:p>
            <w:pPr>
              <w:keepNext/>
              <w:jc w:val="center"/>
              <w:outlineLvl w:val="1"/>
              <w:rPr>
                <w:color w:val="000000"/>
                <w:sz w:val="22"/>
              </w:rPr>
            </w:pPr>
            <w:r>
              <w:rPr>
                <w:color w:val="000000"/>
                <w:sz w:val="22"/>
              </w:rPr>
              <w:t xml:space="preserve">Aerodinaminis dalelių skersmuo, </w:t>
              <w:sym w:font="Symbol" w:char="F06D"/>
            </w:r>
            <w:r>
              <w:rPr>
                <w:vanish/>
                <w:color w:val="000000"/>
                <w:sz w:val="22"/>
              </w:rPr>
              <w:t>miu</w:t>
            </w:r>
            <w:r>
              <w:rPr>
                <w:color w:val="000000"/>
                <w:sz w:val="22"/>
              </w:rPr>
              <w:t>m</w:t>
            </w:r>
          </w:p>
        </w:tc>
        <w:tc>
          <w:tcPr>
            <w:tcW w:w="2694" w:type="dxa"/>
          </w:tcPr>
          <w:p>
            <w:pPr>
              <w:jc w:val="center"/>
              <w:rPr>
                <w:color w:val="000000"/>
                <w:sz w:val="22"/>
              </w:rPr>
            </w:pPr>
            <w:r>
              <w:rPr>
                <w:color w:val="000000"/>
                <w:sz w:val="22"/>
              </w:rPr>
              <w:t xml:space="preserve">Per preseparatorių pereinančios dalelės, </w:t>
              <w:sym w:font="Symbol" w:char="F025"/>
            </w:r>
          </w:p>
        </w:tc>
      </w:tr>
      <w:tr>
        <w:tc>
          <w:tcPr>
            <w:tcW w:w="3827" w:type="dxa"/>
          </w:tcPr>
          <w:p>
            <w:pPr>
              <w:jc w:val="center"/>
              <w:rPr>
                <w:color w:val="000000"/>
                <w:sz w:val="22"/>
              </w:rPr>
            </w:pPr>
            <w:r>
              <w:rPr>
                <w:color w:val="000000"/>
                <w:sz w:val="22"/>
              </w:rPr>
              <w:t>1,6</w:t>
            </w:r>
          </w:p>
        </w:tc>
        <w:tc>
          <w:tcPr>
            <w:tcW w:w="2694" w:type="dxa"/>
          </w:tcPr>
          <w:p>
            <w:pPr>
              <w:jc w:val="center"/>
              <w:rPr>
                <w:color w:val="000000"/>
                <w:sz w:val="22"/>
              </w:rPr>
            </w:pPr>
            <w:r>
              <w:rPr>
                <w:color w:val="000000"/>
                <w:sz w:val="22"/>
              </w:rPr>
              <w:t>95</w:t>
            </w:r>
          </w:p>
        </w:tc>
      </w:tr>
      <w:tr>
        <w:tc>
          <w:tcPr>
            <w:tcW w:w="3827" w:type="dxa"/>
          </w:tcPr>
          <w:p>
            <w:pPr>
              <w:jc w:val="center"/>
              <w:rPr>
                <w:color w:val="000000"/>
                <w:sz w:val="22"/>
              </w:rPr>
            </w:pPr>
            <w:r>
              <w:rPr>
                <w:color w:val="000000"/>
                <w:sz w:val="22"/>
              </w:rPr>
              <w:t>3,5</w:t>
            </w:r>
          </w:p>
        </w:tc>
        <w:tc>
          <w:tcPr>
            <w:tcW w:w="2694" w:type="dxa"/>
          </w:tcPr>
          <w:p>
            <w:pPr>
              <w:jc w:val="center"/>
              <w:rPr>
                <w:color w:val="000000"/>
                <w:sz w:val="22"/>
              </w:rPr>
            </w:pPr>
            <w:r>
              <w:rPr>
                <w:color w:val="000000"/>
                <w:sz w:val="22"/>
              </w:rPr>
              <w:t>75</w:t>
            </w:r>
          </w:p>
        </w:tc>
      </w:tr>
      <w:tr>
        <w:tc>
          <w:tcPr>
            <w:tcW w:w="3827" w:type="dxa"/>
          </w:tcPr>
          <w:p>
            <w:pPr>
              <w:jc w:val="center"/>
              <w:rPr>
                <w:color w:val="000000"/>
                <w:sz w:val="22"/>
              </w:rPr>
            </w:pPr>
            <w:r>
              <w:rPr>
                <w:color w:val="000000"/>
                <w:sz w:val="22"/>
              </w:rPr>
              <w:t>5,0</w:t>
            </w:r>
          </w:p>
        </w:tc>
        <w:tc>
          <w:tcPr>
            <w:tcW w:w="2694" w:type="dxa"/>
          </w:tcPr>
          <w:p>
            <w:pPr>
              <w:jc w:val="center"/>
              <w:rPr>
                <w:color w:val="000000"/>
                <w:sz w:val="22"/>
              </w:rPr>
            </w:pPr>
            <w:r>
              <w:rPr>
                <w:color w:val="000000"/>
                <w:sz w:val="22"/>
              </w:rPr>
              <w:t>50</w:t>
            </w:r>
          </w:p>
        </w:tc>
      </w:tr>
      <w:tr>
        <w:tc>
          <w:tcPr>
            <w:tcW w:w="3827" w:type="dxa"/>
          </w:tcPr>
          <w:p>
            <w:pPr>
              <w:jc w:val="center"/>
              <w:rPr>
                <w:color w:val="000000"/>
                <w:sz w:val="22"/>
              </w:rPr>
            </w:pPr>
            <w:r>
              <w:rPr>
                <w:color w:val="000000"/>
                <w:sz w:val="22"/>
              </w:rPr>
              <w:t>7,1</w:t>
            </w:r>
          </w:p>
        </w:tc>
        <w:tc>
          <w:tcPr>
            <w:tcW w:w="2694" w:type="dxa"/>
          </w:tcPr>
          <w:p>
            <w:pPr>
              <w:jc w:val="center"/>
              <w:rPr>
                <w:color w:val="000000"/>
                <w:sz w:val="22"/>
              </w:rPr>
            </w:pPr>
            <w:r>
              <w:rPr>
                <w:color w:val="000000"/>
                <w:sz w:val="22"/>
              </w:rPr>
              <w:t>0</w:t>
            </w:r>
          </w:p>
        </w:tc>
      </w:tr>
    </w:tbl>
    <w:p>
      <w:pPr>
        <w:rPr>
          <w:color w:val="000000"/>
        </w:rPr>
      </w:pPr>
    </w:p>
    <w:p>
      <w:pPr>
        <w:ind w:firstLine="720"/>
        <w:jc w:val="both"/>
        <w:rPr>
          <w:color w:val="000000"/>
        </w:rPr>
      </w:pPr>
      <w:r>
        <w:rPr>
          <w:color w:val="000000"/>
        </w:rPr>
        <w:t>Aerodinaminis skersmuo – tai rutulinės dalelės, kurios tankis yra 1 g/cm</w:t>
      </w:r>
      <w:r>
        <w:rPr>
          <w:color w:val="000000"/>
          <w:vertAlign w:val="superscript"/>
        </w:rPr>
        <w:t>3</w:t>
      </w:r>
      <w:r>
        <w:rPr>
          <w:color w:val="000000"/>
        </w:rPr>
        <w:t xml:space="preserve">, o kritimo greitis toks pat kaip ir nagrinėjamos dalelės, nesvarbu, koks pastarosios tikrasis dydis, formos ir tankio skersmuo. Paprastai dūmų dalelės skersmuo yra mažesnis kaip 1 </w:t>
        <w:sym w:font="Symbol" w:char="F06D"/>
      </w:r>
      <w:r>
        <w:rPr>
          <w:vanish/>
          <w:sz w:val="22"/>
        </w:rPr>
        <w:t>miu</w:t>
      </w:r>
      <w:r>
        <w:rPr>
          <w:color w:val="000000"/>
        </w:rPr>
        <w:t>m, vadinasi, didžioji jų dalis, kaip matyti 3 lentelėje, pereis per minėtą preseparatorių. Taigi visos dūmų dalelės yra laikomos alveoline frakcija, todėl nebūtina naudoti preseparatorių dirbant su dūmų mėginiais. Metalų dūmai paprastai susidaro dėl metalo garų kondensacijos ir galbūt oksidacijos.</w:t>
      </w:r>
    </w:p>
    <w:p>
      <w:pPr>
        <w:jc w:val="both"/>
        <w:rPr>
          <w:color w:val="000000"/>
        </w:rPr>
      </w:pPr>
    </w:p>
    <w:p>
      <w:pPr>
        <w:jc w:val="center"/>
        <w:rPr>
          <w:color w:val="000000"/>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1c9720706d11e8ae2bfd1913d66d57">
        <w:r w:rsidRPr="00532B9F">
          <w:rPr>
            <w:rFonts w:ascii="Times New Roman" w:eastAsia="MS Mincho" w:hAnsi="Times New Roman"/>
            <w:sz w:val="20"/>
            <w:i/>
            <w:iCs/>
            <w:color w:val="0000FF" w:themeColor="hyperlink"/>
            <w:u w:val="single"/>
          </w:rPr>
          <w:t>V-695/A1-272</w:t>
        </w:r>
      </w:fldSimple>
      <w:r>
        <w:rPr>
          <w:rFonts w:ascii="Times New Roman" w:eastAsia="MS Mincho" w:hAnsi="Times New Roman"/>
          <w:sz w:val="20"/>
          <w:i/>
          <w:iCs/>
        </w:rPr>
        <w:t>,
2018-06-12,
paskelbta TAR 2018-06-15, i. k. 2018-09988            </w:t>
      </w:r>
    </w:p>
    <w:p/>
    <w:p>
      <w:pPr>
        <w:ind w:left="5245"/>
        <w:jc w:val="both"/>
        <w:sectPr>
          <w:headerReference w:type="even" r:id="rId21"/>
          <w:footerReference w:type="even" r:id="rId22"/>
          <w:pgSz w:w="16840" w:h="11907" w:orient="landscape" w:code="9"/>
          <w:pgMar w:top="1134" w:right="1134" w:bottom="1134" w:left="1134" w:header="561" w:footer="0" w:gutter="0"/>
          <w:pgNumType w:start="1"/>
          <w:cols w:space="1296"/>
          <w:titlePg/>
          <w:docGrid w:linePitch="272"/>
        </w:sectPr>
      </w:pPr>
    </w:p>
    <w:p>
      <w:pPr>
        <w:ind w:left="4535"/>
      </w:pPr>
      <w:r>
        <w:t xml:space="preserve">Lietuvos higienos normos </w:t>
      </w:r>
    </w:p>
    <w:p>
      <w:pPr>
        <w:ind w:left="4535"/>
      </w:pPr>
      <w:r>
        <w:t xml:space="preserve">HN 23:2011 „Cheminių medžiagų ribiniai </w:t>
      </w:r>
    </w:p>
    <w:p>
      <w:pPr>
        <w:ind w:left="4535"/>
      </w:pPr>
      <w:r>
        <w:t xml:space="preserve">dydžiai. Matavimo ir poveikio vertinimo </w:t>
      </w:r>
    </w:p>
    <w:p>
      <w:pPr>
        <w:ind w:left="4535"/>
      </w:pPr>
      <w:r>
        <w:t>bendrieji reikalavimai“</w:t>
      </w:r>
    </w:p>
    <w:p>
      <w:pPr>
        <w:ind w:left="4535"/>
      </w:pPr>
      <w:r>
        <w:t>2</w:t>
      </w:r>
      <w:r>
        <w:t xml:space="preserve"> priedas</w:t>
      </w:r>
    </w:p>
    <w:p/>
    <w:p>
      <w:pPr>
        <w:jc w:val="center"/>
        <w:rPr>
          <w:b/>
        </w:rPr>
      </w:pPr>
      <w:r>
        <w:rPr>
          <w:b/>
        </w:rPr>
        <w:t xml:space="preserve">CHEMINĖS MEDŽIAGOS KONCENTRACIJOS DINAMINIO SVERTINIO VIDURKIO </w:t>
      </w:r>
      <w:r>
        <w:rPr>
          <w:b/>
          <w:color w:val="000000"/>
        </w:rPr>
        <w:t>IR HIGIENINIO EFEKTO SKAIČIAVIMO</w:t>
      </w:r>
      <w:r>
        <w:rPr>
          <w:b/>
        </w:rPr>
        <w:t xml:space="preserve"> PAVYZDYS</w:t>
      </w:r>
    </w:p>
    <w:p/>
    <w:p>
      <w:pPr>
        <w:ind w:firstLine="720"/>
        <w:jc w:val="both"/>
      </w:pPr>
      <w:r>
        <w:rPr>
          <w:color w:val="000000"/>
        </w:rPr>
        <w:t>Darbo aplinkoje esančių cheminių medžiagų koncentracijų dinaminio svertinio vidurkio apskaičiavimas aprašytas VI skyriaus „Bendrieji matavimo reikalavimai“ 35 punkte</w:t>
      </w:r>
      <w:r>
        <w:t>. Toliau pateikiamas cheminės medžiagos koncentracijos dinaminio svertinio vidurkio ir higieninio efekto apskaičiavimo pavyzdys.</w:t>
      </w:r>
    </w:p>
    <w:p>
      <w:pPr>
        <w:ind w:firstLine="720"/>
        <w:jc w:val="both"/>
      </w:pPr>
      <w:r>
        <w:t>Asmeniniu ėminių ėmikliu per 8 valandų darbo dieną (pamainą) buvo paimti keturi A tirpiklio ėminiai.</w:t>
      </w:r>
    </w:p>
    <w:p>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008"/>
        <w:gridCol w:w="1559"/>
        <w:gridCol w:w="2977"/>
      </w:tblGrid>
      <w:tr>
        <w:tc>
          <w:tcPr>
            <w:tcW w:w="992" w:type="dxa"/>
          </w:tcPr>
          <w:p>
            <w:pPr>
              <w:jc w:val="center"/>
              <w:rPr>
                <w:color w:val="000000"/>
                <w:sz w:val="22"/>
              </w:rPr>
            </w:pPr>
            <w:r>
              <w:rPr>
                <w:color w:val="000000"/>
                <w:sz w:val="22"/>
              </w:rPr>
              <w:t>Ėminys</w:t>
            </w:r>
          </w:p>
        </w:tc>
        <w:tc>
          <w:tcPr>
            <w:tcW w:w="2008" w:type="dxa"/>
          </w:tcPr>
          <w:p>
            <w:pPr>
              <w:jc w:val="center"/>
              <w:rPr>
                <w:color w:val="000000"/>
                <w:sz w:val="22"/>
              </w:rPr>
            </w:pPr>
            <w:r>
              <w:rPr>
                <w:color w:val="000000"/>
                <w:sz w:val="22"/>
              </w:rPr>
              <w:t>Laikas</w:t>
            </w:r>
          </w:p>
        </w:tc>
        <w:tc>
          <w:tcPr>
            <w:tcW w:w="1559" w:type="dxa"/>
          </w:tcPr>
          <w:p>
            <w:pPr>
              <w:jc w:val="center"/>
              <w:rPr>
                <w:color w:val="000000"/>
                <w:sz w:val="22"/>
              </w:rPr>
            </w:pPr>
            <w:r>
              <w:rPr>
                <w:color w:val="000000"/>
                <w:sz w:val="22"/>
              </w:rPr>
              <w:t>Trukmė, min.</w:t>
            </w:r>
          </w:p>
        </w:tc>
        <w:tc>
          <w:tcPr>
            <w:tcW w:w="2977" w:type="dxa"/>
          </w:tcPr>
          <w:p>
            <w:pPr>
              <w:jc w:val="center"/>
              <w:rPr>
                <w:color w:val="000000"/>
                <w:sz w:val="22"/>
              </w:rPr>
            </w:pPr>
            <w:r>
              <w:rPr>
                <w:sz w:val="22"/>
              </w:rPr>
              <w:t>Koncentracija,</w:t>
            </w:r>
            <w:r>
              <w:rPr>
                <w:color w:val="000000"/>
                <w:sz w:val="22"/>
              </w:rPr>
              <w:t xml:space="preserve"> mg/m</w:t>
            </w:r>
            <w:r>
              <w:rPr>
                <w:color w:val="000000"/>
                <w:sz w:val="22"/>
                <w:vertAlign w:val="superscript"/>
              </w:rPr>
              <w:t>3</w:t>
            </w:r>
          </w:p>
        </w:tc>
      </w:tr>
      <w:tr>
        <w:tc>
          <w:tcPr>
            <w:tcW w:w="992" w:type="dxa"/>
          </w:tcPr>
          <w:p>
            <w:pPr>
              <w:jc w:val="center"/>
              <w:rPr>
                <w:color w:val="000000"/>
                <w:sz w:val="22"/>
              </w:rPr>
            </w:pPr>
            <w:r>
              <w:rPr>
                <w:color w:val="000000"/>
                <w:sz w:val="22"/>
              </w:rPr>
              <w:t>1.</w:t>
            </w:r>
          </w:p>
        </w:tc>
        <w:tc>
          <w:tcPr>
            <w:tcW w:w="2008" w:type="dxa"/>
          </w:tcPr>
          <w:p>
            <w:pPr>
              <w:jc w:val="center"/>
              <w:rPr>
                <w:color w:val="000000"/>
                <w:sz w:val="22"/>
              </w:rPr>
            </w:pPr>
            <w:r>
              <w:rPr>
                <w:color w:val="000000"/>
                <w:sz w:val="22"/>
              </w:rPr>
              <w:t>07.50</w:t>
            </w:r>
            <w:r>
              <w:rPr>
                <w:sz w:val="22"/>
              </w:rPr>
              <w:t>–</w:t>
            </w:r>
            <w:r>
              <w:rPr>
                <w:color w:val="000000"/>
                <w:sz w:val="22"/>
              </w:rPr>
              <w:t>10.00</w:t>
            </w:r>
          </w:p>
        </w:tc>
        <w:tc>
          <w:tcPr>
            <w:tcW w:w="1559" w:type="dxa"/>
          </w:tcPr>
          <w:p>
            <w:pPr>
              <w:jc w:val="center"/>
              <w:rPr>
                <w:color w:val="000000"/>
                <w:sz w:val="22"/>
              </w:rPr>
            </w:pPr>
            <w:r>
              <w:rPr>
                <w:color w:val="000000"/>
                <w:sz w:val="22"/>
              </w:rPr>
              <w:t>130</w:t>
            </w:r>
          </w:p>
        </w:tc>
        <w:tc>
          <w:tcPr>
            <w:tcW w:w="2977" w:type="dxa"/>
          </w:tcPr>
          <w:p>
            <w:pPr>
              <w:jc w:val="center"/>
              <w:rPr>
                <w:color w:val="000000"/>
                <w:sz w:val="22"/>
              </w:rPr>
            </w:pPr>
            <w:r>
              <w:rPr>
                <w:color w:val="000000"/>
                <w:sz w:val="22"/>
              </w:rPr>
              <w:t xml:space="preserve">67 </w:t>
            </w:r>
          </w:p>
        </w:tc>
      </w:tr>
      <w:tr>
        <w:tc>
          <w:tcPr>
            <w:tcW w:w="992" w:type="dxa"/>
          </w:tcPr>
          <w:p>
            <w:pPr>
              <w:jc w:val="center"/>
              <w:rPr>
                <w:color w:val="000000"/>
                <w:sz w:val="22"/>
              </w:rPr>
            </w:pPr>
            <w:r>
              <w:rPr>
                <w:color w:val="000000"/>
                <w:sz w:val="22"/>
              </w:rPr>
              <w:t>2.</w:t>
            </w:r>
          </w:p>
        </w:tc>
        <w:tc>
          <w:tcPr>
            <w:tcW w:w="2008" w:type="dxa"/>
          </w:tcPr>
          <w:p>
            <w:pPr>
              <w:jc w:val="center"/>
              <w:rPr>
                <w:color w:val="000000"/>
                <w:sz w:val="22"/>
              </w:rPr>
            </w:pPr>
            <w:r>
              <w:rPr>
                <w:color w:val="000000"/>
                <w:sz w:val="22"/>
              </w:rPr>
              <w:t>10.00</w:t>
            </w:r>
            <w:r>
              <w:rPr>
                <w:sz w:val="22"/>
              </w:rPr>
              <w:t>–</w:t>
            </w:r>
            <w:r>
              <w:rPr>
                <w:color w:val="000000"/>
                <w:sz w:val="22"/>
              </w:rPr>
              <w:t>12.00</w:t>
            </w:r>
          </w:p>
        </w:tc>
        <w:tc>
          <w:tcPr>
            <w:tcW w:w="1559" w:type="dxa"/>
          </w:tcPr>
          <w:p>
            <w:pPr>
              <w:jc w:val="center"/>
              <w:rPr>
                <w:color w:val="000000"/>
                <w:sz w:val="22"/>
              </w:rPr>
            </w:pPr>
            <w:r>
              <w:rPr>
                <w:color w:val="000000"/>
                <w:sz w:val="22"/>
              </w:rPr>
              <w:t>120</w:t>
            </w:r>
          </w:p>
        </w:tc>
        <w:tc>
          <w:tcPr>
            <w:tcW w:w="2977" w:type="dxa"/>
          </w:tcPr>
          <w:p>
            <w:pPr>
              <w:jc w:val="center"/>
              <w:rPr>
                <w:color w:val="000000"/>
                <w:sz w:val="22"/>
              </w:rPr>
            </w:pPr>
            <w:r>
              <w:rPr>
                <w:color w:val="000000"/>
                <w:sz w:val="22"/>
              </w:rPr>
              <w:t>54</w:t>
            </w:r>
          </w:p>
        </w:tc>
      </w:tr>
      <w:tr>
        <w:tc>
          <w:tcPr>
            <w:tcW w:w="992" w:type="dxa"/>
          </w:tcPr>
          <w:p>
            <w:pPr>
              <w:jc w:val="center"/>
              <w:rPr>
                <w:color w:val="000000"/>
                <w:sz w:val="22"/>
              </w:rPr>
            </w:pPr>
            <w:r>
              <w:rPr>
                <w:color w:val="000000"/>
                <w:sz w:val="22"/>
              </w:rPr>
              <w:t>3.</w:t>
            </w:r>
          </w:p>
        </w:tc>
        <w:tc>
          <w:tcPr>
            <w:tcW w:w="2008" w:type="dxa"/>
          </w:tcPr>
          <w:p>
            <w:pPr>
              <w:jc w:val="center"/>
              <w:rPr>
                <w:color w:val="000000"/>
                <w:sz w:val="22"/>
              </w:rPr>
            </w:pPr>
            <w:r>
              <w:rPr>
                <w:color w:val="000000"/>
                <w:sz w:val="22"/>
              </w:rPr>
              <w:t>12.35</w:t>
            </w:r>
            <w:r>
              <w:rPr>
                <w:sz w:val="22"/>
              </w:rPr>
              <w:t>–</w:t>
            </w:r>
            <w:r>
              <w:rPr>
                <w:color w:val="000000"/>
                <w:sz w:val="22"/>
              </w:rPr>
              <w:t>14.20</w:t>
            </w:r>
          </w:p>
        </w:tc>
        <w:tc>
          <w:tcPr>
            <w:tcW w:w="1559" w:type="dxa"/>
          </w:tcPr>
          <w:p>
            <w:pPr>
              <w:jc w:val="center"/>
              <w:rPr>
                <w:color w:val="000000"/>
                <w:sz w:val="22"/>
              </w:rPr>
            </w:pPr>
            <w:r>
              <w:rPr>
                <w:color w:val="000000"/>
                <w:sz w:val="22"/>
              </w:rPr>
              <w:t>105</w:t>
            </w:r>
          </w:p>
        </w:tc>
        <w:tc>
          <w:tcPr>
            <w:tcW w:w="2977" w:type="dxa"/>
          </w:tcPr>
          <w:p>
            <w:pPr>
              <w:jc w:val="center"/>
              <w:rPr>
                <w:color w:val="000000"/>
                <w:sz w:val="22"/>
              </w:rPr>
            </w:pPr>
            <w:r>
              <w:rPr>
                <w:color w:val="000000"/>
                <w:sz w:val="22"/>
              </w:rPr>
              <w:t>35</w:t>
            </w:r>
          </w:p>
        </w:tc>
      </w:tr>
      <w:tr>
        <w:tc>
          <w:tcPr>
            <w:tcW w:w="992" w:type="dxa"/>
          </w:tcPr>
          <w:p>
            <w:pPr>
              <w:jc w:val="center"/>
              <w:rPr>
                <w:color w:val="000000"/>
                <w:sz w:val="22"/>
              </w:rPr>
            </w:pPr>
            <w:r>
              <w:rPr>
                <w:color w:val="000000"/>
                <w:sz w:val="22"/>
              </w:rPr>
              <w:t>4.</w:t>
            </w:r>
          </w:p>
        </w:tc>
        <w:tc>
          <w:tcPr>
            <w:tcW w:w="2008" w:type="dxa"/>
          </w:tcPr>
          <w:p>
            <w:pPr>
              <w:jc w:val="center"/>
              <w:rPr>
                <w:color w:val="000000"/>
                <w:sz w:val="22"/>
              </w:rPr>
            </w:pPr>
            <w:r>
              <w:rPr>
                <w:color w:val="000000"/>
                <w:sz w:val="22"/>
              </w:rPr>
              <w:t>14.20</w:t>
            </w:r>
            <w:r>
              <w:rPr>
                <w:sz w:val="22"/>
              </w:rPr>
              <w:t>–</w:t>
            </w:r>
            <w:r>
              <w:rPr>
                <w:color w:val="000000"/>
                <w:sz w:val="22"/>
              </w:rPr>
              <w:t>16.05</w:t>
            </w:r>
          </w:p>
        </w:tc>
        <w:tc>
          <w:tcPr>
            <w:tcW w:w="1559" w:type="dxa"/>
          </w:tcPr>
          <w:p>
            <w:pPr>
              <w:jc w:val="center"/>
              <w:rPr>
                <w:color w:val="000000"/>
                <w:sz w:val="22"/>
              </w:rPr>
            </w:pPr>
            <w:r>
              <w:rPr>
                <w:color w:val="000000"/>
                <w:sz w:val="22"/>
              </w:rPr>
              <w:t>105</w:t>
            </w:r>
          </w:p>
        </w:tc>
        <w:tc>
          <w:tcPr>
            <w:tcW w:w="2977" w:type="dxa"/>
          </w:tcPr>
          <w:p>
            <w:pPr>
              <w:jc w:val="center"/>
              <w:rPr>
                <w:color w:val="000000"/>
                <w:sz w:val="22"/>
              </w:rPr>
            </w:pPr>
            <w:r>
              <w:rPr>
                <w:color w:val="000000"/>
                <w:sz w:val="22"/>
              </w:rPr>
              <w:t>48</w:t>
            </w:r>
          </w:p>
        </w:tc>
      </w:tr>
    </w:tbl>
    <w:p>
      <w:pPr>
        <w:rPr>
          <w:color w:val="000000"/>
        </w:rPr>
      </w:pPr>
    </w:p>
    <w:p>
      <w:pPr>
        <w:ind w:firstLine="720"/>
      </w:pPr>
      <w:r>
        <w:t>Pagal 35 punkte pateiktą formulę apskaičiuojamas A tirpiklio koncentracijos dinaminis svertinis vidurkis:</w:t>
      </w:r>
    </w:p>
    <w:p/>
    <w:p>
      <w:r>
        <w:rPr>
          <w:position w:val="-24"/>
          <w:lang w:eastAsia="lt-LT"/>
        </w:rPr>
        <w:drawing>
          <wp:inline distT="0" distB="0" distL="0" distR="0">
            <wp:extent cx="30575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r>
        <w:rPr>
          <w:vanish/>
        </w:rPr>
        <w:t>CDSVA = (67 * 130 + 54 * 120 + 35 * 105 + 48 * 105) / (130 + 120 + 105 + 105)</w:t>
      </w:r>
    </w:p>
    <w:p/>
    <w:p>
      <w:pPr>
        <w:jc w:val="both"/>
      </w:pPr>
      <w:r>
        <w:t>C</w:t>
      </w:r>
      <w:r>
        <w:rPr>
          <w:i/>
          <w:color w:val="000000"/>
          <w:vertAlign w:val="subscript"/>
        </w:rPr>
        <w:t>DSVA</w:t>
      </w:r>
      <w:r>
        <w:rPr>
          <w:color w:val="FF0000"/>
        </w:rPr>
        <w:t xml:space="preserve"> </w:t>
      </w:r>
      <w:r>
        <w:t>= 52 mg/m</w:t>
      </w:r>
      <w:r>
        <w:rPr>
          <w:vertAlign w:val="superscript"/>
        </w:rPr>
        <w:t>3</w:t>
      </w:r>
      <w:r>
        <w:t>. Nustatytas šio tirpiklio IPRD – 70 mg/m</w:t>
      </w:r>
      <w:r>
        <w:rPr>
          <w:vertAlign w:val="superscript"/>
        </w:rPr>
        <w:t>3</w:t>
      </w:r>
      <w:r>
        <w:t>. Taigi A tirpiklio poveikis yra priimtinas, jei tuo pačiu metu darbuotojas nėra veikiamas ir kitų panašaus poveikio cheminių medžiagų.</w:t>
      </w:r>
    </w:p>
    <w:p>
      <w:pPr>
        <w:ind w:firstLine="720"/>
        <w:jc w:val="both"/>
      </w:pPr>
      <w:r>
        <w:t>Kai darbuotojas tuo pačiu metu veikiamas kitu panašaus poveikio B tirpikliu, tokiais pat laiko tarpais kaip ir A tirpiklio imami B tirpiklio ėminiai, kuriuose nustatytos koncentracijos 12, 22, 7 ir 16 mg/m</w:t>
      </w:r>
      <w:r>
        <w:rPr>
          <w:vertAlign w:val="superscript"/>
        </w:rPr>
        <w:t>3</w:t>
      </w:r>
      <w:r>
        <w:t>. Pagal 35 punkte pateiktą formulę apskaičiuojamas B tirpiklio koncentracijos dinaminis svertinis vidurkis:</w:t>
      </w:r>
    </w:p>
    <w:p>
      <w:pPr>
        <w:jc w:val="both"/>
      </w:pPr>
    </w:p>
    <w:p>
      <w:r>
        <w:rPr>
          <w:position w:val="-24"/>
          <w:lang w:eastAsia="lt-LT"/>
        </w:rPr>
        <w:drawing>
          <wp:inline distT="0" distB="0" distL="0" distR="0">
            <wp:extent cx="299085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90850" cy="371475"/>
                    </a:xfrm>
                    <a:prstGeom prst="rect">
                      <a:avLst/>
                    </a:prstGeom>
                    <a:noFill/>
                    <a:ln>
                      <a:noFill/>
                    </a:ln>
                  </pic:spPr>
                </pic:pic>
              </a:graphicData>
            </a:graphic>
          </wp:inline>
        </w:drawing>
      </w:r>
      <w:r>
        <w:rPr>
          <w:vanish/>
        </w:rPr>
        <w:t>CDSVB = (12 * 130 + 22 * 120 + 7 * 105 + 16 * 105) / (130 + 120 + 105 + 105)</w:t>
      </w:r>
    </w:p>
    <w:p>
      <w:pPr>
        <w:jc w:val="both"/>
        <w:rPr>
          <w:u w:val="single"/>
        </w:rPr>
      </w:pPr>
    </w:p>
    <w:p>
      <w:pPr>
        <w:jc w:val="both"/>
      </w:pPr>
      <w:r>
        <w:t>C</w:t>
      </w:r>
      <w:r>
        <w:rPr>
          <w:i/>
          <w:color w:val="000000"/>
          <w:vertAlign w:val="subscript"/>
        </w:rPr>
        <w:t>DSVB</w:t>
      </w:r>
      <w:r>
        <w:rPr>
          <w:i/>
        </w:rPr>
        <w:t xml:space="preserve"> </w:t>
      </w:r>
      <w:r>
        <w:t>= 14 mg/m</w:t>
      </w:r>
      <w:r>
        <w:rPr>
          <w:vertAlign w:val="superscript"/>
        </w:rPr>
        <w:t>3</w:t>
      </w:r>
      <w:r>
        <w:t>. B tirpiklio IPRD yra 20 mg/m</w:t>
      </w:r>
      <w:r>
        <w:rPr>
          <w:vertAlign w:val="superscript"/>
        </w:rPr>
        <w:t>3</w:t>
      </w:r>
      <w:r>
        <w:t>.</w:t>
      </w:r>
    </w:p>
    <w:p>
      <w:pPr>
        <w:jc w:val="both"/>
        <w:rPr>
          <w:u w:val="single"/>
        </w:rPr>
      </w:pPr>
    </w:p>
    <w:p>
      <w:pPr>
        <w:jc w:val="both"/>
      </w:pPr>
      <w:r>
        <w:t xml:space="preserve">A ir B tirpiklių </w:t>
      </w:r>
      <w:r>
        <w:rPr>
          <w:color w:val="000000"/>
        </w:rPr>
        <w:t>higieninis efektas</w:t>
      </w:r>
      <w:r>
        <w:t xml:space="preserve"> skaičiuojamas pagal formulę, pateiktą 16 punkte.</w:t>
      </w:r>
    </w:p>
    <w:p>
      <w:pPr>
        <w:jc w:val="both"/>
      </w:pPr>
    </w:p>
    <w:p>
      <w:r>
        <w:rPr>
          <w:position w:val="-24"/>
          <w:lang w:eastAsia="lt-LT"/>
        </w:rPr>
        <w:drawing>
          <wp:inline distT="0" distB="0" distL="0" distR="0">
            <wp:extent cx="140017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r>
        <w:rPr>
          <w:vanish/>
        </w:rPr>
        <w:t>52 / 70 + 14 / 20 = 0,7 + 0,7 = 1,4</w:t>
      </w:r>
    </w:p>
    <w:p>
      <w:pPr>
        <w:jc w:val="both"/>
      </w:pPr>
    </w:p>
    <w:p>
      <w:pPr>
        <w:jc w:val="both"/>
      </w:pPr>
      <w:r>
        <w:t>Higieninis efektas yra lygus 1,4. Kadangi 1,4 daugiau už vienetą, tai A tirpiklio ir B tirpiklio poveikis vienu metu nepriimtinas.</w:t>
      </w:r>
    </w:p>
    <w:p>
      <w:pPr>
        <w:jc w:val="center"/>
        <w:rPr>
          <w:color w:val="000000"/>
        </w:rP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01c9720706d11e8ae2bfd1913d66d57">
        <w:r w:rsidRPr="00532B9F">
          <w:rPr>
            <w:rFonts w:ascii="Times New Roman" w:eastAsia="MS Mincho" w:hAnsi="Times New Roman"/>
            <w:sz w:val="20"/>
            <w:iCs/>
            <w:color w:val="0000FF" w:themeColor="hyperlink"/>
            <w:u w:val="single"/>
          </w:rPr>
          <w:t>V-695/A1-272</w:t>
        </w:r>
      </w:fldSimple>
      <w:r>
        <w:rPr>
          <w:rFonts w:ascii="Times New Roman" w:eastAsia="MS Mincho" w:hAnsi="Times New Roman"/>
          <w:sz w:val="20"/>
          <w:iCs/>
        </w:rPr>
        <w:t>,
2018-06-12,
paskelbta TAR 2018-06-15, i. k. 2018-09988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2011 m. rugsėjo 1 d. įsakymo Nr. V-824/A1-389 „Dėl Lietuvos higienos normos HN 23:2011 „Cheminių medžiagų profesinio poveikio ribiniai dydžiai. Matavimo ir poveikio vertinimo bendrieji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r>
      <w:rPr>
        <w:sz w:val="20"/>
      </w:rPr>
      <w:t>[??????? ?????]</w:t>
    </w:r>
  </w:p>
  <w:p>
    <w:pPr>
      <w:tabs>
        <w:tab w:val="center" w:pos="4320"/>
        <w:tab w:val="right" w:pos="8640"/>
      </w:tabs>
      <w:ind w:right="360" w:firstLine="360"/>
      <w:jc w:val="right"/>
      <w:rPr>
        <w:sz w:val="19"/>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r>
      <w:rPr>
        <w:sz w:val="20"/>
      </w:rPr>
      <w:t>[??????? ?????]</w:t>
    </w:r>
  </w:p>
  <w:p>
    <w:pPr>
      <w:tabs>
        <w:tab w:val="center" w:pos="4320"/>
        <w:tab w:val="right" w:pos="8640"/>
      </w:tabs>
      <w:ind w:right="360" w:firstLine="360"/>
      <w:jc w:val="right"/>
      <w:rPr>
        <w:sz w:val="19"/>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r>
      <w:rPr>
        <w:sz w:val="20"/>
      </w:rPr>
      <w:t>[??????? ?????]</w:t>
    </w:r>
  </w:p>
  <w:p>
    <w:pPr>
      <w:tabs>
        <w:tab w:val="center" w:pos="4320"/>
        <w:tab w:val="right" w:pos="8640"/>
      </w:tabs>
      <w:ind w:right="360" w:firstLine="360"/>
      <w:jc w:val="right"/>
      <w:rPr>
        <w:sz w:val="19"/>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r>
      <w:rPr>
        <w:sz w:val="20"/>
      </w:rPr>
      <w:t>[??????? ?????]</w:t>
    </w:r>
  </w:p>
  <w:p>
    <w:pPr>
      <w:tabs>
        <w:tab w:val="center" w:pos="4320"/>
        <w:tab w:val="right" w:pos="8640"/>
      </w:tabs>
      <w:ind w:right="360" w:firstLine="360"/>
      <w:jc w:val="right"/>
      <w:rPr>
        <w:sz w:val="19"/>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47</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PAG</w:instrText>
    </w:r>
    <w:r>
      <w:rPr>
        <w:lang w:val="en-GB"/>
      </w:rPr>
      <w:instrText xml:space="preserve">E  </w:instrTex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71</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6AB7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image" Target="media/image4.wmf"/>
  <Relationship Id="rId16" Type="http://schemas.openxmlformats.org/officeDocument/2006/relationships/oleObject" Target="embeddings/oleObject2.bin"/>
  <Relationship Id="rId17" Type="http://schemas.openxmlformats.org/officeDocument/2006/relationships/image" Target="media/image7.wmf"/>
  <Relationship Id="rId18" Type="http://schemas.openxmlformats.org/officeDocument/2006/relationships/oleObject" Target="embeddings/oleObject5.bin"/>
  <Relationship Id="rId19" Type="http://schemas.openxmlformats.org/officeDocument/2006/relationships/image" Target="media/image10.wmf"/>
  <Relationship Id="rId2" Type="http://schemas.openxmlformats.org/officeDocument/2006/relationships/fontTable" Target="fontTable.xml"/>
  <Relationship Id="rId20" Type="http://schemas.openxmlformats.org/officeDocument/2006/relationships/oleObject" Target="embeddings/oleObject8.bin"/>
  <Relationship Id="rId21" Type="http://schemas.openxmlformats.org/officeDocument/2006/relationships/header" Target="header18.xml"/>
  <Relationship Id="rId22" Type="http://schemas.openxmlformats.org/officeDocument/2006/relationships/footer" Target="footer18.xml"/>
  <Relationship Id="rId23" Type="http://schemas.openxmlformats.org/officeDocument/2006/relationships/image" Target="media/image19.wmf"/>
  <Relationship Id="rId24" Type="http://schemas.openxmlformats.org/officeDocument/2006/relationships/image" Target="media/image20.wmf"/>
  <Relationship Id="rId25" Type="http://schemas.openxmlformats.org/officeDocument/2006/relationships/image" Target="media/image21.wmf"/>
  <Relationship Id="rId26" Type="http://schemas.openxmlformats.org/officeDocument/2006/relationships/image" Target="media/image25.wm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94</Pages>
  <Words>103306</Words>
  <Characters>58885</Characters>
  <Application>Microsoft Office Word</Application>
  <DocSecurity>0</DocSecurity>
  <Lines>490</Lines>
  <Paragraphs>323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Teisines informacijos centras</Company>
  <LinksUpToDate>false</LinksUpToDate>
  <CharactersWithSpaces>161868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2015-09-07T16:30:00Z</dcterms:created>
  <dc:creator>Sandra</dc:creator>
  <lastModifiedBy>PETRAUSKAITĖ Girmantė</lastModifiedBy>
  <dcterms:modified xsi:type="dcterms:W3CDTF">2018-06-18T08:20:00Z</dcterms:modified>
  <revision>9</revision>
  <dc:title>LIETUVOS RESPUBLIKOS SVEIKATOS APSAUGOS MINISTRO</dc:title>
</coreProperties>
</file>