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2013-09-01 iki 2014-10-31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8B81F2228D01">
        <w:r w:rsidRPr="00532B9F">
          <w:rPr>
            <w:rFonts w:ascii="Times New Roman" w:eastAsia="MS Mincho" w:hAnsi="Times New Roman"/>
            <w:sz w:val="20"/>
            <w:i/>
            <w:iCs/>
            <w:color w:val="0000FF" w:themeColor="hyperlink"/>
            <w:u w:val="single"/>
          </w:rPr>
          <w:t>101-4777</w:t>
        </w:r>
      </w:fldSimple>
      <w:r>
        <w:rPr>
          <w:rFonts w:ascii="Times New Roman" w:eastAsia="MS Mincho" w:hAnsi="Times New Roman"/>
          <w:sz w:val="20"/>
          <w:i/>
          <w:iCs/>
        </w:rPr>
        <w:t>, i. k. 111106ANUTA00O3-235</w:t>
      </w:r>
    </w:p>
    <w:p>
      <w:pPr>
        <w:jc w:val="both"/>
        <w:rPr>
          <w:rFonts w:ascii="Times New Roman" w:hAnsi="Times New Roman"/>
          <w:sz w:val="20"/>
        </w:rPr>
      </w:pPr>
    </w:p>
    <w:p>
      <w:pPr>
        <w:keepLines/>
        <w:widowControl w:val="0"/>
        <w:suppressAutoHyphens/>
        <w:jc w:val="center"/>
        <w:rPr>
          <w:color w:val="000000"/>
        </w:rPr>
      </w:pPr>
      <w:r>
        <w:rPr>
          <w:color w:val="000000"/>
        </w:rPr>
        <w:pict w14:anchorId="1893C52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VALSTYBINĖS KAINŲ IR ENERGETIKOS KONTROLĖS KOMISIJOS</w:t>
      </w:r>
    </w:p>
    <w:p>
      <w:pPr>
        <w:keepLines/>
        <w:widowControl w:val="0"/>
        <w:suppressAutoHyphens/>
        <w:jc w:val="center"/>
        <w:rPr>
          <w:color w:val="000000"/>
        </w:rPr>
      </w:pPr>
      <w:r>
        <w:rPr>
          <w:color w:val="000000"/>
        </w:rPr>
        <w:t>N U T A R I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ELEKTROS energijos ĮRENGINIŲ PRIJUNGIMO PRIE ELEKTROS TINKLŲ ĮKAINIŲ NUSTATYMO METODIKOS PATVIRTINIMO</w:t>
      </w:r>
    </w:p>
    <w:p>
      <w:pPr>
        <w:widowControl w:val="0"/>
        <w:suppressAutoHyphens/>
        <w:ind w:firstLine="567"/>
        <w:jc w:val="both"/>
        <w:rPr>
          <w:color w:val="000000"/>
        </w:rPr>
      </w:pPr>
    </w:p>
    <w:p>
      <w:pPr>
        <w:keepLines/>
        <w:widowControl w:val="0"/>
        <w:suppressAutoHyphens/>
        <w:jc w:val="center"/>
        <w:rPr>
          <w:color w:val="000000"/>
        </w:rPr>
      </w:pPr>
      <w:r>
        <w:rPr>
          <w:color w:val="000000"/>
        </w:rPr>
        <w:t>2011 m. liepos 29 d. Nr. O3-235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energetikos įstatymo (Žin., 2002, Nr. </w:t>
      </w:r>
      <w:hyperlink r:id="rId11" w:tgtFrame="_blank" w:history="1">
        <w:r>
          <w:rPr>
            <w:color w:val="0000FF" w:themeColor="hyperlink"/>
            <w:u w:val="single"/>
          </w:rPr>
          <w:t>56-2224</w:t>
        </w:r>
      </w:hyperlink>
      <w:r>
        <w:rPr>
          <w:color w:val="000000"/>
        </w:rPr>
        <w:t xml:space="preserve">; 2008, Nr. </w:t>
      </w:r>
      <w:hyperlink r:id="rId12" w:tgtFrame="_blank" w:history="1">
        <w:r>
          <w:rPr>
            <w:color w:val="0000FF" w:themeColor="hyperlink"/>
            <w:u w:val="single"/>
          </w:rPr>
          <w:t>135-5228</w:t>
        </w:r>
      </w:hyperlink>
      <w:r>
        <w:rPr>
          <w:color w:val="000000"/>
        </w:rPr>
        <w:t>) 17 straipsnio 8 dalies 1 ir 4 punktais, Valstybinė kainų ir energetikos kontrolės komisija n u t a r i a:</w:t>
      </w:r>
    </w:p>
    <w:p>
      <w:pPr>
        <w:widowControl w:val="0"/>
        <w:suppressAutoHyphens/>
        <w:ind w:firstLine="567"/>
        <w:jc w:val="both"/>
        <w:rPr>
          <w:color w:val="000000"/>
        </w:rPr>
      </w:pPr>
      <w:r>
        <w:rPr>
          <w:color w:val="000000"/>
        </w:rPr>
        <w:t>1</w:t>
      </w:r>
      <w:r>
        <w:rPr>
          <w:color w:val="000000"/>
        </w:rPr>
        <w:t>. Patvirtinti Elektros energijos įrenginių prijungimo prie elektros tinklų įkainių nustatymo metodiką (pridedama).</w:t>
      </w:r>
    </w:p>
    <w:p>
      <w:pPr>
        <w:widowControl w:val="0"/>
        <w:suppressAutoHyphens/>
        <w:ind w:firstLine="567"/>
        <w:jc w:val="both"/>
        <w:rPr>
          <w:color w:val="000000"/>
        </w:rPr>
      </w:pPr>
      <w:r>
        <w:rPr>
          <w:color w:val="000000"/>
        </w:rPr>
        <w:t>2</w:t>
      </w:r>
      <w:r>
        <w:rPr>
          <w:color w:val="000000"/>
        </w:rPr>
        <w:t xml:space="preserve">. Pripažinti netekusiu galios Valstybinės kainų ir energetikos kontrolės komisijos 2009 m. gruodžio 28 d. nutarimą Nr. O3-258 „Dėl Elektros vartotojų įrenginių prijungimo prie elektros tinklų įkainių nustatymo metodikos patvirtinimo“ (Žin., 2009, Nr. </w:t>
      </w:r>
      <w:hyperlink r:id="rId13" w:tgtFrame="_blank" w:history="1">
        <w:r>
          <w:rPr>
            <w:color w:val="0000FF" w:themeColor="hyperlink"/>
            <w:u w:val="single"/>
          </w:rPr>
          <w:t>156-7078</w:t>
        </w:r>
      </w:hyperlink>
      <w:r>
        <w:rPr>
          <w:color w:val="000000"/>
        </w:rPr>
        <w:t>).</w:t>
      </w:r>
    </w:p>
    <w:p>
      <w:pPr>
        <w:widowControl w:val="0"/>
        <w:suppressAutoHyphens/>
        <w:ind w:firstLine="567"/>
        <w:jc w:val="both"/>
        <w:rPr>
          <w:color w:val="000000"/>
        </w:rPr>
      </w:pPr>
      <w:r>
        <w:rPr>
          <w:color w:val="000000"/>
        </w:rPr>
        <w:t>3</w:t>
      </w:r>
      <w:r>
        <w:rPr>
          <w:color w:val="000000"/>
        </w:rPr>
        <w:t>. Nustatyti, kad šio nutarimo II–III skyriai įsigalioja nuo 2011 m. rugsėjo 1 d.</w:t>
      </w:r>
    </w:p>
    <w:p>
      <w:pPr>
        <w:widowControl w:val="0"/>
        <w:suppressAutoHyphens/>
        <w:ind w:firstLine="567"/>
        <w:jc w:val="both"/>
        <w:rPr>
          <w:color w:val="000000"/>
        </w:rPr>
      </w:pPr>
      <w:r>
        <w:rPr>
          <w:color w:val="000000"/>
        </w:rPr>
        <w:t>4</w:t>
      </w:r>
      <w:r>
        <w:rPr>
          <w:color w:val="000000"/>
        </w:rPr>
        <w:t>. Nustatyti, kad šio nutarimo IV skyrius įsigalioja nuo 2012 m. sausio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Komisijos pirmininkė </w:t>
        <w:tab/>
        <w:t>Diana Korsakaitė</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Valstybinės kainų ir energetikos </w:t>
      </w:r>
    </w:p>
    <w:p>
      <w:pPr>
        <w:keepLines/>
        <w:widowControl w:val="0"/>
        <w:suppressAutoHyphens/>
        <w:ind w:left="4535"/>
        <w:rPr>
          <w:color w:val="000000"/>
        </w:rPr>
      </w:pPr>
      <w:r>
        <w:rPr>
          <w:color w:val="000000"/>
        </w:rPr>
        <w:t xml:space="preserve">kontrolės komisijos </w:t>
      </w:r>
    </w:p>
    <w:p>
      <w:pPr>
        <w:keepLines/>
        <w:widowControl w:val="0"/>
        <w:suppressAutoHyphens/>
        <w:ind w:left="4535"/>
        <w:rPr>
          <w:color w:val="000000"/>
        </w:rPr>
      </w:pPr>
      <w:r>
        <w:rPr>
          <w:color w:val="000000"/>
        </w:rPr>
        <w:t xml:space="preserve">2011 m. liepos 29 d. </w:t>
      </w:r>
    </w:p>
    <w:p>
      <w:pPr>
        <w:keepLines/>
        <w:widowControl w:val="0"/>
        <w:suppressAutoHyphens/>
        <w:ind w:left="4535"/>
        <w:rPr>
          <w:color w:val="000000"/>
        </w:rPr>
      </w:pPr>
      <w:r>
        <w:rPr>
          <w:color w:val="000000"/>
        </w:rPr>
        <w:t>nutarimu Nr. O3-235</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ELEKTROS energijos ĮRENGINIŲ PRIJUNGIMO PRIE ELEKTROS TINKLŲ ĮKAINIŲ NUSTATYMO METODIKA</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Elektros energijos įrenginių prijungimo prie elektros tinklų įkainių nustatymo metodika (toliau – Metodika) reglamentuoja elektros energijos įrenginių prijungimo prie elektros tinklų įkainių nustatymo tvarką.</w:t>
      </w:r>
    </w:p>
    <w:p>
      <w:pPr>
        <w:widowControl w:val="0"/>
        <w:suppressAutoHyphens/>
        <w:ind w:firstLine="567"/>
        <w:jc w:val="both"/>
        <w:rPr>
          <w:color w:val="000000"/>
        </w:rPr>
      </w:pPr>
      <w:r>
        <w:rPr>
          <w:color w:val="000000"/>
        </w:rPr>
        <w:t>2</w:t>
      </w:r>
      <w:r>
        <w:rPr>
          <w:color w:val="000000"/>
        </w:rPr>
        <w:t xml:space="preserve">. Metodikos tikslas – įtvirtinti skaidrius, aiškius ir objektyvius principus elektros energijos įrenginių prijungimo prie elektros tinklų įkainiams ir jų taikymo atvejams nustatyti, vadovaujantis vartotojų nediskriminavimo, tinklų plėtros bei elektros energijos vartojimo efektyvumo principais. </w:t>
      </w:r>
    </w:p>
    <w:p>
      <w:pPr>
        <w:widowControl w:val="0"/>
        <w:suppressAutoHyphens/>
        <w:ind w:firstLine="567"/>
        <w:jc w:val="both"/>
        <w:rPr>
          <w:color w:val="000000"/>
        </w:rPr>
      </w:pPr>
      <w:r>
        <w:rPr>
          <w:color w:val="000000"/>
          <w:szCs w:val="24"/>
          <w:lang w:eastAsia="lt-LT"/>
        </w:rPr>
        <w:t>3</w:t>
      </w:r>
      <w:r>
        <w:rPr>
          <w:color w:val="000000"/>
          <w:szCs w:val="24"/>
          <w:lang w:eastAsia="lt-LT"/>
        </w:rPr>
        <w:t>. Metodika parengta vadovaujantis Lietuvos Respublikos energetikos įstatymo (Žin., 2002, Nr. </w:t>
      </w:r>
      <w:hyperlink r:id="rId14" w:tgtFrame="_blank" w:history="1">
        <w:r>
          <w:rPr>
            <w:color w:val="0000FF" w:themeColor="hyperlink"/>
            <w:szCs w:val="24"/>
            <w:u w:val="single"/>
            <w:lang w:eastAsia="lt-LT"/>
          </w:rPr>
          <w:t>56-2224</w:t>
        </w:r>
      </w:hyperlink>
      <w:r>
        <w:rPr>
          <w:color w:val="000000"/>
          <w:szCs w:val="24"/>
          <w:lang w:eastAsia="lt-LT"/>
        </w:rPr>
        <w:t>; 2011, Nr. </w:t>
      </w:r>
      <w:hyperlink r:id="rId15" w:tgtFrame="_blank" w:history="1">
        <w:r>
          <w:rPr>
            <w:color w:val="0000FF" w:themeColor="hyperlink"/>
            <w:szCs w:val="24"/>
            <w:u w:val="single"/>
            <w:lang w:eastAsia="lt-LT"/>
          </w:rPr>
          <w:t>160-7576</w:t>
        </w:r>
      </w:hyperlink>
      <w:r>
        <w:rPr>
          <w:color w:val="000000"/>
          <w:szCs w:val="24"/>
          <w:lang w:eastAsia="lt-LT"/>
        </w:rPr>
        <w:t>) 8 straipsnio 9 dalies 5 punktu, Lietuvos Respublikos elektros energetikos įstatymo (Žin., 2000, Nr. </w:t>
      </w:r>
      <w:hyperlink r:id="rId16" w:tgtFrame="_blank" w:history="1">
        <w:r>
          <w:rPr>
            <w:color w:val="0000FF" w:themeColor="hyperlink"/>
            <w:szCs w:val="24"/>
            <w:u w:val="single"/>
            <w:lang w:eastAsia="lt-LT"/>
          </w:rPr>
          <w:t>66-1984</w:t>
        </w:r>
      </w:hyperlink>
      <w:r>
        <w:rPr>
          <w:color w:val="000000"/>
          <w:szCs w:val="24"/>
          <w:lang w:eastAsia="lt-LT"/>
        </w:rPr>
        <w:t>; 2012, Nr. </w:t>
      </w:r>
      <w:hyperlink r:id="rId17" w:tgtFrame="_blank" w:history="1">
        <w:r>
          <w:rPr>
            <w:color w:val="0000FF" w:themeColor="hyperlink"/>
            <w:szCs w:val="24"/>
            <w:u w:val="single"/>
            <w:lang w:eastAsia="lt-LT"/>
          </w:rPr>
          <w:t>17-752</w:t>
        </w:r>
      </w:hyperlink>
      <w:r>
        <w:rPr>
          <w:color w:val="000000"/>
          <w:szCs w:val="24"/>
          <w:lang w:eastAsia="lt-LT"/>
        </w:rPr>
        <w:t>) 9 straipsnio 3 dalies 10 punktu, 67 straipsnio 4–9 dalimis, Lietuvos Respublikos atsinaujinančių išteklių energetikos įstatymo (Žin., 2011, Nr. </w:t>
      </w:r>
      <w:hyperlink r:id="rId18" w:tgtFrame="_blank" w:history="1">
        <w:r>
          <w:rPr>
            <w:color w:val="0000FF" w:themeColor="hyperlink"/>
            <w:szCs w:val="24"/>
            <w:u w:val="single"/>
            <w:lang w:eastAsia="lt-LT"/>
          </w:rPr>
          <w:t>62-2936</w:t>
        </w:r>
      </w:hyperlink>
      <w:r>
        <w:rPr>
          <w:color w:val="000000"/>
          <w:szCs w:val="24"/>
          <w:lang w:eastAsia="lt-LT"/>
        </w:rPr>
        <w:t>; 2013, Nr. </w:t>
      </w:r>
      <w:hyperlink r:id="rId19" w:tgtFrame="_blank" w:history="1">
        <w:r>
          <w:rPr>
            <w:color w:val="0000FF" w:themeColor="hyperlink"/>
            <w:szCs w:val="24"/>
            <w:u w:val="single"/>
            <w:lang w:eastAsia="lt-LT"/>
          </w:rPr>
          <w:t>12-560</w:t>
        </w:r>
      </w:hyperlink>
      <w:r>
        <w:rPr>
          <w:color w:val="000000"/>
          <w:szCs w:val="24"/>
          <w:lang w:eastAsia="lt-LT"/>
        </w:rPr>
        <w:t>) 21 straipsnio 2, 3 ir 4 dalimis, atsižvelgiant į Naujų buitinių vartotojų elektros įrenginių prijungimo prie elektros tinklų sutarčių standartinių sąlygų aprašą, patvirtintą Lietuvos Respublikos energetikos ministro 2013 m. kovo 18 d. įsakymu Nr. 1-62 (Žin., 2013, Nr. </w:t>
      </w:r>
      <w:hyperlink r:id="rId20" w:tgtFrame="_blank" w:history="1">
        <w:r>
          <w:rPr>
            <w:color w:val="0000FF" w:themeColor="hyperlink"/>
            <w:szCs w:val="24"/>
            <w:u w:val="single"/>
            <w:lang w:eastAsia="lt-LT"/>
          </w:rPr>
          <w:t>29-1432</w:t>
        </w:r>
      </w:hyperlink>
      <w:r>
        <w:rPr>
          <w:color w:val="000000"/>
          <w:szCs w:val="24"/>
          <w:lang w:eastAsia="lt-LT"/>
        </w:rPr>
        <w:t>), Elektros energijos gamintojų ir vartotojų elektros įrenginių prijungimo prie elektros tinklų tvarkos aprašą, patvirtintą Lietuvos Respublikos energetikos ministro 2012 m. liepos 4 d. įsakymu Nr. 1-127 (Žin., 2012, Nr. </w:t>
      </w:r>
      <w:hyperlink r:id="rId21" w:tgtFrame="_blank" w:history="1">
        <w:r>
          <w:rPr>
            <w:color w:val="0000FF" w:themeColor="hyperlink"/>
            <w:szCs w:val="24"/>
            <w:u w:val="single"/>
            <w:lang w:eastAsia="lt-LT"/>
          </w:rPr>
          <w:t>82-4279</w:t>
        </w:r>
      </w:hyperlink>
      <w:r>
        <w:rPr>
          <w:color w:val="000000"/>
          <w:szCs w:val="24"/>
          <w:lang w:eastAsia="lt-LT"/>
        </w:rPr>
        <w:t>) (toliau – Aprašas).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4</w:t>
      </w:r>
      <w:r>
        <w:rPr>
          <w:color w:val="000000"/>
        </w:rPr>
        <w:t>. Valstybinė kainų ir energetikos kontrolės komisija (toliau – Komisija), vadovaudamasi Metodika, nustato vartotojų elektros energijos įrenginių prijungimo prie elektros energijos tinklų įkainius, o operatoriai apskaičiuoja vartotojų ir gamintojų elektros energijos įrenginių prijungimo prie elektros energijos tinklų paslaugos kainas (prijungimo įmokas).</w:t>
      </w:r>
    </w:p>
    <w:p>
      <w:pPr>
        <w:widowControl w:val="0"/>
        <w:suppressAutoHyphens/>
        <w:ind w:firstLine="567"/>
        <w:jc w:val="both"/>
        <w:rPr>
          <w:b/>
          <w:bCs/>
          <w:color w:val="000000"/>
        </w:rPr>
      </w:pPr>
      <w:r>
        <w:rPr>
          <w:color w:val="000000"/>
        </w:rPr>
        <w:t>5</w:t>
      </w:r>
      <w:r>
        <w:rPr>
          <w:color w:val="000000"/>
        </w:rPr>
        <w:t>. Metodikoje naudojamos šios sąvokos:</w:t>
      </w:r>
    </w:p>
    <w:p>
      <w:pPr>
        <w:widowControl w:val="0"/>
        <w:suppressAutoHyphens/>
        <w:ind w:firstLine="567"/>
        <w:jc w:val="both"/>
        <w:rPr>
          <w:color w:val="000000"/>
        </w:rPr>
      </w:pPr>
      <w:r>
        <w:rPr>
          <w:b/>
          <w:bCs/>
          <w:color w:val="000000"/>
        </w:rPr>
        <w:t xml:space="preserve">Vartotojas </w:t>
      </w:r>
      <w:r>
        <w:rPr>
          <w:color w:val="000000"/>
        </w:rPr>
        <w:t>– asmuo, kurio elektros energijos įrenginiai vartoja elektros energiją ir kuriam pageidaujant operatorius teikia įrenginių prijungimo prie tinklo paslaugą.</w:t>
      </w:r>
    </w:p>
    <w:p>
      <w:pPr>
        <w:widowControl w:val="0"/>
        <w:suppressAutoHyphens/>
        <w:ind w:firstLine="567"/>
        <w:jc w:val="both"/>
        <w:rPr>
          <w:color w:val="000000"/>
        </w:rPr>
      </w:pPr>
      <w:r>
        <w:rPr>
          <w:b/>
          <w:bCs/>
          <w:color w:val="000000"/>
        </w:rPr>
        <w:t xml:space="preserve">Gamintojas </w:t>
      </w:r>
      <w:r>
        <w:rPr>
          <w:color w:val="000000"/>
        </w:rPr>
        <w:t>– asmuo, gaminantis ar planuojantis gaminti elektros energiją ir turintis atitinkamą leidimą verstis šia veikla bei kuriam pageidaujant operatorius teikia įrenginių prijungimo prie tinklo paslaugą.</w:t>
      </w:r>
    </w:p>
    <w:p>
      <w:pPr>
        <w:widowControl w:val="0"/>
        <w:suppressAutoHyphens/>
        <w:ind w:firstLine="567"/>
        <w:jc w:val="both"/>
        <w:rPr>
          <w:color w:val="000000"/>
        </w:rPr>
      </w:pPr>
      <w:r>
        <w:rPr>
          <w:b/>
          <w:bCs/>
          <w:color w:val="000000"/>
        </w:rPr>
        <w:t>Leistinoji naudoti galia</w:t>
      </w:r>
      <w:r>
        <w:rPr>
          <w:color w:val="000000"/>
        </w:rPr>
        <w:t xml:space="preserve"> – didžiausia galia, kurią vartotojas gali ar galės naudoti iš operatoriaus tinklų bet kuriuo metu po prijungimo paslaugos suteikimo.</w:t>
      </w:r>
    </w:p>
    <w:p>
      <w:pPr>
        <w:widowControl w:val="0"/>
        <w:suppressAutoHyphens/>
        <w:ind w:firstLine="567"/>
        <w:jc w:val="both"/>
        <w:rPr>
          <w:color w:val="000000"/>
        </w:rPr>
      </w:pPr>
      <w:r>
        <w:rPr>
          <w:b/>
          <w:bCs/>
          <w:color w:val="000000"/>
        </w:rPr>
        <w:t>Pirma (I) aprūpinimo elektra patikimumo kategorija</w:t>
      </w:r>
      <w:r>
        <w:rPr>
          <w:color w:val="000000"/>
        </w:rPr>
        <w:t xml:space="preserve"> – kai iki operatoriaus ir vartotojo elektros tinklų nuosavybės ribos įrengiamos elektros linijos iš dviejų arba daugiau nepriklausomų elektros šaltinių ir aprūpinimas elektros energija negali būti nutrauktas ilgesniam laikui, nei to reikia automatiniam perjungimui nuo vieno nepriklausomo elektros šaltinio prie kito.</w:t>
      </w:r>
    </w:p>
    <w:p>
      <w:pPr>
        <w:widowControl w:val="0"/>
        <w:suppressAutoHyphens/>
        <w:ind w:firstLine="567"/>
        <w:jc w:val="both"/>
        <w:rPr>
          <w:color w:val="000000"/>
        </w:rPr>
      </w:pPr>
      <w:r>
        <w:rPr>
          <w:b/>
          <w:bCs/>
          <w:color w:val="000000"/>
        </w:rPr>
        <w:t>Antra (II) aprūpinimo elektra patikimumo kategorija</w:t>
      </w:r>
      <w:r>
        <w:rPr>
          <w:color w:val="000000"/>
        </w:rPr>
        <w:t xml:space="preserve"> – kai iki operatoriaus ir vartotojo elektros tinklų nuosavybės ribos įrengiamos elektros linijos iš dviejų elektros šaltinių.</w:t>
      </w:r>
    </w:p>
    <w:p>
      <w:pPr>
        <w:widowControl w:val="0"/>
        <w:suppressAutoHyphens/>
        <w:ind w:firstLine="567"/>
        <w:jc w:val="both"/>
        <w:rPr>
          <w:color w:val="000000"/>
        </w:rPr>
      </w:pPr>
      <w:r>
        <w:rPr>
          <w:color w:val="000000"/>
        </w:rPr>
        <w:t xml:space="preserve">Kitos sąvokos suprantamos taip, kaip jos apibrėžtos </w:t>
      </w:r>
      <w:r>
        <w:rPr>
          <w:color w:val="000000"/>
          <w:spacing w:val="10"/>
        </w:rPr>
        <w:t xml:space="preserve">ir </w:t>
      </w:r>
      <w:r>
        <w:rPr>
          <w:color w:val="000000"/>
        </w:rPr>
        <w:t>(ar) aiškinamos Elektros energetikos įstatyme, Atsinaujinančių išteklių energetikos įstatyme ir Apraše.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VARTOTOJŲ ELEKTROS ENERGIJOS ĮRENGINIŲ PRIJUNGIMO ĮKAINIŲ NUSTATYMO TVARKA</w:t>
      </w:r>
    </w:p>
    <w:p>
      <w:pPr>
        <w:widowControl w:val="0"/>
        <w:suppressAutoHyphens/>
        <w:ind w:firstLine="567"/>
        <w:jc w:val="both"/>
        <w:rPr>
          <w:color w:val="000000"/>
        </w:rPr>
      </w:pPr>
    </w:p>
    <w:p>
      <w:pPr>
        <w:widowControl w:val="0"/>
        <w:suppressAutoHyphens/>
        <w:ind w:firstLine="567"/>
        <w:jc w:val="both"/>
        <w:rPr>
          <w:color w:val="000000"/>
        </w:rPr>
      </w:pPr>
      <w:r>
        <w:rPr>
          <w:color w:val="000000"/>
          <w:szCs w:val="24"/>
          <w:lang w:eastAsia="lt-LT"/>
        </w:rPr>
        <w:t>6</w:t>
      </w:r>
      <w:r>
        <w:rPr>
          <w:color w:val="000000"/>
          <w:szCs w:val="24"/>
          <w:lang w:eastAsia="lt-LT"/>
        </w:rPr>
        <w:t>. Komisija nustato prijungimo įkainį 1 kW elektros energijos įrenginių leistinosios naudoti galios įrengti ar padidinti, kaip investicijų į įrenginius, medžiagas ir darbus, nesusijusių su elektros tinklo tiesimu, sumos per praėjusius kalendorinius metus santykį su įrengtąja galia per praėjusius kalendorinius metus atitinkamoje vartotojų grupėje.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spacing w:val="-2"/>
          <w:szCs w:val="24"/>
          <w:lang w:eastAsia="lt-LT"/>
        </w:rPr>
        <w:t>7</w:t>
      </w:r>
      <w:r>
        <w:rPr>
          <w:color w:val="000000"/>
          <w:spacing w:val="-2"/>
          <w:szCs w:val="24"/>
          <w:lang w:eastAsia="lt-LT"/>
        </w:rPr>
        <w:t>. Komisija nustato prijungimo įkainį 1 m elektros linijos nutiesti, kaip investicijų į medžiagas ir darbus, susijusius su elektros tinklo tiesimu, sumos per praėjusius kalendorinius metus santykį su nutiesto elektros tinklo atstumu per praėjusius kalendorinius metus atitinkamoje vartotojų grupėje (nustatant 1 m įkainį, I ir II vartotojų grupės yra laikomos viena grupe).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8</w:t>
      </w:r>
      <w:r>
        <w:rPr>
          <w:color w:val="000000"/>
        </w:rPr>
        <w:t>. Komisija, nustatydama prijungimo įkainį 1 kW elektros energijos įrenginių leistinosios naudoti galios įrengti ar padidinti bei prijungimo įkainį 1 m elektros linijos nutiesti, diferencijuoja kiekvieną įkainį pagal vartotojų grupes:</w:t>
      </w:r>
    </w:p>
    <w:p>
      <w:pPr>
        <w:widowControl w:val="0"/>
        <w:suppressAutoHyphens/>
        <w:ind w:firstLine="567"/>
        <w:jc w:val="both"/>
        <w:rPr>
          <w:color w:val="000000"/>
        </w:rPr>
      </w:pPr>
      <w:r>
        <w:rPr>
          <w:color w:val="000000"/>
          <w:szCs w:val="24"/>
          <w:lang w:eastAsia="lt-LT"/>
        </w:rPr>
        <w:t>8.1</w:t>
      </w:r>
      <w:r>
        <w:rPr>
          <w:color w:val="000000"/>
          <w:szCs w:val="24"/>
          <w:lang w:eastAsia="lt-LT"/>
        </w:rPr>
        <w:t>. I grupė – vartotojai, kurių prijungiamų elektros įrenginių leistinoji naudoti galia ar didinama elektros įrenginių leistinoji naudoti suminė galia nesiekia 30 kW ir kurių įrenginiams prijungti nėra būtina įrengti, keisti ar rekonstruoti operatoriaus elektros energetikos objektų (0,4 kV ir/ar 10 kV kabelinių ir/ar oro linijų, transformatorių pastočių, skirstomųjų punktų ir (ar) transformatorių) ir nereikia rengti vartotojo elektros įrenginių prijungimo prie elektros tinklų projekto, arba tokį projektą rengti reikia, tačiau jį, vadovaujantis Aprašo 14 punktu, rengia ir derina vartotojai;</w:t>
      </w:r>
      <w:r>
        <w:rPr>
          <w:color w:val="000000"/>
          <w:spacing w:val="-2"/>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8.2</w:t>
      </w:r>
      <w:r>
        <w:rPr>
          <w:color w:val="000000"/>
        </w:rPr>
        <w:t>. II grupė – vartotojai, kurių prijungiamų elektros įrenginių leistinoji naudoti galia ar didinama elektros įrenginių leistinoji naudoti suminė galia nesiekia 30 kW ir kurių įrenginiams prijungti būtina įrengti, keisti ar rekonstruoti operatoriaus elektros energetikos objektus (0,4 kV ir/ar 10 kV kabelines ir/ar oro linijas, transformatorių pastotes, skirstomuosius punktus ir (ar) transformatorius);</w:t>
      </w:r>
    </w:p>
    <w:p>
      <w:pPr>
        <w:widowControl w:val="0"/>
        <w:suppressAutoHyphens/>
        <w:ind w:firstLine="567"/>
        <w:jc w:val="both"/>
        <w:rPr>
          <w:color w:val="000000"/>
        </w:rPr>
      </w:pPr>
      <w:r>
        <w:rPr>
          <w:color w:val="000000"/>
        </w:rPr>
        <w:t>8.3</w:t>
      </w:r>
      <w:r>
        <w:rPr>
          <w:color w:val="000000"/>
        </w:rPr>
        <w:t>. III grupė – vartotojai, kurių prijungiamų elektros įrenginių leistinoji naudoti galia ar didinama elektros įrenginių leistinoji naudoti suminė galia yra nuo 30 iki 100 kW (imtinai);</w:t>
      </w:r>
    </w:p>
    <w:p>
      <w:pPr>
        <w:widowControl w:val="0"/>
        <w:suppressAutoHyphens/>
        <w:ind w:firstLine="567"/>
        <w:jc w:val="both"/>
        <w:rPr>
          <w:color w:val="000000"/>
        </w:rPr>
      </w:pPr>
      <w:r>
        <w:rPr>
          <w:color w:val="000000"/>
        </w:rPr>
        <w:t>8.4</w:t>
      </w:r>
      <w:r>
        <w:rPr>
          <w:color w:val="000000"/>
        </w:rPr>
        <w:t xml:space="preserve">. IV grupė – vartotojai, kurių prijungiamų elektros įrenginių leistinoji naudoti galia ar didinama elektros įrenginių leistinoji naudoti suminė galia yra nuo 100 iki 500 kW (imtinai). </w:t>
      </w:r>
    </w:p>
    <w:p>
      <w:pPr>
        <w:widowControl w:val="0"/>
        <w:suppressAutoHyphens/>
        <w:ind w:firstLine="567"/>
        <w:jc w:val="both"/>
        <w:rPr>
          <w:color w:val="000000"/>
        </w:rPr>
      </w:pPr>
      <w:r>
        <w:rPr>
          <w:color w:val="000000"/>
        </w:rPr>
        <w:t>9</w:t>
      </w:r>
      <w:r>
        <w:rPr>
          <w:color w:val="000000"/>
        </w:rPr>
        <w:t>. Elektros energijos vartotojui ir operatoriui teisės aktų nustatyta tvarka sudarant prijungimo prie elektros tinklų paslaugos suteikimo sutartį, prijungiantis operatorius prijungimo įmoką apskaičiuoja pagal operatoriaus patirtas faktines išlaidas arba vadovaudamasis Komisijos nustatytais prijungimo įkainiais šios Metodikos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10</w:t>
      </w:r>
      <w:r>
        <w:rPr>
          <w:color w:val="000000"/>
        </w:rPr>
        <w:t>. Elektros energijos vartotojo įrenginių prijungimo prie tinklo paslaugos kainą (prijungimo įmoką) prijungiantis operatorius apskaičiuoja vadovaudamasis Komisijos nustatytais prijungimo įkainiais ir formule:</w:t>
      </w:r>
    </w:p>
    <w:p>
      <w:pPr>
        <w:widowControl w:val="0"/>
        <w:suppressAutoHyphens/>
        <w:ind w:firstLine="567"/>
        <w:jc w:val="both"/>
        <w:rPr>
          <w:color w:val="000000"/>
        </w:rPr>
      </w:pPr>
    </w:p>
    <w:p>
      <w:pPr>
        <w:widowControl w:val="0"/>
        <w:tabs>
          <w:tab w:val="left" w:pos="7440"/>
        </w:tabs>
        <w:suppressAutoHyphens/>
        <w:ind w:firstLine="567"/>
        <w:jc w:val="both"/>
        <w:rPr>
          <w:b/>
          <w:bCs/>
          <w:color w:val="000000"/>
        </w:rPr>
      </w:pPr>
      <w:r>
        <w:rPr>
          <w:color w:val="000000"/>
        </w:rPr>
        <w:t>S = m</w:t>
      </w:r>
      <w:r>
        <w:rPr>
          <w:color w:val="000000"/>
          <w:vertAlign w:val="subscript"/>
        </w:rPr>
        <w:t>p</w:t>
      </w:r>
      <w:r>
        <w:rPr>
          <w:color w:val="000000"/>
        </w:rPr>
        <w:t xml:space="preserve"> x P + m</w:t>
      </w:r>
      <w:r>
        <w:rPr>
          <w:color w:val="000000"/>
          <w:vertAlign w:val="subscript"/>
        </w:rPr>
        <w:t>L</w:t>
      </w:r>
      <w:r>
        <w:rPr>
          <w:color w:val="000000"/>
        </w:rPr>
        <w:t xml:space="preserve"> x L</w:t>
        <w:tab/>
        <w:t>(1)</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 xml:space="preserve">S – elektros energijos vartotojo įrenginių prijungimo prie tinklo paslaugos kaina (prijungimo įmoka); </w:t>
      </w:r>
    </w:p>
    <w:p>
      <w:pPr>
        <w:widowControl w:val="0"/>
        <w:suppressAutoHyphens/>
        <w:ind w:firstLine="567"/>
        <w:jc w:val="both"/>
        <w:rPr>
          <w:color w:val="000000"/>
        </w:rPr>
      </w:pPr>
      <w:r>
        <w:rPr>
          <w:color w:val="000000"/>
        </w:rPr>
        <w:t>m</w:t>
      </w:r>
      <w:r>
        <w:rPr>
          <w:color w:val="000000"/>
          <w:vertAlign w:val="subscript"/>
        </w:rPr>
        <w:t>P</w:t>
      </w:r>
      <w:r>
        <w:rPr>
          <w:color w:val="000000"/>
        </w:rPr>
        <w:t xml:space="preserve"> – Komisijos nustatytas prijungimo įkainis 1 kW elektros energijos įrenginių leistinosios naudoti galios įrengti ar padidinti pagal atitinkamą vartotojų grupę, Lt/kW;</w:t>
      </w:r>
    </w:p>
    <w:p>
      <w:pPr>
        <w:widowControl w:val="0"/>
        <w:suppressAutoHyphens/>
        <w:ind w:firstLine="567"/>
        <w:jc w:val="both"/>
        <w:rPr>
          <w:color w:val="000000"/>
        </w:rPr>
      </w:pPr>
      <w:r>
        <w:rPr>
          <w:color w:val="000000"/>
        </w:rPr>
        <w:t>P – vartotojui naujai įrengiama arba didinama leistinoji naudoti galia, kW;</w:t>
      </w:r>
    </w:p>
    <w:p>
      <w:pPr>
        <w:widowControl w:val="0"/>
        <w:suppressAutoHyphens/>
        <w:ind w:firstLine="567"/>
        <w:jc w:val="both"/>
        <w:rPr>
          <w:color w:val="000000"/>
        </w:rPr>
      </w:pPr>
      <w:r>
        <w:rPr>
          <w:color w:val="000000"/>
        </w:rPr>
        <w:t>m</w:t>
      </w:r>
      <w:r>
        <w:rPr>
          <w:color w:val="000000"/>
          <w:vertAlign w:val="subscript"/>
        </w:rPr>
        <w:t>L</w:t>
      </w:r>
      <w:r>
        <w:rPr>
          <w:color w:val="000000"/>
        </w:rPr>
        <w:t xml:space="preserve"> – Komisijos nustatytas prijungimo įkainis 1 m elektros linijos nutiesti pagal atitinkamą vartotojų grupę, Lt/m;</w:t>
      </w:r>
    </w:p>
    <w:p>
      <w:pPr>
        <w:widowControl w:val="0"/>
        <w:suppressAutoHyphens/>
        <w:ind w:firstLine="567"/>
        <w:jc w:val="both"/>
        <w:rPr>
          <w:color w:val="000000"/>
        </w:rPr>
      </w:pPr>
      <w:r>
        <w:rPr>
          <w:color w:val="000000"/>
        </w:rPr>
        <w:t>L – tiesiamos elektros linijos, užtikrinančios vartotojo įrenginių prijungimą prie tinklo, trumpiausias geometrinis atstumas nuo vartotojo įvadinės apskaitos spintos (elektros tinklų nuosavybės ribos) iki prijungimo taško, apskaičiuotas Metodikos 12 punkte nustatyta tvarka,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11</w:t>
      </w:r>
      <w:r>
        <w:rPr>
          <w:color w:val="000000"/>
        </w:rPr>
        <w:t>. Prijungimo tašku laikomi atitinkamos įtampos konkretūs operatoriaus energetikos objektai (transformatorių pastotės, transformatorinės, skirstomieji punktai, elektros linijų atramos ir kt.), nuo kurių bus prijungiami plečiami ir/ar rekonstruojami tinklai (įrenginiai), būtini vartotojo elektros energijos įrenginiams prijungti.</w:t>
      </w:r>
    </w:p>
    <w:p>
      <w:pPr>
        <w:widowControl w:val="0"/>
        <w:suppressAutoHyphens/>
        <w:ind w:firstLine="567"/>
        <w:jc w:val="both"/>
        <w:rPr>
          <w:color w:val="000000"/>
        </w:rPr>
      </w:pPr>
      <w:r>
        <w:rPr>
          <w:color w:val="000000"/>
        </w:rPr>
        <w:t>12</w:t>
      </w:r>
      <w:r>
        <w:rPr>
          <w:color w:val="000000"/>
        </w:rPr>
        <w:t xml:space="preserve">. Operatorius, apskaičiuodamas vartotojo elektros energijos įrenginių prijungimo prie tinklo paslaugos kainą (prijungimo įmoką), atsižvelgia į šiuos apribojimus: </w:t>
      </w:r>
    </w:p>
    <w:p>
      <w:pPr>
        <w:pStyle w:val="PlainText"/>
        <w:ind w:firstLine="567"/>
        <w:jc w:val="both"/>
        <w:rPr>
          <w:rFonts w:ascii="Times New Roman" w:hAnsi="Times New Roman"/>
          <w:b/>
          <w:bCs/>
          <w:sz w:val="22"/>
        </w:rPr>
      </w:pPr>
      <w:r>
        <w:rPr>
          <w:rFonts w:ascii="Times New Roman" w:hAnsi="Times New Roman"/>
          <w:sz w:val="22"/>
        </w:rPr>
        <w:t>12.1</w:t>
      </w:r>
      <w:r>
        <w:rPr>
          <w:rFonts w:ascii="Times New Roman" w:hAnsi="Times New Roman"/>
          <w:sz w:val="22"/>
        </w:rPr>
        <w:t>.</w:t>
      </w:r>
      <w:r>
        <w:rPr>
          <w:rFonts w:ascii="Times New Roman" w:eastAsia="MS Mincho" w:hAnsi="Times New Roman"/>
          <w:sz w:val="20"/>
          <w:i/>
          <w:iCs/>
        </w:rPr>
        <w:t xml:space="preserve"> Neteko galios nuo 2013-05-08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pStyle w:val="PlainText"/>
        <w:ind w:firstLine="567"/>
        <w:jc w:val="both"/>
        <w:rPr>
          <w:rFonts w:ascii="Times New Roman" w:hAnsi="Times New Roman"/>
          <w:b/>
          <w:bCs/>
          <w:sz w:val="22"/>
        </w:rPr>
      </w:pPr>
      <w:r>
        <w:rPr>
          <w:rFonts w:ascii="Times New Roman" w:hAnsi="Times New Roman"/>
          <w:sz w:val="22"/>
        </w:rPr>
        <w:t>12.2</w:t>
      </w:r>
      <w:r>
        <w:rPr>
          <w:rFonts w:ascii="Times New Roman" w:hAnsi="Times New Roman"/>
          <w:sz w:val="22"/>
        </w:rPr>
        <w:t>.</w:t>
      </w:r>
      <w:r>
        <w:rPr>
          <w:rFonts w:ascii="Times New Roman" w:eastAsia="MS Mincho" w:hAnsi="Times New Roman"/>
          <w:sz w:val="20"/>
          <w:i/>
          <w:iCs/>
        </w:rPr>
        <w:t xml:space="preserve"> Neteko galios nuo 2013-05-08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12.3</w:t>
      </w:r>
      <w:r>
        <w:rPr>
          <w:color w:val="000000"/>
        </w:rPr>
        <w:t>. apskaičiuojant suminį naujai įrengiamų ir (ar) rekonstruojamų elektros linijų trumpiausią geometrinį atstumą, matavimo paklaida nustatoma vadovaujantis matavimo prietaiso techninėje dokumentacijoje nurodyta didžiausia leistina paklaida, bet ne didesnė kaip 10 m;</w:t>
      </w:r>
    </w:p>
    <w:p>
      <w:pPr>
        <w:widowControl w:val="0"/>
        <w:suppressAutoHyphens/>
        <w:ind w:firstLine="567"/>
        <w:jc w:val="both"/>
        <w:rPr>
          <w:color w:val="000000"/>
        </w:rPr>
      </w:pPr>
      <w:r>
        <w:rPr>
          <w:color w:val="000000"/>
          <w:szCs w:val="24"/>
          <w:lang w:eastAsia="lt-LT"/>
        </w:rPr>
        <w:t>12.4</w:t>
      </w:r>
      <w:r>
        <w:rPr>
          <w:color w:val="000000"/>
          <w:szCs w:val="24"/>
          <w:lang w:eastAsia="lt-LT"/>
        </w:rPr>
        <w:t>. jei vartotojas pageidauja pirmos (I) ar antros (II) aprūpinimo elektra patikimumo kategorijos, operatorius paslaugos kainai (prijungimo įmokai) apskaičiuoti vartotojo naujai prijungiamą arba didinamą leistinąją naudoti galią daugina iš 2, o trumpiausias geometrinis atstumas nuo vartotojo įvadinės apskaitos spintos iki artimiausio prijungimo taško operatoriaus tinkle yra lygus suprojektuotų skirstomųjų tinklų elektros linijų suminiam ilgiui;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12.5</w:t>
      </w:r>
      <w:r>
        <w:rPr>
          <w:color w:val="000000"/>
        </w:rPr>
        <w:t>. jei vartotojas keičia vienfazį atvadą trifaziu arba trifazį atvadą vienfaziu, kartu keisdamas leistinąją naudoti galią, operatorius paslaugos kainai (prijungimo įmokai) apskaičiuoti naudoja suminę vartotojui suteikiamą leistinąją naudoti galią, pakeitus atvadą;</w:t>
      </w:r>
    </w:p>
    <w:p>
      <w:pPr>
        <w:widowControl w:val="0"/>
        <w:suppressAutoHyphens/>
        <w:ind w:firstLine="567"/>
        <w:jc w:val="both"/>
        <w:rPr>
          <w:color w:val="000000"/>
        </w:rPr>
      </w:pPr>
      <w:r>
        <w:rPr>
          <w:color w:val="000000"/>
        </w:rPr>
        <w:t>12.6</w:t>
      </w:r>
      <w:r>
        <w:rPr>
          <w:color w:val="000000"/>
        </w:rPr>
        <w:t>. jei prie tinklo prijungiami vartotojai, kurių elektros įrenginiai prie elektros tinklo yra prijungiami pagal bendras (vieningas) prijungimo sąlygas, vieną projektą ir vieną sutartį (arba kelias sutartis, kurių vykdymas susietas tarpusavyje) ir kurių nekilnojamasis turtas bus (yra) registruotas esamuose ir statomuose daugiabučiuose gyvenamuosiuose namuose, daugiabučių gyvenamųjų namų kvartaluose, individualių gyvenamųjų namų kvartaluose, sodų ir garažų bendrijose, taip pat teritorijose, kuriose nepriklausomai nuo žemės paskirties pobūdžio suformuoti ne mažiau kaip 2 besiribojantys vartotojų žemės sklypai, operatorius paslaugos kainai (prijungimo įmokai) apskaičiuoti naudoja Metodikos 12.4 punkte nustatyta tvarka apskaičiuotą atstumą, padalintą iš prijungiamų vartotojų skaičiaus.</w:t>
      </w:r>
    </w:p>
    <w:p>
      <w:pPr>
        <w:widowControl w:val="0"/>
        <w:suppressAutoHyphens/>
        <w:ind w:firstLine="567"/>
        <w:jc w:val="both"/>
        <w:rPr>
          <w:color w:val="000000"/>
        </w:rPr>
      </w:pPr>
      <w:r>
        <w:rPr>
          <w:color w:val="000000"/>
          <w:szCs w:val="24"/>
          <w:lang w:eastAsia="lt-LT"/>
        </w:rPr>
        <w:t>13</w:t>
      </w:r>
      <w:r>
        <w:rPr>
          <w:color w:val="000000"/>
          <w:szCs w:val="24"/>
          <w:lang w:eastAsia="lt-LT"/>
        </w:rPr>
        <w:t>. Jei prie elektros tinklų jungiami elektros įrenginiai, priklausantys Metodikos 8 punkte nurodytam buitiniam vartotojui, Vyriausybės ar jos įgaliotos institucijos nustatytam socialiai pažeidžiamam vartotojui ar jų grupei (toliau – socialiai pažeidžiamas vartotojas), ir šis vartotojas Aprašo nustatyta tvarka organizuoja prijungimo prie tinklų projektavimo darbus savo lėšomis, operatorius tokiam vartotojui taiko 20 proc. mažesnius prijungimo įkainius, nei Komisija yra patvirtinusi. Jei prie elektros tinklų jungiami kitam (ne buitiniam ir ne socialiai pažeidžiamam) Metodikos 8 punkte nurodytam vartotojui priklausantys elektros įrenginiai ir šis vartotojas organizuoja prijungimo prie tinklų projektavimo darbus savo lėšomis, operatorius tokiam vartotojui taiko 10 proc. mažesnius prijungimo įkainius, nei Komisija yra patvirtinusi.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14</w:t>
      </w:r>
      <w:r>
        <w:rPr>
          <w:color w:val="000000"/>
        </w:rPr>
        <w:t>. Metodikos 6–13 punktų nuostatos taikomos šiais atvejais:</w:t>
      </w:r>
    </w:p>
    <w:p>
      <w:pPr>
        <w:widowControl w:val="0"/>
        <w:suppressAutoHyphens/>
        <w:ind w:firstLine="567"/>
        <w:jc w:val="both"/>
        <w:rPr>
          <w:color w:val="000000"/>
        </w:rPr>
      </w:pPr>
      <w:r>
        <w:rPr>
          <w:color w:val="000000"/>
        </w:rPr>
        <w:t>14.1</w:t>
      </w:r>
      <w:r>
        <w:rPr>
          <w:color w:val="000000"/>
        </w:rPr>
        <w:t>. kai vartotojo elektros įrenginiai prijungiami prie operatoriaus tinklo pirmą kartą ir jiems suteikiama leistinoji naudoti galia neviršija 500 kW (imtinai);</w:t>
      </w:r>
    </w:p>
    <w:p>
      <w:pPr>
        <w:widowControl w:val="0"/>
        <w:suppressAutoHyphens/>
        <w:ind w:firstLine="567"/>
        <w:jc w:val="both"/>
        <w:rPr>
          <w:color w:val="000000"/>
          <w:spacing w:val="-4"/>
        </w:rPr>
      </w:pPr>
      <w:r>
        <w:rPr>
          <w:color w:val="000000"/>
          <w:spacing w:val="-4"/>
        </w:rPr>
        <w:t>14.2</w:t>
      </w:r>
      <w:r>
        <w:rPr>
          <w:color w:val="000000"/>
          <w:spacing w:val="-4"/>
        </w:rPr>
        <w:t>. kai vartotojas didina prijungtų prie tinklo elektros įrenginių leistinąją naudoti galią ne daugiau kaip 500 kW (imtinai);</w:t>
      </w:r>
    </w:p>
    <w:p>
      <w:pPr>
        <w:widowControl w:val="0"/>
        <w:suppressAutoHyphens/>
        <w:ind w:firstLine="567"/>
        <w:jc w:val="both"/>
        <w:rPr>
          <w:color w:val="000000"/>
        </w:rPr>
      </w:pPr>
      <w:r>
        <w:rPr>
          <w:color w:val="000000"/>
        </w:rPr>
        <w:t>14.3</w:t>
      </w:r>
      <w:r>
        <w:rPr>
          <w:color w:val="000000"/>
        </w:rPr>
        <w:t>. kai vartotojas keičia vienfazį atvadą trifaziu arba trifazį atvadą vienfaziu, kartu keisdamas arba nekeisdamas leistinosios naudoti galios.</w:t>
      </w:r>
    </w:p>
    <w:p>
      <w:pPr>
        <w:widowControl w:val="0"/>
        <w:suppressAutoHyphens/>
        <w:ind w:firstLine="567"/>
        <w:jc w:val="both"/>
        <w:rPr>
          <w:color w:val="000000"/>
        </w:rPr>
      </w:pPr>
      <w:r>
        <w:rPr>
          <w:color w:val="000000"/>
        </w:rPr>
        <w:t>15</w:t>
      </w:r>
      <w:r>
        <w:rPr>
          <w:color w:val="000000"/>
        </w:rPr>
        <w:t xml:space="preserve">. Elektros energijos vartotojui ir operatoriui teisės aktų nustatyta tvarka pasirašius prijungimo prie elektros tinklų paslaugos suteikimo sutartį, operatorius organizuoja viešąjį pirkimą šio vartotojo elektros energijos įrenginių prijungimo prie tinklo darbų rangovui išrinkti. Vartotojo elektros energijos įrenginių prijungimo prie tinklo kaina yra lygi rangovo, laimėjusio operatoriaus paskelbtą viešąjį pirkimą dėl vartotojo elektros energijos įrenginių prijungimo prie tinklo, atliktų darbų faktinei kainai (prijungimo įmokai). </w:t>
      </w:r>
    </w:p>
    <w:p>
      <w:pPr>
        <w:widowControl w:val="0"/>
        <w:suppressAutoHyphens/>
        <w:ind w:firstLine="567"/>
        <w:jc w:val="both"/>
        <w:rPr>
          <w:color w:val="000000"/>
        </w:rPr>
      </w:pPr>
      <w:r>
        <w:rPr>
          <w:color w:val="000000"/>
        </w:rPr>
        <w:t>16</w:t>
      </w:r>
      <w:r>
        <w:rPr>
          <w:color w:val="000000"/>
        </w:rPr>
        <w:t xml:space="preserve">. </w:t>
      </w:r>
      <w:r>
        <w:rPr>
          <w:color w:val="000000"/>
          <w:szCs w:val="24"/>
          <w:lang w:eastAsia="lt-LT"/>
        </w:rPr>
        <w:t>Buitinis ar socialiai pažeidžiamas vartotojas, kurio elektros įrenginiai jungiami prie elektros tinklų, ir prijungiantis operatorius atliktų darbų faktinę kainą (prijungimo įmoką) dalijasi tokia tvarka:</w:t>
      </w:r>
    </w:p>
    <w:p>
      <w:pPr>
        <w:widowControl w:val="0"/>
        <w:suppressAutoHyphens/>
        <w:ind w:firstLine="567"/>
        <w:jc w:val="both"/>
        <w:rPr>
          <w:color w:val="000000"/>
        </w:rPr>
      </w:pPr>
      <w:r>
        <w:rPr>
          <w:color w:val="000000"/>
        </w:rPr>
        <w:t>16.1</w:t>
      </w:r>
      <w:r>
        <w:rPr>
          <w:color w:val="000000"/>
        </w:rPr>
        <w:t>. prijungiamas buitinis vartotojas ar socialiai pažeidžiamas vartotojas moka 20 proc. faktinės prijungimo prie tinklų kainos (prijungimo įmokos);</w:t>
      </w:r>
      <w:r>
        <w:t xml:space="preserve"> </w:t>
      </w:r>
    </w:p>
    <w:p>
      <w:pPr>
        <w:widowControl w:val="0"/>
        <w:suppressAutoHyphens/>
        <w:ind w:firstLine="567"/>
        <w:jc w:val="both"/>
        <w:rPr>
          <w:color w:val="000000"/>
        </w:rPr>
      </w:pPr>
      <w:r>
        <w:rPr>
          <w:color w:val="000000"/>
        </w:rPr>
        <w:t>16.2</w:t>
      </w:r>
      <w:r>
        <w:rPr>
          <w:color w:val="000000"/>
        </w:rPr>
        <w:t>. prijungiantis tinklo operatorius dengia 80 proc. faktinės prijungimo prie tinklų kainos (prijungimo įmokos);</w:t>
      </w:r>
    </w:p>
    <w:p>
      <w:pPr>
        <w:widowControl w:val="0"/>
        <w:suppressAutoHyphens/>
        <w:ind w:firstLine="567"/>
        <w:jc w:val="both"/>
      </w:pPr>
      <w:r>
        <w:rPr>
          <w:color w:val="000000"/>
        </w:rPr>
        <w:t>16.3</w:t>
      </w:r>
      <w:r>
        <w:rPr>
          <w:color w:val="000000"/>
        </w:rPr>
        <w:t>. jei prijungiamas elektros energijos vartotojas Aprašo nustatyta tvarka organizuoja prijungimo prie tinklų projektavimo darbus savo lėšomis, operatorius tokiam vartotojui taiko 20 proc. nuolaidą nuo prijungimo kainos, nurodytos Metodikos 16.1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16</w:t>
      </w:r>
      <w:r>
        <w:rPr>
          <w:color w:val="000000"/>
          <w:vertAlign w:val="superscript"/>
        </w:rPr>
        <w:t>1</w:t>
      </w:r>
      <w:r>
        <w:rPr>
          <w:color w:val="000000"/>
        </w:rPr>
        <w:t>. Kiti prie tinklo prijungiami vartotojai, išskyrus Metodikos 16 punkte nurodytus vartotojus, ir prijungiantis operatorius atliktų darbų faktinę kainą (prijungimo įmoką) dalijasi tokia tvarka:</w:t>
      </w:r>
    </w:p>
    <w:p>
      <w:pPr>
        <w:widowControl w:val="0"/>
        <w:suppressAutoHyphens/>
        <w:ind w:firstLine="567"/>
        <w:jc w:val="both"/>
        <w:rPr>
          <w:color w:val="000000"/>
        </w:rPr>
      </w:pPr>
      <w:r>
        <w:rPr>
          <w:color w:val="000000"/>
        </w:rPr>
        <w:t>16</w:t>
      </w:r>
      <w:r>
        <w:rPr>
          <w:color w:val="000000"/>
          <w:vertAlign w:val="superscript"/>
        </w:rPr>
        <w:t>1</w:t>
      </w:r>
      <w:r>
        <w:rPr>
          <w:color w:val="000000"/>
        </w:rPr>
        <w:t>.1</w:t>
      </w:r>
      <w:r>
        <w:rPr>
          <w:color w:val="000000"/>
        </w:rPr>
        <w:t>. vartotojai, išskyrus Metodikos 16 punkte nurodytus vartotojus, moka 40 proc. faktinės prijungimo prie tinklų kainos (prijungimo įmokos);</w:t>
      </w:r>
    </w:p>
    <w:p>
      <w:pPr>
        <w:widowControl w:val="0"/>
        <w:suppressAutoHyphens/>
        <w:ind w:firstLine="567"/>
        <w:jc w:val="both"/>
        <w:rPr>
          <w:color w:val="000000"/>
        </w:rPr>
      </w:pPr>
      <w:r>
        <w:rPr>
          <w:color w:val="000000"/>
        </w:rPr>
        <w:t>16</w:t>
      </w:r>
      <w:r>
        <w:rPr>
          <w:color w:val="000000"/>
          <w:vertAlign w:val="superscript"/>
        </w:rPr>
        <w:t>1</w:t>
      </w:r>
      <w:r>
        <w:rPr>
          <w:color w:val="000000"/>
        </w:rPr>
        <w:t>.2</w:t>
      </w:r>
      <w:r>
        <w:rPr>
          <w:color w:val="000000"/>
        </w:rPr>
        <w:t>. prijungiantis tinklo operatorius dengia 60 proc. faktinės prijungimo prie tinklų kainos (prijungimo įmokos);</w:t>
      </w:r>
    </w:p>
    <w:p>
      <w:pPr>
        <w:widowControl w:val="0"/>
        <w:suppressAutoHyphens/>
        <w:ind w:firstLine="567"/>
        <w:jc w:val="both"/>
        <w:rPr>
          <w:color w:val="000000"/>
        </w:rPr>
      </w:pPr>
      <w:r>
        <w:rPr>
          <w:color w:val="000000"/>
        </w:rPr>
        <w:t>16</w:t>
      </w:r>
      <w:r>
        <w:rPr>
          <w:color w:val="000000"/>
          <w:vertAlign w:val="superscript"/>
        </w:rPr>
        <w:t>1</w:t>
      </w:r>
      <w:r>
        <w:rPr>
          <w:color w:val="000000"/>
        </w:rPr>
        <w:t>.3</w:t>
      </w:r>
      <w:r>
        <w:rPr>
          <w:color w:val="000000"/>
        </w:rPr>
        <w:t>. jei prijungiamas elektros energijos vartotojas Aprašo nustatyta tvarka organizuoja prijungimo prie tinklų projektavimo darbus savo lėšomis, operatorius tokiam vartotojui taiko 10 proc. nuolaidą nuo prijungimo kainos, nurodytos Metodikos 16</w:t>
      </w:r>
      <w:r>
        <w:rPr>
          <w:color w:val="000000"/>
          <w:vertAlign w:val="superscript"/>
        </w:rPr>
        <w:t>1</w:t>
      </w:r>
      <w:r>
        <w:rPr>
          <w:color w:val="000000"/>
        </w:rPr>
        <w:t>.1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17</w:t>
      </w:r>
      <w:r>
        <w:rPr>
          <w:color w:val="000000"/>
        </w:rPr>
        <w:t>. Metodikos 15–16</w:t>
      </w:r>
      <w:r>
        <w:rPr>
          <w:color w:val="000000"/>
          <w:vertAlign w:val="superscript"/>
        </w:rPr>
        <w:t>1</w:t>
      </w:r>
      <w:r>
        <w:rPr>
          <w:color w:val="000000"/>
        </w:rPr>
        <w:t xml:space="preserve"> punktų nuostatos taikomos šiais atvejais:</w:t>
      </w:r>
    </w:p>
    <w:p>
      <w:pPr>
        <w:widowControl w:val="0"/>
        <w:suppressAutoHyphens/>
        <w:ind w:firstLine="567"/>
        <w:jc w:val="both"/>
        <w:rPr>
          <w:color w:val="000000"/>
        </w:rPr>
      </w:pPr>
      <w:r>
        <w:rPr>
          <w:color w:val="000000"/>
        </w:rPr>
        <w:t>17.1</w:t>
      </w:r>
      <w:r>
        <w:rPr>
          <w:color w:val="000000"/>
        </w:rPr>
        <w:t>. kai vartotojas keičia aprūpinimo elektros energija patikimumo kategoriją;</w:t>
      </w:r>
    </w:p>
    <w:p>
      <w:pPr>
        <w:widowControl w:val="0"/>
        <w:suppressAutoHyphens/>
        <w:ind w:firstLine="567"/>
        <w:jc w:val="both"/>
        <w:rPr>
          <w:color w:val="000000"/>
        </w:rPr>
      </w:pPr>
      <w:r>
        <w:rPr>
          <w:color w:val="000000"/>
        </w:rPr>
        <w:t>17.2</w:t>
      </w:r>
      <w:r>
        <w:rPr>
          <w:color w:val="000000"/>
        </w:rPr>
        <w:t xml:space="preserve">. kai naujai prijungiamų vartotojo elektros įrenginių leistinoji naudoti galia ar didinama prijungtų elektros įrenginių leistinoji naudoti galia yra didesnė kaip 500 kW; </w:t>
      </w:r>
    </w:p>
    <w:p>
      <w:pPr>
        <w:widowControl w:val="0"/>
        <w:suppressAutoHyphens/>
        <w:ind w:firstLine="567"/>
        <w:jc w:val="both"/>
        <w:rPr>
          <w:color w:val="000000"/>
        </w:rPr>
      </w:pPr>
      <w:r>
        <w:rPr>
          <w:color w:val="000000"/>
          <w:szCs w:val="24"/>
          <w:lang w:eastAsia="lt-LT"/>
        </w:rPr>
        <w:t>17.3</w:t>
      </w:r>
      <w:r>
        <w:rPr>
          <w:color w:val="000000"/>
          <w:szCs w:val="24"/>
          <w:lang w:eastAsia="lt-LT"/>
        </w:rPr>
        <w:t>. kai vartotojas dėl jam priklausančio nekilnojamojo turto ar jo dalies perleidimo kitam asmeniui (naujam vartotojui) atsisako leistinosios naudoti galios ar jos dalies, ir naujo vartotojo elektros įrenginiai, kurių leistinoji naudoti galia ne didesnė nei atsisakytoji, nepraėjus daugiau nei 1 mėnesiui, jungiami toje pačioje vietoje kaip ir leistinosios naudoti galios atsisakiusio vartotojo buvę įrenginiai.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18</w:t>
      </w:r>
      <w:r>
        <w:rPr>
          <w:color w:val="000000"/>
        </w:rPr>
        <w:t>. Prijungiantis operatorius apskaičiuoja prijungimo paslaugos įmoką, lygią 100 proc. faktinės</w:t>
      </w:r>
      <w:r>
        <w:rPr>
          <w:b/>
          <w:bCs/>
          <w:color w:val="000000"/>
        </w:rPr>
        <w:t xml:space="preserve"> </w:t>
      </w:r>
      <w:r>
        <w:rPr>
          <w:color w:val="000000"/>
        </w:rPr>
        <w:t>rangovo, laimėjusio tinklo operatoriaus paskelbtą viešąjį pirkimą, atliktų rangos darbų kainos, kaip nustatyta Metodikos 15 punkte, šiais atvejais:</w:t>
      </w:r>
    </w:p>
    <w:p>
      <w:pPr>
        <w:widowControl w:val="0"/>
        <w:suppressAutoHyphens/>
        <w:ind w:firstLine="567"/>
        <w:jc w:val="both"/>
        <w:rPr>
          <w:color w:val="000000"/>
        </w:rPr>
      </w:pPr>
      <w:r>
        <w:rPr>
          <w:color w:val="000000"/>
        </w:rPr>
        <w:t>18.1</w:t>
      </w:r>
      <w:r>
        <w:rPr>
          <w:color w:val="000000"/>
        </w:rPr>
        <w:t>. kai vartotojas prijungia elektros įrenginius prie tinklų vienkartiniams renginiams ar kitiems trumpalaikiams tikslams, sezoniniams renginiams (kuriems yra išduotas savivaldybės leidimas), taip pat pageidauja prijungti laikinuose statiniuose esančius elektros įrenginius ar elektros įrenginius, esančius ne statiniuose, elektros įrenginius sklypo priežiūrai ir panašiems tikslams, taip pat statybos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18.2</w:t>
      </w:r>
      <w:r>
        <w:rPr>
          <w:color w:val="000000"/>
        </w:rPr>
        <w:t>. kai vartotojas ar kitas asmuo pageidauja perkelti ar rekonstruoti operatoriui priklausančius energetikos objektus (elektros tinklus ir įrenginius), kai jie kliudo statinių statybai ar dėl kitų priežasčių;</w:t>
      </w:r>
    </w:p>
    <w:p>
      <w:pPr>
        <w:widowControl w:val="0"/>
        <w:suppressAutoHyphens/>
        <w:ind w:firstLine="567"/>
        <w:jc w:val="both"/>
        <w:rPr>
          <w:color w:val="000000"/>
        </w:rPr>
      </w:pPr>
      <w:r>
        <w:rPr>
          <w:color w:val="000000"/>
        </w:rPr>
        <w:t>18.3</w:t>
      </w:r>
      <w:r>
        <w:rPr>
          <w:color w:val="000000"/>
        </w:rPr>
        <w:t>. kai vartotojo elektros įrenginiai jungiami tiesiogiai prie elektros perdavimo tinklo.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19</w:t>
      </w:r>
      <w:r>
        <w:rPr>
          <w:color w:val="000000"/>
        </w:rPr>
        <w:t>. Kai elektros energijos vartotojas, išskyrus vartotojus, nurodytus Metodikos 8.1 ir 8.2 punktuose, jungia įrenginius prie skirstomojo tinklo ir šio vartotojo įrenginių prijungimui yra būtina atlikti plėtros, rekonstrukcijos, keitimo ar panašius techninio parengimo darbus perdavimo tinkle, prijungiantis skirstomojo tinklo operatorius organizuoja viešąjį pirkimą šio vartotojo elektros energijos įrenginių prijungimo prie skirstomojo tinklo darbų rangovui išrinkti, perdavimo tinklo operatorius atitinkamai organizuoja viešąjį pirkimą plėtros, rekonstrukcijos, keitimo ar panašių techninio parengimo darbų atlikimo perdavimo tinkle rangovui išrinkti. Šiuo atveju prie skirstomųjų tinklų prijungiamas vartotojas ir kiti vėliau prijungiami vartotojai prie mokėtinos prijungimo prie skirstomųjų tinklų įmokos, apskaičiuotos Metodikos 15, 16, 16</w:t>
      </w:r>
      <w:r>
        <w:rPr>
          <w:color w:val="000000"/>
          <w:vertAlign w:val="superscript"/>
        </w:rPr>
        <w:t>1</w:t>
      </w:r>
      <w:r>
        <w:rPr>
          <w:color w:val="000000"/>
        </w:rPr>
        <w:t xml:space="preserve"> ir 17 punktuose nurodyta tvarka, papildomai proporcingai konkretaus vartotojo pageidaujamų prijungti elektros įrenginių leistinosios naudoti galios dydžiui sumoka skirstomojo tinklo operatoriui už skirstomųjų tinklų ir perdavimo tinklų plėtrą, ar atnaujinimą.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20</w:t>
      </w:r>
      <w:r>
        <w:rPr>
          <w:color w:val="000000"/>
        </w:rPr>
        <w:t>. Kai operatorius, vadovaudamasis nediskriminavimo ir tinklo plėtros efektyvumo kriterijais, suprojektuoja ir įrengia didesnę energetinę galią atitinkamoje tinklo atkarpoje nei yra reikalinga prijungiamo vartotojo elektros energijos įrenginiams prijungti prie tinklo, prijungiamas vartotojas ir kiti vėliau prijungiami tinklo naudotojai už tinklo plėtrą papildomai prie vienu iš Metodikos 9 arba 24 punktuose numatytų būdų apskaičiuotos prijungimo įmokos moka prijungimo įmoką, lygią 1 kW tinklo plėtros (statybos, rekonstrukcijos, keitimo ar panašių techninio parengimo darbų) viešąjį pirkimą laimėjusio rangovo atliktų darbų kainos ir tinklo naudotojui suteikiamos leistinosios naudoti/generuoti galios sandaugai, padaugintai iš tinklo naudotojo apmokamos prijungimo įmokos, nurodytos Metodikos 16.1 arba 16</w:t>
      </w:r>
      <w:r>
        <w:rPr>
          <w:color w:val="000000"/>
          <w:vertAlign w:val="superscript"/>
        </w:rPr>
        <w:t>1</w:t>
      </w:r>
      <w:r>
        <w:rPr>
          <w:color w:val="000000"/>
        </w:rPr>
        <w:t>.1 arba 24 punktuose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21</w:t>
      </w:r>
      <w:r>
        <w:rPr>
          <w:color w:val="000000"/>
        </w:rPr>
        <w:t>. Prijungiamas vartotojas moka 0 proc. faktinės prijungimo prie tinklo kainos (prijungimo įmokos), o prijungiantis tinklo operatorius moka 100 proc. faktinės prijungimo prie tinklo kainos (prijungimo įmokos), kai:</w:t>
      </w:r>
    </w:p>
    <w:p>
      <w:pPr>
        <w:widowControl w:val="0"/>
        <w:suppressAutoHyphens/>
        <w:ind w:firstLine="567"/>
        <w:jc w:val="both"/>
        <w:rPr>
          <w:color w:val="000000"/>
        </w:rPr>
      </w:pPr>
      <w:r>
        <w:rPr>
          <w:color w:val="000000"/>
        </w:rPr>
        <w:t>21.1</w:t>
      </w:r>
      <w:r>
        <w:rPr>
          <w:color w:val="000000"/>
        </w:rPr>
        <w:t>. vartotojas mažina elektros įrenginių leistinąją naudoti galią praėjus daugiau nei 3 metams po šios galios suteikimo;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pPr>
      <w:r>
        <w:rPr>
          <w:color w:val="000000"/>
        </w:rPr>
        <w:t>21.2</w:t>
      </w:r>
      <w:r>
        <w:rPr>
          <w:color w:val="000000"/>
        </w:rPr>
        <w:t>. vartotojų elektros energijos įrenginiai prijungiami pagal neelektrifikuotų sodybų ar kaimų elektrifikavimo projektą, finansuojamą iš Europos Sąjungos struktūrinių fondų.</w:t>
      </w:r>
    </w:p>
    <w:p>
      <w:pPr>
        <w:widowControl w:val="0"/>
        <w:suppressAutoHyphens/>
        <w:ind w:firstLine="567"/>
        <w:jc w:val="both"/>
      </w:pPr>
      <w:r>
        <w:rPr>
          <w:color w:val="000000"/>
        </w:rPr>
        <w:t>21</w:t>
      </w:r>
      <w:r>
        <w:rPr>
          <w:color w:val="000000"/>
          <w:vertAlign w:val="superscript"/>
        </w:rPr>
        <w:t>1</w:t>
      </w:r>
      <w:r>
        <w:rPr>
          <w:color w:val="000000"/>
        </w:rPr>
        <w:t>. Tuo atveju, kai buitinis vartotojas, kurio elektros įrenginiai buvo prijungti prie elektros skirstomųjų tinklų taikant Metodikos 16 punkte nurodytą sąnaudų paskirstymo tvarką, ne vėliau kaip per 12 mėnesių nuo elektros įrenginių prijungimo momento pradeda vartoti šiais įrenginiais patiektą elektros energiją savo ar kitų asmenų ūkinės komercinės ar profesinės veiklos reikmėms tenkinti, toks vartotojas nelaikomas buitiniu vartotoju ir, skirstomųjų tinklų operatoriui pareikalavus, privalo apmokėti likusią sąnaudų dalį, apskaičiuojamą Metodikos 16</w:t>
      </w:r>
      <w:r>
        <w:rPr>
          <w:color w:val="000000"/>
          <w:vertAlign w:val="superscript"/>
        </w:rPr>
        <w:t>1</w:t>
      </w:r>
      <w:r>
        <w:rPr>
          <w:color w:val="000000"/>
        </w:rPr>
        <w:t xml:space="preserve"> punkte nustatyta tvarka.</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21</w:t>
      </w:r>
      <w:r>
        <w:rPr>
          <w:color w:val="000000"/>
          <w:vertAlign w:val="superscript"/>
        </w:rPr>
        <w:t>2</w:t>
      </w:r>
      <w:r>
        <w:rPr>
          <w:color w:val="000000"/>
        </w:rPr>
        <w:t xml:space="preserve">. </w:t>
      </w:r>
      <w:r>
        <w:rPr>
          <w:color w:val="000000"/>
          <w:szCs w:val="24"/>
          <w:lang w:eastAsia="lt-LT"/>
        </w:rPr>
        <w:t>Tuo atveju, kai vartotojas mažina elektros įrenginių leistinąją naudoti galią praėjus mažiau kaip 3 metams nuo šios leistinosios naudoti galios suteikimo (elektros energijos pirkimo–pardavimo ir (ar) persiuntimo sutarties sudarymo), vartotojas privalo apmokėti už leistinosios naudoti galios sumažinimą šia tvarka:</w:t>
      </w:r>
    </w:p>
    <w:p>
      <w:pPr>
        <w:widowControl w:val="0"/>
        <w:suppressAutoHyphens/>
        <w:ind w:firstLine="567"/>
        <w:jc w:val="both"/>
        <w:rPr>
          <w:color w:val="000000"/>
        </w:rPr>
      </w:pPr>
      <w:r>
        <w:rPr>
          <w:color w:val="000000"/>
          <w:szCs w:val="24"/>
          <w:lang w:eastAsia="lt-LT"/>
        </w:rPr>
        <w:t>21</w:t>
      </w:r>
      <w:r>
        <w:rPr>
          <w:color w:val="000000"/>
          <w:szCs w:val="24"/>
          <w:vertAlign w:val="superscript"/>
          <w:lang w:eastAsia="lt-LT"/>
        </w:rPr>
        <w:t>2</w:t>
      </w:r>
      <w:r>
        <w:rPr>
          <w:color w:val="000000"/>
          <w:szCs w:val="24"/>
          <w:lang w:eastAsia="lt-LT"/>
        </w:rPr>
        <w:t>.1</w:t>
      </w:r>
      <w:r>
        <w:rPr>
          <w:color w:val="000000"/>
          <w:szCs w:val="24"/>
          <w:lang w:eastAsia="lt-LT"/>
        </w:rPr>
        <w:t>. kai vartotojas mažina elektros įrenginių leistinąją naudoti galią praėjus mažiau kaip 2 metams nuo šios leistinosios naudoti galios suteikimo (elektros energijos pirkimo–pardavimo ir (ar) persiuntimo sutarties sudarymo), vartotojas privalo apmokėti už leistinosios naudoti galios sumažinimą operatoriui likusią faktiškai patirtų sąnaudų dalį proporcingai mažinamai leistinajai naudoti galiai;</w:t>
      </w:r>
      <w:r>
        <w:t xml:space="preserve"> </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vertAlign w:val="superscript"/>
          <w:sz w:val="22"/>
        </w:rPr>
        <w:t>2</w:t>
      </w: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2013-05-08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pPr>
      <w:r>
        <w:rPr>
          <w:color w:val="000000"/>
          <w:szCs w:val="24"/>
          <w:lang w:eastAsia="lt-LT"/>
        </w:rPr>
        <w:t>21</w:t>
      </w:r>
      <w:r>
        <w:rPr>
          <w:color w:val="000000"/>
          <w:szCs w:val="24"/>
          <w:vertAlign w:val="superscript"/>
          <w:lang w:eastAsia="lt-LT"/>
        </w:rPr>
        <w:t>2</w:t>
      </w:r>
      <w:r>
        <w:rPr>
          <w:color w:val="000000"/>
          <w:szCs w:val="24"/>
          <w:lang w:eastAsia="lt-LT"/>
        </w:rPr>
        <w:t>.3</w:t>
      </w:r>
      <w:r>
        <w:rPr>
          <w:color w:val="000000"/>
          <w:szCs w:val="24"/>
          <w:lang w:eastAsia="lt-LT"/>
        </w:rPr>
        <w:t>. kai vartotojas mažina elektros įrenginių leistinąją naudoti galią praėjus daugiau nei 2 metams, tačiau mažiau kaip 3 metams nuo šios leistinosios naudoti galios suteikimo (elektros energijos pirkimo–pardavimo ir (ar) persiuntimo sutarties sudarymo), vartotojas privalo apmokėti už leistinosios naudoti galios sumažinimą operatoriui 20 proc. faktiškai patirtų prijungimo sąnaudų dalį, proporcingą mažinamai leistinajai naudoti galiai.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pPr>
      <w:r>
        <w:rPr>
          <w:color w:val="000000"/>
          <w:szCs w:val="24"/>
          <w:lang w:eastAsia="lt-LT"/>
        </w:rPr>
        <w:t>21</w:t>
      </w:r>
      <w:r>
        <w:rPr>
          <w:color w:val="000000"/>
          <w:szCs w:val="24"/>
          <w:vertAlign w:val="superscript"/>
          <w:lang w:eastAsia="lt-LT"/>
        </w:rPr>
        <w:t>3</w:t>
      </w:r>
      <w:r>
        <w:rPr>
          <w:color w:val="000000"/>
          <w:szCs w:val="24"/>
          <w:lang w:eastAsia="lt-LT"/>
        </w:rPr>
        <w:t>. Tuo atveju, kai vartotojas mažina elektros įrenginių leistinąją naudoti galią praėjus daugiau kaip 3 metams nuo šios leistinosios naudoti galios suteikimo (elektros energijos pirkimo–pardavimo ir (ar) persiuntimo sutarties sudarymo), vartotojui ši paslauga suteikia nemokamai.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21</w:t>
      </w:r>
      <w:r>
        <w:rPr>
          <w:color w:val="000000"/>
          <w:vertAlign w:val="superscript"/>
        </w:rPr>
        <w:t>4</w:t>
      </w:r>
      <w:r>
        <w:rPr>
          <w:color w:val="000000"/>
        </w:rPr>
        <w:t>. Metodikos 21</w:t>
      </w:r>
      <w:r>
        <w:rPr>
          <w:color w:val="000000"/>
          <w:vertAlign w:val="superscript"/>
        </w:rPr>
        <w:t>2</w:t>
      </w:r>
      <w:r>
        <w:rPr>
          <w:color w:val="000000"/>
        </w:rPr>
        <w:t xml:space="preserve"> punktas netaikomas buitiniams vartotojams, taip pat vartotojams, kurie leistinąją naudoti galią didino iki 500 kW pagal Komisijos patvirtintus prijungimo įkainius ir asmenims nurodytiems Metodikos 18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GAMINTOJŲ ELEKTROS ENERGIJOS ĮRENGINIŲ PRIJUNGIMO ĮKAINIŲ NUSTATYMO TVARKA </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Elektros energijos gamintojui ir operatoriui teisės aktų nustatyta tvarka pasirašius prijungimo prie elektros tinklų paslaugos suteikimo sutartį, operatorius organizuoja viešąjį pirkimą šio gamintojo elektros energijos įrenginių prijungimo prie tinklo darbų rangovui išrinkti.</w:t>
      </w:r>
    </w:p>
    <w:p>
      <w:pPr>
        <w:widowControl w:val="0"/>
        <w:suppressAutoHyphens/>
        <w:ind w:firstLine="567"/>
        <w:jc w:val="both"/>
        <w:rPr>
          <w:color w:val="000000"/>
        </w:rPr>
      </w:pPr>
      <w:r>
        <w:rPr>
          <w:color w:val="000000"/>
        </w:rPr>
        <w:t>23</w:t>
      </w:r>
      <w:r>
        <w:rPr>
          <w:color w:val="000000"/>
        </w:rPr>
        <w:t>. Elektros energijos gamintojo įrenginių prijungimo prie tinklo kaina yra lygi rangovo, laimėjusio operatoriaus paskelbtą viešąjį pirkimą dėl elektros energijos gamintojo įrenginių prijungimo prie tinklo, atliktų darbų faktinei kainai (prijungimo įmokai).</w:t>
      </w:r>
    </w:p>
    <w:p>
      <w:pPr>
        <w:widowControl w:val="0"/>
        <w:suppressAutoHyphens/>
        <w:ind w:firstLine="567"/>
        <w:jc w:val="both"/>
        <w:rPr>
          <w:color w:val="000000"/>
        </w:rPr>
      </w:pPr>
      <w:r>
        <w:rPr>
          <w:color w:val="000000"/>
        </w:rPr>
        <w:t>24</w:t>
      </w:r>
      <w:r>
        <w:rPr>
          <w:color w:val="000000"/>
        </w:rPr>
        <w:t>. Prijungiamas elektros energijos gamintojas moka 100 proc. faktinės prijungimo prie tinklo kainos (prijungimo įmokos).</w:t>
      </w:r>
    </w:p>
    <w:p>
      <w:pPr>
        <w:widowControl w:val="0"/>
        <w:suppressAutoHyphens/>
        <w:ind w:firstLine="567"/>
        <w:jc w:val="both"/>
        <w:rPr>
          <w:color w:val="000000"/>
        </w:rPr>
      </w:pPr>
      <w:r>
        <w:rPr>
          <w:color w:val="000000"/>
        </w:rPr>
        <w:t>25</w:t>
      </w:r>
      <w:r>
        <w:rPr>
          <w:color w:val="000000"/>
        </w:rPr>
        <w:t>. Kai gamintojas elektros energijos įrenginius pageidauja prijungti prie skirstomojo tinklo ir šio gamintojo elektros energijos įrenginių prijungimui yra būtina atlikti plėtros, rekonstrukcijos, keitimo ar panašius techninio parengimo darbus perdavimo tinkle, prijungiantis skirstomojo tinklo operatorius organizuoja viešąjį pirkimą šio gamintojo elektros energijos įrenginių prijungimo prie skirstomojo tinklo darbų rangovui išrinkti, perdavimo tinklo operatorius atitinkamai organizuoja viešąjį pirkimą plėtros, rekonstrukcijos, keitimo ar panašių techninio parengimo darbų atlikimo perdavimo tinkle rangovui išrinkti. Šiuo atveju prijungiamas gamintojas operatoriams moka 100 proc. faktinės prijungimo prie skirstomojo tinklo ir prie perdavimo tinklo kainos (prijungimo įmokos).</w:t>
      </w:r>
    </w:p>
    <w:p>
      <w:pPr>
        <w:widowControl w:val="0"/>
        <w:suppressAutoHyphens/>
        <w:ind w:firstLine="567"/>
        <w:jc w:val="both"/>
        <w:rPr>
          <w:color w:val="000000"/>
        </w:rPr>
      </w:pPr>
      <w:r>
        <w:rPr>
          <w:color w:val="000000"/>
        </w:rPr>
        <w:t>26</w:t>
      </w:r>
      <w:r>
        <w:rPr>
          <w:color w:val="000000"/>
        </w:rPr>
        <w:t xml:space="preserve">. Kai gamintojas sudaro sutartį su operatoriumi dėl operatoriui priklausančių energetikos objektų (elektros tinklų ir įrenginių) perkėlimo ar rekonstravimo, kai energetikos objektai kliudo statinių statybai ar dėl kitų priežasčių, tokių sutarčių ar susitarimų atžvilgiu yra taikomos Metodikos 22–24 punktuose išdėstytos nuostatos. </w:t>
      </w:r>
    </w:p>
    <w:p>
      <w:pPr>
        <w:widowControl w:val="0"/>
        <w:suppressAutoHyphens/>
        <w:ind w:firstLine="567"/>
        <w:jc w:val="both"/>
        <w:rPr>
          <w:color w:val="000000"/>
        </w:rPr>
      </w:pPr>
      <w:r>
        <w:rPr>
          <w:color w:val="000000"/>
        </w:rPr>
        <w:t>27</w:t>
      </w:r>
      <w:r>
        <w:rPr>
          <w:color w:val="000000"/>
        </w:rPr>
        <w:t>. Kai operatorius, vadovaudamasis nediskriminavimo ir tinklo plėtros efektyvumo kriterijais, suprojektuoja ir įrengia didesnę energetinę galią atitinkamoje tinklo atkarpoje nei yra reikalinga prijungiamo gamintojo elektros energijos įrenginiams prijungti prie tinklo, prijungiamas gamintojas ir kiti vėliau prijungiami tinklo naudotojai už tinklo plėtrą moka prijungimo įmoką, lygią 1 kW tinklo plėtros (statybos, rekonstrukcijos, keitimo ar panašių techninio parengimo darbų) viešąjį pirkimą laimėjusio rangovo atliktų darbų kainos ir tinklo naudotojui suteikiamos leistinosios naudoti/generuoti galios sandaugai, padaugintai iš tinklo naudotojo apmokamos prijungimo įmokos, nurodytos Metodikos 16.1 arba 16</w:t>
      </w:r>
      <w:r>
        <w:rPr>
          <w:color w:val="000000"/>
          <w:vertAlign w:val="superscript"/>
        </w:rPr>
        <w:t>1</w:t>
      </w:r>
      <w:r>
        <w:rPr>
          <w:color w:val="000000"/>
        </w:rPr>
        <w:t>.1 arba 24 punktuose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GAMINTOJŲ, NAUDOJANČIŲ atsinaujinančius energijos išteklius, ELEKTROS ENERGIJOS ĮRENGINIŲ PRIJUNGIMO ĮKAINIŲ NUSTATYMO TVARKA</w:t>
      </w:r>
    </w:p>
    <w:p>
      <w:pPr>
        <w:keepLines/>
        <w:widowControl w:val="0"/>
        <w:suppressAutoHyphens/>
        <w:jc w:val="center"/>
        <w:rPr>
          <w:b/>
          <w:bCs/>
          <w:caps/>
          <w:color w:val="000000"/>
        </w:rPr>
      </w:pPr>
    </w:p>
    <w:p>
      <w:pPr>
        <w:widowControl w:val="0"/>
        <w:suppressAutoHyphens/>
        <w:ind w:firstLine="567"/>
        <w:jc w:val="both"/>
        <w:rPr>
          <w:color w:val="000000"/>
        </w:rPr>
      </w:pPr>
      <w:r>
        <w:rPr>
          <w:color w:val="000000"/>
        </w:rPr>
        <w:t>28</w:t>
      </w:r>
      <w:r>
        <w:rPr>
          <w:color w:val="000000"/>
        </w:rPr>
        <w:t>. Elektros energijos gamintojui, naudojančiam atsinaujinančius energijos išteklius, ir operatoriui teisės aktų nustatyta tvarka pasirašius prijungimo prie elektros tinklų paslaugos suteikimo sutartį, operatorius organizuoja viešąjį pirkimą šio gamintojo elektros energijos įrenginių prijungimo prie tinklo darbų rangovui išrinkti.</w:t>
      </w:r>
    </w:p>
    <w:p>
      <w:pPr>
        <w:widowControl w:val="0"/>
        <w:suppressAutoHyphens/>
        <w:ind w:firstLine="567"/>
        <w:jc w:val="both"/>
        <w:rPr>
          <w:color w:val="000000"/>
        </w:rPr>
      </w:pPr>
      <w:r>
        <w:rPr>
          <w:color w:val="000000"/>
        </w:rPr>
        <w:t>29</w:t>
      </w:r>
      <w:r>
        <w:rPr>
          <w:color w:val="000000"/>
        </w:rPr>
        <w:t>. Elektros energijos gamintojų, naudojančių atsinaujinančius energijos išteklius, įrenginių prijungimo paslaugos prie tinklų kaina (prijungimo įmoka) yra lygi rangovo, laimėjusio operatoriaus paskelbtą viešąjį pirkimą dėl elektros energijos gamintojo, naudojančio atsinaujinančius energijos išteklius, įrenginių prijungimo prie tinklų paslaugos atliktų rangos darbų faktinei kainai (prijungimo įmokai).</w:t>
      </w:r>
    </w:p>
    <w:p>
      <w:pPr>
        <w:widowControl w:val="0"/>
        <w:suppressAutoHyphens/>
        <w:ind w:firstLine="567"/>
        <w:jc w:val="both"/>
        <w:rPr>
          <w:color w:val="000000"/>
        </w:rPr>
      </w:pPr>
      <w:r>
        <w:rPr>
          <w:color w:val="000000"/>
        </w:rPr>
        <w:t>30</w:t>
      </w:r>
      <w:r>
        <w:rPr>
          <w:color w:val="000000"/>
        </w:rPr>
        <w:t xml:space="preserve">. </w:t>
      </w:r>
      <w:r>
        <w:rPr>
          <w:color w:val="000000"/>
          <w:szCs w:val="24"/>
          <w:lang w:eastAsia="lt-LT"/>
        </w:rPr>
        <w:t>Elektros energijos gamintojo, naudojančio atsinaujinančius energijos išteklius, įrenginių prijungimo paslaugos prie tinklo kaina (prijungimo įmoka) nustatoma faktinę prijungimo paslaugos atliktų rangos darbų kainą paskirstant tinklų operatoriui ir gamintojui, naudojančiam atsinaujinančius energijos išteklius tokia tvarka:</w:t>
      </w:r>
    </w:p>
    <w:p>
      <w:pPr>
        <w:widowControl w:val="0"/>
        <w:suppressAutoHyphens/>
        <w:ind w:firstLine="567"/>
        <w:jc w:val="both"/>
        <w:rPr>
          <w:color w:val="000000"/>
        </w:rPr>
      </w:pPr>
      <w:r>
        <w:rPr>
          <w:color w:val="000000"/>
        </w:rPr>
        <w:t>30.1</w:t>
      </w:r>
      <w:r>
        <w:rPr>
          <w:color w:val="000000"/>
        </w:rPr>
        <w:t>. kai prijungiamo gamintojo, naudojančio atsinaujinančius energijos išteklius, elektros energijos gamybos įrenginių įrengtoji galia viršija 350 kW, toks prijungiamas gamintojas moka 40 proc. faktinės prijungimo paslaugos prie tinklo atliktų rangos darbų kainos (prijungimo įmokos), o prijungiantis operatorius moka 60 proc. faktinės prijungimo prie tinklo atliktų darbų kainos (prijungimo įmokos);</w:t>
      </w:r>
    </w:p>
    <w:p>
      <w:pPr>
        <w:widowControl w:val="0"/>
        <w:suppressAutoHyphens/>
        <w:ind w:firstLine="567"/>
        <w:jc w:val="both"/>
        <w:rPr>
          <w:color w:val="000000"/>
        </w:rPr>
      </w:pPr>
      <w:r>
        <w:rPr>
          <w:color w:val="000000"/>
          <w:szCs w:val="24"/>
          <w:lang w:eastAsia="lt-LT"/>
        </w:rPr>
        <w:t>30.2</w:t>
      </w:r>
      <w:r>
        <w:rPr>
          <w:color w:val="000000"/>
          <w:szCs w:val="24"/>
          <w:lang w:eastAsia="lt-LT"/>
        </w:rPr>
        <w:t>. kai prijungiamo gamintojo, naudojančio atsinaujinančius energijos išteklius, elektros energijos gamybos įrenginių įrengtoji galia yra ne didesnė kaip 350 kW, toks prijungiamas gamintojas moka 20 proc. faktinės prijungimo paslaugos prie tinklo atliktų rangos darbų kainos (prijungimo įmokos), o prijungiantis operatorius moka 80 proc. faktinės prijungimo prie tinklo atliktų darbų kainos (prijungimo įmokos);</w:t>
      </w:r>
      <w:r>
        <w:t xml:space="preserve"> </w:t>
      </w:r>
    </w:p>
    <w:p>
      <w:pPr>
        <w:pStyle w:val="PlainText"/>
        <w:ind w:firstLine="567"/>
        <w:jc w:val="both"/>
        <w:rPr>
          <w:rFonts w:ascii="Times New Roman" w:hAnsi="Times New Roman"/>
          <w:b/>
          <w:bCs/>
          <w:sz w:val="22"/>
        </w:rPr>
      </w:pPr>
      <w:r>
        <w:rPr>
          <w:rFonts w:ascii="Times New Roman" w:hAnsi="Times New Roman"/>
          <w:sz w:val="22"/>
        </w:rPr>
        <w:t>30.3</w:t>
      </w:r>
      <w:r>
        <w:rPr>
          <w:rFonts w:ascii="Times New Roman" w:hAnsi="Times New Roman"/>
          <w:sz w:val="22"/>
        </w:rPr>
        <w:t>.</w:t>
      </w:r>
      <w:r>
        <w:rPr>
          <w:rFonts w:ascii="Times New Roman" w:eastAsia="MS Mincho" w:hAnsi="Times New Roman"/>
          <w:sz w:val="20"/>
          <w:i/>
          <w:iCs/>
        </w:rPr>
        <w:t xml:space="preserve"> Neteko galios nuo 2013-05-08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widowControl w:val="0"/>
        <w:suppressAutoHyphens/>
        <w:ind w:firstLine="567"/>
        <w:jc w:val="both"/>
        <w:rPr>
          <w:color w:val="000000"/>
        </w:rPr>
      </w:pPr>
      <w:r>
        <w:rPr>
          <w:color w:val="000000"/>
        </w:rPr>
        <w:t>30.4</w:t>
      </w:r>
      <w:r>
        <w:rPr>
          <w:color w:val="000000"/>
        </w:rPr>
        <w:t>. išlaidas, patiriamas dėl prijungimo taško pakeitimo, prisijungiantis gamintojas, naudojantis atsinaujinančius energijos išteklius, ar operatorius apmoka, o tinklo plėtros, optimizavimo ir (ar) rekonstrukcijos sąnaudas gamintojas kompensuoja operatoriui Lietuvos Respublikos atsinaujinančių išteklių energetikos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pStyle w:val="PlainText"/>
        <w:ind w:firstLine="567"/>
        <w:jc w:val="both"/>
        <w:rPr>
          <w:rFonts w:ascii="Times New Roman" w:hAnsi="Times New Roman"/>
          <w:b/>
          <w:bCs/>
          <w:sz w:val="22"/>
        </w:rPr>
      </w:pPr>
      <w:r>
        <w:rPr>
          <w:rFonts w:ascii="Times New Roman" w:hAnsi="Times New Roman"/>
          <w:sz w:val="22"/>
        </w:rPr>
        <w:t>31</w:t>
      </w:r>
      <w:r>
        <w:rPr>
          <w:rFonts w:ascii="Times New Roman" w:hAnsi="Times New Roman"/>
          <w:sz w:val="22"/>
        </w:rPr>
        <w:t>.</w:t>
      </w:r>
      <w:r>
        <w:rPr>
          <w:rFonts w:ascii="Times New Roman" w:eastAsia="MS Mincho" w:hAnsi="Times New Roman"/>
          <w:sz w:val="20"/>
          <w:i/>
          <w:iCs/>
        </w:rPr>
        <w:t xml:space="preserve"> Neteko galios nuo 2012-09-20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szCs w:val="24"/>
          <w:lang w:eastAsia="lt-LT"/>
        </w:rPr>
        <w:t>31</w:t>
      </w:r>
      <w:r>
        <w:rPr>
          <w:color w:val="000000"/>
          <w:szCs w:val="24"/>
          <w:lang w:eastAsia="lt-LT"/>
        </w:rPr>
        <w:t>. Jei elektros energijos gamintojai, naudojantys atsinaujinančius energijos išteklius, nėra skatinami Atsinaujinančių išteklių energetikos įstatymo nustatyta tvarka, jų elektros energijos įrenginiai prijungiami prie elektros tinklų Metodikos III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REIKALAVIMAI, SUSIJĘ SU VARTOTOJŲ ELEKTROS ENERGIJOS ĮRENGINIŲ PRIJUNGIMO ĮKAINIŲ NUSTATYMU</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Skirstomųjų tinklų operatorius kiekvienais metais teikia Komisijai ataskaitą pagal Metodikos priede nurodytą formą ne vėliau kaip iki vasario 15 d. už praėjusius kalendorinius metus.</w:t>
      </w:r>
    </w:p>
    <w:p>
      <w:pPr>
        <w:widowControl w:val="0"/>
        <w:suppressAutoHyphens/>
        <w:ind w:firstLine="567"/>
        <w:jc w:val="both"/>
        <w:rPr>
          <w:color w:val="000000"/>
        </w:rPr>
      </w:pPr>
      <w:r>
        <w:rPr>
          <w:color w:val="000000"/>
        </w:rPr>
        <w:t>33</w:t>
      </w:r>
      <w:r>
        <w:rPr>
          <w:color w:val="000000"/>
        </w:rPr>
        <w:t>. Komisija ne vėliau kaip iki einamųjų kalendorinių metų balandžio 30 d. apskaičiuoja, tvirtina ir savo interneto tinklalapyje skelbia vartotojų įrenginių prijungimo įkainius. Komisija naujus prijungimo įkainius nustato, jei, palyginus su galiojančiais, nauji prijungimo įkainiai keičiasi 3 proc. ir daugiau. Prijungimo prie elektros tinklų paslaugos suteikimo sutartims taikomi sutarties pasirašymo dieną galiojantys Komisijos patvirtinti prijungimo įkainiai. Komisijai patvirtinus naujus prijungimo įkainius, jie taikomi pasirašant sutartis tik po naujų prijungimo įkainių įsigaliojimo dienos.</w:t>
      </w:r>
    </w:p>
    <w:p>
      <w:pPr>
        <w:widowControl w:val="0"/>
        <w:suppressAutoHyphens/>
        <w:ind w:firstLine="567"/>
        <w:jc w:val="both"/>
        <w:rPr>
          <w:color w:val="000000"/>
        </w:rPr>
      </w:pPr>
      <w:r>
        <w:rPr>
          <w:color w:val="000000"/>
        </w:rPr>
        <w:t>34</w:t>
      </w:r>
      <w:r>
        <w:rPr>
          <w:color w:val="000000"/>
        </w:rPr>
        <w:t>. Operatorius privalo prijungimo prie elektros tinklų paslaugos suteikimo sutartyje skaidriai nurodyti vartotojo įrenginių prijungimo įmokos apskaičiavimo būdą (prijungimo įmoką) ir vartotojui tenkančią prijungimo įmokos dalį.</w:t>
      </w:r>
    </w:p>
    <w:p>
      <w:pPr>
        <w:widowControl w:val="0"/>
        <w:suppressAutoHyphens/>
        <w:ind w:firstLine="567"/>
        <w:jc w:val="both"/>
        <w:rPr>
          <w:color w:val="000000"/>
        </w:rPr>
      </w:pPr>
      <w:r>
        <w:rPr>
          <w:color w:val="000000"/>
        </w:rPr>
        <w:t>35</w:t>
      </w:r>
      <w:r>
        <w:rPr>
          <w:color w:val="000000"/>
        </w:rPr>
        <w:t>. Operatorius, organizavęs viešąjį pirkimą, Metodikos 15 punkte nurodytu atveju prijungiamo elektros energijos vartotojo prašymu per 10 darbo dienų privalo šiam vartotojui pateikti informaciją, susijusią su viešuoju pirkimu ir rangos darbų vykdymu.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REIKALAVIMAI, SUSIJĘ SU GAMINTOJŲ ELEKTROS ENERGIJOS ĮRENGINIŲ PRIJUNGIMO ĮKAINIŲ NUSTATYMU</w:t>
      </w:r>
    </w:p>
    <w:p>
      <w:pPr>
        <w:widowControl w:val="0"/>
        <w:suppressAutoHyphens/>
        <w:ind w:firstLine="567"/>
        <w:jc w:val="both"/>
        <w:rPr>
          <w:color w:val="000000"/>
        </w:rPr>
      </w:pPr>
    </w:p>
    <w:p>
      <w:pPr>
        <w:widowControl w:val="0"/>
        <w:suppressAutoHyphens/>
        <w:ind w:firstLine="567"/>
        <w:jc w:val="both"/>
      </w:pPr>
      <w:r>
        <w:rPr>
          <w:color w:val="000000"/>
        </w:rPr>
        <w:t>36</w:t>
      </w:r>
      <w:r>
        <w:rPr>
          <w:color w:val="000000"/>
        </w:rPr>
        <w:t>. Operatorius, organizavęs viešąjį pirkimą, Metodikos 22 punkte nurodytu atveju prijungiamo elektros energijos gamintojo prašymu per 10 darbo dienų privalo šiam gamintojui pateikti informaciją, susijusią su viešuoju pirkimu ir rangos darbų vykdymu.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REIKALAVIMAI, SUSIJĘ SU GAMINTOJŲ, NAUDOJANČIŲ ATSINAUJINANČIUS ENERGIJOS IŠTEKLIUS, ELEKTROS ENERGIJOS ĮRENGINIŲ PRIJUNGIMO ĮKAINIŲ NUSTATYMU</w:t>
      </w:r>
    </w:p>
    <w:p>
      <w:pPr>
        <w:widowControl w:val="0"/>
        <w:suppressAutoHyphens/>
        <w:ind w:firstLine="567"/>
        <w:jc w:val="both"/>
        <w:rPr>
          <w:color w:val="000000"/>
        </w:rPr>
      </w:pPr>
    </w:p>
    <w:p>
      <w:pPr>
        <w:widowControl w:val="0"/>
        <w:suppressAutoHyphens/>
        <w:ind w:firstLine="567"/>
        <w:jc w:val="both"/>
        <w:rPr>
          <w:color w:val="000000"/>
        </w:rPr>
      </w:pPr>
      <w:r>
        <w:rPr>
          <w:color w:val="000000"/>
        </w:rPr>
        <w:t>37</w:t>
      </w:r>
      <w:r>
        <w:rPr>
          <w:color w:val="000000"/>
        </w:rPr>
        <w:t>. Operatorius, organizavęs viešąjį pirkimą, Metodikos 28 punkte nurodytu atveju prijungiamo elektros energijos gamintojo, naudojančio atsinaujinančius energetikos išteklius, prašymu per 10 darbo dienų privalo šiam gamintojui pateikti informaciją, susijusią su viešuoju pirkimu ir rangos darbų vykdymu.</w:t>
      </w:r>
    </w:p>
    <w:p>
      <w:pPr>
        <w:widowControl w:val="0"/>
        <w:suppressAutoHyphens/>
        <w:ind w:firstLine="567"/>
        <w:jc w:val="both"/>
        <w:rPr>
          <w:color w:val="000000"/>
        </w:rPr>
      </w:pPr>
      <w:r>
        <w:rPr>
          <w:color w:val="000000"/>
        </w:rPr>
        <w:t>38</w:t>
      </w:r>
      <w:r>
        <w:rPr>
          <w:color w:val="000000"/>
        </w:rPr>
        <w:t>. Operatorius teikia informaciją Komisijai ir Viešuosius interesus atitinkančių paslaugų administratoriui Viešuosius interesus atitinkančių paslaugų elektros energetikos sektoriuje kainos nustatymo metodikos ir Viešuosius interesus atitinkančių paslaugų lėšų administravimo tvarkos aprašo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Komisija turi teisę Energetikos įstatymo 25 straipsnio 1 dalies ir kitų teisės aktų nustatyta tvarka iš energetikos įmonių ar asmenų, kurių vykdoma veikla tiesiogiai ar netiesiogiai susijusi su energetikos veikla, bei valstybės institucijų gauti visą reikalingą informaciją ir dokumentus, būtinus prijungimo įkainiams apskaičiuoti ir nustatyti.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114DE0ABE2">
        <w:r w:rsidRPr="00532B9F">
          <w:rPr>
            <w:rFonts w:ascii="Times New Roman" w:eastAsia="MS Mincho" w:hAnsi="Times New Roman"/>
            <w:sz w:val="20"/>
            <w:i/>
            <w:iCs/>
            <w:color w:val="0000FF" w:themeColor="hyperlink"/>
            <w:u w:val="single"/>
          </w:rPr>
          <w:t>O3-248</w:t>
        </w:r>
      </w:fldSimple>
      <w:r>
        <w:rPr>
          <w:rFonts w:ascii="Times New Roman" w:eastAsia="MS Mincho" w:hAnsi="Times New Roman"/>
          <w:sz w:val="20"/>
          <w:i/>
          <w:iCs/>
        </w:rPr>
        <w:t>,
2012-09-14,
Žin., 2012, Nr.
108-5510 (2012-09-19), i. k. 112106ANUTA00O3-248            </w:t>
      </w:r>
    </w:p>
    <w:p/>
    <w:p>
      <w:pPr>
        <w:widowControl w:val="0"/>
        <w:suppressAutoHyphens/>
        <w:ind w:firstLine="567"/>
        <w:jc w:val="both"/>
        <w:rPr>
          <w:color w:val="000000"/>
        </w:rPr>
      </w:pPr>
      <w:r>
        <w:rPr>
          <w:color w:val="000000"/>
        </w:rPr>
        <w:t>40</w:t>
      </w:r>
      <w:r>
        <w:rPr>
          <w:color w:val="000000"/>
        </w:rPr>
        <w:t>. Asmenys, pažeidę šios Metodikos reikalavimus, atsako Lietuvos Respublikos įstatymų nustatyta tvarka.</w:t>
      </w:r>
    </w:p>
    <w:p>
      <w:pPr>
        <w:widowControl w:val="0"/>
        <w:suppressAutoHyphens/>
        <w:ind w:firstLine="567"/>
        <w:jc w:val="both"/>
        <w:rPr>
          <w:color w:val="000000"/>
        </w:rPr>
      </w:pPr>
      <w:r>
        <w:rPr>
          <w:color w:val="000000"/>
        </w:rPr>
        <w:t>41</w:t>
      </w:r>
      <w:r>
        <w:rPr>
          <w:color w:val="000000"/>
        </w:rPr>
        <w:t>. Komisijos veiksmai arba neveikimas, įgyvendinant šią Metodiką, gali būti skundžiami Lietuvos Respublikos įstatymų nustatyta tvarka ir sąlygomis.</w:t>
      </w:r>
    </w:p>
    <w:p>
      <w:pPr>
        <w:widowControl w:val="0"/>
        <w:suppressAutoHyphens/>
        <w:jc w:val="center"/>
        <w:rPr>
          <w:color w:val="000000"/>
        </w:rPr>
      </w:pPr>
      <w:r>
        <w:rPr>
          <w:color w:val="000000"/>
        </w:rPr>
        <w:t>_________________</w:t>
      </w:r>
    </w:p>
    <w:p>
      <w:pPr>
        <w:keepLines/>
        <w:tabs>
          <w:tab w:val="left" w:pos="1304"/>
          <w:tab w:val="left" w:pos="1457"/>
          <w:tab w:val="left" w:pos="1604"/>
          <w:tab w:val="left" w:pos="1757"/>
        </w:tabs>
        <w:suppressAutoHyphens/>
        <w:ind w:left="4535"/>
        <w:textAlignment w:val="center"/>
        <w:rPr>
          <w:color w:val="000000"/>
          <w:sz w:val="22"/>
          <w:szCs w:val="22"/>
          <w:lang w:val="nl-NL" w:eastAsia="lt-LT"/>
        </w:rPr>
      </w:pPr>
      <w:r>
        <w:rPr>
          <w:color w:val="000000"/>
          <w:sz w:val="20"/>
          <w:lang w:val="nl-NL" w:eastAsia="lt-LT"/>
        </w:rPr>
        <w:br w:type="page"/>
      </w:r>
      <w:r>
        <w:rPr>
          <w:color w:val="000000"/>
          <w:sz w:val="22"/>
          <w:szCs w:val="22"/>
          <w:lang w:val="nl-NL" w:eastAsia="lt-LT"/>
        </w:rPr>
        <w:t xml:space="preserve">Elektros energijos įrenginių </w:t>
      </w:r>
    </w:p>
    <w:p>
      <w:pPr>
        <w:keepLines/>
        <w:tabs>
          <w:tab w:val="left" w:pos="1304"/>
          <w:tab w:val="left" w:pos="1457"/>
          <w:tab w:val="left" w:pos="1604"/>
          <w:tab w:val="left" w:pos="1757"/>
        </w:tabs>
        <w:suppressAutoHyphens/>
        <w:ind w:left="4535"/>
        <w:textAlignment w:val="center"/>
        <w:rPr>
          <w:color w:val="000000"/>
          <w:sz w:val="22"/>
          <w:szCs w:val="22"/>
          <w:lang w:val="nl-NL" w:eastAsia="lt-LT"/>
        </w:rPr>
      </w:pPr>
      <w:r>
        <w:rPr>
          <w:color w:val="000000"/>
          <w:sz w:val="22"/>
          <w:szCs w:val="22"/>
          <w:lang w:val="nl-NL" w:eastAsia="lt-LT"/>
        </w:rPr>
        <w:t xml:space="preserve">prijungimo prie elektros tinklų </w:t>
      </w:r>
    </w:p>
    <w:p>
      <w:pPr>
        <w:keepLines/>
        <w:tabs>
          <w:tab w:val="left" w:pos="1304"/>
          <w:tab w:val="left" w:pos="1457"/>
          <w:tab w:val="left" w:pos="1604"/>
          <w:tab w:val="left" w:pos="1757"/>
        </w:tabs>
        <w:suppressAutoHyphens/>
        <w:ind w:left="4535"/>
        <w:textAlignment w:val="center"/>
        <w:rPr>
          <w:color w:val="000000"/>
          <w:sz w:val="22"/>
          <w:szCs w:val="22"/>
          <w:lang w:val="nl-NL" w:eastAsia="lt-LT"/>
        </w:rPr>
      </w:pPr>
      <w:r>
        <w:rPr>
          <w:color w:val="000000"/>
          <w:sz w:val="22"/>
          <w:szCs w:val="22"/>
          <w:lang w:val="nl-NL" w:eastAsia="lt-LT"/>
        </w:rPr>
        <w:t xml:space="preserve">įkainių nustatymo metodikos </w:t>
      </w:r>
    </w:p>
    <w:p>
      <w:pPr>
        <w:keepLines/>
        <w:tabs>
          <w:tab w:val="left" w:pos="1304"/>
          <w:tab w:val="left" w:pos="1457"/>
          <w:tab w:val="left" w:pos="1604"/>
          <w:tab w:val="left" w:pos="1757"/>
        </w:tabs>
        <w:suppressAutoHyphens/>
        <w:ind w:left="4535"/>
        <w:textAlignment w:val="center"/>
        <w:rPr>
          <w:color w:val="000000"/>
          <w:sz w:val="22"/>
          <w:szCs w:val="22"/>
          <w:lang w:val="nl-NL" w:eastAsia="lt-LT"/>
        </w:rPr>
      </w:pPr>
      <w:r>
        <w:rPr>
          <w:color w:val="000000"/>
          <w:sz w:val="22"/>
          <w:szCs w:val="22"/>
          <w:lang w:val="nl-NL" w:eastAsia="lt-LT"/>
        </w:rPr>
        <w:t>priedas</w:t>
      </w:r>
    </w:p>
    <w:p>
      <w:pPr>
        <w:jc w:val="center"/>
        <w:rPr>
          <w:szCs w:val="24"/>
          <w:lang w:eastAsia="lt-LT"/>
        </w:rPr>
      </w:pPr>
    </w:p>
    <w:p>
      <w:pPr>
        <w:tabs>
          <w:tab w:val="left" w:leader="dot" w:pos="9912"/>
        </w:tabs>
        <w:jc w:val="center"/>
        <w:rPr>
          <w:b/>
          <w:sz w:val="20"/>
          <w:szCs w:val="24"/>
          <w:lang w:eastAsia="lt-LT"/>
        </w:rPr>
      </w:pPr>
      <w:r>
        <w:rPr>
          <w:b/>
          <w:sz w:val="20"/>
          <w:szCs w:val="24"/>
          <w:lang w:eastAsia="lt-LT"/>
        </w:rPr>
        <w:t xml:space="preserve">NAUJŲ VARTOTOJŲ ELEKTROS ĮRENGINIŲ PRIJUNGIMO </w:t>
      </w:r>
    </w:p>
    <w:p>
      <w:pPr>
        <w:tabs>
          <w:tab w:val="left" w:leader="dot" w:pos="9912"/>
        </w:tabs>
        <w:jc w:val="center"/>
        <w:rPr>
          <w:b/>
          <w:sz w:val="20"/>
          <w:szCs w:val="24"/>
          <w:lang w:eastAsia="lt-LT"/>
        </w:rPr>
      </w:pPr>
      <w:r>
        <w:rPr>
          <w:b/>
          <w:sz w:val="20"/>
          <w:szCs w:val="24"/>
          <w:lang w:eastAsia="lt-LT"/>
        </w:rPr>
        <w:t>ATASKAITA UŽ 20...... METUS</w:t>
      </w:r>
    </w:p>
    <w:p>
      <w:pPr>
        <w:jc w:val="center"/>
        <w:rPr>
          <w:sz w:val="20"/>
          <w:szCs w:val="24"/>
          <w:lang w:eastAsia="lt-LT"/>
        </w:rPr>
      </w:pPr>
    </w:p>
    <w:tbl>
      <w:tblPr>
        <w:tblW w:w="9070" w:type="dxa"/>
        <w:tblCellMar>
          <w:left w:w="40" w:type="dxa"/>
          <w:right w:w="40" w:type="dxa"/>
        </w:tblCellMar>
        <w:tblLook w:val="0000" w:firstRow="0" w:lastRow="0" w:firstColumn="0" w:lastColumn="0" w:noHBand="0" w:noVBand="0"/>
      </w:tblPr>
      <w:tblGrid>
        <w:gridCol w:w="2637"/>
        <w:gridCol w:w="1649"/>
        <w:gridCol w:w="2926"/>
        <w:gridCol w:w="1858"/>
      </w:tblGrid>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Duomenys apie ūkio subjektą:</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Duomenys apie kontaktinį asmenį:</w:t>
            </w: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Pavadinimas</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V., pavardė</w:t>
            </w: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Kodas</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Pareigos</w:t>
            </w: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Buveinės adresas</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Telefonas</w:t>
            </w: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Telefonas</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Faksas</w:t>
            </w: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Faksas</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El. paštas</w:t>
            </w: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Tinklalapis</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454"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El. paštas</w:t>
            </w:r>
          </w:p>
        </w:tc>
        <w:tc>
          <w:tcPr>
            <w:tcW w:w="909"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61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024"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bl>
    <w:p>
      <w:pPr>
        <w:tabs>
          <w:tab w:val="left" w:leader="underscore" w:pos="11808"/>
        </w:tabs>
        <w:ind w:firstLine="720"/>
        <w:jc w:val="both"/>
        <w:rPr>
          <w:sz w:val="20"/>
          <w:szCs w:val="24"/>
          <w:lang w:eastAsia="lt-LT"/>
        </w:rPr>
      </w:pPr>
    </w:p>
    <w:p>
      <w:pPr>
        <w:widowControl w:val="0"/>
        <w:tabs>
          <w:tab w:val="right" w:pos="9071"/>
        </w:tabs>
        <w:ind w:firstLine="720"/>
        <w:jc w:val="both"/>
        <w:rPr>
          <w:sz w:val="20"/>
          <w:szCs w:val="24"/>
          <w:lang w:eastAsia="lt-LT"/>
        </w:rPr>
      </w:pPr>
      <w:r>
        <w:rPr>
          <w:sz w:val="20"/>
          <w:szCs w:val="24"/>
          <w:lang w:eastAsia="lt-LT"/>
        </w:rPr>
        <w:t xml:space="preserve">Valstybinei kainų ir energetikos kontrolės komisijai </w:t>
        <w:tab/>
        <w:t>______________</w:t>
      </w:r>
    </w:p>
    <w:p>
      <w:pPr>
        <w:widowControl w:val="0"/>
        <w:tabs>
          <w:tab w:val="right" w:pos="9071"/>
        </w:tabs>
        <w:ind w:firstLine="720"/>
        <w:jc w:val="both"/>
        <w:rPr>
          <w:sz w:val="20"/>
          <w:szCs w:val="24"/>
          <w:lang w:eastAsia="lt-LT"/>
        </w:rPr>
      </w:pPr>
      <w:r>
        <w:rPr>
          <w:sz w:val="20"/>
          <w:szCs w:val="24"/>
          <w:lang w:eastAsia="lt-LT"/>
        </w:rPr>
        <w:t>Verkių g. 25C, 08223 Vilnius, rastine@regula.lt</w:t>
        <w:tab/>
        <w:t>(sudarymo data)</w:t>
      </w:r>
    </w:p>
    <w:p>
      <w:pPr>
        <w:ind w:firstLine="720"/>
        <w:jc w:val="both"/>
        <w:rPr>
          <w:sz w:val="20"/>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892"/>
        <w:gridCol w:w="855"/>
        <w:gridCol w:w="736"/>
        <w:gridCol w:w="616"/>
        <w:gridCol w:w="616"/>
        <w:gridCol w:w="791"/>
        <w:gridCol w:w="923"/>
        <w:gridCol w:w="730"/>
        <w:gridCol w:w="590"/>
        <w:gridCol w:w="712"/>
        <w:gridCol w:w="692"/>
        <w:gridCol w:w="917"/>
      </w:tblGrid>
      <w:tr>
        <w:trPr>
          <w:trHeight w:val="1068"/>
        </w:trPr>
        <w:tc>
          <w:tcPr>
            <w:tcW w:w="896" w:type="dxa"/>
            <w:vMerge w:val="restart"/>
            <w:tcBorders>
              <w:top w:val="single" w:sz="6" w:space="0" w:color="auto"/>
              <w:left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Vartotojų grupė</w:t>
            </w:r>
          </w:p>
        </w:tc>
        <w:tc>
          <w:tcPr>
            <w:tcW w:w="858" w:type="dxa"/>
            <w:vMerge w:val="restart"/>
            <w:tcBorders>
              <w:top w:val="single" w:sz="6" w:space="0" w:color="auto"/>
              <w:left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Įkainis</w:t>
            </w:r>
          </w:p>
        </w:tc>
        <w:tc>
          <w:tcPr>
            <w:tcW w:w="739" w:type="dxa"/>
            <w:vMerge w:val="restart"/>
            <w:tcBorders>
              <w:top w:val="single" w:sz="6" w:space="0" w:color="auto"/>
              <w:left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Vartotojo tipas</w:t>
            </w:r>
          </w:p>
        </w:tc>
        <w:tc>
          <w:tcPr>
            <w:tcW w:w="618" w:type="dxa"/>
            <w:vMerge w:val="restart"/>
            <w:tcBorders>
              <w:top w:val="single" w:sz="6" w:space="0" w:color="auto"/>
              <w:left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Naujų vartotojų skaičius</w:t>
            </w:r>
          </w:p>
        </w:tc>
        <w:tc>
          <w:tcPr>
            <w:tcW w:w="618" w:type="dxa"/>
            <w:vMerge w:val="restart"/>
            <w:tcBorders>
              <w:top w:val="single" w:sz="6" w:space="0" w:color="auto"/>
              <w:left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Prijungta leistinoji naudoti galia</w:t>
            </w:r>
          </w:p>
        </w:tc>
        <w:tc>
          <w:tcPr>
            <w:tcW w:w="1720"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Elektros tinklo ilgis</w:t>
            </w:r>
          </w:p>
        </w:tc>
        <w:tc>
          <w:tcPr>
            <w:tcW w:w="132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Vartotojo sumokėtas prijungimo paslaugos mokestis</w:t>
            </w:r>
          </w:p>
        </w:tc>
        <w:tc>
          <w:tcPr>
            <w:tcW w:w="232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Operatoriaus patirtos išlaidos</w:t>
            </w:r>
          </w:p>
        </w:tc>
      </w:tr>
      <w:tr>
        <w:trPr>
          <w:trHeight w:val="112"/>
        </w:trPr>
        <w:tc>
          <w:tcPr>
            <w:tcW w:w="896" w:type="dxa"/>
            <w:vMerge/>
            <w:tcBorders>
              <w:left w:val="single" w:sz="6" w:space="0" w:color="auto"/>
              <w:right w:val="single" w:sz="6" w:space="0" w:color="auto"/>
            </w:tcBorders>
            <w:tcMar>
              <w:left w:w="28" w:type="dxa"/>
              <w:right w:w="28" w:type="dxa"/>
            </w:tcMar>
            <w:vAlign w:val="center"/>
          </w:tcPr>
          <w:p>
            <w:pPr>
              <w:jc w:val="center"/>
              <w:rPr>
                <w:sz w:val="18"/>
                <w:szCs w:val="24"/>
                <w:lang w:eastAsia="lt-LT"/>
              </w:rPr>
            </w:pPr>
          </w:p>
        </w:tc>
        <w:tc>
          <w:tcPr>
            <w:tcW w:w="858" w:type="dxa"/>
            <w:vMerge/>
            <w:tcBorders>
              <w:left w:val="single" w:sz="6" w:space="0" w:color="auto"/>
              <w:right w:val="single" w:sz="6" w:space="0" w:color="auto"/>
            </w:tcBorders>
            <w:tcMar>
              <w:left w:w="28" w:type="dxa"/>
              <w:right w:w="28" w:type="dxa"/>
            </w:tcMar>
            <w:vAlign w:val="center"/>
          </w:tcPr>
          <w:p>
            <w:pPr>
              <w:jc w:val="center"/>
              <w:rPr>
                <w:sz w:val="18"/>
                <w:szCs w:val="24"/>
                <w:lang w:eastAsia="lt-LT"/>
              </w:rPr>
            </w:pPr>
          </w:p>
        </w:tc>
        <w:tc>
          <w:tcPr>
            <w:tcW w:w="739" w:type="dxa"/>
            <w:vMerge/>
            <w:tcBorders>
              <w:left w:val="single" w:sz="6" w:space="0" w:color="auto"/>
              <w:right w:val="single" w:sz="6" w:space="0" w:color="auto"/>
            </w:tcBorders>
            <w:tcMar>
              <w:left w:w="28" w:type="dxa"/>
              <w:right w:w="28" w:type="dxa"/>
            </w:tcMar>
            <w:vAlign w:val="center"/>
          </w:tcPr>
          <w:p>
            <w:pPr>
              <w:jc w:val="center"/>
              <w:rPr>
                <w:sz w:val="18"/>
                <w:szCs w:val="24"/>
                <w:lang w:eastAsia="lt-LT"/>
              </w:rPr>
            </w:pPr>
          </w:p>
        </w:tc>
        <w:tc>
          <w:tcPr>
            <w:tcW w:w="618" w:type="dxa"/>
            <w:vMerge/>
            <w:tcBorders>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p>
        </w:tc>
        <w:tc>
          <w:tcPr>
            <w:tcW w:w="618" w:type="dxa"/>
            <w:vMerge/>
            <w:tcBorders>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nutiesta elektros tinklų</w:t>
            </w:r>
          </w:p>
        </w:tc>
        <w:tc>
          <w:tcPr>
            <w:tcW w:w="92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apmokestintas geometrinis atstumas</w:t>
            </w:r>
          </w:p>
        </w:tc>
        <w:tc>
          <w:tcPr>
            <w:tcW w:w="73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už leistinąją naudoti galią</w:t>
            </w:r>
          </w:p>
        </w:tc>
        <w:tc>
          <w:tcPr>
            <w:tcW w:w="5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už atstumą</w:t>
            </w:r>
          </w:p>
        </w:tc>
        <w:tc>
          <w:tcPr>
            <w:tcW w:w="71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leistinajai naudoti galiai įrengti</w:t>
            </w:r>
          </w:p>
        </w:tc>
        <w:tc>
          <w:tcPr>
            <w:tcW w:w="6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elektros linijoms tiesti</w:t>
            </w:r>
          </w:p>
        </w:tc>
        <w:tc>
          <w:tcPr>
            <w:tcW w:w="9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projektavimo išlaidos</w:t>
            </w:r>
          </w:p>
        </w:tc>
      </w:tr>
      <w:tr>
        <w:trPr>
          <w:trHeight w:val="112"/>
        </w:trPr>
        <w:tc>
          <w:tcPr>
            <w:tcW w:w="896" w:type="dxa"/>
            <w:vMerge/>
            <w:tcBorders>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p>
        </w:tc>
        <w:tc>
          <w:tcPr>
            <w:tcW w:w="858" w:type="dxa"/>
            <w:vMerge/>
            <w:tcBorders>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p>
        </w:tc>
        <w:tc>
          <w:tcPr>
            <w:tcW w:w="739" w:type="dxa"/>
            <w:tcBorders>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p>
        </w:tc>
        <w:tc>
          <w:tcPr>
            <w:tcW w:w="61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vnt.</w:t>
            </w:r>
          </w:p>
        </w:tc>
        <w:tc>
          <w:tcPr>
            <w:tcW w:w="61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kW</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m</w:t>
            </w:r>
          </w:p>
        </w:tc>
        <w:tc>
          <w:tcPr>
            <w:tcW w:w="92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m</w:t>
            </w:r>
          </w:p>
        </w:tc>
        <w:tc>
          <w:tcPr>
            <w:tcW w:w="73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Lt</w:t>
            </w:r>
          </w:p>
        </w:tc>
        <w:tc>
          <w:tcPr>
            <w:tcW w:w="5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Lt</w:t>
            </w:r>
          </w:p>
        </w:tc>
        <w:tc>
          <w:tcPr>
            <w:tcW w:w="71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Lt</w:t>
            </w:r>
          </w:p>
        </w:tc>
        <w:tc>
          <w:tcPr>
            <w:tcW w:w="6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Lt</w:t>
            </w:r>
          </w:p>
        </w:tc>
        <w:tc>
          <w:tcPr>
            <w:tcW w:w="9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pPr>
              <w:jc w:val="center"/>
              <w:rPr>
                <w:sz w:val="18"/>
                <w:szCs w:val="24"/>
                <w:lang w:eastAsia="lt-LT"/>
              </w:rPr>
            </w:pPr>
            <w:r>
              <w:rPr>
                <w:sz w:val="18"/>
                <w:szCs w:val="24"/>
                <w:lang w:eastAsia="lt-LT"/>
              </w:rPr>
              <w:t>Lt</w:t>
            </w:r>
          </w:p>
        </w:tc>
      </w:tr>
    </w:tbl>
    <w:p>
      <w:pPr>
        <w:rPr>
          <w:sz w:val="2"/>
          <w:szCs w:val="24"/>
          <w:lang w:eastAsia="lt-LT"/>
        </w:rPr>
      </w:pPr>
    </w:p>
    <w:tbl>
      <w:tblPr>
        <w:tblW w:w="4973" w:type="pct"/>
        <w:tblInd w:w="12" w:type="dxa"/>
        <w:tblLayout w:type="fixed"/>
        <w:tblCellMar>
          <w:left w:w="40" w:type="dxa"/>
          <w:right w:w="40" w:type="dxa"/>
        </w:tblCellMar>
        <w:tblLook w:val="0000" w:firstRow="0" w:lastRow="0" w:firstColumn="0" w:lastColumn="0" w:noHBand="0" w:noVBand="0"/>
      </w:tblPr>
      <w:tblGrid>
        <w:gridCol w:w="878"/>
        <w:gridCol w:w="19"/>
        <w:gridCol w:w="859"/>
        <w:gridCol w:w="739"/>
        <w:gridCol w:w="618"/>
        <w:gridCol w:w="618"/>
        <w:gridCol w:w="794"/>
        <w:gridCol w:w="925"/>
        <w:gridCol w:w="732"/>
        <w:gridCol w:w="592"/>
        <w:gridCol w:w="714"/>
        <w:gridCol w:w="695"/>
        <w:gridCol w:w="920"/>
      </w:tblGrid>
      <w:tr>
        <w:trPr>
          <w:cantSplit/>
          <w:trHeight w:val="209"/>
          <w:tblHeader/>
        </w:trPr>
        <w:tc>
          <w:tcPr>
            <w:tcW w:w="897" w:type="dxa"/>
            <w:gridSpan w:val="2"/>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1</w:t>
            </w:r>
          </w:p>
        </w:tc>
        <w:tc>
          <w:tcPr>
            <w:tcW w:w="859"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2</w:t>
            </w:r>
          </w:p>
        </w:tc>
        <w:tc>
          <w:tcPr>
            <w:tcW w:w="739"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3</w:t>
            </w:r>
          </w:p>
        </w:tc>
        <w:tc>
          <w:tcPr>
            <w:tcW w:w="618"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4</w:t>
            </w:r>
          </w:p>
        </w:tc>
        <w:tc>
          <w:tcPr>
            <w:tcW w:w="618"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5</w:t>
            </w:r>
          </w:p>
        </w:tc>
        <w:tc>
          <w:tcPr>
            <w:tcW w:w="794"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6</w:t>
            </w:r>
          </w:p>
        </w:tc>
        <w:tc>
          <w:tcPr>
            <w:tcW w:w="925"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7</w:t>
            </w:r>
          </w:p>
        </w:tc>
        <w:tc>
          <w:tcPr>
            <w:tcW w:w="732"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8</w:t>
            </w:r>
          </w:p>
        </w:tc>
        <w:tc>
          <w:tcPr>
            <w:tcW w:w="592"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9</w:t>
            </w:r>
          </w:p>
        </w:tc>
        <w:tc>
          <w:tcPr>
            <w:tcW w:w="714"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10</w:t>
            </w:r>
          </w:p>
        </w:tc>
        <w:tc>
          <w:tcPr>
            <w:tcW w:w="695"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11</w:t>
            </w:r>
          </w:p>
        </w:tc>
        <w:tc>
          <w:tcPr>
            <w:tcW w:w="920" w:type="dxa"/>
            <w:tcBorders>
              <w:top w:val="single" w:sz="6" w:space="0" w:color="auto"/>
              <w:left w:val="single" w:sz="6" w:space="0" w:color="auto"/>
              <w:bottom w:val="single" w:sz="6" w:space="0" w:color="auto"/>
              <w:right w:val="single" w:sz="6" w:space="0" w:color="auto"/>
            </w:tcBorders>
          </w:tcPr>
          <w:p>
            <w:pPr>
              <w:jc w:val="center"/>
              <w:rPr>
                <w:sz w:val="18"/>
                <w:szCs w:val="24"/>
                <w:lang w:eastAsia="lt-LT"/>
              </w:rPr>
            </w:pPr>
            <w:r>
              <w:rPr>
                <w:sz w:val="18"/>
                <w:szCs w:val="24"/>
                <w:lang w:eastAsia="lt-LT"/>
              </w:rPr>
              <w:t>12</w:t>
            </w:r>
          </w:p>
        </w:tc>
      </w:tr>
      <w:tr>
        <w:trPr>
          <w:trHeight w:val="105"/>
        </w:trPr>
        <w:tc>
          <w:tcPr>
            <w:tcW w:w="897" w:type="dxa"/>
            <w:gridSpan w:val="2"/>
            <w:vMerge w:val="restart"/>
            <w:tcBorders>
              <w:top w:val="single" w:sz="6" w:space="0" w:color="auto"/>
              <w:left w:val="single" w:sz="6" w:space="0" w:color="auto"/>
              <w:right w:val="single" w:sz="6" w:space="0" w:color="auto"/>
            </w:tcBorders>
          </w:tcPr>
          <w:p>
            <w:pPr>
              <w:rPr>
                <w:sz w:val="18"/>
                <w:szCs w:val="24"/>
                <w:lang w:eastAsia="lt-LT"/>
              </w:rPr>
            </w:pPr>
            <w:r>
              <w:rPr>
                <w:sz w:val="18"/>
                <w:szCs w:val="24"/>
                <w:lang w:eastAsia="lt-LT"/>
              </w:rPr>
              <w:t>I grupė</w:t>
            </w:r>
          </w:p>
        </w:tc>
        <w:tc>
          <w:tcPr>
            <w:tcW w:w="859" w:type="dxa"/>
            <w:vMerge w:val="restart"/>
            <w:tcBorders>
              <w:top w:val="single" w:sz="6" w:space="0" w:color="auto"/>
              <w:left w:val="single" w:sz="6" w:space="0" w:color="auto"/>
              <w:right w:val="single" w:sz="6" w:space="0" w:color="auto"/>
            </w:tcBorders>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b/>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105"/>
        </w:trPr>
        <w:tc>
          <w:tcPr>
            <w:tcW w:w="897" w:type="dxa"/>
            <w:gridSpan w:val="2"/>
            <w:vMerge/>
            <w:tcBorders>
              <w:left w:val="single" w:sz="6" w:space="0" w:color="auto"/>
              <w:bottom w:val="single" w:sz="6" w:space="0" w:color="auto"/>
              <w:right w:val="single" w:sz="6" w:space="0" w:color="auto"/>
            </w:tcBorders>
          </w:tcPr>
          <w:p>
            <w:pPr>
              <w:rPr>
                <w:sz w:val="18"/>
                <w:szCs w:val="24"/>
                <w:lang w:eastAsia="lt-LT"/>
              </w:rPr>
            </w:pPr>
          </w:p>
        </w:tc>
        <w:tc>
          <w:tcPr>
            <w:tcW w:w="859" w:type="dxa"/>
            <w:vMerge/>
            <w:tcBorders>
              <w:left w:val="single" w:sz="6" w:space="0" w:color="auto"/>
              <w:bottom w:val="single" w:sz="6" w:space="0" w:color="auto"/>
              <w:right w:val="single" w:sz="6" w:space="0" w:color="auto"/>
            </w:tcBorders>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b/>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r>
        <w:trPr>
          <w:trHeight w:val="215"/>
        </w:trPr>
        <w:tc>
          <w:tcPr>
            <w:tcW w:w="897" w:type="dxa"/>
            <w:gridSpan w:val="2"/>
            <w:vMerge w:val="restart"/>
            <w:tcBorders>
              <w:top w:val="single" w:sz="6" w:space="0" w:color="auto"/>
              <w:left w:val="single" w:sz="6" w:space="0" w:color="auto"/>
              <w:right w:val="single" w:sz="6" w:space="0" w:color="auto"/>
            </w:tcBorders>
            <w:vAlign w:val="bottom"/>
          </w:tcPr>
          <w:p>
            <w:pPr>
              <w:rPr>
                <w:sz w:val="18"/>
                <w:szCs w:val="24"/>
                <w:lang w:eastAsia="lt-LT"/>
              </w:rPr>
            </w:pPr>
            <w:r>
              <w:rPr>
                <w:sz w:val="18"/>
                <w:szCs w:val="24"/>
                <w:lang w:eastAsia="lt-LT"/>
              </w:rPr>
              <w:t>II grupė</w:t>
            </w:r>
          </w:p>
        </w:tc>
        <w:tc>
          <w:tcPr>
            <w:tcW w:w="859" w:type="dxa"/>
            <w:vMerge w:val="restart"/>
            <w:tcBorders>
              <w:top w:val="single" w:sz="6" w:space="0" w:color="auto"/>
              <w:left w:val="single" w:sz="6" w:space="0" w:color="auto"/>
              <w:right w:val="single" w:sz="6" w:space="0" w:color="auto"/>
            </w:tcBorders>
          </w:tcPr>
          <w:p>
            <w:pPr>
              <w:rPr>
                <w:sz w:val="18"/>
                <w:szCs w:val="24"/>
                <w:lang w:eastAsia="lt-LT"/>
              </w:rPr>
            </w:pPr>
            <w:r>
              <w:rPr>
                <w:sz w:val="18"/>
                <w:szCs w:val="24"/>
                <w:lang w:eastAsia="lt-LT"/>
              </w:rPr>
              <w:t>Vienanaris</w:t>
            </w: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214"/>
        </w:trPr>
        <w:tc>
          <w:tcPr>
            <w:tcW w:w="897" w:type="dxa"/>
            <w:gridSpan w:val="2"/>
            <w:vMerge/>
            <w:tcBorders>
              <w:left w:val="single" w:sz="6" w:space="0" w:color="auto"/>
              <w:right w:val="single" w:sz="6" w:space="0" w:color="auto"/>
            </w:tcBorders>
            <w:vAlign w:val="bottom"/>
          </w:tcPr>
          <w:p>
            <w:pPr>
              <w:rPr>
                <w:sz w:val="18"/>
                <w:szCs w:val="24"/>
                <w:lang w:eastAsia="lt-LT"/>
              </w:rPr>
            </w:pPr>
          </w:p>
        </w:tc>
        <w:tc>
          <w:tcPr>
            <w:tcW w:w="859" w:type="dxa"/>
            <w:vMerge/>
            <w:tcBorders>
              <w:left w:val="single" w:sz="6" w:space="0" w:color="auto"/>
              <w:bottom w:val="single" w:sz="6" w:space="0" w:color="auto"/>
              <w:right w:val="single" w:sz="6" w:space="0" w:color="auto"/>
            </w:tcBorders>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r>
        <w:trPr>
          <w:trHeight w:val="105"/>
        </w:trPr>
        <w:tc>
          <w:tcPr>
            <w:tcW w:w="897" w:type="dxa"/>
            <w:gridSpan w:val="2"/>
            <w:vMerge/>
            <w:tcBorders>
              <w:left w:val="single" w:sz="6" w:space="0" w:color="auto"/>
              <w:right w:val="single" w:sz="6" w:space="0" w:color="auto"/>
            </w:tcBorders>
            <w:vAlign w:val="bottom"/>
          </w:tcPr>
          <w:p>
            <w:pPr>
              <w:rPr>
                <w:sz w:val="18"/>
                <w:szCs w:val="24"/>
                <w:lang w:eastAsia="lt-LT"/>
              </w:rPr>
            </w:pPr>
          </w:p>
        </w:tc>
        <w:tc>
          <w:tcPr>
            <w:tcW w:w="859" w:type="dxa"/>
            <w:vMerge w:val="restart"/>
            <w:tcBorders>
              <w:top w:val="single" w:sz="6" w:space="0" w:color="auto"/>
              <w:left w:val="single" w:sz="6" w:space="0" w:color="auto"/>
              <w:right w:val="single" w:sz="6" w:space="0" w:color="auto"/>
            </w:tcBorders>
            <w:vAlign w:val="bottom"/>
          </w:tcPr>
          <w:p>
            <w:pPr>
              <w:rPr>
                <w:sz w:val="18"/>
                <w:szCs w:val="24"/>
                <w:lang w:eastAsia="lt-LT"/>
              </w:rPr>
            </w:pPr>
            <w:r>
              <w:rPr>
                <w:sz w:val="18"/>
                <w:szCs w:val="24"/>
                <w:lang w:eastAsia="lt-LT"/>
              </w:rPr>
              <w:t>Dvinaris</w:t>
            </w: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105"/>
        </w:trPr>
        <w:tc>
          <w:tcPr>
            <w:tcW w:w="897" w:type="dxa"/>
            <w:gridSpan w:val="2"/>
            <w:vMerge/>
            <w:tcBorders>
              <w:left w:val="single" w:sz="6" w:space="0" w:color="auto"/>
              <w:bottom w:val="single" w:sz="6" w:space="0" w:color="auto"/>
              <w:right w:val="single" w:sz="6" w:space="0" w:color="auto"/>
            </w:tcBorders>
            <w:vAlign w:val="bottom"/>
          </w:tcPr>
          <w:p>
            <w:pPr>
              <w:rPr>
                <w:sz w:val="18"/>
                <w:szCs w:val="24"/>
                <w:lang w:eastAsia="lt-LT"/>
              </w:rPr>
            </w:pPr>
          </w:p>
        </w:tc>
        <w:tc>
          <w:tcPr>
            <w:tcW w:w="859" w:type="dxa"/>
            <w:vMerge/>
            <w:tcBorders>
              <w:left w:val="single" w:sz="6" w:space="0" w:color="auto"/>
              <w:bottom w:val="single" w:sz="6" w:space="0" w:color="auto"/>
              <w:right w:val="single" w:sz="6" w:space="0" w:color="auto"/>
            </w:tcBorders>
            <w:vAlign w:val="bottom"/>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r>
        <w:trPr>
          <w:trHeight w:val="215"/>
        </w:trPr>
        <w:tc>
          <w:tcPr>
            <w:tcW w:w="897" w:type="dxa"/>
            <w:gridSpan w:val="2"/>
            <w:vMerge w:val="restart"/>
            <w:tcBorders>
              <w:top w:val="single" w:sz="6" w:space="0" w:color="auto"/>
              <w:left w:val="single" w:sz="6" w:space="0" w:color="auto"/>
              <w:right w:val="single" w:sz="6" w:space="0" w:color="auto"/>
            </w:tcBorders>
            <w:vAlign w:val="bottom"/>
          </w:tcPr>
          <w:p>
            <w:pPr>
              <w:rPr>
                <w:sz w:val="18"/>
                <w:szCs w:val="24"/>
                <w:lang w:eastAsia="lt-LT"/>
              </w:rPr>
            </w:pPr>
            <w:r>
              <w:rPr>
                <w:sz w:val="18"/>
                <w:szCs w:val="24"/>
                <w:lang w:eastAsia="lt-LT"/>
              </w:rPr>
              <w:t>III grupė</w:t>
            </w:r>
          </w:p>
        </w:tc>
        <w:tc>
          <w:tcPr>
            <w:tcW w:w="859" w:type="dxa"/>
            <w:vMerge w:val="restart"/>
            <w:tcBorders>
              <w:top w:val="single" w:sz="6" w:space="0" w:color="auto"/>
              <w:left w:val="single" w:sz="6" w:space="0" w:color="auto"/>
              <w:right w:val="single" w:sz="6" w:space="0" w:color="auto"/>
            </w:tcBorders>
          </w:tcPr>
          <w:p>
            <w:pPr>
              <w:rPr>
                <w:sz w:val="18"/>
                <w:szCs w:val="24"/>
                <w:lang w:eastAsia="lt-LT"/>
              </w:rPr>
            </w:pPr>
            <w:r>
              <w:rPr>
                <w:sz w:val="18"/>
                <w:szCs w:val="24"/>
                <w:lang w:eastAsia="lt-LT"/>
              </w:rPr>
              <w:t>Vienanaris</w:t>
            </w: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214"/>
        </w:trPr>
        <w:tc>
          <w:tcPr>
            <w:tcW w:w="897" w:type="dxa"/>
            <w:gridSpan w:val="2"/>
            <w:vMerge/>
            <w:tcBorders>
              <w:left w:val="single" w:sz="6" w:space="0" w:color="auto"/>
              <w:right w:val="single" w:sz="6" w:space="0" w:color="auto"/>
            </w:tcBorders>
            <w:vAlign w:val="bottom"/>
          </w:tcPr>
          <w:p>
            <w:pPr>
              <w:rPr>
                <w:sz w:val="18"/>
                <w:szCs w:val="24"/>
                <w:lang w:eastAsia="lt-LT"/>
              </w:rPr>
            </w:pPr>
          </w:p>
        </w:tc>
        <w:tc>
          <w:tcPr>
            <w:tcW w:w="859" w:type="dxa"/>
            <w:vMerge/>
            <w:tcBorders>
              <w:left w:val="single" w:sz="6" w:space="0" w:color="auto"/>
              <w:bottom w:val="single" w:sz="6" w:space="0" w:color="auto"/>
              <w:right w:val="single" w:sz="6" w:space="0" w:color="auto"/>
            </w:tcBorders>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r>
        <w:trPr>
          <w:trHeight w:val="105"/>
        </w:trPr>
        <w:tc>
          <w:tcPr>
            <w:tcW w:w="897" w:type="dxa"/>
            <w:gridSpan w:val="2"/>
            <w:vMerge/>
            <w:tcBorders>
              <w:left w:val="single" w:sz="6" w:space="0" w:color="auto"/>
              <w:right w:val="single" w:sz="6" w:space="0" w:color="auto"/>
            </w:tcBorders>
            <w:vAlign w:val="bottom"/>
          </w:tcPr>
          <w:p>
            <w:pPr>
              <w:rPr>
                <w:sz w:val="18"/>
                <w:szCs w:val="24"/>
                <w:lang w:eastAsia="lt-LT"/>
              </w:rPr>
            </w:pPr>
          </w:p>
        </w:tc>
        <w:tc>
          <w:tcPr>
            <w:tcW w:w="859" w:type="dxa"/>
            <w:vMerge w:val="restart"/>
            <w:tcBorders>
              <w:top w:val="single" w:sz="6" w:space="0" w:color="auto"/>
              <w:left w:val="single" w:sz="6" w:space="0" w:color="auto"/>
              <w:right w:val="single" w:sz="6" w:space="0" w:color="auto"/>
            </w:tcBorders>
            <w:vAlign w:val="bottom"/>
          </w:tcPr>
          <w:p>
            <w:pPr>
              <w:rPr>
                <w:sz w:val="18"/>
                <w:szCs w:val="24"/>
                <w:lang w:eastAsia="lt-LT"/>
              </w:rPr>
            </w:pPr>
            <w:r>
              <w:rPr>
                <w:sz w:val="18"/>
                <w:szCs w:val="24"/>
                <w:lang w:eastAsia="lt-LT"/>
              </w:rPr>
              <w:t>Dvinaris</w:t>
            </w: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105"/>
        </w:trPr>
        <w:tc>
          <w:tcPr>
            <w:tcW w:w="897" w:type="dxa"/>
            <w:gridSpan w:val="2"/>
            <w:vMerge/>
            <w:tcBorders>
              <w:left w:val="single" w:sz="6" w:space="0" w:color="auto"/>
              <w:bottom w:val="single" w:sz="6" w:space="0" w:color="auto"/>
              <w:right w:val="single" w:sz="6" w:space="0" w:color="auto"/>
            </w:tcBorders>
            <w:vAlign w:val="bottom"/>
          </w:tcPr>
          <w:p>
            <w:pPr>
              <w:rPr>
                <w:sz w:val="18"/>
                <w:szCs w:val="24"/>
                <w:lang w:eastAsia="lt-LT"/>
              </w:rPr>
            </w:pPr>
          </w:p>
        </w:tc>
        <w:tc>
          <w:tcPr>
            <w:tcW w:w="859" w:type="dxa"/>
            <w:vMerge/>
            <w:tcBorders>
              <w:left w:val="single" w:sz="6" w:space="0" w:color="auto"/>
              <w:bottom w:val="single" w:sz="6" w:space="0" w:color="auto"/>
              <w:right w:val="single" w:sz="6" w:space="0" w:color="auto"/>
            </w:tcBorders>
            <w:vAlign w:val="bottom"/>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r>
        <w:trPr>
          <w:trHeight w:val="215"/>
        </w:trPr>
        <w:tc>
          <w:tcPr>
            <w:tcW w:w="897" w:type="dxa"/>
            <w:gridSpan w:val="2"/>
            <w:vMerge w:val="restart"/>
            <w:tcBorders>
              <w:top w:val="single" w:sz="6" w:space="0" w:color="auto"/>
              <w:left w:val="single" w:sz="6" w:space="0" w:color="auto"/>
              <w:right w:val="single" w:sz="6" w:space="0" w:color="auto"/>
            </w:tcBorders>
            <w:vAlign w:val="bottom"/>
          </w:tcPr>
          <w:p>
            <w:pPr>
              <w:rPr>
                <w:sz w:val="18"/>
                <w:szCs w:val="24"/>
                <w:lang w:eastAsia="lt-LT"/>
              </w:rPr>
            </w:pPr>
            <w:r>
              <w:rPr>
                <w:sz w:val="18"/>
                <w:szCs w:val="24"/>
                <w:lang w:eastAsia="lt-LT"/>
              </w:rPr>
              <w:t>IV grupė</w:t>
            </w:r>
          </w:p>
        </w:tc>
        <w:tc>
          <w:tcPr>
            <w:tcW w:w="859" w:type="dxa"/>
            <w:vMerge w:val="restart"/>
            <w:tcBorders>
              <w:top w:val="single" w:sz="6" w:space="0" w:color="auto"/>
              <w:left w:val="single" w:sz="6" w:space="0" w:color="auto"/>
              <w:right w:val="single" w:sz="6" w:space="0" w:color="auto"/>
            </w:tcBorders>
          </w:tcPr>
          <w:p>
            <w:pPr>
              <w:rPr>
                <w:sz w:val="18"/>
                <w:szCs w:val="24"/>
                <w:lang w:eastAsia="lt-LT"/>
              </w:rPr>
            </w:pPr>
            <w:r>
              <w:rPr>
                <w:sz w:val="18"/>
                <w:szCs w:val="24"/>
                <w:lang w:eastAsia="lt-LT"/>
              </w:rPr>
              <w:t>Vienanaris</w:t>
            </w: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214"/>
        </w:trPr>
        <w:tc>
          <w:tcPr>
            <w:tcW w:w="897" w:type="dxa"/>
            <w:gridSpan w:val="2"/>
            <w:vMerge/>
            <w:tcBorders>
              <w:left w:val="single" w:sz="6" w:space="0" w:color="auto"/>
              <w:right w:val="single" w:sz="6" w:space="0" w:color="auto"/>
            </w:tcBorders>
            <w:vAlign w:val="bottom"/>
          </w:tcPr>
          <w:p>
            <w:pPr>
              <w:rPr>
                <w:sz w:val="18"/>
                <w:szCs w:val="24"/>
                <w:lang w:eastAsia="lt-LT"/>
              </w:rPr>
            </w:pPr>
          </w:p>
        </w:tc>
        <w:tc>
          <w:tcPr>
            <w:tcW w:w="859" w:type="dxa"/>
            <w:vMerge/>
            <w:tcBorders>
              <w:left w:val="single" w:sz="6" w:space="0" w:color="auto"/>
              <w:bottom w:val="single" w:sz="6" w:space="0" w:color="auto"/>
              <w:right w:val="single" w:sz="6" w:space="0" w:color="auto"/>
            </w:tcBorders>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r>
        <w:trPr>
          <w:trHeight w:val="105"/>
        </w:trPr>
        <w:tc>
          <w:tcPr>
            <w:tcW w:w="897" w:type="dxa"/>
            <w:gridSpan w:val="2"/>
            <w:vMerge/>
            <w:tcBorders>
              <w:left w:val="single" w:sz="6" w:space="0" w:color="auto"/>
              <w:right w:val="single" w:sz="6" w:space="0" w:color="auto"/>
            </w:tcBorders>
            <w:vAlign w:val="bottom"/>
          </w:tcPr>
          <w:p>
            <w:pPr>
              <w:rPr>
                <w:sz w:val="18"/>
                <w:szCs w:val="24"/>
                <w:lang w:eastAsia="lt-LT"/>
              </w:rPr>
            </w:pPr>
          </w:p>
        </w:tc>
        <w:tc>
          <w:tcPr>
            <w:tcW w:w="859" w:type="dxa"/>
            <w:vMerge w:val="restart"/>
            <w:tcBorders>
              <w:top w:val="single" w:sz="6" w:space="0" w:color="auto"/>
              <w:left w:val="single" w:sz="6" w:space="0" w:color="auto"/>
              <w:right w:val="single" w:sz="6" w:space="0" w:color="auto"/>
            </w:tcBorders>
            <w:vAlign w:val="bottom"/>
          </w:tcPr>
          <w:p>
            <w:pPr>
              <w:rPr>
                <w:sz w:val="18"/>
                <w:szCs w:val="24"/>
                <w:lang w:eastAsia="lt-LT"/>
              </w:rPr>
            </w:pPr>
            <w:r>
              <w:rPr>
                <w:sz w:val="18"/>
                <w:szCs w:val="24"/>
                <w:lang w:eastAsia="lt-LT"/>
              </w:rPr>
              <w:t>Dvinaris</w:t>
            </w: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105"/>
        </w:trPr>
        <w:tc>
          <w:tcPr>
            <w:tcW w:w="897" w:type="dxa"/>
            <w:gridSpan w:val="2"/>
            <w:vMerge/>
            <w:tcBorders>
              <w:left w:val="single" w:sz="6" w:space="0" w:color="auto"/>
              <w:bottom w:val="single" w:sz="6" w:space="0" w:color="auto"/>
              <w:right w:val="single" w:sz="6" w:space="0" w:color="auto"/>
            </w:tcBorders>
            <w:vAlign w:val="bottom"/>
          </w:tcPr>
          <w:p>
            <w:pPr>
              <w:rPr>
                <w:sz w:val="18"/>
                <w:szCs w:val="24"/>
                <w:lang w:eastAsia="lt-LT"/>
              </w:rPr>
            </w:pPr>
          </w:p>
        </w:tc>
        <w:tc>
          <w:tcPr>
            <w:tcW w:w="859" w:type="dxa"/>
            <w:vMerge/>
            <w:tcBorders>
              <w:left w:val="single" w:sz="6" w:space="0" w:color="auto"/>
              <w:bottom w:val="single" w:sz="6" w:space="0" w:color="auto"/>
              <w:right w:val="single" w:sz="6" w:space="0" w:color="auto"/>
            </w:tcBorders>
            <w:vAlign w:val="bottom"/>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r>
        <w:trPr>
          <w:trHeight w:val="105"/>
        </w:trPr>
        <w:tc>
          <w:tcPr>
            <w:tcW w:w="897" w:type="dxa"/>
            <w:gridSpan w:val="2"/>
            <w:tcBorders>
              <w:left w:val="single" w:sz="6" w:space="0" w:color="auto"/>
              <w:bottom w:val="single" w:sz="6" w:space="0" w:color="auto"/>
              <w:right w:val="single" w:sz="6" w:space="0" w:color="auto"/>
            </w:tcBorders>
            <w:vAlign w:val="bottom"/>
          </w:tcPr>
          <w:p>
            <w:pPr>
              <w:rPr>
                <w:sz w:val="18"/>
                <w:szCs w:val="24"/>
                <w:lang w:eastAsia="lt-LT"/>
              </w:rPr>
            </w:pPr>
            <w:r>
              <w:rPr>
                <w:sz w:val="18"/>
                <w:szCs w:val="24"/>
                <w:lang w:eastAsia="lt-LT"/>
              </w:rPr>
              <w:t>Vartotojai, kurių naujai prijungiama ar didinama leistinoji naudoti galia didesnė nei 500 kW</w:t>
            </w:r>
          </w:p>
        </w:tc>
        <w:tc>
          <w:tcPr>
            <w:tcW w:w="859" w:type="dxa"/>
            <w:tcBorders>
              <w:left w:val="single" w:sz="6" w:space="0" w:color="auto"/>
              <w:bottom w:val="single" w:sz="6" w:space="0" w:color="auto"/>
              <w:right w:val="single" w:sz="6" w:space="0" w:color="auto"/>
            </w:tcBorders>
            <w:vAlign w:val="bottom"/>
          </w:tcPr>
          <w:p>
            <w:pPr>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tcBorders>
              <w:left w:val="single" w:sz="6" w:space="0" w:color="auto"/>
              <w:bottom w:val="single" w:sz="6" w:space="0" w:color="auto"/>
              <w:right w:val="single" w:sz="6" w:space="0" w:color="auto"/>
            </w:tcBorders>
          </w:tcPr>
          <w:p>
            <w:pPr>
              <w:rPr>
                <w:sz w:val="18"/>
                <w:szCs w:val="24"/>
                <w:lang w:eastAsia="lt-LT"/>
              </w:rPr>
            </w:pPr>
          </w:p>
        </w:tc>
        <w:tc>
          <w:tcPr>
            <w:tcW w:w="618" w:type="dxa"/>
            <w:tcBorders>
              <w:left w:val="single" w:sz="6" w:space="0" w:color="auto"/>
              <w:bottom w:val="single" w:sz="6" w:space="0" w:color="auto"/>
              <w:right w:val="single" w:sz="6" w:space="0" w:color="auto"/>
            </w:tcBorders>
          </w:tcPr>
          <w:p>
            <w:pPr>
              <w:rPr>
                <w:sz w:val="18"/>
                <w:szCs w:val="24"/>
                <w:lang w:eastAsia="lt-LT"/>
              </w:rPr>
            </w:pPr>
          </w:p>
        </w:tc>
        <w:tc>
          <w:tcPr>
            <w:tcW w:w="794" w:type="dxa"/>
            <w:tcBorders>
              <w:left w:val="single" w:sz="6" w:space="0" w:color="auto"/>
              <w:bottom w:val="single" w:sz="6" w:space="0" w:color="auto"/>
              <w:right w:val="single" w:sz="6" w:space="0" w:color="auto"/>
            </w:tcBorders>
          </w:tcPr>
          <w:p>
            <w:pPr>
              <w:rPr>
                <w:sz w:val="18"/>
                <w:szCs w:val="24"/>
                <w:lang w:eastAsia="lt-LT"/>
              </w:rPr>
            </w:pPr>
          </w:p>
        </w:tc>
        <w:tc>
          <w:tcPr>
            <w:tcW w:w="925" w:type="dxa"/>
            <w:tcBorders>
              <w:left w:val="single" w:sz="6" w:space="0" w:color="auto"/>
              <w:bottom w:val="single" w:sz="6" w:space="0" w:color="auto"/>
              <w:right w:val="single" w:sz="6" w:space="0" w:color="auto"/>
            </w:tcBorders>
          </w:tcPr>
          <w:p>
            <w:pPr>
              <w:rPr>
                <w:sz w:val="18"/>
                <w:szCs w:val="24"/>
                <w:lang w:eastAsia="lt-LT"/>
              </w:rPr>
            </w:pPr>
          </w:p>
        </w:tc>
        <w:tc>
          <w:tcPr>
            <w:tcW w:w="732" w:type="dxa"/>
            <w:tcBorders>
              <w:left w:val="single" w:sz="6" w:space="0" w:color="auto"/>
              <w:bottom w:val="single" w:sz="6" w:space="0" w:color="auto"/>
              <w:right w:val="single" w:sz="6" w:space="0" w:color="auto"/>
            </w:tcBorders>
          </w:tcPr>
          <w:p>
            <w:pPr>
              <w:rPr>
                <w:sz w:val="18"/>
                <w:szCs w:val="24"/>
                <w:lang w:eastAsia="lt-LT"/>
              </w:rPr>
            </w:pPr>
          </w:p>
        </w:tc>
        <w:tc>
          <w:tcPr>
            <w:tcW w:w="592" w:type="dxa"/>
            <w:tcBorders>
              <w:left w:val="single" w:sz="6" w:space="0" w:color="auto"/>
              <w:bottom w:val="single" w:sz="6" w:space="0" w:color="auto"/>
              <w:right w:val="single" w:sz="6" w:space="0" w:color="auto"/>
            </w:tcBorders>
          </w:tcPr>
          <w:p>
            <w:pPr>
              <w:rPr>
                <w:sz w:val="18"/>
                <w:szCs w:val="24"/>
                <w:lang w:eastAsia="lt-LT"/>
              </w:rPr>
            </w:pPr>
          </w:p>
        </w:tc>
        <w:tc>
          <w:tcPr>
            <w:tcW w:w="714" w:type="dxa"/>
            <w:tcBorders>
              <w:left w:val="single" w:sz="6" w:space="0" w:color="auto"/>
              <w:bottom w:val="single" w:sz="6" w:space="0" w:color="auto"/>
              <w:right w:val="single" w:sz="6" w:space="0" w:color="auto"/>
            </w:tcBorders>
          </w:tcPr>
          <w:p>
            <w:pPr>
              <w:rPr>
                <w:sz w:val="18"/>
                <w:szCs w:val="24"/>
                <w:lang w:eastAsia="lt-LT"/>
              </w:rPr>
            </w:pPr>
          </w:p>
        </w:tc>
        <w:tc>
          <w:tcPr>
            <w:tcW w:w="695" w:type="dxa"/>
            <w:tcBorders>
              <w:left w:val="single" w:sz="6" w:space="0" w:color="auto"/>
              <w:bottom w:val="single" w:sz="6" w:space="0" w:color="auto"/>
              <w:right w:val="single" w:sz="6" w:space="0" w:color="auto"/>
            </w:tcBorders>
          </w:tcPr>
          <w:p>
            <w:pPr>
              <w:rPr>
                <w:sz w:val="18"/>
                <w:szCs w:val="24"/>
                <w:lang w:eastAsia="lt-LT"/>
              </w:rPr>
            </w:pPr>
          </w:p>
        </w:tc>
        <w:tc>
          <w:tcPr>
            <w:tcW w:w="920" w:type="dxa"/>
            <w:tcBorders>
              <w:left w:val="single" w:sz="6" w:space="0" w:color="auto"/>
              <w:bottom w:val="single" w:sz="6" w:space="0" w:color="auto"/>
              <w:right w:val="single" w:sz="6" w:space="0" w:color="auto"/>
            </w:tcBorders>
          </w:tcPr>
          <w:p>
            <w:pPr>
              <w:rPr>
                <w:sz w:val="18"/>
                <w:szCs w:val="24"/>
                <w:lang w:eastAsia="lt-LT"/>
              </w:rPr>
            </w:pPr>
          </w:p>
        </w:tc>
      </w:tr>
      <w:tr>
        <w:trPr>
          <w:trHeight w:val="105"/>
        </w:trPr>
        <w:tc>
          <w:tcPr>
            <w:tcW w:w="878" w:type="dxa"/>
            <w:vMerge w:val="restart"/>
            <w:tcBorders>
              <w:top w:val="single" w:sz="6" w:space="0" w:color="auto"/>
              <w:left w:val="single" w:sz="6" w:space="0" w:color="auto"/>
              <w:bottom w:val="single" w:sz="6" w:space="0" w:color="auto"/>
            </w:tcBorders>
          </w:tcPr>
          <w:p>
            <w:pPr>
              <w:jc w:val="right"/>
              <w:rPr>
                <w:sz w:val="18"/>
                <w:szCs w:val="24"/>
                <w:lang w:eastAsia="lt-LT"/>
              </w:rPr>
            </w:pPr>
          </w:p>
        </w:tc>
        <w:tc>
          <w:tcPr>
            <w:tcW w:w="878" w:type="dxa"/>
            <w:gridSpan w:val="2"/>
            <w:vMerge w:val="restart"/>
            <w:tcBorders>
              <w:top w:val="single" w:sz="6" w:space="0" w:color="auto"/>
              <w:left w:val="nil"/>
              <w:right w:val="single" w:sz="6" w:space="0" w:color="auto"/>
            </w:tcBorders>
          </w:tcPr>
          <w:p>
            <w:pPr>
              <w:jc w:val="right"/>
              <w:rPr>
                <w:sz w:val="18"/>
                <w:szCs w:val="24"/>
                <w:lang w:eastAsia="lt-LT"/>
              </w:rPr>
            </w:pPr>
            <w:r>
              <w:rPr>
                <w:sz w:val="18"/>
                <w:szCs w:val="24"/>
                <w:lang w:eastAsia="lt-LT"/>
              </w:rPr>
              <w:t>Iš viso:</w:t>
            </w: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618" w:type="dxa"/>
            <w:vMerge w:val="restart"/>
            <w:tcBorders>
              <w:top w:val="single" w:sz="6" w:space="0" w:color="auto"/>
              <w:left w:val="single" w:sz="6" w:space="0" w:color="auto"/>
              <w:right w:val="single" w:sz="6" w:space="0" w:color="auto"/>
            </w:tcBorders>
          </w:tcPr>
          <w:p>
            <w:pPr>
              <w:rPr>
                <w:sz w:val="18"/>
                <w:szCs w:val="24"/>
                <w:lang w:eastAsia="lt-LT"/>
              </w:rPr>
            </w:pPr>
          </w:p>
        </w:tc>
        <w:tc>
          <w:tcPr>
            <w:tcW w:w="794" w:type="dxa"/>
            <w:vMerge w:val="restart"/>
            <w:tcBorders>
              <w:top w:val="single" w:sz="6" w:space="0" w:color="auto"/>
              <w:left w:val="single" w:sz="6" w:space="0" w:color="auto"/>
              <w:right w:val="single" w:sz="6" w:space="0" w:color="auto"/>
            </w:tcBorders>
          </w:tcPr>
          <w:p>
            <w:pPr>
              <w:rPr>
                <w:sz w:val="18"/>
                <w:szCs w:val="24"/>
                <w:lang w:eastAsia="lt-LT"/>
              </w:rPr>
            </w:pPr>
          </w:p>
        </w:tc>
        <w:tc>
          <w:tcPr>
            <w:tcW w:w="925" w:type="dxa"/>
            <w:vMerge w:val="restart"/>
            <w:tcBorders>
              <w:top w:val="single" w:sz="6" w:space="0" w:color="auto"/>
              <w:left w:val="single" w:sz="6" w:space="0" w:color="auto"/>
              <w:right w:val="single" w:sz="6" w:space="0" w:color="auto"/>
            </w:tcBorders>
          </w:tcPr>
          <w:p>
            <w:pPr>
              <w:rPr>
                <w:sz w:val="18"/>
                <w:szCs w:val="24"/>
                <w:lang w:eastAsia="lt-LT"/>
              </w:rPr>
            </w:pPr>
          </w:p>
        </w:tc>
        <w:tc>
          <w:tcPr>
            <w:tcW w:w="732" w:type="dxa"/>
            <w:vMerge w:val="restart"/>
            <w:tcBorders>
              <w:top w:val="single" w:sz="6" w:space="0" w:color="auto"/>
              <w:left w:val="single" w:sz="6" w:space="0" w:color="auto"/>
              <w:right w:val="single" w:sz="6" w:space="0" w:color="auto"/>
            </w:tcBorders>
          </w:tcPr>
          <w:p>
            <w:pPr>
              <w:rPr>
                <w:sz w:val="18"/>
                <w:szCs w:val="24"/>
                <w:lang w:eastAsia="lt-LT"/>
              </w:rPr>
            </w:pPr>
          </w:p>
        </w:tc>
        <w:tc>
          <w:tcPr>
            <w:tcW w:w="592" w:type="dxa"/>
            <w:vMerge w:val="restart"/>
            <w:tcBorders>
              <w:top w:val="single" w:sz="6" w:space="0" w:color="auto"/>
              <w:left w:val="single" w:sz="6" w:space="0" w:color="auto"/>
              <w:right w:val="single" w:sz="6" w:space="0" w:color="auto"/>
            </w:tcBorders>
          </w:tcPr>
          <w:p>
            <w:pPr>
              <w:rPr>
                <w:sz w:val="18"/>
                <w:szCs w:val="24"/>
                <w:lang w:eastAsia="lt-LT"/>
              </w:rPr>
            </w:pPr>
          </w:p>
        </w:tc>
        <w:tc>
          <w:tcPr>
            <w:tcW w:w="714" w:type="dxa"/>
            <w:vMerge w:val="restart"/>
            <w:tcBorders>
              <w:top w:val="single" w:sz="6" w:space="0" w:color="auto"/>
              <w:left w:val="single" w:sz="6" w:space="0" w:color="auto"/>
              <w:right w:val="single" w:sz="6" w:space="0" w:color="auto"/>
            </w:tcBorders>
          </w:tcPr>
          <w:p>
            <w:pPr>
              <w:rPr>
                <w:sz w:val="18"/>
                <w:szCs w:val="24"/>
                <w:lang w:eastAsia="lt-LT"/>
              </w:rPr>
            </w:pPr>
          </w:p>
        </w:tc>
        <w:tc>
          <w:tcPr>
            <w:tcW w:w="695" w:type="dxa"/>
            <w:vMerge w:val="restart"/>
            <w:tcBorders>
              <w:top w:val="single" w:sz="6" w:space="0" w:color="auto"/>
              <w:left w:val="single" w:sz="6" w:space="0" w:color="auto"/>
              <w:right w:val="single" w:sz="6" w:space="0" w:color="auto"/>
            </w:tcBorders>
          </w:tcPr>
          <w:p>
            <w:pPr>
              <w:rPr>
                <w:sz w:val="18"/>
                <w:szCs w:val="24"/>
                <w:lang w:eastAsia="lt-LT"/>
              </w:rPr>
            </w:pPr>
          </w:p>
        </w:tc>
        <w:tc>
          <w:tcPr>
            <w:tcW w:w="920" w:type="dxa"/>
            <w:vMerge w:val="restart"/>
            <w:tcBorders>
              <w:top w:val="single" w:sz="6" w:space="0" w:color="auto"/>
              <w:left w:val="single" w:sz="6" w:space="0" w:color="auto"/>
              <w:right w:val="single" w:sz="6" w:space="0" w:color="auto"/>
            </w:tcBorders>
          </w:tcPr>
          <w:p>
            <w:pPr>
              <w:rPr>
                <w:sz w:val="18"/>
                <w:szCs w:val="24"/>
                <w:lang w:eastAsia="lt-LT"/>
              </w:rPr>
            </w:pPr>
          </w:p>
        </w:tc>
      </w:tr>
      <w:tr>
        <w:trPr>
          <w:trHeight w:val="105"/>
        </w:trPr>
        <w:tc>
          <w:tcPr>
            <w:tcW w:w="878" w:type="dxa"/>
            <w:vMerge/>
            <w:tcBorders>
              <w:left w:val="single" w:sz="6" w:space="0" w:color="auto"/>
              <w:bottom w:val="single" w:sz="6" w:space="0" w:color="auto"/>
            </w:tcBorders>
          </w:tcPr>
          <w:p>
            <w:pPr>
              <w:jc w:val="right"/>
              <w:rPr>
                <w:sz w:val="18"/>
                <w:szCs w:val="24"/>
                <w:lang w:eastAsia="lt-LT"/>
              </w:rPr>
            </w:pPr>
          </w:p>
        </w:tc>
        <w:tc>
          <w:tcPr>
            <w:tcW w:w="878" w:type="dxa"/>
            <w:gridSpan w:val="2"/>
            <w:vMerge/>
            <w:tcBorders>
              <w:left w:val="nil"/>
              <w:bottom w:val="single" w:sz="6" w:space="0" w:color="auto"/>
              <w:right w:val="single" w:sz="6" w:space="0" w:color="auto"/>
            </w:tcBorders>
          </w:tcPr>
          <w:p>
            <w:pPr>
              <w:jc w:val="right"/>
              <w:rPr>
                <w:sz w:val="18"/>
                <w:szCs w:val="24"/>
                <w:lang w:eastAsia="lt-LT"/>
              </w:rPr>
            </w:pPr>
          </w:p>
        </w:tc>
        <w:tc>
          <w:tcPr>
            <w:tcW w:w="739" w:type="dxa"/>
            <w:tcBorders>
              <w:top w:val="single" w:sz="6" w:space="0" w:color="auto"/>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618" w:type="dxa"/>
            <w:vMerge/>
            <w:tcBorders>
              <w:left w:val="single" w:sz="6" w:space="0" w:color="auto"/>
              <w:bottom w:val="single" w:sz="6" w:space="0" w:color="auto"/>
              <w:right w:val="single" w:sz="6" w:space="0" w:color="auto"/>
            </w:tcBorders>
          </w:tcPr>
          <w:p>
            <w:pPr>
              <w:rPr>
                <w:sz w:val="18"/>
                <w:szCs w:val="24"/>
                <w:lang w:eastAsia="lt-LT"/>
              </w:rPr>
            </w:pPr>
          </w:p>
        </w:tc>
        <w:tc>
          <w:tcPr>
            <w:tcW w:w="794" w:type="dxa"/>
            <w:vMerge/>
            <w:tcBorders>
              <w:left w:val="single" w:sz="6" w:space="0" w:color="auto"/>
              <w:bottom w:val="single" w:sz="6" w:space="0" w:color="auto"/>
              <w:right w:val="single" w:sz="6" w:space="0" w:color="auto"/>
            </w:tcBorders>
          </w:tcPr>
          <w:p>
            <w:pPr>
              <w:rPr>
                <w:sz w:val="18"/>
                <w:szCs w:val="24"/>
                <w:lang w:eastAsia="lt-LT"/>
              </w:rPr>
            </w:pPr>
          </w:p>
        </w:tc>
        <w:tc>
          <w:tcPr>
            <w:tcW w:w="925" w:type="dxa"/>
            <w:vMerge/>
            <w:tcBorders>
              <w:left w:val="single" w:sz="6" w:space="0" w:color="auto"/>
              <w:bottom w:val="single" w:sz="6" w:space="0" w:color="auto"/>
              <w:right w:val="single" w:sz="6" w:space="0" w:color="auto"/>
            </w:tcBorders>
          </w:tcPr>
          <w:p>
            <w:pPr>
              <w:rPr>
                <w:sz w:val="18"/>
                <w:szCs w:val="24"/>
                <w:lang w:eastAsia="lt-LT"/>
              </w:rPr>
            </w:pPr>
          </w:p>
        </w:tc>
        <w:tc>
          <w:tcPr>
            <w:tcW w:w="732" w:type="dxa"/>
            <w:vMerge/>
            <w:tcBorders>
              <w:left w:val="single" w:sz="6" w:space="0" w:color="auto"/>
              <w:bottom w:val="single" w:sz="6" w:space="0" w:color="auto"/>
              <w:right w:val="single" w:sz="6" w:space="0" w:color="auto"/>
            </w:tcBorders>
          </w:tcPr>
          <w:p>
            <w:pPr>
              <w:rPr>
                <w:sz w:val="18"/>
                <w:szCs w:val="24"/>
                <w:lang w:eastAsia="lt-LT"/>
              </w:rPr>
            </w:pPr>
          </w:p>
        </w:tc>
        <w:tc>
          <w:tcPr>
            <w:tcW w:w="592" w:type="dxa"/>
            <w:vMerge/>
            <w:tcBorders>
              <w:left w:val="single" w:sz="6" w:space="0" w:color="auto"/>
              <w:bottom w:val="single" w:sz="6" w:space="0" w:color="auto"/>
              <w:right w:val="single" w:sz="6" w:space="0" w:color="auto"/>
            </w:tcBorders>
          </w:tcPr>
          <w:p>
            <w:pPr>
              <w:rPr>
                <w:sz w:val="18"/>
                <w:szCs w:val="24"/>
                <w:lang w:eastAsia="lt-LT"/>
              </w:rPr>
            </w:pPr>
          </w:p>
        </w:tc>
        <w:tc>
          <w:tcPr>
            <w:tcW w:w="714" w:type="dxa"/>
            <w:vMerge/>
            <w:tcBorders>
              <w:left w:val="single" w:sz="6" w:space="0" w:color="auto"/>
              <w:bottom w:val="single" w:sz="6" w:space="0" w:color="auto"/>
              <w:right w:val="single" w:sz="6" w:space="0" w:color="auto"/>
            </w:tcBorders>
          </w:tcPr>
          <w:p>
            <w:pPr>
              <w:rPr>
                <w:sz w:val="18"/>
                <w:szCs w:val="24"/>
                <w:lang w:eastAsia="lt-LT"/>
              </w:rPr>
            </w:pPr>
          </w:p>
        </w:tc>
        <w:tc>
          <w:tcPr>
            <w:tcW w:w="695" w:type="dxa"/>
            <w:vMerge/>
            <w:tcBorders>
              <w:left w:val="single" w:sz="6" w:space="0" w:color="auto"/>
              <w:bottom w:val="single" w:sz="6" w:space="0" w:color="auto"/>
              <w:right w:val="single" w:sz="6" w:space="0" w:color="auto"/>
            </w:tcBorders>
          </w:tcPr>
          <w:p>
            <w:pPr>
              <w:rPr>
                <w:sz w:val="18"/>
                <w:szCs w:val="24"/>
                <w:lang w:eastAsia="lt-LT"/>
              </w:rPr>
            </w:pPr>
          </w:p>
        </w:tc>
        <w:tc>
          <w:tcPr>
            <w:tcW w:w="920" w:type="dxa"/>
            <w:vMerge/>
            <w:tcBorders>
              <w:left w:val="single" w:sz="6" w:space="0" w:color="auto"/>
              <w:bottom w:val="single" w:sz="6" w:space="0" w:color="auto"/>
              <w:right w:val="single" w:sz="6" w:space="0" w:color="auto"/>
            </w:tcBorders>
          </w:tcPr>
          <w:p>
            <w:pPr>
              <w:rPr>
                <w:sz w:val="18"/>
                <w:szCs w:val="24"/>
                <w:lang w:eastAsia="lt-LT"/>
              </w:rPr>
            </w:pPr>
          </w:p>
        </w:tc>
      </w:tr>
    </w:tbl>
    <w:p>
      <w:pPr>
        <w:ind w:firstLine="720"/>
        <w:jc w:val="both"/>
        <w:rPr>
          <w:szCs w:val="24"/>
          <w:lang w:eastAsia="lt-LT"/>
        </w:rPr>
      </w:pPr>
    </w:p>
    <w:tbl>
      <w:tblPr>
        <w:tblW w:w="9070" w:type="dxa"/>
        <w:tblLook w:val="01E0" w:firstRow="1" w:lastRow="1" w:firstColumn="1" w:lastColumn="1" w:noHBand="0" w:noVBand="0"/>
      </w:tblPr>
      <w:tblGrid>
        <w:gridCol w:w="1811"/>
        <w:gridCol w:w="2164"/>
        <w:gridCol w:w="452"/>
        <w:gridCol w:w="1856"/>
        <w:gridCol w:w="305"/>
        <w:gridCol w:w="2482"/>
      </w:tblGrid>
      <w:tr>
        <w:tc>
          <w:tcPr>
            <w:tcW w:w="999" w:type="pct"/>
            <w:shd w:val="clear" w:color="auto" w:fill="auto"/>
          </w:tcPr>
          <w:p>
            <w:pPr>
              <w:jc w:val="both"/>
              <w:rPr>
                <w:sz w:val="20"/>
                <w:szCs w:val="24"/>
                <w:lang w:eastAsia="lt-LT"/>
              </w:rPr>
            </w:pPr>
            <w:r>
              <w:rPr>
                <w:sz w:val="20"/>
                <w:szCs w:val="24"/>
                <w:lang w:eastAsia="lt-LT"/>
              </w:rPr>
              <w:t>Tvirtinu:</w:t>
            </w:r>
          </w:p>
        </w:tc>
        <w:tc>
          <w:tcPr>
            <w:tcW w:w="1193" w:type="pct"/>
            <w:tcBorders>
              <w:bottom w:val="single" w:sz="4" w:space="0" w:color="auto"/>
            </w:tcBorders>
            <w:shd w:val="clear" w:color="auto" w:fill="auto"/>
          </w:tcPr>
          <w:p>
            <w:pPr>
              <w:jc w:val="both"/>
              <w:rPr>
                <w:sz w:val="20"/>
                <w:szCs w:val="24"/>
                <w:lang w:eastAsia="lt-LT"/>
              </w:rPr>
            </w:pPr>
          </w:p>
        </w:tc>
        <w:tc>
          <w:tcPr>
            <w:tcW w:w="249" w:type="pct"/>
            <w:shd w:val="clear" w:color="auto" w:fill="auto"/>
          </w:tcPr>
          <w:p>
            <w:pPr>
              <w:jc w:val="both"/>
              <w:rPr>
                <w:sz w:val="20"/>
                <w:szCs w:val="24"/>
                <w:lang w:eastAsia="lt-LT"/>
              </w:rPr>
            </w:pPr>
          </w:p>
        </w:tc>
        <w:tc>
          <w:tcPr>
            <w:tcW w:w="1023" w:type="pct"/>
            <w:tcBorders>
              <w:bottom w:val="single" w:sz="4" w:space="0" w:color="auto"/>
            </w:tcBorders>
            <w:shd w:val="clear" w:color="auto" w:fill="auto"/>
          </w:tcPr>
          <w:p>
            <w:pPr>
              <w:jc w:val="both"/>
              <w:rPr>
                <w:sz w:val="20"/>
                <w:szCs w:val="24"/>
                <w:lang w:eastAsia="lt-LT"/>
              </w:rPr>
            </w:pPr>
          </w:p>
        </w:tc>
        <w:tc>
          <w:tcPr>
            <w:tcW w:w="168" w:type="pct"/>
            <w:shd w:val="clear" w:color="auto" w:fill="auto"/>
          </w:tcPr>
          <w:p>
            <w:pPr>
              <w:jc w:val="both"/>
              <w:rPr>
                <w:sz w:val="20"/>
                <w:szCs w:val="24"/>
                <w:lang w:eastAsia="lt-LT"/>
              </w:rPr>
            </w:pPr>
          </w:p>
        </w:tc>
        <w:tc>
          <w:tcPr>
            <w:tcW w:w="1368" w:type="pct"/>
            <w:tcBorders>
              <w:bottom w:val="single" w:sz="4" w:space="0" w:color="auto"/>
            </w:tcBorders>
            <w:shd w:val="clear" w:color="auto" w:fill="auto"/>
          </w:tcPr>
          <w:p>
            <w:pPr>
              <w:jc w:val="both"/>
              <w:rPr>
                <w:sz w:val="20"/>
                <w:szCs w:val="24"/>
                <w:lang w:eastAsia="lt-LT"/>
              </w:rPr>
            </w:pPr>
          </w:p>
        </w:tc>
      </w:tr>
      <w:tr>
        <w:tc>
          <w:tcPr>
            <w:tcW w:w="999" w:type="pct"/>
            <w:shd w:val="clear" w:color="auto" w:fill="auto"/>
          </w:tcPr>
          <w:p>
            <w:pPr>
              <w:jc w:val="both"/>
              <w:rPr>
                <w:sz w:val="20"/>
                <w:szCs w:val="24"/>
                <w:lang w:eastAsia="lt-LT"/>
              </w:rPr>
            </w:pPr>
          </w:p>
        </w:tc>
        <w:tc>
          <w:tcPr>
            <w:tcW w:w="1193" w:type="pct"/>
            <w:tcBorders>
              <w:top w:val="single" w:sz="4" w:space="0" w:color="auto"/>
            </w:tcBorders>
            <w:shd w:val="clear" w:color="auto" w:fill="auto"/>
          </w:tcPr>
          <w:p>
            <w:pPr>
              <w:jc w:val="center"/>
              <w:rPr>
                <w:sz w:val="20"/>
                <w:szCs w:val="24"/>
                <w:lang w:eastAsia="lt-LT"/>
              </w:rPr>
            </w:pPr>
            <w:r>
              <w:rPr>
                <w:sz w:val="20"/>
                <w:szCs w:val="24"/>
                <w:lang w:eastAsia="lt-LT"/>
              </w:rPr>
              <w:t>pareigos</w:t>
            </w:r>
          </w:p>
        </w:tc>
        <w:tc>
          <w:tcPr>
            <w:tcW w:w="249" w:type="pct"/>
            <w:shd w:val="clear" w:color="auto" w:fill="auto"/>
          </w:tcPr>
          <w:p>
            <w:pPr>
              <w:jc w:val="center"/>
              <w:rPr>
                <w:sz w:val="20"/>
                <w:szCs w:val="24"/>
                <w:lang w:eastAsia="lt-LT"/>
              </w:rPr>
            </w:pPr>
          </w:p>
        </w:tc>
        <w:tc>
          <w:tcPr>
            <w:tcW w:w="1023" w:type="pct"/>
            <w:tcBorders>
              <w:top w:val="single" w:sz="4" w:space="0" w:color="auto"/>
            </w:tcBorders>
            <w:shd w:val="clear" w:color="auto" w:fill="auto"/>
          </w:tcPr>
          <w:p>
            <w:pPr>
              <w:jc w:val="center"/>
              <w:rPr>
                <w:sz w:val="20"/>
                <w:szCs w:val="24"/>
                <w:lang w:eastAsia="lt-LT"/>
              </w:rPr>
            </w:pPr>
            <w:r>
              <w:rPr>
                <w:sz w:val="20"/>
                <w:szCs w:val="24"/>
                <w:lang w:eastAsia="lt-LT"/>
              </w:rPr>
              <w:t>parašas</w:t>
            </w:r>
          </w:p>
        </w:tc>
        <w:tc>
          <w:tcPr>
            <w:tcW w:w="168" w:type="pct"/>
            <w:shd w:val="clear" w:color="auto" w:fill="auto"/>
          </w:tcPr>
          <w:p>
            <w:pPr>
              <w:jc w:val="center"/>
              <w:rPr>
                <w:sz w:val="20"/>
                <w:szCs w:val="24"/>
                <w:lang w:eastAsia="lt-LT"/>
              </w:rPr>
            </w:pPr>
          </w:p>
        </w:tc>
        <w:tc>
          <w:tcPr>
            <w:tcW w:w="1368" w:type="pct"/>
            <w:tcBorders>
              <w:top w:val="single" w:sz="4" w:space="0" w:color="auto"/>
            </w:tcBorders>
            <w:shd w:val="clear" w:color="auto" w:fill="auto"/>
          </w:tcPr>
          <w:p>
            <w:pPr>
              <w:jc w:val="center"/>
              <w:rPr>
                <w:sz w:val="20"/>
                <w:szCs w:val="24"/>
                <w:lang w:eastAsia="lt-LT"/>
              </w:rPr>
            </w:pPr>
            <w:r>
              <w:rPr>
                <w:sz w:val="20"/>
                <w:szCs w:val="24"/>
                <w:lang w:eastAsia="lt-LT"/>
              </w:rPr>
              <w:t>vardas, pavardė</w:t>
            </w:r>
          </w:p>
        </w:tc>
      </w:tr>
    </w:tbl>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BCF34DA59D">
        <w:r w:rsidRPr="00532B9F">
          <w:rPr>
            <w:rFonts w:ascii="Times New Roman" w:eastAsia="MS Mincho" w:hAnsi="Times New Roman"/>
            <w:sz w:val="20"/>
            <w:i/>
            <w:iCs/>
            <w:color w:val="0000FF" w:themeColor="hyperlink"/>
            <w:u w:val="single"/>
          </w:rPr>
          <w:t>O3-341</w:t>
        </w:r>
      </w:fldSimple>
      <w:r>
        <w:rPr>
          <w:rFonts w:ascii="Times New Roman" w:eastAsia="MS Mincho" w:hAnsi="Times New Roman"/>
          <w:sz w:val="20"/>
          <w:i/>
          <w:iCs/>
        </w:rPr>
        <w:t>,
2013-08-27,
Žin., 2013, Nr.
92-4637 (2013-08-31), i. k. 113106ANUTA00O3-341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F114DE0ABE2">
        <w:r w:rsidRPr="00532B9F">
          <w:rPr>
            <w:rFonts w:ascii="Times New Roman" w:eastAsia="MS Mincho" w:hAnsi="Times New Roman"/>
            <w:sz w:val="20"/>
            <w:iCs/>
            <w:color w:val="0000FF" w:themeColor="hyperlink"/>
            <w:u w:val="single"/>
          </w:rPr>
          <w:t>O3-248</w:t>
        </w:r>
      </w:fldSimple>
      <w:r>
        <w:rPr>
          <w:rFonts w:ascii="Times New Roman" w:eastAsia="MS Mincho" w:hAnsi="Times New Roman"/>
          <w:sz w:val="20"/>
          <w:iCs/>
        </w:rPr>
        <w:t>,
2012-09-14,
Žin., 2012, Nr.
108-5510 (2012-09-19), i. k. 112106ANUTA00O3-248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A861FD53374">
        <w:r w:rsidRPr="00532B9F">
          <w:rPr>
            <w:rFonts w:ascii="Times New Roman" w:eastAsia="MS Mincho" w:hAnsi="Times New Roman"/>
            <w:sz w:val="20"/>
            <w:iCs/>
            <w:color w:val="0000FF" w:themeColor="hyperlink"/>
            <w:u w:val="single"/>
          </w:rPr>
          <w:t>O3-139</w:t>
        </w:r>
      </w:fldSimple>
      <w:r>
        <w:rPr>
          <w:rFonts w:ascii="Times New Roman" w:eastAsia="MS Mincho" w:hAnsi="Times New Roman"/>
          <w:sz w:val="20"/>
          <w:iCs/>
        </w:rPr>
        <w:t>,
2013-04-29,
Žin., 2013, Nr.
46-2315 (2013-05-07), i. k. 113106ANUTA00O3-139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6BCF34DA59D">
        <w:r w:rsidRPr="00532B9F">
          <w:rPr>
            <w:rFonts w:ascii="Times New Roman" w:eastAsia="MS Mincho" w:hAnsi="Times New Roman"/>
            <w:sz w:val="20"/>
            <w:iCs/>
            <w:color w:val="0000FF" w:themeColor="hyperlink"/>
            <w:u w:val="single"/>
          </w:rPr>
          <w:t>O3-341</w:t>
        </w:r>
      </w:fldSimple>
      <w:r>
        <w:rPr>
          <w:rFonts w:ascii="Times New Roman" w:eastAsia="MS Mincho" w:hAnsi="Times New Roman"/>
          <w:sz w:val="20"/>
          <w:iCs/>
        </w:rPr>
        <w:t>,
2013-08-27,
Žin., 2013, Nr.
92-4637 (2013-08-31), i. k. 113106ANUTA00O3-341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701" w:bottom="1134" w:left="1134"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264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44235B485568"/>
  <Relationship Id="rId12" Type="http://schemas.openxmlformats.org/officeDocument/2006/relationships/hyperlink" TargetMode="External" Target="https://www.e-tar.lt/portal/lt/legalAct/TAR.DA8FE0831A84"/>
  <Relationship Id="rId13" Type="http://schemas.openxmlformats.org/officeDocument/2006/relationships/hyperlink" TargetMode="External" Target="https://www.e-tar.lt/portal/lt/legalAct/TAR.969A03ACFB06"/>
  <Relationship Id="rId14" Type="http://schemas.openxmlformats.org/officeDocument/2006/relationships/hyperlink" TargetMode="External" Target="https://www.e-tar.lt/portal/lt/legalAct/TAR.44235B485568"/>
  <Relationship Id="rId15" Type="http://schemas.openxmlformats.org/officeDocument/2006/relationships/hyperlink" TargetMode="External" Target="https://www.e-tar.lt/portal/lt/legalAct/TAR.C2DAB42D5532"/>
  <Relationship Id="rId16" Type="http://schemas.openxmlformats.org/officeDocument/2006/relationships/hyperlink" TargetMode="External" Target="https://www.e-tar.lt/portal/lt/legalAct/TAR.F57794B7899F"/>
  <Relationship Id="rId17" Type="http://schemas.openxmlformats.org/officeDocument/2006/relationships/hyperlink" TargetMode="External" Target="https://www.e-tar.lt/portal/lt/legalAct/TAR.EC08E3DADC14"/>
  <Relationship Id="rId18" Type="http://schemas.openxmlformats.org/officeDocument/2006/relationships/hyperlink" TargetMode="External" Target="https://www.e-tar.lt/portal/lt/legalAct/TAR.FC7AB69BE291"/>
  <Relationship Id="rId19" Type="http://schemas.openxmlformats.org/officeDocument/2006/relationships/hyperlink" TargetMode="External" Target="https://www.e-tar.lt/portal/lt/legalAct/TAR.E1002166FF8C"/>
  <Relationship Id="rId2" Type="http://schemas.openxmlformats.org/officeDocument/2006/relationships/fontTable" Target="fontTable.xml"/>
  <Relationship Id="rId20" Type="http://schemas.openxmlformats.org/officeDocument/2006/relationships/hyperlink" TargetMode="External" Target="https://www.e-tar.lt/portal/lt/legalAct/TAR.EE6CB6FAF29E"/>
  <Relationship Id="rId21" Type="http://schemas.openxmlformats.org/officeDocument/2006/relationships/hyperlink" TargetMode="External" Target="https://www.e-tar.lt/portal/lt/legalAct/TAR.F60E958E511C"/>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35</TotalTime>
  <Pages>12</Pages>
  <Words>20857</Words>
  <Characters>11890</Characters>
  <Application>Microsoft Office Word</Application>
  <DocSecurity>0</DocSecurity>
  <Lines>99</Lines>
  <Paragraphs>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KAINŲ IR ENERGETIKOS KONTROLĖS KOMISIJOS</vt:lpstr>
    </vt:vector>
  </TitlesOfParts>
  <Company/>
  <LinksUpToDate>false</LinksUpToDate>
  <CharactersWithSpaces>32682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2015-07-02T00:29:00Z</dcterms:created>
  <dc:creator>Rima</dc:creator>
  <lastModifiedBy>SEIMAS</lastModifiedBy>
  <dcterms:modified xsi:type="dcterms:W3CDTF">2016-03-12T15:22:00Z</dcterms:modified>
  <revision>9</revision>
  <dc:title>VALSTYBINĖS KAINŲ IR ENERGETIKOS KONTROLĖS KOMISIJOS</dc:title>
</coreProperties>
</file>