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2019-01-01 iki 2019-03-31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2011, Nr. </w:t>
      </w:r>
      <w:fldSimple w:instr="HYPERLINK https://www.e-tar.lt/portal/legalAct.html?documentId=TAR.8B81F2228D01">
        <w:r w:rsidRPr="00532B9F">
          <w:rPr>
            <w:rFonts w:ascii="Times New Roman" w:eastAsia="MS Mincho" w:hAnsi="Times New Roman"/>
            <w:sz w:val="20"/>
            <w:i/>
            <w:iCs/>
            <w:color w:val="0000FF" w:themeColor="hyperlink"/>
            <w:u w:val="single"/>
          </w:rPr>
          <w:t>101-4777</w:t>
        </w:r>
      </w:fldSimple>
      <w:r>
        <w:rPr>
          <w:rFonts w:ascii="Times New Roman" w:eastAsia="MS Mincho" w:hAnsi="Times New Roman"/>
          <w:sz w:val="20"/>
          <w:i/>
          <w:iCs/>
        </w:rPr>
        <w:t>, i. k. 111106ANUTA00O3-235</w:t>
      </w:r>
    </w:p>
    <w:p>
      <w:pPr>
        <w:jc w:val="both"/>
        <w:rPr>
          <w:rFonts w:ascii="Times New Roman" w:hAnsi="Times New Roman"/>
          <w:sz w:val="20"/>
        </w:rPr>
      </w:pPr>
    </w:p>
    <w:p>
      <w:pPr>
        <w:keepLines/>
        <w:widowControl w:val="0"/>
        <w:suppressAutoHyphens/>
        <w:jc w:val="center"/>
        <w:rPr>
          <w:color w:val="000000"/>
        </w:rPr>
      </w:pPr>
      <w:r>
        <w:rPr>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9" o:title=""/>
          </v:shape>
          <w:control r:id="rId10" w:name="Control 2" w:shapeid="_x0000_s1026"/>
        </w:pict>
        <w:t>VALSTYBINĖS KAINŲ IR ENERGETIKOS KONTROLĖS KOMISIJOS</w:t>
      </w:r>
    </w:p>
    <w:p>
      <w:pPr>
        <w:keepLines/>
        <w:widowControl w:val="0"/>
        <w:suppressAutoHyphens/>
        <w:jc w:val="center"/>
        <w:rPr>
          <w:color w:val="000000"/>
        </w:rPr>
      </w:pPr>
      <w:r>
        <w:rPr>
          <w:color w:val="000000"/>
        </w:rPr>
        <w:t>N U T A R I M A 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DĖL ELEKTROS energijos ĮRENGINIŲ PRIJUNGIMO PRIE ELEKTROS TINKLŲ ĮKAINIŲ NUSTATYMO METODIKOS PATVIRTINIMO</w:t>
      </w:r>
    </w:p>
    <w:p>
      <w:pPr>
        <w:widowControl w:val="0"/>
        <w:suppressAutoHyphens/>
        <w:ind w:firstLine="567"/>
        <w:jc w:val="both"/>
        <w:rPr>
          <w:color w:val="000000"/>
        </w:rPr>
      </w:pPr>
    </w:p>
    <w:p>
      <w:pPr>
        <w:keepLines/>
        <w:widowControl w:val="0"/>
        <w:suppressAutoHyphens/>
        <w:jc w:val="center"/>
        <w:rPr>
          <w:color w:val="000000"/>
        </w:rPr>
      </w:pPr>
      <w:r>
        <w:rPr>
          <w:color w:val="000000"/>
        </w:rPr>
        <w:t>2011 m. liepos 29 d. Nr. O3-235</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ind w:firstLine="567"/>
        <w:jc w:val="both"/>
        <w:rPr>
          <w:color w:val="000000"/>
        </w:rPr>
      </w:pPr>
      <w:r>
        <w:rPr>
          <w:lang w:eastAsia="lt-LT"/>
        </w:rPr>
        <w:t xml:space="preserve">Vadovaudamasi Lietuvos Respublikos energetikos įstatymo 8 straipsnio 9 dalies 5 punktu, Lietuvos Respublikos elektros energetikos įstatymo 9 straipsnio 3 dalies 10 punktu, </w:t>
      </w:r>
      <w:r>
        <w:rPr>
          <w:szCs w:val="24"/>
          <w:lang w:eastAsia="lt-LT"/>
        </w:rPr>
        <w:t xml:space="preserve">67 straipsnio </w:t>
        <w:br/>
        <w:t xml:space="preserve">5–11 dalimis, Lietuvos Respublikos atsinaujinančių išteklių energetikos įstatymo 21 straipsnio 2, 3 ir 4 dalimis </w:t>
      </w:r>
      <w:r>
        <w:t xml:space="preserve">ir atsižvelgdama į Elektros energijos gamintojų ir vartotojų elektros įrenginių prijungimo prie elektros tinklų tvarkos aprašą, patvirtintą Lietuvos Respublikos energetikos ministro 2012 m. liepos 4 d. įsakymu Nr. 1-127 „Dėl Elektros energijos gamintojų ir vartotojų elektros įrenginių prijungimo prie elektros tinklų tvarkos aprašo patvirtinimo“ (toliau – Aprašas), </w:t>
      </w:r>
      <w:r>
        <w:rPr>
          <w:szCs w:val="24"/>
          <w:lang w:eastAsia="lt-LT"/>
        </w:rPr>
        <w:t>Naujų buitinių vartotojų elektros įrenginių prijungimo prie elektros tinklų sutarčių standartinių sąlygų aprašą, patvirtintą Lietuvos Respublikos energetikos ministro 2010 m. spalio 6 d. įsakymu Nr. 1-280 „Dėl Naujų buitinių vartotojų elektros įrenginių prijungimo prie elektros tinklų sutarčių standartinių sąlygų aprašo patvirtinimo“,</w:t>
      </w:r>
      <w:r>
        <w:t xml:space="preserve"> Valstybinė kainų ir energetikos kontrolės komisija nutaria:</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e449860f79b11e880d0fe0db08fac89">
        <w:r w:rsidRPr="00532B9F">
          <w:rPr>
            <w:rFonts w:ascii="Times New Roman" w:eastAsia="MS Mincho" w:hAnsi="Times New Roman"/>
            <w:sz w:val="20"/>
            <w:i/>
            <w:iCs/>
            <w:color w:val="0000FF" w:themeColor="hyperlink"/>
            <w:u w:val="single"/>
          </w:rPr>
          <w:t>O3E-436</w:t>
        </w:r>
      </w:fldSimple>
      <w:r>
        <w:rPr>
          <w:rFonts w:ascii="Times New Roman" w:eastAsia="MS Mincho" w:hAnsi="Times New Roman"/>
          <w:sz w:val="20"/>
          <w:i/>
          <w:iCs/>
        </w:rPr>
        <w:t>,
2018-12-04,
paskelbta TAR 2018-12-04, i. k. 2018-19682            </w:t>
      </w:r>
    </w:p>
    <w:p/>
    <w:p>
      <w:pPr>
        <w:widowControl w:val="0"/>
        <w:suppressAutoHyphens/>
        <w:ind w:firstLine="567"/>
        <w:jc w:val="both"/>
        <w:rPr>
          <w:color w:val="000000"/>
        </w:rPr>
      </w:pPr>
      <w:r>
        <w:rPr>
          <w:color w:val="000000"/>
        </w:rPr>
        <w:t>1</w:t>
      </w:r>
      <w:r>
        <w:rPr>
          <w:color w:val="000000"/>
        </w:rPr>
        <w:t>. Patvirtinti Elektros energijos įrenginių prijungimo prie elektros tinklų įkainių nustatymo metodiką (pridedama).</w:t>
      </w:r>
    </w:p>
    <w:p>
      <w:pPr>
        <w:widowControl w:val="0"/>
        <w:suppressAutoHyphens/>
        <w:ind w:firstLine="567"/>
        <w:jc w:val="both"/>
        <w:rPr>
          <w:color w:val="000000"/>
        </w:rPr>
      </w:pPr>
      <w:r>
        <w:rPr>
          <w:color w:val="000000"/>
        </w:rPr>
        <w:t>2</w:t>
      </w:r>
      <w:r>
        <w:rPr>
          <w:color w:val="000000"/>
        </w:rPr>
        <w:t xml:space="preserve">. Pripažinti netekusiu galios Valstybinės kainų ir energetikos kontrolės komisijos 2009 m. gruodžio 28 d. nutarimą Nr. O3-258 „Dėl Elektros vartotojų įrenginių prijungimo prie elektros tinklų įkainių nustatymo metodikos patvirtinimo“ (Žin., 2009, Nr. </w:t>
      </w:r>
      <w:hyperlink r:id="rId11" w:tgtFrame="_blank" w:history="1">
        <w:r>
          <w:rPr>
            <w:color w:val="0000FF" w:themeColor="hyperlink"/>
            <w:u w:val="single"/>
          </w:rPr>
          <w:t>156-7078</w:t>
        </w:r>
      </w:hyperlink>
      <w:r>
        <w:rPr>
          <w:color w:val="000000"/>
        </w:rPr>
        <w:t>).</w:t>
      </w:r>
    </w:p>
    <w:p>
      <w:pPr>
        <w:widowControl w:val="0"/>
        <w:suppressAutoHyphens/>
        <w:ind w:firstLine="567"/>
        <w:jc w:val="both"/>
        <w:rPr>
          <w:color w:val="000000"/>
        </w:rPr>
      </w:pPr>
      <w:r>
        <w:rPr>
          <w:color w:val="000000"/>
        </w:rPr>
        <w:t>3</w:t>
      </w:r>
      <w:r>
        <w:rPr>
          <w:color w:val="000000"/>
        </w:rPr>
        <w:t>. Nustatyti, kad šio nutarimo II–III skyriai įsigalioja nuo 2011 m. rugsėjo 1 d.</w:t>
      </w:r>
    </w:p>
    <w:p>
      <w:pPr>
        <w:widowControl w:val="0"/>
        <w:suppressAutoHyphens/>
        <w:ind w:firstLine="567"/>
        <w:jc w:val="both"/>
        <w:rPr>
          <w:color w:val="000000"/>
        </w:rPr>
      </w:pPr>
      <w:r>
        <w:rPr>
          <w:color w:val="000000"/>
        </w:rPr>
        <w:t>4</w:t>
      </w:r>
      <w:r>
        <w:rPr>
          <w:color w:val="000000"/>
        </w:rPr>
        <w:t>. Nustatyti, kad šio nutarimo IV skyrius įsigalioja nuo 2012 m. sausio 1 d.</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 xml:space="preserve">Komisijos pirmininkė </w:t>
        <w:tab/>
        <w:t>Diana Korsakaitė</w:t>
      </w:r>
    </w:p>
    <w:p>
      <w:pPr>
        <w:tabs>
          <w:tab w:val="left" w:pos="709"/>
          <w:tab w:val="left" w:pos="1276"/>
        </w:tabs>
        <w:ind w:left="4536"/>
        <w:sectPr>
          <w:headerReference w:type="even" r:id="rId12"/>
          <w:headerReference w:type="default" r:id="rId13"/>
          <w:footerReference w:type="even" r:id="rId14"/>
          <w:footerReference w:type="default" r:id="rId15"/>
          <w:headerReference w:type="first" r:id="rId16"/>
          <w:footerReference w:type="first" r:id="rId17"/>
          <w:pgSz w:w="11907" w:h="16839" w:code="9"/>
          <w:pgMar w:top="1247" w:right="567" w:bottom="1247" w:left="1701" w:header="709" w:footer="709" w:gutter="0"/>
          <w:pgNumType w:start="1"/>
          <w:cols w:space="708"/>
          <w:titlePg/>
          <w:docGrid w:linePitch="326"/>
        </w:sectPr>
      </w:pPr>
    </w:p>
    <w:p>
      <w:pPr>
        <w:tabs>
          <w:tab w:val="left" w:pos="709"/>
          <w:tab w:val="left" w:pos="1276"/>
        </w:tabs>
        <w:ind w:left="4536"/>
        <w:rPr>
          <w:szCs w:val="24"/>
        </w:rPr>
      </w:pPr>
      <w:r>
        <w:rPr>
          <w:szCs w:val="24"/>
        </w:rPr>
        <w:t>PATVIRTINTA</w:t>
      </w:r>
    </w:p>
    <w:p>
      <w:pPr>
        <w:tabs>
          <w:tab w:val="left" w:pos="709"/>
          <w:tab w:val="left" w:pos="1276"/>
        </w:tabs>
        <w:ind w:left="4536"/>
        <w:rPr>
          <w:szCs w:val="24"/>
        </w:rPr>
      </w:pPr>
      <w:r>
        <w:rPr>
          <w:szCs w:val="24"/>
        </w:rPr>
        <w:t>Valstybinės kainų ir energetikos kontrolės komisijos</w:t>
      </w:r>
    </w:p>
    <w:p>
      <w:pPr>
        <w:tabs>
          <w:tab w:val="left" w:pos="709"/>
          <w:tab w:val="left" w:pos="1276"/>
        </w:tabs>
        <w:ind w:left="4536"/>
        <w:rPr>
          <w:szCs w:val="24"/>
        </w:rPr>
      </w:pPr>
      <w:r>
        <w:rPr>
          <w:szCs w:val="24"/>
        </w:rPr>
        <w:t xml:space="preserve"> 2011 m. liepos 29 d. nutarimu Nr. O3-235 </w:t>
      </w:r>
    </w:p>
    <w:p>
      <w:pPr>
        <w:tabs>
          <w:tab w:val="left" w:pos="709"/>
          <w:tab w:val="left" w:pos="1276"/>
        </w:tabs>
        <w:ind w:left="4536"/>
        <w:rPr>
          <w:szCs w:val="24"/>
        </w:rPr>
      </w:pPr>
      <w:r>
        <w:rPr>
          <w:szCs w:val="24"/>
        </w:rPr>
        <w:t xml:space="preserve">(Valstybinės kainų ir energetikos kontrolės </w:t>
      </w:r>
    </w:p>
    <w:p>
      <w:pPr>
        <w:tabs>
          <w:tab w:val="left" w:pos="709"/>
          <w:tab w:val="left" w:pos="1276"/>
        </w:tabs>
        <w:ind w:left="4536"/>
        <w:rPr>
          <w:szCs w:val="24"/>
        </w:rPr>
      </w:pPr>
      <w:r>
        <w:rPr>
          <w:szCs w:val="24"/>
        </w:rPr>
        <w:t>komisijos 2018 m. gruodžio 4 d. nutarimo</w:t>
      </w:r>
    </w:p>
    <w:p>
      <w:pPr>
        <w:tabs>
          <w:tab w:val="left" w:pos="709"/>
          <w:tab w:val="left" w:pos="1276"/>
        </w:tabs>
        <w:ind w:left="4536"/>
        <w:rPr>
          <w:szCs w:val="24"/>
        </w:rPr>
      </w:pPr>
      <w:r>
        <w:rPr>
          <w:szCs w:val="24"/>
        </w:rPr>
        <w:t>Nr. O3E-436 redakcija)</w:t>
      </w:r>
    </w:p>
    <w:p>
      <w:pPr>
        <w:tabs>
          <w:tab w:val="left" w:pos="709"/>
        </w:tabs>
        <w:jc w:val="center"/>
        <w:rPr>
          <w:b/>
          <w:bCs/>
          <w:szCs w:val="24"/>
        </w:rPr>
      </w:pPr>
    </w:p>
    <w:p>
      <w:pPr>
        <w:tabs>
          <w:tab w:val="left" w:pos="709"/>
        </w:tabs>
        <w:jc w:val="center"/>
        <w:rPr>
          <w:b/>
          <w:szCs w:val="24"/>
        </w:rPr>
      </w:pPr>
      <w:r>
        <w:rPr>
          <w:b/>
          <w:szCs w:val="24"/>
        </w:rPr>
        <w:t>ELEKTROS ENERGIJOS ĮRENGINIŲ PRIJUNGIMO PRIE ELEKTROS TINKLŲ ĮKAINIŲ NUSTATYMO METODIKA</w:t>
      </w:r>
    </w:p>
    <w:p>
      <w:pPr>
        <w:tabs>
          <w:tab w:val="left" w:pos="709"/>
        </w:tabs>
        <w:jc w:val="center"/>
        <w:rPr>
          <w:b/>
          <w:szCs w:val="24"/>
        </w:rPr>
      </w:pPr>
    </w:p>
    <w:p>
      <w:pPr>
        <w:keepLines/>
        <w:widowControl w:val="0"/>
        <w:suppressAutoHyphens/>
        <w:jc w:val="center"/>
        <w:rPr>
          <w:b/>
          <w:bCs/>
          <w:caps/>
        </w:rPr>
      </w:pPr>
      <w:r>
        <w:rPr>
          <w:b/>
          <w:bCs/>
          <w:caps/>
        </w:rPr>
        <w:t>I</w:t>
      </w:r>
      <w:r>
        <w:rPr>
          <w:b/>
          <w:bCs/>
          <w:caps/>
        </w:rPr>
        <w:t xml:space="preserve"> SKYRIUS</w:t>
      </w:r>
    </w:p>
    <w:p>
      <w:pPr>
        <w:keepLines/>
        <w:widowControl w:val="0"/>
        <w:suppressAutoHyphens/>
        <w:jc w:val="center"/>
        <w:rPr>
          <w:b/>
          <w:bCs/>
          <w:caps/>
        </w:rPr>
      </w:pPr>
      <w:r>
        <w:rPr>
          <w:b/>
          <w:bCs/>
          <w:caps/>
        </w:rPr>
        <w:t>bendrosios nuostatos</w:t>
      </w:r>
    </w:p>
    <w:p>
      <w:pPr>
        <w:widowControl w:val="0"/>
        <w:suppressAutoHyphens/>
        <w:jc w:val="both"/>
      </w:pPr>
    </w:p>
    <w:p>
      <w:pPr>
        <w:widowControl w:val="0"/>
        <w:suppressAutoHyphens/>
        <w:ind w:firstLine="720"/>
        <w:jc w:val="both"/>
      </w:pPr>
      <w:r>
        <w:t>1</w:t>
      </w:r>
      <w:r>
        <w:t>. Elektros energijos įrenginių prijungimo prie elektros tinklų įkainių nustatymo metodika (toliau – Metodika) reglamentuoja elektros energijos įrenginių prijungimo prie elektros tinklų įkainių nustatymo tvarką</w:t>
      </w:r>
      <w:r>
        <w:rPr>
          <w:rFonts w:cs="Arial"/>
          <w:szCs w:val="24"/>
          <w:lang w:eastAsia="lt-LT"/>
        </w:rPr>
        <w:t xml:space="preserve"> </w:t>
      </w:r>
      <w:r>
        <w:t>ir sąlygas.</w:t>
      </w:r>
    </w:p>
    <w:p>
      <w:pPr>
        <w:ind w:firstLine="720"/>
        <w:jc w:val="both"/>
      </w:pPr>
      <w:r>
        <w:rPr>
          <w:szCs w:val="24"/>
          <w:lang w:eastAsia="lt-LT"/>
        </w:rPr>
        <w:t>2</w:t>
      </w:r>
      <w:r>
        <w:rPr>
          <w:szCs w:val="24"/>
          <w:lang w:eastAsia="lt-LT"/>
        </w:rPr>
        <w:t xml:space="preserve">. Valstybinė kainų ir energetikos kontrolės komisija (toliau – Komisija), vadovaudamasi Metodika, nustato vartotojų elektros energijos įrenginių prijungimo prie elektros energijos tinklų įkainius, o operatoriai apskaičiuoja vartotojų, gamintojų </w:t>
      </w:r>
      <w:r>
        <w:rPr>
          <w:bCs/>
          <w:szCs w:val="24"/>
          <w:lang w:eastAsia="lt-LT"/>
        </w:rPr>
        <w:t>ir elektros energiją gaminančių vartotojų</w:t>
      </w:r>
      <w:r>
        <w:rPr>
          <w:szCs w:val="24"/>
          <w:lang w:eastAsia="lt-LT"/>
        </w:rPr>
        <w:t xml:space="preserve"> elektros energijos įrenginių prijungimo prie elektros energijos tinklų paslaugos kainas (prijungimo įmokas).</w:t>
      </w:r>
      <w:r>
        <w:rPr>
          <w:lang w:eastAsia="lt-LT"/>
        </w:rPr>
        <w:t xml:space="preserve"> </w:t>
      </w:r>
      <w:r>
        <w:rPr>
          <w:bCs/>
          <w:lang w:eastAsia="lt-LT"/>
        </w:rPr>
        <w:t xml:space="preserve">Elektros energiją gaminančių vartotojų prijungimo įkainiams nustatyti </w:t>
      </w:r>
      <w:r>
        <w:rPr>
          <w:bCs/>
          <w:i/>
          <w:iCs/>
          <w:lang w:eastAsia="lt-LT"/>
        </w:rPr>
        <w:t>mutatis mutandis</w:t>
      </w:r>
      <w:r>
        <w:rPr>
          <w:bCs/>
          <w:lang w:eastAsia="lt-LT"/>
        </w:rPr>
        <w:t xml:space="preserve"> taikomos Metodikos III ir VI skyrių nuostatos.</w:t>
      </w:r>
      <w:r>
        <w:t xml:space="preserve"> </w:t>
      </w:r>
    </w:p>
    <w:p>
      <w:pPr>
        <w:ind w:firstLine="720"/>
        <w:jc w:val="both"/>
      </w:pPr>
      <w:r>
        <w:rPr>
          <w:szCs w:val="24"/>
          <w:lang w:eastAsia="lt-LT"/>
        </w:rPr>
        <w:t>3</w:t>
      </w:r>
      <w:r>
        <w:rPr>
          <w:szCs w:val="24"/>
          <w:lang w:eastAsia="lt-LT"/>
        </w:rPr>
        <w:t>. M</w:t>
      </w:r>
      <w:r>
        <w:t>etodikoje vartojamos šios sąvokos:</w:t>
      </w:r>
    </w:p>
    <w:p>
      <w:pPr>
        <w:ind w:firstLine="720"/>
        <w:jc w:val="both"/>
      </w:pPr>
      <w:r>
        <w:t>3.1</w:t>
      </w:r>
      <w:r>
        <w:t>.</w:t>
      </w:r>
      <w:r>
        <w:rPr>
          <w:b/>
        </w:rPr>
        <w:t xml:space="preserve"> Pirma (I) aprūpinimo elektra patikimumo kategorija</w:t>
      </w:r>
      <w:r>
        <w:t xml:space="preserve"> – kai iki operatoriaus ir vartotojo elektros tinklų nuosavybės ribos įrengiamos elektros linijos iš dviejų arba daugiau nepriklausomų elektros šaltinių ir aprūpinimas elektros energija negali būti nutrauktas ilgesniam laikui, nei to reikia automatiniam perjungimui nuo vieno nepriklausomo elektros šaltinio prie kito arba pakartotiniam elektros energijos šaltinio įjungimui.</w:t>
      </w:r>
    </w:p>
    <w:p>
      <w:pPr>
        <w:ind w:firstLine="720"/>
        <w:jc w:val="both"/>
      </w:pPr>
      <w:r>
        <w:t>3.2</w:t>
      </w:r>
      <w:r>
        <w:t xml:space="preserve">. </w:t>
      </w:r>
      <w:r>
        <w:rPr>
          <w:b/>
        </w:rPr>
        <w:t>Antra (II) aprūpinimo elektra patikimumo kategorija</w:t>
      </w:r>
      <w:r>
        <w:t xml:space="preserve"> – kai iki operatoriaus ir vartotojo elektros tinklų nuosavybės ribos įrengiamos atskiros elektros linijos iš dviejų elektros šaltinių ir aprūpinimas elektros energija negali būti nutrauktas ilgesniam laikui, nei 2,5 valandos.</w:t>
      </w:r>
    </w:p>
    <w:p>
      <w:pPr>
        <w:ind w:firstLine="720"/>
        <w:jc w:val="both"/>
      </w:pPr>
      <w:r>
        <w:t>4</w:t>
      </w:r>
      <w:r>
        <w:t xml:space="preserve">. Kitos Metodikoje vartojamos sąvokos suprantamos taip, kaip jos apibrėžtos </w:t>
      </w:r>
      <w:r>
        <w:rPr>
          <w:spacing w:val="10"/>
        </w:rPr>
        <w:t xml:space="preserve">ir </w:t>
      </w:r>
      <w:r>
        <w:t>(ar) aiškinamos Energetikos įstatyme, Elektros energetikos įstatyme, Atsinaujinančių išteklių energetikos įstatyme, Apraše</w:t>
      </w:r>
      <w:r>
        <w:rPr>
          <w:b/>
        </w:rPr>
        <w:t xml:space="preserve"> </w:t>
      </w:r>
      <w:r>
        <w:t>ir kituose teisės aktuose.</w:t>
      </w:r>
    </w:p>
    <w:p>
      <w:pPr>
        <w:ind w:firstLine="782"/>
        <w:jc w:val="both"/>
      </w:pPr>
    </w:p>
    <w:p>
      <w:pPr>
        <w:jc w:val="center"/>
        <w:rPr>
          <w:b/>
          <w:bCs/>
          <w:caps/>
          <w:szCs w:val="24"/>
          <w:lang w:eastAsia="lt-LT"/>
        </w:rPr>
      </w:pPr>
      <w:r>
        <w:rPr>
          <w:b/>
          <w:bCs/>
          <w:caps/>
          <w:szCs w:val="24"/>
          <w:lang w:eastAsia="lt-LT"/>
        </w:rPr>
        <w:t>II</w:t>
      </w:r>
      <w:r>
        <w:rPr>
          <w:b/>
          <w:bCs/>
          <w:caps/>
          <w:szCs w:val="24"/>
          <w:lang w:eastAsia="lt-LT"/>
        </w:rPr>
        <w:t xml:space="preserve"> SKYRIUS</w:t>
      </w:r>
    </w:p>
    <w:p>
      <w:pPr>
        <w:jc w:val="center"/>
        <w:rPr>
          <w:szCs w:val="24"/>
        </w:rPr>
      </w:pPr>
      <w:r>
        <w:rPr>
          <w:b/>
          <w:bCs/>
          <w:caps/>
          <w:szCs w:val="24"/>
          <w:lang w:eastAsia="lt-LT"/>
        </w:rPr>
        <w:t>VARTOTOJŲ ELEKTROS ENERGIJOS ĮRENGINIŲ PRIJUNGIMO ĮKAINIŲ NUSTATYMO TVARKA</w:t>
      </w:r>
    </w:p>
    <w:p>
      <w:pPr>
        <w:rPr>
          <w:szCs w:val="24"/>
        </w:rPr>
      </w:pPr>
    </w:p>
    <w:p>
      <w:pPr>
        <w:ind w:firstLine="720"/>
        <w:jc w:val="both"/>
        <w:rPr>
          <w:szCs w:val="24"/>
          <w:lang w:eastAsia="lt-LT"/>
        </w:rPr>
      </w:pPr>
      <w:r>
        <w:rPr>
          <w:szCs w:val="24"/>
        </w:rPr>
        <w:t>5</w:t>
      </w:r>
      <w:r>
        <w:rPr>
          <w:szCs w:val="24"/>
        </w:rPr>
        <w:t xml:space="preserve">. </w:t>
      </w:r>
      <w:r>
        <w:rPr>
          <w:szCs w:val="24"/>
          <w:lang w:eastAsia="lt-LT"/>
        </w:rPr>
        <w:t xml:space="preserve">Komisija nustato prijungimo įkainį 1 kW elektros energijos įrenginių leistinosios naudoti galios įrengti ar padidinti, kaip investicijų į įrenginius, medžiagas ir darbus, nesusijusių su elektros tinklo tiesimu </w:t>
      </w:r>
      <w:r>
        <w:t>horizontalia ir vertikalia kryptimis</w:t>
      </w:r>
      <w:r>
        <w:rPr>
          <w:szCs w:val="24"/>
          <w:lang w:eastAsia="lt-LT"/>
        </w:rPr>
        <w:t>, sumos per praėjusius kalendorinius metus santykį su įrengtąja galia per praėjusius kalendorinius metus atitinkamoje vartotojų grupėje.</w:t>
      </w:r>
    </w:p>
    <w:p>
      <w:pPr>
        <w:ind w:firstLine="720"/>
        <w:jc w:val="both"/>
        <w:rPr>
          <w:szCs w:val="24"/>
          <w:lang w:eastAsia="lt-LT"/>
        </w:rPr>
      </w:pPr>
      <w:r>
        <w:rPr>
          <w:szCs w:val="24"/>
          <w:lang w:eastAsia="lt-LT"/>
        </w:rPr>
        <w:t xml:space="preserve">Investicijos, susijusios su elektros tinklo tiesimu </w:t>
      </w:r>
      <w:r>
        <w:t>vertikalia kryptimi (</w:t>
      </w:r>
      <w:r>
        <w:rPr>
          <w:szCs w:val="24"/>
          <w:lang w:eastAsia="lt-LT"/>
        </w:rPr>
        <w:t xml:space="preserve">linijų, skirtų sujungti </w:t>
      </w:r>
      <w:r>
        <w:t xml:space="preserve">ant atramos esantį apskaitos skydą su oro linija, tiesimas ar keitimas), įvertinamos apskaičiuojant 1 kW įkainį tik tais atvejais, kai </w:t>
      </w:r>
      <w:r>
        <w:rPr>
          <w:szCs w:val="24"/>
          <w:lang w:eastAsia="lt-LT"/>
        </w:rPr>
        <w:t>vartotojų grupei nėra nustatomas įkainis už tiesiamą tinklą.</w:t>
      </w:r>
    </w:p>
    <w:p>
      <w:pPr>
        <w:ind w:firstLine="709"/>
        <w:jc w:val="both"/>
      </w:pPr>
      <w:r>
        <w:t>6</w:t>
      </w:r>
      <w:r>
        <w:t xml:space="preserve">. Komisija nustato prijungimo įkainį 1 m elektros linijos nutiesti kaip investicijų į medžiagas ir darbus, susijusius su elektros tinklo tiesimu horizontalia ir vertikalia kryptimis, sumos per praėjusius kalendorinius metus santykį su nutiesto elektros tinklo </w:t>
      </w:r>
      <w:r>
        <w:rPr>
          <w:szCs w:val="24"/>
          <w:lang w:eastAsia="lt-LT"/>
        </w:rPr>
        <w:t xml:space="preserve">trumpiausiu geometriniu atstumu </w:t>
      </w:r>
      <w:r>
        <w:t>per praėjusius kalendorinius metus atitinkamoje vartotojų grupėje.</w:t>
      </w:r>
    </w:p>
    <w:p>
      <w:pPr>
        <w:ind w:firstLine="709"/>
        <w:jc w:val="both"/>
        <w:rPr>
          <w:szCs w:val="24"/>
          <w:lang w:eastAsia="lt-LT"/>
        </w:rPr>
      </w:pPr>
      <w:r>
        <w:t>7</w:t>
      </w:r>
      <w:r>
        <w:t xml:space="preserve">. Komisija nustato projekto parengimo įkainį kaip </w:t>
      </w:r>
      <w:r>
        <w:rPr>
          <w:szCs w:val="24"/>
        </w:rPr>
        <w:t xml:space="preserve">investicijų, susijusių su elektros tinklų projektų parengimu, sumos </w:t>
      </w:r>
      <w:r>
        <w:rPr>
          <w:szCs w:val="24"/>
          <w:lang w:eastAsia="lt-LT"/>
        </w:rPr>
        <w:t>per praėjusius kalendorinius metus santykį su parengtų projektų skaičiumi per praėjusius kalendorinius metus atitinkamoje vartotojų grupėje.</w:t>
      </w:r>
    </w:p>
    <w:p>
      <w:pPr>
        <w:ind w:firstLine="709"/>
        <w:jc w:val="both"/>
        <w:rPr>
          <w:szCs w:val="24"/>
        </w:rPr>
      </w:pPr>
      <w:r>
        <w:rPr>
          <w:szCs w:val="24"/>
        </w:rPr>
        <w:t>8</w:t>
      </w:r>
      <w:r>
        <w:rPr>
          <w:szCs w:val="24"/>
        </w:rPr>
        <w:t xml:space="preserve">. Komisija nustato maksimalią projektavimo kainą, kaip investicijų, susijusių su elektros tinklų projektų parengimu, sumos </w:t>
      </w:r>
      <w:r>
        <w:rPr>
          <w:szCs w:val="24"/>
          <w:lang w:eastAsia="lt-LT"/>
        </w:rPr>
        <w:t>per praėjusius kalendorinius metus santykį su parengtų projektų skaičiumi per praėjusius kalendorinius metus atitinkamoje vartotojų grupėje</w:t>
      </w:r>
      <w:r>
        <w:rPr>
          <w:szCs w:val="24"/>
        </w:rPr>
        <w:t>.</w:t>
      </w:r>
    </w:p>
    <w:p>
      <w:pPr>
        <w:ind w:firstLine="709"/>
        <w:jc w:val="both"/>
      </w:pPr>
      <w:r>
        <w:rPr>
          <w:szCs w:val="24"/>
          <w:lang w:eastAsia="lt-LT"/>
        </w:rPr>
        <w:t>9</w:t>
      </w:r>
      <w:r>
        <w:rPr>
          <w:szCs w:val="24"/>
          <w:lang w:eastAsia="lt-LT"/>
        </w:rPr>
        <w:t>. Komisija, nustatydama prijungimo įkainį 1 kW elektros energijos įrenginių leistinosios naudoti galios įrengti ar padidinti, prijungimo įkainį 1 m elektros linijos nutiesti bei projektavimo įkainį, diferencijuoja kiekvieną įkainį pagal vartotojų grupes:</w:t>
      </w:r>
    </w:p>
    <w:p>
      <w:pPr>
        <w:ind w:firstLine="709"/>
        <w:jc w:val="both"/>
      </w:pPr>
      <w:r>
        <w:rPr>
          <w:szCs w:val="24"/>
          <w:lang w:eastAsia="lt-LT"/>
        </w:rPr>
        <w:t>9.1</w:t>
      </w:r>
      <w:r>
        <w:rPr>
          <w:szCs w:val="24"/>
          <w:lang w:eastAsia="lt-LT"/>
        </w:rPr>
        <w:t xml:space="preserve">. I grupė – vartotojai, kurių prijungiamų elektros įrenginių leistinoji naudoti galia ar didinama elektros įrenginių leistinoji naudoti galia </w:t>
      </w:r>
      <w:r>
        <w:rPr>
          <w:bCs/>
          <w:szCs w:val="24"/>
          <w:shd w:val="clear" w:color="auto" w:fill="FFFFFF"/>
          <w:lang w:eastAsia="lt-LT"/>
        </w:rPr>
        <w:t>(tuo atveju, kai elektros įrenginiai prie elektros tinklo prijungiami pagal bendras (vieningas) prijungimo sąlygas, vieną projektą ir vieną sutartį – suminė leistinoji naudoti galia)</w:t>
      </w:r>
      <w:r>
        <w:rPr>
          <w:szCs w:val="24"/>
          <w:lang w:eastAsia="lt-LT"/>
        </w:rPr>
        <w:t xml:space="preserve"> nesiekia 50 kW ir kurių įrenginiams prijungti nėra būtina įrengti, keisti ar rekonstruoti operatoriaus elektros energetikos objektų (0,4 kV ir (ar) 10 kV kabelinių ir (ar) oro linijų, transformatorių pastočių, skirstomųjų punktų ir (ar) transformatorių, </w:t>
      </w:r>
      <w:r>
        <w:rPr>
          <w:bCs/>
          <w:szCs w:val="24"/>
          <w:shd w:val="clear" w:color="auto" w:fill="FFFFFF"/>
          <w:lang w:eastAsia="lt-LT"/>
        </w:rPr>
        <w:t>kabelių skirstomųjų spintų</w:t>
      </w:r>
      <w:r>
        <w:rPr>
          <w:szCs w:val="24"/>
          <w:lang w:eastAsia="lt-LT"/>
        </w:rPr>
        <w:t>) ir nereikia rengti vartotojo elektros įrenginių prijungimo prie elektros tinklų projekto, arba tokį projektą rengti reikia, tačiau jį, vadovaudamiesi Aprašo 14 punktu, rengia ir derina vartotojai;</w:t>
      </w:r>
    </w:p>
    <w:p>
      <w:pPr>
        <w:ind w:firstLine="709"/>
        <w:jc w:val="both"/>
      </w:pPr>
      <w:r>
        <w:rPr>
          <w:szCs w:val="24"/>
          <w:lang w:eastAsia="lt-LT"/>
        </w:rPr>
        <w:t>9.2</w:t>
      </w:r>
      <w:r>
        <w:rPr>
          <w:szCs w:val="24"/>
          <w:lang w:eastAsia="lt-LT"/>
        </w:rPr>
        <w:t xml:space="preserve">. II grupė – vartotojai, kurių prijungiamų elektros įrenginių leistinoji naudoti galia ar didinama elektros įrenginių leistinoji naudoti galia </w:t>
      </w:r>
      <w:r>
        <w:rPr>
          <w:bCs/>
          <w:szCs w:val="24"/>
          <w:shd w:val="clear" w:color="auto" w:fill="FFFFFF"/>
          <w:lang w:eastAsia="lt-LT"/>
        </w:rPr>
        <w:t>(tuo atveju, kai elektros įrenginiai prie elektros tinklo prijungiami pagal bendras (vieningas) prijungimo sąlygas, vieną projektą ir vieną sutartį – suminė leistinoji naudoti galia)</w:t>
      </w:r>
      <w:r>
        <w:rPr>
          <w:szCs w:val="24"/>
          <w:lang w:eastAsia="lt-LT"/>
        </w:rPr>
        <w:t xml:space="preserve"> nesiekia 100 kW </w:t>
      </w:r>
      <w:r>
        <w:rPr>
          <w:bCs/>
          <w:szCs w:val="24"/>
          <w:lang w:eastAsia="lt-LT"/>
        </w:rPr>
        <w:t>(išskyrus Metodikos 9.1 papunktyje nurodytus vartotojus)</w:t>
      </w:r>
      <w:r>
        <w:rPr>
          <w:szCs w:val="24"/>
          <w:lang w:eastAsia="lt-LT"/>
        </w:rPr>
        <w:t>;</w:t>
      </w:r>
    </w:p>
    <w:p>
      <w:pPr>
        <w:ind w:firstLine="709"/>
        <w:jc w:val="both"/>
      </w:pPr>
      <w:r>
        <w:rPr>
          <w:szCs w:val="24"/>
          <w:lang w:eastAsia="lt-LT"/>
        </w:rPr>
        <w:t>9.3</w:t>
      </w:r>
      <w:r>
        <w:rPr>
          <w:szCs w:val="24"/>
          <w:lang w:eastAsia="lt-LT"/>
        </w:rPr>
        <w:t xml:space="preserve">. III grupė – vartotojai, kurių prijungiamų elektros įrenginių leistinoji naudoti galia ar didinama elektros įrenginių leistinoji naudoti galia </w:t>
      </w:r>
      <w:r>
        <w:rPr>
          <w:bCs/>
          <w:szCs w:val="24"/>
          <w:shd w:val="clear" w:color="auto" w:fill="FFFFFF"/>
          <w:lang w:eastAsia="lt-LT"/>
        </w:rPr>
        <w:t>(tuo atveju, kai elektros įrenginiai prie elektros tinklo prijungiami pagal bendras (vieningas) prijungimo sąlygas, vieną projektą ir vieną sutartį – suminė leistinoji naudoti galia)</w:t>
      </w:r>
      <w:r>
        <w:rPr>
          <w:szCs w:val="24"/>
          <w:lang w:eastAsia="lt-LT"/>
        </w:rPr>
        <w:t xml:space="preserve"> yra nuo 100 iki 500 kW (imtinai).</w:t>
      </w:r>
      <w:r>
        <w:t xml:space="preserve"> </w:t>
      </w:r>
    </w:p>
    <w:p>
      <w:pPr>
        <w:ind w:firstLine="709"/>
        <w:jc w:val="both"/>
      </w:pPr>
      <w:r>
        <w:rPr>
          <w:szCs w:val="24"/>
          <w:lang w:eastAsia="lt-LT"/>
        </w:rPr>
        <w:t>10</w:t>
      </w:r>
      <w:r>
        <w:rPr>
          <w:szCs w:val="24"/>
          <w:lang w:eastAsia="lt-LT"/>
        </w:rPr>
        <w:t xml:space="preserve">. Elektros energijos vartotojui ir operatoriui teisės aktų nustatyta tvarka sudarant prijungimo prie elektros tinklų paslaugos suteikimo sutartį, Metodikos 23, 24 punktuose nustatytais atvejais prijungiantis operatorius prijungimo įmoką apskaičiuoja pagal operatoriaus patirtas faktines išlaidas, o Metodikos 16 punkte nustatytais atvejais – vadovaudamasis Komisijos šios Metodikos nustatyta tvarka nustatytais prijungimo įkainiais. </w:t>
      </w:r>
    </w:p>
    <w:p>
      <w:pPr>
        <w:ind w:firstLine="709"/>
        <w:jc w:val="both"/>
        <w:rPr>
          <w:spacing w:val="-2"/>
        </w:rPr>
      </w:pPr>
      <w:r>
        <w:rPr>
          <w:szCs w:val="24"/>
        </w:rPr>
        <w:t>11</w:t>
      </w:r>
      <w:r>
        <w:rPr>
          <w:szCs w:val="24"/>
        </w:rPr>
        <w:t xml:space="preserve">. </w:t>
      </w:r>
      <w:r>
        <w:t>B</w:t>
      </w:r>
      <w:r>
        <w:rPr>
          <w:spacing w:val="-2"/>
        </w:rPr>
        <w:t>uitiniams vartotojams, įskaitant ir pažeidžiamus vartotojus, pagal skirtingas vartotojų grupes apskaičiuojami įkainiai, atitinkantys 20 proc. skirstomųjų tinklų operatoriaus praėjusiais kalendoriniais metais faktiškai patirtų sąnaudų, ir maksimali kompensuotina projektavimo kaina,</w:t>
      </w:r>
      <w:r>
        <w:rPr>
          <w:b/>
          <w:spacing w:val="-2"/>
        </w:rPr>
        <w:t xml:space="preserve"> </w:t>
      </w:r>
      <w:r>
        <w:rPr>
          <w:spacing w:val="-2"/>
        </w:rPr>
        <w:t xml:space="preserve">atitinkanti 80 proc. skirstomųjų tinklų operatoriaus praėjusiais kalendoriniais metais faktiškai patirtų sąnaudų atitinkamos grupės vartotojų projektams parengti. </w:t>
      </w:r>
    </w:p>
    <w:p>
      <w:pPr>
        <w:keepNext/>
        <w:widowControl w:val="0"/>
        <w:ind w:firstLine="709"/>
        <w:jc w:val="both"/>
        <w:outlineLvl w:val="1"/>
        <w:rPr>
          <w:spacing w:val="-2"/>
          <w:szCs w:val="24"/>
          <w:lang w:eastAsia="lt-LT"/>
        </w:rPr>
      </w:pPr>
      <w:r>
        <w:rPr>
          <w:szCs w:val="24"/>
          <w:lang w:eastAsia="lt-LT"/>
        </w:rPr>
        <w:t xml:space="preserve">Kitiems vartotojams, išskyrus buitinius ir </w:t>
      </w:r>
      <w:r>
        <w:rPr>
          <w:bCs/>
          <w:szCs w:val="24"/>
          <w:lang w:eastAsia="lt-LT"/>
        </w:rPr>
        <w:t xml:space="preserve">pažeidžiamus vartotojus bei </w:t>
      </w:r>
      <w:r>
        <w:rPr>
          <w:szCs w:val="24"/>
          <w:lang w:eastAsia="lt-LT"/>
        </w:rPr>
        <w:t>vartotojus, kurių elektros įrenginiai pirmą kartą prijungiami prie skirstomųjų tinklų su ne mažesne kaip 1 MW</w:t>
      </w:r>
      <w:r>
        <w:rPr>
          <w:bCs/>
          <w:szCs w:val="24"/>
          <w:lang w:eastAsia="lt-LT"/>
        </w:rPr>
        <w:t xml:space="preserve"> leistinąja naudoti galia arba </w:t>
      </w:r>
      <w:r>
        <w:rPr>
          <w:szCs w:val="24"/>
          <w:lang w:eastAsia="lt-LT"/>
        </w:rPr>
        <w:t xml:space="preserve">kurie didina leistinąją naudoti galią ne mažiau kaip 1 MW </w:t>
      </w:r>
      <w:r>
        <w:rPr>
          <w:bCs/>
          <w:szCs w:val="24"/>
          <w:lang w:eastAsia="lt-LT"/>
        </w:rPr>
        <w:t xml:space="preserve">ir kurie </w:t>
      </w:r>
      <w:r>
        <w:rPr>
          <w:szCs w:val="24"/>
          <w:lang w:eastAsia="lt-LT"/>
        </w:rPr>
        <w:t xml:space="preserve">su skirstomųjų tinklų operatoriumi yra sudarę sutartį dėl įsipareigojimo 10 metų nuo elektros energijos persiuntimo paslaugos sutarties įsigaliojimo momento nemažinti leistinosios naudoti galios </w:t>
      </w:r>
      <w:r>
        <w:rPr>
          <w:bCs/>
          <w:szCs w:val="24"/>
          <w:lang w:eastAsia="lt-LT"/>
        </w:rPr>
        <w:t xml:space="preserve">– </w:t>
      </w:r>
      <w:r>
        <w:rPr>
          <w:spacing w:val="-2"/>
          <w:szCs w:val="24"/>
          <w:lang w:eastAsia="lt-LT"/>
        </w:rPr>
        <w:t>apskaičiuojami įkainiai, atitinkantys</w:t>
      </w:r>
      <w:r>
        <w:rPr>
          <w:bCs/>
          <w:szCs w:val="24"/>
          <w:lang w:eastAsia="lt-LT"/>
        </w:rPr>
        <w:t xml:space="preserve"> 4</w:t>
      </w:r>
      <w:r>
        <w:rPr>
          <w:spacing w:val="-2"/>
          <w:szCs w:val="24"/>
          <w:lang w:eastAsia="lt-LT"/>
        </w:rPr>
        <w:t>0 proc. skirstomųjų tinklų operatoriaus praėjusiais kalendoriniais metais faktiškai patirtų sąnaudų, ir maksimali kompensuotina projektavimo kaina, atitinkanti 60 proc. skirstomųjų tinklų operatoriaus praėjusiais kalendoriniais metais faktiškai patirtų sąnaudų atitinkamos grupės vartotojų projektams parengti.</w:t>
      </w:r>
    </w:p>
    <w:p>
      <w:pPr>
        <w:ind w:firstLine="709"/>
        <w:jc w:val="both"/>
        <w:rPr>
          <w:szCs w:val="24"/>
        </w:rPr>
      </w:pPr>
      <w:r>
        <w:rPr>
          <w:szCs w:val="24"/>
        </w:rPr>
        <w:t>12</w:t>
      </w:r>
      <w:r>
        <w:rPr>
          <w:szCs w:val="24"/>
        </w:rPr>
        <w:t>. Elektros energijos vartotojo įrenginių prijungimo prie tinklo paslaugos kainą (prijungimo įmoką) prijungiantis operatorius apskaičiuoja vadovaudamasis Komisijos nustatytais prijungimo įkainiais ir formule:</w:t>
      </w:r>
    </w:p>
    <w:p>
      <w:pPr>
        <w:jc w:val="both"/>
        <w:rPr>
          <w:szCs w:val="24"/>
        </w:rPr>
      </w:pPr>
    </w:p>
    <w:p>
      <w:pPr>
        <w:ind w:left="720"/>
        <w:jc w:val="both"/>
        <w:rPr>
          <w:szCs w:val="24"/>
        </w:rPr>
      </w:pPr>
      <w:r>
        <w:rPr>
          <w:szCs w:val="24"/>
        </w:rPr>
        <w:t xml:space="preserve">S = </w:t>
      </w:r>
      <m:oMath>
        <m:sSub>
          <m:sSubPr>
            <m:ctrlPr>
              <w:rPr>
                <w:rFonts w:ascii="Cambria Math" w:hAnsi="Cambria Math"/>
                <w:i/>
                <w:szCs w:val="24"/>
              </w:rPr>
            </m:ctrlPr>
          </m:sSubPr>
          <m:e>
            <m:r>
              <m:rPr>
                <m:nor/>
              </m:rPr>
              <w:rPr>
                <w:szCs w:val="24"/>
              </w:rPr>
              <m:t>m</m:t>
            </m:r>
          </m:e>
          <m:sub>
            <m:r>
              <m:rPr>
                <m:nor/>
              </m:rPr>
              <w:rPr>
                <w:szCs w:val="24"/>
              </w:rPr>
              <m:t>P</m:t>
            </m:r>
          </m:sub>
        </m:sSub>
      </m:oMath>
      <w:r>
        <w:rPr>
          <w:szCs w:val="24"/>
        </w:rPr>
        <w:t xml:space="preserve"> × P + </w:t>
      </w:r>
      <m:oMath>
        <m:sSub>
          <m:sSubPr>
            <m:ctrlPr>
              <w:rPr>
                <w:rFonts w:ascii="Cambria Math" w:hAnsi="Cambria Math"/>
                <w:i/>
                <w:szCs w:val="24"/>
              </w:rPr>
            </m:ctrlPr>
          </m:sSubPr>
          <m:e>
            <m:r>
              <m:rPr>
                <m:nor/>
              </m:rPr>
              <w:rPr>
                <w:szCs w:val="24"/>
              </w:rPr>
              <m:t>m</m:t>
            </m:r>
          </m:e>
          <m:sub>
            <m:r>
              <m:rPr>
                <m:nor/>
              </m:rPr>
              <w:rPr>
                <w:szCs w:val="24"/>
              </w:rPr>
              <m:t>L</m:t>
            </m:r>
          </m:sub>
        </m:sSub>
      </m:oMath>
      <w:r>
        <w:rPr>
          <w:szCs w:val="24"/>
        </w:rPr>
        <w:t xml:space="preserve"> × L                            (1)</w:t>
      </w:r>
    </w:p>
    <w:p>
      <w:pPr>
        <w:ind w:left="720"/>
        <w:jc w:val="both"/>
        <w:rPr>
          <w:szCs w:val="24"/>
        </w:rPr>
      </w:pPr>
    </w:p>
    <w:p>
      <w:pPr>
        <w:ind w:left="720"/>
        <w:jc w:val="both"/>
        <w:rPr>
          <w:szCs w:val="24"/>
        </w:rPr>
      </w:pPr>
      <w:r>
        <w:rPr>
          <w:szCs w:val="24"/>
        </w:rPr>
        <w:t>čia:</w:t>
      </w:r>
    </w:p>
    <w:p>
      <w:pPr>
        <w:ind w:firstLine="720"/>
        <w:jc w:val="both"/>
        <w:rPr>
          <w:szCs w:val="24"/>
        </w:rPr>
      </w:pPr>
      <w:r>
        <w:rPr>
          <w:szCs w:val="24"/>
        </w:rPr>
        <w:t>S – elektros energijos vartotojo įrenginių prijungimo prie tinklo paslaugos kaina (prijungimo įmoka), Eur;</w:t>
      </w:r>
    </w:p>
    <w:p>
      <w:pPr>
        <w:ind w:firstLine="720"/>
        <w:jc w:val="both"/>
        <w:rPr>
          <w:szCs w:val="24"/>
        </w:rPr>
      </w:pPr>
      <m:oMath>
        <m:sSub>
          <m:sSubPr>
            <m:ctrlPr>
              <w:rPr>
                <w:rFonts w:ascii="Cambria Math" w:hAnsi="Cambria Math"/>
                <w:szCs w:val="24"/>
              </w:rPr>
            </m:ctrlPr>
          </m:sSubPr>
          <m:e>
            <m:r>
              <m:rPr>
                <m:nor/>
              </m:rPr>
              <w:rPr>
                <w:szCs w:val="24"/>
              </w:rPr>
              <m:t>m</m:t>
            </m:r>
          </m:e>
          <m:sub>
            <m:r>
              <m:rPr>
                <m:nor/>
              </m:rPr>
              <w:rPr>
                <w:szCs w:val="24"/>
              </w:rPr>
              <m:t>P</m:t>
            </m:r>
          </m:sub>
        </m:sSub>
        <m:r>
          <w:rPr>
            <w:rFonts w:ascii="Cambria Math" w:hAnsi="Cambria Math"/>
            <w:szCs w:val="24"/>
          </w:rPr>
          <m:t xml:space="preserve"> </m:t>
        </m:r>
      </m:oMath>
      <w:r>
        <w:rPr>
          <w:szCs w:val="24"/>
        </w:rPr>
        <w:t xml:space="preserve">– Komisijos nustatytas prijungimo įkainis 1 kW elektros energijos įrenginių leistinosios naudoti galios įrengti ar padidinti pagal atitinkamą vartotojų grupę, Eur/kW; </w:t>
      </w:r>
    </w:p>
    <w:p>
      <w:pPr>
        <w:ind w:firstLine="720"/>
        <w:jc w:val="both"/>
        <w:rPr>
          <w:szCs w:val="24"/>
        </w:rPr>
      </w:pPr>
      <w:r>
        <w:rPr>
          <w:szCs w:val="24"/>
        </w:rPr>
        <w:t>P – vartotojui naujai įrengiama arba didinama leistinoji naudoti galia, kW;</w:t>
      </w:r>
    </w:p>
    <w:p>
      <w:pPr>
        <w:ind w:firstLine="782"/>
        <w:jc w:val="both"/>
        <w:rPr>
          <w:szCs w:val="24"/>
        </w:rPr>
      </w:pPr>
      <m:oMath>
        <m:sSub>
          <m:sSubPr>
            <m:ctrlPr>
              <w:rPr>
                <w:rFonts w:ascii="Cambria Math" w:hAnsi="Cambria Math"/>
                <w:i/>
                <w:szCs w:val="24"/>
              </w:rPr>
            </m:ctrlPr>
          </m:sSubPr>
          <m:e>
            <m:r>
              <m:rPr>
                <m:nor/>
              </m:rPr>
              <w:rPr>
                <w:szCs w:val="24"/>
              </w:rPr>
              <m:t>m</m:t>
            </m:r>
          </m:e>
          <m:sub>
            <m:r>
              <m:rPr>
                <m:nor/>
              </m:rPr>
              <w:rPr>
                <w:szCs w:val="24"/>
              </w:rPr>
              <m:t>L</m:t>
            </m:r>
          </m:sub>
        </m:sSub>
      </m:oMath>
      <w:r>
        <w:rPr>
          <w:szCs w:val="24"/>
        </w:rPr>
        <w:t>– Komisijos nustatytas prijungimo įkainis 1 m elektros linijos nutiesti pagal atitinkamą vartotojų grupę, Eur/m;</w:t>
      </w:r>
    </w:p>
    <w:p>
      <w:pPr>
        <w:ind w:firstLine="720"/>
        <w:jc w:val="both"/>
        <w:rPr>
          <w:b/>
          <w:szCs w:val="24"/>
        </w:rPr>
      </w:pPr>
      <w:r>
        <w:rPr>
          <w:szCs w:val="24"/>
        </w:rPr>
        <w:t xml:space="preserve">L – tiesiamos elektros linijos (0,4 kV ir (ar) 10 kV kabelinės ir (ar) oro linijos), užtikrinančios vartotojo įrenginių prijungimą prie tinklo, trumpiausias geometrinis atstumas nuo vartotojo įvadinės apskaitos spintos (elektros tinklų nuosavybės ribos) iki prijungimo taško ir (ar) rekonstruojamų operatoriaus elektros linijų geometrinių atstumų suma arba </w:t>
      </w:r>
      <w:r>
        <w:t>suprojektuotų perdavimo ir skirstomųjų tinklų elektros linijų ir (ar) rekonstruojamų operatoriaus elektros linijų ilgis</w:t>
      </w:r>
      <w:r>
        <w:rPr>
          <w:szCs w:val="24"/>
        </w:rPr>
        <w:t xml:space="preserve"> iki prijungimo taško (Lp), kai prijungimas vykdomas Metodikos 27–28 punktuose nustatyta tvarka, m.</w:t>
      </w:r>
    </w:p>
    <w:p>
      <w:pPr>
        <w:ind w:firstLine="720"/>
        <w:jc w:val="both"/>
        <w:rPr>
          <w:szCs w:val="24"/>
        </w:rPr>
      </w:pPr>
      <w:r>
        <w:rPr>
          <w:szCs w:val="24"/>
        </w:rPr>
        <w:t>Tuo atveju, kai vartotojas jungia mažos galios (iki 1 kW) elektros įrenginius, prijungimo įmokos dalis už leistinąją naudoti galią apskaičiuojama nurodant, jog P = 1 kW.</w:t>
      </w:r>
    </w:p>
    <w:p>
      <w:pPr>
        <w:jc w:val="both"/>
        <w:rPr>
          <w:i/>
          <w:sz w:val="20"/>
        </w:rPr>
      </w:pPr>
      <w:r>
        <w:rPr>
          <w:b/>
          <w:i/>
          <w:sz w:val="20"/>
        </w:rPr>
        <w:t>TAR pastaba.</w:t>
      </w:r>
      <w:r>
        <w:rPr>
          <w:i/>
          <w:sz w:val="20"/>
        </w:rPr>
        <w:t xml:space="preserve"> 12 punktas taikomas iki 2019-04-01 gautiems prašymams dėl elektros įrenginių prijungimo, kai iki šio termino yra pasirašyta prijungimo paslaugos sutartis.</w:t>
      </w:r>
    </w:p>
    <w:p>
      <w:pPr>
        <w:ind w:firstLine="720"/>
        <w:jc w:val="both"/>
        <w:rPr>
          <w:szCs w:val="24"/>
        </w:rPr>
      </w:pPr>
      <w:r>
        <w:rPr>
          <w:szCs w:val="24"/>
          <w:lang w:eastAsia="lt-LT"/>
        </w:rPr>
        <w:t>13</w:t>
      </w:r>
      <w:r>
        <w:rPr>
          <w:szCs w:val="24"/>
          <w:lang w:eastAsia="lt-LT"/>
        </w:rPr>
        <w:t>. Prijungimo tašku laikomi atitinkamos įtampos konkretūs operatoriaus energetikos objektai (transformatorių pastotės, transformatorinės, skirstomieji punktai, elektros linijų atramos ir kt.), nuo kurių bus prijungiami plečiami ir/ar rekonstruojami tinklai (įrenginiai), būtini vartotojo elektros energijos įrenginiams prijungti.</w:t>
      </w:r>
    </w:p>
    <w:p>
      <w:pPr>
        <w:ind w:firstLine="720"/>
        <w:jc w:val="both"/>
        <w:rPr>
          <w:szCs w:val="24"/>
        </w:rPr>
      </w:pPr>
      <w:r>
        <w:rPr>
          <w:szCs w:val="24"/>
          <w:lang w:eastAsia="lt-LT"/>
        </w:rPr>
        <w:t>14</w:t>
      </w:r>
      <w:r>
        <w:rPr>
          <w:szCs w:val="24"/>
          <w:lang w:eastAsia="lt-LT"/>
        </w:rPr>
        <w:t>. Operatorius, apskaičiuodamas vartotojo elektros energijos įrenginių prijungimo prie tinklo paslaugos kainą (prijungimo įmoką), atsižvelgia į šias sąlygas:</w:t>
      </w:r>
    </w:p>
    <w:p>
      <w:pPr>
        <w:ind w:firstLine="720"/>
        <w:jc w:val="both"/>
        <w:rPr>
          <w:szCs w:val="24"/>
        </w:rPr>
      </w:pPr>
      <w:r>
        <w:rPr>
          <w:szCs w:val="24"/>
        </w:rPr>
        <w:t>14.1</w:t>
      </w:r>
      <w:r>
        <w:rPr>
          <w:szCs w:val="24"/>
        </w:rPr>
        <w:t xml:space="preserve">. jei, vartotojui pateikus paraišką dėl prijungimo prie elektros tinklų ar leistinosios naudoti galios padidinimo, nustatoma, kad dar neprijungus vartotojo elektros įrenginių ar nepadidinus įrenginių leistinosios naudoti galios tinklų operatoriaus tinklo techniniai parametrai ir persiunčiamos elektros energijos kokybė neatitinka teisės aktų reikalavimų, elektros tinklų techniniai parametrai gerinami ir tinklų rekonstrukcija atliekama tinklų operatoriaus lėšomis. </w:t>
      </w:r>
      <w:r>
        <w:t>Nustatant vartotojo apmokamą dalį už tiesiamą elektros tinklą vertinamas tik tų elektros linijų ar jų atkarpų trumpiausias geometrinis atstumas, kurių tiesimas ir (ar) rekonstrukcija sąlygota vartotojo įrenginių prijungimo ar leistinosios naudoti galios padidinimo;</w:t>
      </w:r>
    </w:p>
    <w:p>
      <w:pPr>
        <w:ind w:firstLine="709"/>
        <w:jc w:val="both"/>
        <w:rPr>
          <w:szCs w:val="24"/>
          <w:lang w:eastAsia="lt-LT"/>
        </w:rPr>
      </w:pPr>
      <w:r>
        <w:rPr>
          <w:szCs w:val="24"/>
        </w:rPr>
        <w:t>14.2</w:t>
      </w:r>
      <w:r>
        <w:rPr>
          <w:szCs w:val="24"/>
        </w:rPr>
        <w:t xml:space="preserve">. </w:t>
      </w:r>
      <w:r>
        <w:rPr>
          <w:szCs w:val="24"/>
          <w:lang w:eastAsia="lt-LT"/>
        </w:rPr>
        <w:t>po prijungimo darbų atlikimo pakitus nutiesto tinklo trumpiausiam geometriniam atstumui, prijungimo įmoka perskaičiuojama, jei pokytis viršija 5 m;</w:t>
      </w:r>
    </w:p>
    <w:p>
      <w:pPr>
        <w:ind w:firstLine="709"/>
        <w:jc w:val="both"/>
        <w:rPr>
          <w:szCs w:val="24"/>
          <w:lang w:eastAsia="lt-LT"/>
        </w:rPr>
      </w:pPr>
      <w:r>
        <w:t>14.3</w:t>
      </w:r>
      <w:r>
        <w:t>. jei vartotojas keičia vienfazį atvadą trifaziu arba trifazį atvadą vienfaziu, kartu keisdamas leistinąją naudoti galią arba nekeisdamas leistinosios naudoti galios, operatorius paslaugos kainai (prijungimo įmokai) apskaičiuoti naudoja vartotojui naujai suteikiamą leistinąją naudoti galią ir trumpiausią geometrinį atstumą nuo vartotojo įvadinės apskaitos spintos (elektros tinklų nuosavybės ribos) iki prijungimo taško ir (ar) rekonstruojamų operatoriaus elektros linijų (0,4 kV ir (ar) 10 kV kabelinių ir (ar) oro linijų) geometrinių atstumų sumą, pakeitus atvadą.</w:t>
      </w:r>
    </w:p>
    <w:p>
      <w:pPr>
        <w:ind w:firstLine="720"/>
        <w:jc w:val="both"/>
      </w:pPr>
      <w:r>
        <w:t>15</w:t>
      </w:r>
      <w:r>
        <w:t>. Jei prie elektros tinklų jungiami elektros įrenginiai, priklausantys Metodikos 9 punkte nurodytam buitiniam vartotojui, pažeidžiamam vartotojui, jų grupei ar kitam (ne buitiniam ir ne</w:t>
      </w:r>
      <w:r>
        <w:rPr>
          <w:b/>
        </w:rPr>
        <w:t xml:space="preserve"> </w:t>
      </w:r>
      <w:r>
        <w:t>pažeidžiamam) Metodikos 9 punkte nurodytam vartotojui, ir šis vartotojas Aprašo nustatyta tvarka organizuoja prijungimo prie tinklų projektavimo darbus savo lėšomis, operatorius tokiam vartotojui taiko 40 proc. mažesnius prijungimo įkainius, nei Komisija yra patvirtinusi. Jei prie elektros tinklų jungiami kitam (ne buitiniam ir ne socialiai pažeidžiamam) Metodikos 8 punkte nurodytam vartotojui priklausantys elektros įrenginiai ir šis vartotojas organizuoja prijungimo prie tinklų projektavimo darbus savo lėšomis, operatorius tokiam vartotojui taiko 10 proc. mažesnius prijungimo įkainius, nei Komisija yra patvirtinusi.</w:t>
      </w:r>
    </w:p>
    <w:p>
      <w:pPr>
        <w:jc w:val="both"/>
        <w:rPr>
          <w:i/>
          <w:sz w:val="20"/>
        </w:rPr>
      </w:pPr>
      <w:r>
        <w:rPr>
          <w:b/>
          <w:i/>
          <w:sz w:val="20"/>
        </w:rPr>
        <w:t>TAR pastaba.</w:t>
      </w:r>
      <w:r>
        <w:rPr>
          <w:i/>
          <w:sz w:val="20"/>
        </w:rPr>
        <w:t xml:space="preserve"> 15 punktas taikomas iki 2019-04-01 gautiems prašymams dėl elektros įrenginių prijungimo, kai iki šio termino yra pasirašyta prijungimo paslaugos sutartis.</w:t>
      </w:r>
    </w:p>
    <w:p>
      <w:pPr>
        <w:ind w:firstLine="720"/>
        <w:jc w:val="both"/>
      </w:pPr>
      <w:r>
        <w:t>16</w:t>
      </w:r>
      <w:r>
        <w:t xml:space="preserve">. Metodikos 9, </w:t>
      </w:r>
      <w:r>
        <w:rPr>
          <w:bCs/>
          <w:kern w:val="32"/>
          <w:szCs w:val="24"/>
          <w:lang w:eastAsia="lt-LT"/>
        </w:rPr>
        <w:t>11</w:t>
      </w:r>
      <w:r>
        <w:t>–15</w:t>
      </w:r>
      <w:r>
        <w:rPr>
          <w:b/>
        </w:rPr>
        <w:t xml:space="preserve"> </w:t>
      </w:r>
      <w:r>
        <w:t>punktų nuostatos taikomos šiais atvejais:</w:t>
      </w:r>
    </w:p>
    <w:p>
      <w:pPr>
        <w:keepNext/>
        <w:spacing w:line="23" w:lineRule="atLeast"/>
        <w:ind w:firstLine="720"/>
        <w:jc w:val="both"/>
      </w:pPr>
      <w:r>
        <w:rPr>
          <w:szCs w:val="24"/>
          <w:lang w:eastAsia="lt-LT"/>
        </w:rPr>
        <w:t>16.1</w:t>
      </w:r>
      <w:r>
        <w:rPr>
          <w:szCs w:val="24"/>
          <w:lang w:eastAsia="lt-LT"/>
        </w:rPr>
        <w:t>. kai vartotojo elektros įrenginiai prijungiami prie operatoriaus tinklo pirmą kartą ir jiems suteikiama leistinoji naudoti galia neviršija 500 kW (imtinai);</w:t>
      </w:r>
    </w:p>
    <w:p>
      <w:pPr>
        <w:keepNext/>
        <w:spacing w:line="23" w:lineRule="atLeast"/>
        <w:ind w:firstLine="720"/>
        <w:jc w:val="both"/>
      </w:pPr>
      <w:r>
        <w:rPr>
          <w:szCs w:val="24"/>
          <w:lang w:eastAsia="lt-LT"/>
        </w:rPr>
        <w:t>16.2</w:t>
      </w:r>
      <w:r>
        <w:rPr>
          <w:szCs w:val="24"/>
          <w:lang w:eastAsia="lt-LT"/>
        </w:rPr>
        <w:t xml:space="preserve">. kai vartotojas didina prijungtų prie tinklo elektros įrenginių leistinąją naudoti galią </w:t>
      </w:r>
      <w:r>
        <w:rPr>
          <w:szCs w:val="24"/>
          <w:shd w:val="clear" w:color="auto" w:fill="FFFFFF"/>
          <w:lang w:eastAsia="lt-LT"/>
        </w:rPr>
        <w:t>(tuo atveju, kai elektros įrenginiai prie elektros tinklo prijungiami pagal bendras (vieningas) prijungimo sąlygas, vieną projektą ir vieną sutartį – suminę leistinąją naudoti galią)</w:t>
      </w:r>
      <w:r>
        <w:rPr>
          <w:szCs w:val="24"/>
          <w:lang w:eastAsia="lt-LT"/>
        </w:rPr>
        <w:t xml:space="preserve"> ne daugiau kaip iki 500 kW (imtinai);</w:t>
      </w:r>
    </w:p>
    <w:p>
      <w:pPr>
        <w:keepNext/>
        <w:spacing w:line="23" w:lineRule="atLeast"/>
        <w:ind w:firstLine="709"/>
        <w:jc w:val="both"/>
        <w:rPr>
          <w:szCs w:val="24"/>
          <w:lang w:eastAsia="lt-LT"/>
        </w:rPr>
      </w:pPr>
      <w:r>
        <w:rPr>
          <w:szCs w:val="24"/>
          <w:lang w:eastAsia="lt-LT"/>
        </w:rPr>
        <w:t>16.3</w:t>
      </w:r>
      <w:r>
        <w:rPr>
          <w:szCs w:val="24"/>
          <w:lang w:eastAsia="lt-LT"/>
        </w:rPr>
        <w:t xml:space="preserve">. kai vartotojas keičia vienfazį atvadą trifaziu arba trifazį atvadą vienfaziu: </w:t>
      </w:r>
    </w:p>
    <w:p>
      <w:pPr>
        <w:keepNext/>
        <w:spacing w:line="23" w:lineRule="atLeast"/>
        <w:ind w:firstLine="709"/>
        <w:jc w:val="both"/>
        <w:rPr>
          <w:szCs w:val="24"/>
          <w:lang w:eastAsia="lt-LT"/>
        </w:rPr>
      </w:pPr>
      <w:r>
        <w:rPr>
          <w:szCs w:val="24"/>
          <w:lang w:eastAsia="lt-LT"/>
        </w:rPr>
        <w:t>16.3.1</w:t>
      </w:r>
      <w:r>
        <w:rPr>
          <w:szCs w:val="24"/>
          <w:lang w:eastAsia="lt-LT"/>
        </w:rPr>
        <w:t>. keisdamas leistinąją naudoti galią arba nekeisdamas leistinosios naudoti galios ir tam būtina keisti ar rekonstruoti operatoriaus elektros liniją;</w:t>
      </w:r>
    </w:p>
    <w:p>
      <w:pPr>
        <w:keepNext/>
        <w:spacing w:line="23" w:lineRule="atLeast"/>
        <w:ind w:firstLine="709"/>
        <w:jc w:val="both"/>
        <w:rPr>
          <w:szCs w:val="24"/>
          <w:lang w:eastAsia="lt-LT"/>
        </w:rPr>
      </w:pPr>
      <w:r>
        <w:rPr>
          <w:szCs w:val="24"/>
          <w:lang w:eastAsia="lt-LT"/>
        </w:rPr>
        <w:t>16.3.2</w:t>
      </w:r>
      <w:r>
        <w:rPr>
          <w:szCs w:val="24"/>
          <w:lang w:eastAsia="lt-LT"/>
        </w:rPr>
        <w:t>. keisdamas leistinąją naudoti galią, ir tam nereikia keisti ar rekonstruoti operatoriaus elektros linijos.</w:t>
      </w:r>
    </w:p>
    <w:p>
      <w:pPr>
        <w:keepNext/>
        <w:spacing w:line="23" w:lineRule="atLeast"/>
        <w:ind w:firstLine="720"/>
        <w:jc w:val="both"/>
        <w:rPr>
          <w:szCs w:val="24"/>
          <w:lang w:eastAsia="lt-LT"/>
        </w:rPr>
      </w:pPr>
      <w:r>
        <w:t>17</w:t>
      </w:r>
      <w:r>
        <w:t>. Elektros energijos vartotojui ir operatoriui teisės aktų nustatyta tvarka pasirašius prijungimo prie elektros tinklų paslaugos suteikimo sutartį,</w:t>
      </w:r>
      <w:r>
        <w:rPr>
          <w:b/>
          <w:bCs/>
        </w:rPr>
        <w:t xml:space="preserve"> </w:t>
      </w:r>
      <w:r>
        <w:rPr>
          <w:shd w:val="clear" w:color="auto" w:fill="FFFFFF"/>
        </w:rPr>
        <w:t>sumokėjus preliminarią prijungimo įmoką,</w:t>
      </w:r>
      <w:r>
        <w:t xml:space="preserve"> operatorius organizuoja viešąjį pirkimą šio vartotojo elektros energijos įrenginių prijungimo prie tinklo darbų rangovui išrinkti. Vartotojo elektros energijos įrenginių prijungimo prie tinklo kaina (prijungimo įmoka) yra lygi rangovo, laimėjusio operatoriaus paskelbtą viešąjį pirkimą dėl vartotojo elektros energijos įrenginių prijungimo prie tinklo, atliktų darbų bei operatoriaus ir (ar) rangovo sunaudotų medžiagų ir kitų išlaidų, tiesiogiai susijusių su vartotojo elektros įrenginių prijungimu (pvz., išlaidų valstybės institucijų leidimams, pažymoms, notarinių sandorių sudarymui, servituto registravimui, archeologiniams tyrinėjimams, techninei priežiūrai, techninio prižiūrėtojo draudimui, projekto ekspertizei), faktinei kainai.</w:t>
      </w:r>
    </w:p>
    <w:p>
      <w:pPr>
        <w:keepNext/>
        <w:spacing w:line="23" w:lineRule="atLeast"/>
        <w:ind w:firstLine="720"/>
        <w:jc w:val="both"/>
      </w:pPr>
      <w:r>
        <w:rPr>
          <w:bCs/>
          <w:iCs/>
          <w:szCs w:val="26"/>
          <w:lang w:eastAsia="lt-LT"/>
        </w:rPr>
        <w:t>18</w:t>
      </w:r>
      <w:r>
        <w:rPr>
          <w:bCs/>
          <w:iCs/>
          <w:szCs w:val="26"/>
          <w:lang w:eastAsia="lt-LT"/>
        </w:rPr>
        <w:t>. Buitiniai ar pažeidžiami vartotojai, kurių elektros įrenginiai jungiami prie elektros tinklų, ir prijungiantis operatorius atliktų darbų bei operatoriaus ir (ar) rangovo sunaudotų medžiagų ir kitų Metodikos 17 punkte nurodytų išlaidų faktinę kainą dalijasi tokia tvarka:</w:t>
      </w:r>
    </w:p>
    <w:p>
      <w:pPr>
        <w:ind w:firstLine="720"/>
        <w:jc w:val="both"/>
        <w:rPr>
          <w:bCs/>
          <w:iCs/>
          <w:szCs w:val="26"/>
          <w:lang w:eastAsia="lt-LT"/>
        </w:rPr>
      </w:pPr>
      <w:r>
        <w:rPr>
          <w:bCs/>
          <w:iCs/>
          <w:szCs w:val="26"/>
          <w:lang w:eastAsia="lt-LT"/>
        </w:rPr>
        <w:t>18.1</w:t>
      </w:r>
      <w:r>
        <w:rPr>
          <w:bCs/>
          <w:iCs/>
          <w:szCs w:val="26"/>
          <w:lang w:eastAsia="lt-LT"/>
        </w:rPr>
        <w:t>. buitiniai ar pažeidžiami vartotojai moka 20 proc. faktinės prijungimo prie tinklų kainos;</w:t>
      </w:r>
    </w:p>
    <w:p>
      <w:pPr>
        <w:ind w:firstLine="720"/>
        <w:jc w:val="both"/>
        <w:rPr>
          <w:bCs/>
          <w:iCs/>
          <w:szCs w:val="26"/>
          <w:lang w:eastAsia="lt-LT"/>
        </w:rPr>
      </w:pPr>
      <w:r>
        <w:rPr>
          <w:bCs/>
          <w:iCs/>
          <w:szCs w:val="26"/>
          <w:lang w:eastAsia="lt-LT"/>
        </w:rPr>
        <w:t>18.2</w:t>
      </w:r>
      <w:r>
        <w:rPr>
          <w:bCs/>
          <w:iCs/>
          <w:szCs w:val="26"/>
          <w:lang w:eastAsia="lt-LT"/>
        </w:rPr>
        <w:t>. prijungiantis tinklo operatorius dengia 80 proc. faktinės prijungimo prie tinklų kainos;</w:t>
      </w:r>
    </w:p>
    <w:p>
      <w:pPr>
        <w:ind w:firstLine="720"/>
        <w:jc w:val="both"/>
      </w:pPr>
      <w:r>
        <w:rPr>
          <w:bCs/>
          <w:iCs/>
          <w:szCs w:val="26"/>
          <w:lang w:eastAsia="lt-LT"/>
        </w:rPr>
        <w:t>18.3</w:t>
      </w:r>
      <w:r>
        <w:rPr>
          <w:bCs/>
          <w:iCs/>
          <w:szCs w:val="26"/>
          <w:lang w:eastAsia="lt-LT"/>
        </w:rPr>
        <w:t xml:space="preserve">. </w:t>
      </w:r>
      <w:r>
        <w:rPr>
          <w:bCs/>
          <w:iCs/>
          <w:szCs w:val="26"/>
        </w:rPr>
        <w:t xml:space="preserve">jei elektros įrenginius jungiantis vartotojas Aprašo nustatyta tvarka organizuoja prijungimo prie tinklų projektavimo darbus savo lėšomis, </w:t>
      </w:r>
      <w:r>
        <w:t xml:space="preserve">prijungiantis tinklo </w:t>
      </w:r>
      <w:r>
        <w:rPr>
          <w:bCs/>
          <w:iCs/>
          <w:szCs w:val="26"/>
        </w:rPr>
        <w:t xml:space="preserve">operatorius tokiam </w:t>
      </w:r>
      <w:r>
        <w:t>vartotojui taiko 40 proc. nuolaidą nuo prijungimo kainos, nurodytos Metodikos 18.1 punkte.</w:t>
      </w:r>
    </w:p>
    <w:p>
      <w:pPr>
        <w:jc w:val="both"/>
        <w:rPr>
          <w:bCs/>
          <w:iCs/>
          <w:szCs w:val="26"/>
        </w:rPr>
      </w:pPr>
      <w:r>
        <w:rPr>
          <w:b/>
          <w:i/>
          <w:sz w:val="20"/>
        </w:rPr>
        <w:t>TAR pastaba.</w:t>
      </w:r>
      <w:r>
        <w:rPr>
          <w:i/>
          <w:sz w:val="20"/>
        </w:rPr>
        <w:t xml:space="preserve"> 18.3 papunktis taikomas iki 2019-04-01 gautiems prašymams dėl elektros įrenginių prijungimo, kai iki šio termino yra pasirašyta prijungimo paslaugos sutartis</w:t>
      </w:r>
      <w:r>
        <w:t>.</w:t>
      </w:r>
    </w:p>
    <w:p>
      <w:pPr>
        <w:ind w:firstLine="720"/>
        <w:jc w:val="both"/>
        <w:rPr>
          <w:b/>
          <w:szCs w:val="24"/>
          <w:lang w:eastAsia="lt-LT"/>
        </w:rPr>
      </w:pPr>
      <w:r>
        <w:rPr>
          <w:bCs/>
          <w:iCs/>
          <w:szCs w:val="26"/>
          <w:lang w:eastAsia="lt-LT"/>
        </w:rPr>
        <w:t>19</w:t>
      </w:r>
      <w:r>
        <w:rPr>
          <w:szCs w:val="24"/>
          <w:lang w:eastAsia="lt-LT"/>
        </w:rPr>
        <w:t xml:space="preserve">. Vartotojai, kurių pirmą kartą prie skirstomųjų tinklų prijungiamų elektros įrenginių leistinoji naudoti galia yra ne mažesnė kaip 1 MW ar kurie didina leistinąją naudoti galią ne mažiau kaip 1 MW </w:t>
      </w:r>
      <w:r>
        <w:rPr>
          <w:bCs/>
          <w:szCs w:val="24"/>
          <w:lang w:eastAsia="lt-LT"/>
        </w:rPr>
        <w:t xml:space="preserve">ir kurie </w:t>
      </w:r>
      <w:r>
        <w:rPr>
          <w:szCs w:val="24"/>
          <w:lang w:eastAsia="lt-LT"/>
        </w:rPr>
        <w:t>su skirstomųjų tinklų operatoriumi yra sudarę sutartį dėl įsipareigojimo 10 metų nuo elektros energijos persiuntimo paslaugos sutarties įsigaliojimo momento nemažinti leistinosios naudoti galios, ir prijungiantis operatoriaus atliktų darbų bei operatoriaus ir (ar) rangovo sunaudotų medžiagų ir kitų Metodikos 17 punkte nurodytų išlaidų faktinę kainą dalijasi tokia tvarka:</w:t>
      </w:r>
    </w:p>
    <w:p>
      <w:pPr>
        <w:ind w:firstLine="720"/>
        <w:jc w:val="both"/>
        <w:rPr>
          <w:bCs/>
          <w:iCs/>
          <w:szCs w:val="26"/>
          <w:lang w:eastAsia="lt-LT"/>
        </w:rPr>
      </w:pPr>
      <w:r>
        <w:rPr>
          <w:szCs w:val="24"/>
          <w:lang w:eastAsia="lt-LT"/>
        </w:rPr>
        <w:t>19.1</w:t>
      </w:r>
      <w:r>
        <w:rPr>
          <w:szCs w:val="24"/>
          <w:lang w:eastAsia="lt-LT"/>
        </w:rPr>
        <w:t>. vartotojai moka 10 proc. faktinės prijungimo prie tinklų kainos;</w:t>
      </w:r>
    </w:p>
    <w:p>
      <w:pPr>
        <w:ind w:firstLine="720"/>
        <w:jc w:val="both"/>
        <w:rPr>
          <w:szCs w:val="24"/>
        </w:rPr>
      </w:pPr>
      <w:r>
        <w:rPr>
          <w:szCs w:val="24"/>
          <w:lang w:eastAsia="lt-LT"/>
        </w:rPr>
        <w:t>19.2</w:t>
      </w:r>
      <w:r>
        <w:rPr>
          <w:szCs w:val="24"/>
          <w:lang w:eastAsia="lt-LT"/>
        </w:rPr>
        <w:t>. prijungiantis tinklo operatorius dengia 90 proc. faktinės prijungimo prie tinklų kainos;</w:t>
      </w:r>
    </w:p>
    <w:p>
      <w:pPr>
        <w:ind w:firstLine="720"/>
        <w:jc w:val="both"/>
        <w:rPr>
          <w:bCs/>
          <w:iCs/>
          <w:szCs w:val="26"/>
        </w:rPr>
      </w:pPr>
      <w:r>
        <w:rPr>
          <w:szCs w:val="24"/>
          <w:lang w:eastAsia="lt-LT"/>
        </w:rPr>
        <w:t>19.3</w:t>
      </w:r>
      <w:r>
        <w:rPr>
          <w:szCs w:val="24"/>
          <w:lang w:eastAsia="lt-LT"/>
        </w:rPr>
        <w:t xml:space="preserve">. </w:t>
      </w:r>
      <w:r>
        <w:t>jei elektros įrenginius jungiantis vartotojas Aprašo nustatyta tvarka organizuoja prijungimo prie tinklų projektavimo darbus savo lėšomis, prijungiantis tinklo operatorius tokiam vartotojui</w:t>
      </w:r>
      <w:r>
        <w:rPr>
          <w:b/>
        </w:rPr>
        <w:t xml:space="preserve"> </w:t>
      </w:r>
      <w:r>
        <w:t>atlygina projekto parengimo išlaidas, kurios prilyginamos Komisijos atitinkamiems metams šiai vartotojų grupei patvirtintai maksimaliai kompensuotinai projektavimo kainai</w:t>
      </w:r>
      <w:r>
        <w:rPr>
          <w:bCs/>
          <w:iCs/>
          <w:szCs w:val="26"/>
        </w:rPr>
        <w:t>.</w:t>
      </w:r>
    </w:p>
    <w:p>
      <w:pPr>
        <w:jc w:val="both"/>
        <w:rPr>
          <w:bCs/>
          <w:i/>
          <w:iCs/>
          <w:sz w:val="20"/>
        </w:rPr>
      </w:pPr>
      <w:r>
        <w:rPr>
          <w:b/>
          <w:bCs/>
          <w:i/>
          <w:iCs/>
          <w:sz w:val="20"/>
        </w:rPr>
        <w:t>TAR pastaba.</w:t>
      </w:r>
      <w:r>
        <w:rPr>
          <w:bCs/>
          <w:i/>
          <w:iCs/>
          <w:sz w:val="20"/>
        </w:rPr>
        <w:t xml:space="preserve"> 19.3 papunktis įsigalioja 2019-04-01.</w:t>
      </w:r>
    </w:p>
    <w:p>
      <w:pPr>
        <w:jc w:val="both"/>
      </w:pPr>
      <w:r>
        <w:rPr>
          <w:bCs/>
          <w:i/>
          <w:iCs/>
          <w:sz w:val="20"/>
        </w:rPr>
        <w:t>19.3 papunktis taikomas iki 2019-04-01 gautiems prašymams dėl elektros įrenginių prijungimo, kai iki šio termino yra pasirašyta prijungimo paslaugos sutartis.</w:t>
      </w:r>
    </w:p>
    <w:p>
      <w:pPr>
        <w:ind w:firstLine="720"/>
        <w:jc w:val="both"/>
        <w:rPr>
          <w:bCs/>
          <w:iCs/>
          <w:szCs w:val="26"/>
          <w:lang w:eastAsia="lt-LT"/>
        </w:rPr>
      </w:pPr>
      <w:r>
        <w:rPr>
          <w:szCs w:val="24"/>
          <w:lang w:eastAsia="lt-LT"/>
        </w:rPr>
        <w:t>20</w:t>
      </w:r>
      <w:r>
        <w:rPr>
          <w:szCs w:val="24"/>
          <w:lang w:eastAsia="lt-LT"/>
        </w:rPr>
        <w:t xml:space="preserve">. Kiti elektros įrenginius prie tinklo jungiantys vartotojai, išskyrus Metodikos 18 ir </w:t>
        <w:br/>
        <w:t>19 punktuose nurodytus vartotojus, ir prijungiantis operatorius atliktų darbų bei operatoriaus ir (ar) rangovo sunaudotų medžiagų ir kitų Metodikos 17 punkte nurodytų išlaidų faktinę kainą dalijasi tokia tvarka:</w:t>
      </w:r>
    </w:p>
    <w:p>
      <w:pPr>
        <w:ind w:firstLine="720"/>
        <w:jc w:val="both"/>
        <w:rPr>
          <w:bCs/>
          <w:iCs/>
          <w:szCs w:val="26"/>
          <w:lang w:eastAsia="lt-LT"/>
        </w:rPr>
      </w:pPr>
      <w:r>
        <w:rPr>
          <w:szCs w:val="24"/>
          <w:lang w:eastAsia="lt-LT"/>
        </w:rPr>
        <w:t>20.1</w:t>
      </w:r>
      <w:r>
        <w:rPr>
          <w:szCs w:val="24"/>
          <w:lang w:eastAsia="lt-LT"/>
        </w:rPr>
        <w:t>. vartotojai moka 40 proc. faktinės prijungimo prie tinklų kainos;</w:t>
      </w:r>
    </w:p>
    <w:p>
      <w:pPr>
        <w:ind w:firstLine="720"/>
        <w:jc w:val="both"/>
        <w:rPr>
          <w:bCs/>
          <w:iCs/>
          <w:szCs w:val="26"/>
          <w:lang w:eastAsia="lt-LT"/>
        </w:rPr>
      </w:pPr>
      <w:r>
        <w:rPr>
          <w:szCs w:val="24"/>
          <w:lang w:eastAsia="lt-LT"/>
        </w:rPr>
        <w:t>20.2</w:t>
      </w:r>
      <w:r>
        <w:rPr>
          <w:szCs w:val="24"/>
          <w:lang w:eastAsia="lt-LT"/>
        </w:rPr>
        <w:t>. prijungiantis tinklo operatorius dengia 60 proc. faktinės prijungimo prie tinklų kainos;</w:t>
      </w:r>
    </w:p>
    <w:p>
      <w:pPr>
        <w:ind w:firstLine="720"/>
        <w:jc w:val="both"/>
      </w:pPr>
      <w:r>
        <w:rPr>
          <w:szCs w:val="24"/>
          <w:lang w:eastAsia="lt-LT"/>
        </w:rPr>
        <w:t>20.3</w:t>
      </w:r>
      <w:r>
        <w:rPr>
          <w:szCs w:val="24"/>
          <w:lang w:eastAsia="lt-LT"/>
        </w:rPr>
        <w:t xml:space="preserve">. </w:t>
      </w:r>
      <w:r>
        <w:t>jei elektros įrenginius jungiantis vartotojas Aprašo nustatyta tvarka organizuoja prijungimo prie tinklų projektavimo darbus savo lėšomis, prijungiantis tinklo operatorius tokiam vartotojui taiko 10 proc. nuolaidą nuo prijungimo kainos, nurodytos Metodikos 20.1 punkte.</w:t>
      </w:r>
    </w:p>
    <w:p>
      <w:pPr>
        <w:jc w:val="both"/>
      </w:pPr>
      <w:r>
        <w:rPr>
          <w:b/>
          <w:i/>
          <w:sz w:val="20"/>
        </w:rPr>
        <w:t>TAR pastaba.</w:t>
      </w:r>
      <w:r>
        <w:rPr>
          <w:i/>
          <w:sz w:val="20"/>
        </w:rPr>
        <w:t xml:space="preserve"> 20.3 papunktis </w:t>
      </w:r>
      <w:r>
        <w:rPr>
          <w:bCs/>
          <w:i/>
          <w:iCs/>
          <w:sz w:val="20"/>
        </w:rPr>
        <w:t>taikomas iki 2019-04-01 gautiems prašymams dėl elektros įrenginių prijungimo, kai iki šio termino yra pasirašyta prijungimo paslaugos sutartis</w:t>
      </w:r>
      <w:r>
        <w:rPr>
          <w:bCs/>
          <w:i/>
          <w:iCs/>
        </w:rPr>
        <w:t>.</w:t>
      </w:r>
    </w:p>
    <w:p>
      <w:pPr>
        <w:ind w:firstLine="720"/>
        <w:jc w:val="both"/>
      </w:pPr>
      <w:r>
        <w:t>21</w:t>
      </w:r>
      <w:r>
        <w:t xml:space="preserve">. </w:t>
      </w:r>
      <w:r>
        <w:rPr>
          <w:szCs w:val="24"/>
        </w:rPr>
        <w:t xml:space="preserve">Komisija nustato maksimalią projektavimo kainą, kaip investicijų, susijusių su elektros tinklų projektų parengimu, sumos </w:t>
      </w:r>
      <w:r>
        <w:rPr>
          <w:szCs w:val="24"/>
          <w:lang w:eastAsia="lt-LT"/>
        </w:rPr>
        <w:t>per praėjusius kalendorinius metus santykį su parengtų projektų skaičiumi per praėjusius kalendorinius metus atitinkamoje vartotojų grupėje</w:t>
      </w:r>
      <w:r>
        <w:rPr>
          <w:szCs w:val="24"/>
        </w:rPr>
        <w:t xml:space="preserve">. </w:t>
      </w:r>
      <w:r>
        <w:t xml:space="preserve">Metodikos 18 punkte nurodytiems vartotojams nustatoma ir patvirtinama 80 proc. atitinkanti </w:t>
      </w:r>
      <w:r>
        <w:rPr>
          <w:spacing w:val="-2"/>
        </w:rPr>
        <w:t>maksimali kompensuotina projektavimo kaina</w:t>
      </w:r>
      <w:r>
        <w:t xml:space="preserve">, Metodikos 19 punkte nurodytiems vartotojams – 90 proc., o Metodikos 20 punkte – 60 procentų atitinkanti </w:t>
      </w:r>
      <w:r>
        <w:rPr>
          <w:spacing w:val="-2"/>
        </w:rPr>
        <w:t>maksimali kompensuotina projektavimo kaina.</w:t>
      </w:r>
      <w:r>
        <w:rPr>
          <w:b/>
          <w:spacing w:val="-2"/>
        </w:rPr>
        <w:t xml:space="preserve"> </w:t>
      </w:r>
    </w:p>
    <w:p>
      <w:pPr>
        <w:ind w:firstLine="720"/>
        <w:jc w:val="both"/>
      </w:pPr>
      <w:r>
        <w:rPr>
          <w:szCs w:val="24"/>
        </w:rPr>
        <w:t>22</w:t>
      </w:r>
      <w:r>
        <w:rPr>
          <w:szCs w:val="24"/>
          <w:lang w:eastAsia="lt-LT"/>
        </w:rPr>
        <w:t>.</w:t>
      </w:r>
      <w:r>
        <w:rPr>
          <w:szCs w:val="24"/>
        </w:rPr>
        <w:t xml:space="preserve"> Jei vartotojui pateikus paraišką dėl prijungimo prie elektros tinklų ar leistinosios naudoti galios padidinimo nustatoma, kad dar neprijungus vartotojo elektros įrenginių ar nepadidinus įrenginių leistinosios naudoti galios tinklų operatoriaus tinklo techniniai parametrai ir persiunčiamos elektros energijos kokybė neatitinka teisės aktų reikalavimų, elektros tinklų techniniai parametrai gerinami ir tinklų rekonstrukcija atliekama tinklų operatoriaus lėšomis. </w:t>
      </w:r>
      <w:r>
        <w:t>Apskaičiuojant paslaugos kainą vartotojui vertinama tik ta faktinių darbų sąnaudų dalis, kuri buvo sąlygota vartotojo įrenginių prijungimo ar leistinosios naudoti galios padidinimo.</w:t>
      </w:r>
    </w:p>
    <w:p>
      <w:pPr>
        <w:ind w:firstLine="720"/>
        <w:jc w:val="both"/>
      </w:pPr>
      <w:r>
        <w:rPr>
          <w:szCs w:val="24"/>
          <w:lang w:eastAsia="lt-LT"/>
        </w:rPr>
        <w:t>23</w:t>
      </w:r>
      <w:r>
        <w:rPr>
          <w:szCs w:val="24"/>
          <w:lang w:eastAsia="lt-LT"/>
        </w:rPr>
        <w:t>. Metodikos 17–22 punktų nuostatos taikomos šiais atvejais:</w:t>
      </w:r>
    </w:p>
    <w:p>
      <w:pPr>
        <w:ind w:firstLine="720"/>
        <w:jc w:val="both"/>
      </w:pPr>
      <w:r>
        <w:rPr>
          <w:szCs w:val="24"/>
          <w:lang w:eastAsia="lt-LT"/>
        </w:rPr>
        <w:t>23.1</w:t>
      </w:r>
      <w:r>
        <w:rPr>
          <w:szCs w:val="24"/>
          <w:lang w:eastAsia="lt-LT"/>
        </w:rPr>
        <w:t>. kai vartotojas turimą leistinąją naudoti galią atitinkamoje tiekimo patikimumo kategorijoje keičia į aukštesnės tiekimo patikimumo kategorijos leistinąją naudoti galią kartu didindamas arba nedidindamas esamos leistinosios naudoti galios arba į žemesnės tiekimo patikimumo kategorijos leistinąją naudoti galią kartu didindamas galią;</w:t>
      </w:r>
    </w:p>
    <w:p>
      <w:pPr>
        <w:ind w:firstLine="720"/>
        <w:jc w:val="both"/>
      </w:pPr>
      <w:r>
        <w:rPr>
          <w:szCs w:val="24"/>
          <w:lang w:eastAsia="lt-LT"/>
        </w:rPr>
        <w:t>23.2</w:t>
      </w:r>
      <w:r>
        <w:rPr>
          <w:szCs w:val="24"/>
          <w:lang w:eastAsia="lt-LT"/>
        </w:rPr>
        <w:t>. kai naujai prijungiamų vartotojo elektros įrenginių leistinoji naudoti galia ar didinama prijungtų elektros įrenginių leistinoji naudoti galia (tuo atveju, kai elektros įrenginiai prie elektros tinklo prijungiami pagal bendras (vieningas) prijungimo sąlygas, vieną projektą ir vieną sutartį – suminė leistinoji naudoti galia) yra didesnė kaip 500 kW;</w:t>
      </w:r>
    </w:p>
    <w:p>
      <w:pPr>
        <w:ind w:firstLine="720"/>
        <w:jc w:val="both"/>
      </w:pPr>
      <w:r>
        <w:rPr>
          <w:szCs w:val="24"/>
          <w:lang w:eastAsia="lt-LT"/>
        </w:rPr>
        <w:t>23.3</w:t>
      </w:r>
      <w:r>
        <w:rPr>
          <w:szCs w:val="24"/>
          <w:lang w:eastAsia="lt-LT"/>
        </w:rPr>
        <w:t xml:space="preserve">. kai vartotojas dėl jam priklausančio nekilnojamojo turto ar jo dalies perleidimo kitam asmeniui (naujam vartotojui) atsisako leistinosios naudoti galios ar jos dalies, ir naujo vartotojo elektros įrenginiai, kurių leistinoji naudoti galia ne didesnė nei atsisakytoji, nepraėjus daugiau nei </w:t>
        <w:br/>
        <w:t>1 mėnesiui, jungiami toje pačioje vietoje kaip ir leistinosios naudoti galios atsisakiusio vartotojo buvę įrenginiai;</w:t>
      </w:r>
    </w:p>
    <w:p>
      <w:pPr>
        <w:ind w:firstLine="720"/>
        <w:jc w:val="both"/>
        <w:rPr>
          <w:szCs w:val="24"/>
          <w:lang w:eastAsia="lt-LT"/>
        </w:rPr>
      </w:pPr>
      <w:r>
        <w:rPr>
          <w:szCs w:val="24"/>
          <w:lang w:eastAsia="lt-LT"/>
        </w:rPr>
        <w:t>23.4</w:t>
      </w:r>
      <w:r>
        <w:rPr>
          <w:szCs w:val="24"/>
          <w:lang w:eastAsia="lt-LT"/>
        </w:rPr>
        <w:t xml:space="preserve">. kai vartotojas keičia vienfazį atvadą trifaziu arba trifazį atvadą vienfaziu, nekeisdamas leistinosios naudoti galios, ir tam nereikia keisti ar rekonstruoti operatoriaus elektros linijos; </w:t>
      </w:r>
    </w:p>
    <w:p>
      <w:pPr>
        <w:ind w:firstLine="720"/>
        <w:jc w:val="both"/>
        <w:rPr>
          <w:szCs w:val="24"/>
          <w:lang w:eastAsia="lt-LT"/>
        </w:rPr>
      </w:pPr>
      <w:r>
        <w:rPr>
          <w:szCs w:val="24"/>
          <w:lang w:eastAsia="lt-LT"/>
        </w:rPr>
        <w:t>23.5</w:t>
      </w:r>
      <w:r>
        <w:rPr>
          <w:szCs w:val="24"/>
          <w:lang w:eastAsia="lt-LT"/>
        </w:rPr>
        <w:t xml:space="preserve">. kai </w:t>
      </w:r>
      <w:r>
        <w:t>vartotojas pageidauja įrengti pirmos (I) ar antros (II) tiekimo patikimumo kategorijos leistinąją naudoti galią ar skirtingų tiekimo patikimumo kategorijų leistinąją naudoti galią (I ir III, II ir III, I ir II kategorijų).</w:t>
      </w:r>
    </w:p>
    <w:p>
      <w:pPr>
        <w:ind w:firstLine="720"/>
        <w:jc w:val="both"/>
        <w:rPr>
          <w:szCs w:val="24"/>
          <w:lang w:eastAsia="lt-LT"/>
        </w:rPr>
      </w:pPr>
      <w:r>
        <w:rPr>
          <w:szCs w:val="24"/>
          <w:lang w:eastAsia="lt-LT"/>
        </w:rPr>
        <w:t>24</w:t>
      </w:r>
      <w:r>
        <w:rPr>
          <w:szCs w:val="24"/>
          <w:lang w:eastAsia="lt-LT"/>
        </w:rPr>
        <w:t>. Prijungiantis operatorius apskaičiuoja prijungimo paslaugos įmoką, lygią 100 proc. faktinės kainos, kaip nustatyta Metodikos 17 punkte, šiais atvejais:</w:t>
      </w:r>
    </w:p>
    <w:p>
      <w:pPr>
        <w:ind w:firstLine="720"/>
        <w:jc w:val="both"/>
        <w:rPr>
          <w:szCs w:val="24"/>
          <w:lang w:eastAsia="lt-LT"/>
        </w:rPr>
      </w:pPr>
      <w:r>
        <w:rPr>
          <w:szCs w:val="24"/>
          <w:lang w:eastAsia="lt-LT"/>
        </w:rPr>
        <w:t>24.1</w:t>
      </w:r>
      <w:r>
        <w:rPr>
          <w:szCs w:val="24"/>
          <w:lang w:eastAsia="lt-LT"/>
        </w:rPr>
        <w:t>. kai vartotojas prijungia elektros įrenginius prie tinklų vienkartiniams renginiams ar kitiems trumpalaikiams tikslams, sezoniniams renginiams (kuriems yra išduotas savivaldybės leidimas), taip pat pageidauja prijungti laikinuose statiniuose esančius elektros įrenginius ar elektros įrenginius, esančius ne statiniuose, elektros įrenginius sklypo priežiūrai ir panašiems tikslams, taip pat statybos laikotarpiui;</w:t>
      </w:r>
    </w:p>
    <w:p>
      <w:pPr>
        <w:ind w:firstLine="720"/>
        <w:jc w:val="both"/>
        <w:rPr>
          <w:szCs w:val="24"/>
          <w:lang w:eastAsia="lt-LT"/>
        </w:rPr>
      </w:pPr>
      <w:r>
        <w:rPr>
          <w:szCs w:val="24"/>
          <w:lang w:eastAsia="lt-LT"/>
        </w:rPr>
        <w:t>24.2</w:t>
      </w:r>
      <w:r>
        <w:rPr>
          <w:szCs w:val="24"/>
          <w:lang w:eastAsia="lt-LT"/>
        </w:rPr>
        <w:t>. kai vartotojas ar kitas asmuo pageidauja perkelti ar rekonstruoti operatoriui priklausančius energetikos objektus (elektros tinklus ir įrenginius), kai jie kliudo statinių statybai ar dėl kitų priežasčių;</w:t>
      </w:r>
    </w:p>
    <w:p>
      <w:pPr>
        <w:ind w:firstLine="720"/>
        <w:jc w:val="both"/>
        <w:rPr>
          <w:szCs w:val="24"/>
          <w:lang w:eastAsia="lt-LT"/>
        </w:rPr>
      </w:pPr>
      <w:r>
        <w:rPr>
          <w:szCs w:val="24"/>
          <w:lang w:eastAsia="lt-LT"/>
        </w:rPr>
        <w:t>24.3</w:t>
      </w:r>
      <w:r>
        <w:rPr>
          <w:szCs w:val="24"/>
          <w:lang w:eastAsia="lt-LT"/>
        </w:rPr>
        <w:t>. kai vartotojo elektros įrenginiai jungiami tiesiogiai prie elektros perdavimo tinklo;</w:t>
      </w:r>
    </w:p>
    <w:p>
      <w:pPr>
        <w:ind w:firstLine="720"/>
        <w:jc w:val="both"/>
        <w:rPr>
          <w:szCs w:val="24"/>
          <w:lang w:eastAsia="lt-LT"/>
        </w:rPr>
      </w:pPr>
      <w:r>
        <w:rPr>
          <w:szCs w:val="24"/>
          <w:lang w:eastAsia="lt-LT"/>
        </w:rPr>
        <w:t>24.4</w:t>
      </w:r>
      <w:r>
        <w:rPr>
          <w:szCs w:val="24"/>
          <w:lang w:eastAsia="lt-LT"/>
        </w:rPr>
        <w:t>. kai vartotojo šilumos siurbliui, atitinkančiam Lietuvos Respublikos atsinaujinančių išteklių energetikos įstatyme ir (ar) jo įgyvendinamuose teisės aktuose nustatytus reikalavimus, įrengiamas atskiras elektros energijos apskaitos prietaisas;</w:t>
      </w:r>
    </w:p>
    <w:p>
      <w:pPr>
        <w:ind w:firstLine="720"/>
        <w:jc w:val="both"/>
        <w:rPr>
          <w:szCs w:val="24"/>
          <w:lang w:eastAsia="lt-LT"/>
        </w:rPr>
      </w:pPr>
      <w:r>
        <w:rPr>
          <w:szCs w:val="24"/>
          <w:lang w:eastAsia="lt-LT"/>
        </w:rPr>
        <w:t>24.5</w:t>
      </w:r>
      <w:r>
        <w:rPr>
          <w:szCs w:val="24"/>
          <w:lang w:eastAsia="lt-LT"/>
        </w:rPr>
        <w:t>. kai nebuitinis vartotojas</w:t>
      </w:r>
      <w:r>
        <w:t>,</w:t>
      </w:r>
      <w:r>
        <w:rPr>
          <w:b/>
        </w:rPr>
        <w:t xml:space="preserve"> </w:t>
      </w:r>
      <w:r>
        <w:t>išskyrus Metodikos 19 punkte nurodytus vartotojus,</w:t>
      </w:r>
      <w:r>
        <w:rPr>
          <w:szCs w:val="24"/>
          <w:lang w:eastAsia="lt-LT"/>
        </w:rPr>
        <w:t xml:space="preserve"> turimą elektros įrenginių leistinąją naudoti galią pageidauja mažinti atitinkamoje tiekimo patikimumo kategorijoje ar keisti į žemesnės tiekimo patikimumo kategorijos leistinąją naudoti galią praėjus daugiau nei 3 metams nuo šios leistinosios naudoti galios suteikimo (elektros energijos pirkimo–pardavimo ir (ar) persiuntimo sutarties sudarymo). </w:t>
      </w:r>
    </w:p>
    <w:p>
      <w:pPr>
        <w:keepNext/>
        <w:widowControl w:val="0"/>
        <w:ind w:firstLine="709"/>
        <w:jc w:val="both"/>
        <w:outlineLvl w:val="1"/>
      </w:pPr>
      <w:r>
        <w:rPr>
          <w:spacing w:val="-2"/>
        </w:rPr>
        <w:t>25</w:t>
      </w:r>
      <w:r>
        <w:t>. Vartotojas turi teisę savo lėšomis įrengti jo elektros įrenginiams prijungti reikalingus energetikos įrenginius, priklausysiančius tinklų operatoriui, ir organizuoti jų įrengimo darbus, kai:</w:t>
      </w:r>
    </w:p>
    <w:p>
      <w:pPr>
        <w:keepNext/>
        <w:widowControl w:val="0"/>
        <w:ind w:firstLine="709"/>
        <w:jc w:val="both"/>
        <w:outlineLvl w:val="1"/>
      </w:pPr>
      <w:r>
        <w:rPr>
          <w:spacing w:val="-2"/>
        </w:rPr>
        <w:t>25</w:t>
      </w:r>
      <w:r>
        <w:t>.1</w:t>
      </w:r>
      <w:r>
        <w:t>. prijungiamų elektros įrenginių leistinoji naudoti galia ar didinama elektros įrenginių leistinoji naudoti galia yra didesnė kaip 250 kW ir elektros įrenginiams prijungti prie elektros tinklų reikia įrengti transformatorių pastotes, transformatorines, skirstomuosius punktus ir toks įrenginių įrengimas yra suderintas su skirstomųjų tinklų operatoriumi Energetikos ministerijos nustatyta tvarka;</w:t>
      </w:r>
    </w:p>
    <w:p>
      <w:pPr>
        <w:ind w:firstLine="720"/>
        <w:jc w:val="both"/>
      </w:pPr>
      <w:r>
        <w:rPr>
          <w:spacing w:val="-2"/>
        </w:rPr>
        <w:t>25</w:t>
      </w:r>
      <w:r>
        <w:t>.2</w:t>
      </w:r>
      <w:r>
        <w:t>. prijungiamų elektros įrenginių leistinoji naudoti galia ar didinama elektros įrenginių leistinoji naudoti galia yra ne mažesnė kaip 10 MW ir elektros įrenginiams prijungti prie elektros tinklo reikia pastatyti naujus elektros perdavimo tinklus ir toks perdavimo tinklų įrengimas yra suderintas su perdavimo sistemos operatoriumi Energetikos ministerijos nustatyta tvarka.</w:t>
      </w:r>
    </w:p>
    <w:p>
      <w:pPr>
        <w:ind w:firstLine="720"/>
        <w:jc w:val="both"/>
      </w:pPr>
      <w:r>
        <w:t>26</w:t>
      </w:r>
      <w:r>
        <w:t>. Kai elektros energijos vartotojas jungia įrenginius prie skirstomojo tinklo ir šio vartotojo įrenginiams prijungti būtina atlikti plėtros, rekonstrukcijos, keitimo ar panašius techninio parengimo darbus skirstomajame tinkle (</w:t>
      </w:r>
      <w:r>
        <w:rPr>
          <w:szCs w:val="24"/>
          <w:lang w:eastAsia="lt-LT"/>
        </w:rPr>
        <w:t xml:space="preserve">10/0,4 kV transformatorinės ir joms prijungti 10 kV elektros linijos, </w:t>
        <w:br/>
        <w:t>0,4 kV linijos</w:t>
      </w:r>
      <w:r>
        <w:t xml:space="preserve">) ir (ar) perdavimo tinkle </w:t>
      </w:r>
      <w:r>
        <w:rPr>
          <w:szCs w:val="24"/>
          <w:lang w:eastAsia="lt-LT"/>
        </w:rPr>
        <w:t>(110-35/10 kV transformatorių pastotės, 10 kV skirstomieji punktai, 110-10 kV elektros linijos</w:t>
      </w:r>
      <w:r>
        <w:t>), prijungiantis skirstomojo tinklo operatorius organizuoja viešąjį pirkimą šio vartotojo elektros energijos įrenginių prijungimo prie skirstomojo tinklo darbų rangovui išrinkti, perdavimo tinklo operatorius atitinkamai organizuoja viešąjį pirkimą plėtros, rekonstrukcijos, keitimo ar panašių techninio parengimo darbų atlikimo perdavimo tinkle rangovui išrinkti. Šiuo atveju elektros įrenginius prie skirstomųjų tinklų jungiantis vartotojas ir kiti vėliau elektros įrenginius jungiantys vartotojai sumoka skirstomojo tinklo operatoriui už skirstomųjų tinklų ir perdavimo tinklų plėtrą ar atnaujinimą pagal Metodikos 27–30 punktuose nustatytą tvarką.</w:t>
      </w:r>
    </w:p>
    <w:p>
      <w:pPr>
        <w:ind w:firstLine="720"/>
        <w:jc w:val="both"/>
        <w:rPr>
          <w:szCs w:val="24"/>
          <w:lang w:eastAsia="lt-LT"/>
        </w:rPr>
      </w:pPr>
      <w:r>
        <w:rPr>
          <w:szCs w:val="24"/>
          <w:lang w:eastAsia="lt-LT"/>
        </w:rPr>
        <w:t>27</w:t>
      </w:r>
      <w:r>
        <w:rPr>
          <w:szCs w:val="24"/>
          <w:lang w:eastAsia="lt-LT"/>
        </w:rPr>
        <w:t xml:space="preserve">. Kai prie elektros tinklų jungiamas kvartalas </w:t>
      </w:r>
      <w:r>
        <w:t>(teritorija, kurioje numatomas individualių namų masyvas ar mišrios paskirties pastatai ir kurioje parengtas žemėtvarkos ar detalusis planas bei suformuoti sklypai) arba elektros įrenginius prie tinklo jungia vartotojai, kurių elektros įrenginiai prie elektros tinklo yra prijungiami pagal bendras (vieningas) prijungimo sąlygas (tą patį techninį sprendimą), vieną projektą ir vieną sutartį (arba kelias sutartis, kurių vykdymas susietas tarpusavyje) ir (ar) kurių nekilnojamasis turtas bus (yra) registruotas esamuose ir statomuose daugiabučiuose gyvenamuosiuose namuose, daugiabučių gyvenamųjų namų kvartaluose, individualių gyvenamųjų namų kvartaluose, sodų ir garažų bendrijose, taip pat teritorijose, kuriose nepriklausomai nuo žemės paskirties pobūdžio suformuoti ne mažiau kaip 2 besiribojantys vartotojų žemės sklypai, operatorius paslaugos kainą (prijungimo įmoką) apskaičiuoja tokia tvarka:</w:t>
      </w:r>
    </w:p>
    <w:p>
      <w:pPr>
        <w:ind w:firstLine="720"/>
        <w:jc w:val="both"/>
      </w:pPr>
      <w:r>
        <w:rPr>
          <w:lang w:val="en-US"/>
        </w:rPr>
        <w:t>27.1</w:t>
      </w:r>
      <w:r>
        <w:rPr>
          <w:lang w:val="en-US"/>
        </w:rPr>
        <w:t>. į</w:t>
      </w:r>
      <w:r>
        <w:t xml:space="preserve">rengiant elektros energetikos objektus (110-35/10 kV transformatorių pastotes, 10 kV skirstomuosius punktus, 110-10 kV elektros linijas, 10/0,4 kV transformatorines ir joms prijungti </w:t>
        <w:br/>
        <w:t>10 kV elektros linijas), reikalingus išplėtoti infrastruktūrą kvartalų prijungimui, operatorius apskaičiuoja 1 kW tinklo plėtros kainą, elektros energetikos objektų įrengimo kainą dalijant iš šiame punkte nurodytų elektros</w:t>
      </w:r>
      <w:r>
        <w:rPr>
          <w:bCs/>
        </w:rPr>
        <w:t xml:space="preserve"> </w:t>
      </w:r>
      <w:r>
        <w:t>įrenginių pralaidumo. Šiuo atveju prijungimo įmokos dalis už minėtos infrastruktūros plėtrą apskaičiuojama pagal formulę:</w:t>
      </w:r>
    </w:p>
    <w:p>
      <w:pPr>
        <w:ind w:firstLine="720"/>
        <w:jc w:val="both"/>
        <w:rPr>
          <w:szCs w:val="24"/>
          <w:lang w:eastAsia="lt-LT"/>
        </w:rPr>
      </w:pPr>
    </w:p>
    <w:p>
      <w:pPr>
        <w:ind w:firstLine="720"/>
        <w:jc w:val="both"/>
        <w:rPr>
          <w:szCs w:val="24"/>
          <w:lang w:eastAsia="lt-LT"/>
        </w:rPr>
      </w:pPr>
      <w:r>
        <w:rPr>
          <w:spacing w:val="20"/>
          <w:szCs w:val="24"/>
          <w:lang w:eastAsia="lt-LT"/>
        </w:rPr>
        <w:t>I</w:t>
      </w:r>
      <w:r>
        <w:rPr>
          <w:szCs w:val="24"/>
          <w:lang w:eastAsia="lt-LT"/>
        </w:rPr>
        <w:t xml:space="preserve"> = D × </w:t>
      </w:r>
      <w:r>
        <w:rPr>
          <w:spacing w:val="20"/>
          <w:szCs w:val="24"/>
          <w:lang w:eastAsia="lt-LT"/>
        </w:rPr>
        <w:t>P</w:t>
      </w:r>
      <w:r>
        <w:rPr>
          <w:szCs w:val="24"/>
          <w:lang w:eastAsia="lt-LT"/>
        </w:rPr>
        <w:t xml:space="preserve"> × </w:t>
      </w:r>
      <w:r>
        <w:rPr>
          <w:spacing w:val="20"/>
          <w:szCs w:val="24"/>
          <w:lang w:eastAsia="lt-LT"/>
        </w:rPr>
        <w:t>K</w:t>
      </w:r>
      <w:r>
        <w:rPr>
          <w:szCs w:val="24"/>
          <w:lang w:eastAsia="lt-LT"/>
        </w:rPr>
        <w:t>                                         (2)</w:t>
      </w:r>
    </w:p>
    <w:p>
      <w:pPr>
        <w:ind w:firstLine="567"/>
        <w:jc w:val="both"/>
        <w:rPr>
          <w:szCs w:val="24"/>
          <w:lang w:eastAsia="lt-LT"/>
        </w:rPr>
      </w:pPr>
    </w:p>
    <w:p>
      <w:pPr>
        <w:ind w:firstLine="720"/>
        <w:jc w:val="both"/>
        <w:rPr>
          <w:szCs w:val="24"/>
          <w:lang w:eastAsia="lt-LT"/>
        </w:rPr>
      </w:pPr>
      <w:r>
        <w:rPr>
          <w:szCs w:val="24"/>
          <w:lang w:eastAsia="lt-LT"/>
        </w:rPr>
        <w:t>čia:</w:t>
      </w:r>
    </w:p>
    <w:p>
      <w:pPr>
        <w:ind w:firstLine="720"/>
        <w:jc w:val="both"/>
        <w:rPr>
          <w:szCs w:val="24"/>
          <w:lang w:eastAsia="lt-LT"/>
        </w:rPr>
      </w:pPr>
      <w:r>
        <w:rPr>
          <w:szCs w:val="24"/>
          <w:lang w:eastAsia="lt-LT"/>
        </w:rPr>
        <w:t>I – elektros energijos vartotojo ar gamintojo už tinklo plėtrą papildomai mokama įrenginių prijungimo prie tinklo įmoka, Eur;</w:t>
      </w:r>
    </w:p>
    <w:p>
      <w:pPr>
        <w:ind w:firstLine="720"/>
        <w:jc w:val="both"/>
        <w:rPr>
          <w:szCs w:val="24"/>
          <w:lang w:eastAsia="lt-LT"/>
        </w:rPr>
      </w:pPr>
      <w:r>
        <w:rPr>
          <w:szCs w:val="24"/>
          <w:lang w:eastAsia="lt-LT"/>
        </w:rPr>
        <w:t>D – 1 kW tinklo plėtros (statybos, rekonstrukcijos, keitimo ar panašių techninio parengimo darbų) viešąjį pirkimą laimėjusio rangovo atliktų darbų bei operatoriaus ir (ar) rangovo sunaudotų medžiagų ir kitų Metodikos 17 punkte nurodytų išlaidų kaina, Eur;</w:t>
      </w:r>
    </w:p>
    <w:p>
      <w:pPr>
        <w:ind w:firstLine="720"/>
        <w:jc w:val="both"/>
        <w:rPr>
          <w:szCs w:val="24"/>
          <w:lang w:eastAsia="lt-LT"/>
        </w:rPr>
      </w:pPr>
      <w:r>
        <w:rPr>
          <w:szCs w:val="24"/>
          <w:lang w:eastAsia="lt-LT"/>
        </w:rPr>
        <w:t>P – vartotojui ar gamintojui suteikiama leistinoji naudoti ir (ar) generuoti galia, kW;</w:t>
      </w:r>
    </w:p>
    <w:p>
      <w:pPr>
        <w:ind w:firstLine="720"/>
        <w:jc w:val="both"/>
        <w:rPr>
          <w:b/>
          <w:szCs w:val="24"/>
          <w:lang w:eastAsia="lt-LT"/>
        </w:rPr>
      </w:pPr>
      <w:r>
        <w:rPr>
          <w:szCs w:val="24"/>
          <w:lang w:eastAsia="lt-LT"/>
        </w:rPr>
        <w:t xml:space="preserve">K – vartotojų ar gamintojų apmokamos prijungimo įmokos, nurodytos Metodikos 11, </w:t>
        <w:br/>
        <w:t>18.1 arba 20.1, arba 38 punktuose, dydis.</w:t>
      </w:r>
      <w:r>
        <w:rPr>
          <w:b/>
          <w:szCs w:val="24"/>
          <w:lang w:eastAsia="lt-LT"/>
        </w:rPr>
        <w:t xml:space="preserve"> </w:t>
      </w:r>
    </w:p>
    <w:p>
      <w:pPr>
        <w:keepNext/>
        <w:widowControl w:val="0"/>
        <w:ind w:firstLine="720"/>
        <w:jc w:val="both"/>
        <w:rPr>
          <w:szCs w:val="24"/>
        </w:rPr>
      </w:pPr>
      <w:r>
        <w:rPr>
          <w:lang w:val="en-US"/>
        </w:rPr>
        <w:t>27.2</w:t>
      </w:r>
      <w:r>
        <w:rPr>
          <w:lang w:val="en-US"/>
        </w:rPr>
        <w:t xml:space="preserve">. </w:t>
      </w:r>
      <w:r>
        <w:t>k</w:t>
      </w:r>
      <w:r>
        <w:rPr>
          <w:rFonts w:eastAsia="Arial"/>
        </w:rPr>
        <w:t xml:space="preserve">vartalo metražo dedamoji apskaičiuojama įvertinant suprojektuotų 0,4 kV skirstomųjų tinklų elektros linijų ir (ar) rekonstruojamų operatoriaus elektros linijų suminį ilgį nuo </w:t>
        <w:br/>
      </w:r>
      <w:r>
        <w:rPr>
          <w:rFonts w:eastAsia="Arial"/>
          <w:lang w:val="en-US"/>
        </w:rPr>
        <w:t xml:space="preserve">27.1 </w:t>
      </w:r>
      <w:r>
        <w:rPr>
          <w:rFonts w:eastAsia="Arial"/>
        </w:rPr>
        <w:t xml:space="preserve">papunktyje nurodytų įrenginių iki kvartalo ir kvartalo viduje, bei padalinant šį ilgį iš </w:t>
      </w:r>
      <w:r>
        <w:t>prijungiamų ir potencialių subjektų (vartotojų ar gamintojų) skaičiaus pagal formulę:</w:t>
      </w:r>
    </w:p>
    <w:p>
      <w:pPr>
        <w:keepNext/>
        <w:widowControl w:val="0"/>
        <w:ind w:firstLine="720"/>
        <w:jc w:val="both"/>
      </w:pPr>
    </w:p>
    <w:p>
      <w:pPr>
        <w:ind w:left="720"/>
        <w:jc w:val="both"/>
        <w:rPr>
          <w:szCs w:val="24"/>
        </w:rPr>
      </w:pPr>
      <m:oMath>
        <m:sSub>
          <m:sSubPr>
            <m:ctrlPr>
              <w:rPr>
                <w:rFonts w:ascii="Cambria Math" w:hAnsi="Cambria Math"/>
                <w:i/>
                <w:sz w:val="28"/>
                <w:szCs w:val="24"/>
              </w:rPr>
            </m:ctrlPr>
          </m:sSubPr>
          <m:e>
            <m:r>
              <m:rPr>
                <m:nor/>
              </m:rPr>
              <w:rPr>
                <w:sz w:val="28"/>
                <w:szCs w:val="24"/>
              </w:rPr>
              <m:t>L</m:t>
            </m:r>
          </m:e>
          <m:sub>
            <m:r>
              <m:rPr>
                <m:nor/>
              </m:rPr>
              <w:rPr>
                <w:sz w:val="28"/>
                <w:szCs w:val="24"/>
              </w:rPr>
              <m:t>p</m:t>
            </m:r>
          </m:sub>
        </m:sSub>
        <m:r>
          <m:rPr>
            <m:nor/>
          </m:rPr>
          <w:rPr>
            <w:sz w:val="28"/>
            <w:szCs w:val="24"/>
            <w:lang w:val="en-US"/>
          </w:rPr>
          <m:t xml:space="preserve"> = </m:t>
        </m:r>
        <m:f>
          <m:fPr>
            <m:ctrlPr>
              <w:rPr>
                <w:rFonts w:ascii="Cambria Math" w:hAnsi="Cambria Math"/>
                <w:i/>
                <w:sz w:val="28"/>
                <w:szCs w:val="24"/>
                <w:lang w:val="en-US"/>
              </w:rPr>
            </m:ctrlPr>
          </m:fPr>
          <m:num>
            <m:sSub>
              <m:sSubPr>
                <m:ctrlPr>
                  <w:rPr>
                    <w:rFonts w:ascii="Cambria Math" w:hAnsi="Cambria Math"/>
                    <w:i/>
                    <w:sz w:val="28"/>
                    <w:szCs w:val="24"/>
                    <w:lang w:val="en-US"/>
                  </w:rPr>
                </m:ctrlPr>
              </m:sSubPr>
              <m:e>
                <m:r>
                  <m:rPr>
                    <m:nor/>
                  </m:rPr>
                  <w:rPr>
                    <w:sz w:val="28"/>
                    <w:szCs w:val="24"/>
                    <w:lang w:val="en-US"/>
                  </w:rPr>
                  <m:t>L</m:t>
                </m:r>
              </m:e>
              <m:sub>
                <m:r>
                  <m:rPr>
                    <m:nor/>
                  </m:rPr>
                  <w:rPr>
                    <w:sz w:val="28"/>
                    <w:szCs w:val="24"/>
                    <w:lang w:val="en-US"/>
                  </w:rPr>
                  <m:t>sum</m:t>
                </m:r>
              </m:sub>
            </m:sSub>
          </m:num>
          <m:den>
            <m:r>
              <m:rPr>
                <m:nor/>
              </m:rPr>
              <w:rPr>
                <w:sz w:val="28"/>
                <w:szCs w:val="24"/>
                <w:lang w:val="en-US"/>
              </w:rPr>
              <m:t>n</m:t>
            </m:r>
          </m:den>
        </m:f>
        <m:r>
          <m:rPr>
            <m:nor/>
          </m:rPr>
          <w:rPr>
            <w:sz w:val="28"/>
            <w:szCs w:val="24"/>
            <w:lang w:val="en-US"/>
          </w:rPr>
          <m:t xml:space="preserve">                                     </m:t>
        </m:r>
      </m:oMath>
      <w:r>
        <w:rPr>
          <w:szCs w:val="24"/>
        </w:rPr>
        <w:t>(</w:t>
      </w:r>
      <w:r>
        <w:rPr>
          <w:szCs w:val="24"/>
          <w:lang w:val="en-US"/>
        </w:rPr>
        <w:t>3</w:t>
      </w:r>
      <w:r>
        <w:rPr>
          <w:szCs w:val="24"/>
        </w:rPr>
        <w:t>)</w:t>
      </w:r>
    </w:p>
    <w:p>
      <w:pPr>
        <w:keepNext/>
        <w:widowControl w:val="0"/>
        <w:ind w:firstLine="567"/>
        <w:jc w:val="both"/>
      </w:pPr>
    </w:p>
    <w:p>
      <w:pPr>
        <w:ind w:firstLine="720"/>
        <w:jc w:val="both"/>
        <w:rPr>
          <w:szCs w:val="24"/>
          <w:lang w:val="en-US"/>
        </w:rPr>
      </w:pPr>
      <w:r>
        <w:rPr>
          <w:iCs/>
          <w:szCs w:val="24"/>
        </w:rPr>
        <w:t>čia:</w:t>
      </w:r>
    </w:p>
    <w:p>
      <w:pPr>
        <w:ind w:firstLine="720"/>
        <w:jc w:val="both"/>
      </w:pPr>
      <w:r>
        <w:rPr>
          <w:szCs w:val="24"/>
        </w:rPr>
        <w:t>L</w:t>
      </w:r>
      <w:r>
        <w:rPr>
          <w:szCs w:val="24"/>
          <w:vertAlign w:val="subscript"/>
        </w:rPr>
        <w:t>p</w:t>
      </w:r>
      <w:r>
        <w:rPr>
          <w:szCs w:val="24"/>
        </w:rPr>
        <w:t xml:space="preserve"> – metrų skaičius, tenkantis </w:t>
      </w:r>
      <w:r>
        <w:t>jungiamam ar potencialiam vartotojui, ar gamintojui, m;</w:t>
      </w:r>
    </w:p>
    <w:p>
      <w:pPr>
        <w:ind w:firstLine="720"/>
        <w:jc w:val="both"/>
        <w:rPr>
          <w:szCs w:val="24"/>
          <w:lang w:val="en-US"/>
        </w:rPr>
      </w:pPr>
      <w:r>
        <w:rPr>
          <w:szCs w:val="24"/>
        </w:rPr>
        <w:t>L</w:t>
      </w:r>
      <w:r>
        <w:rPr>
          <w:szCs w:val="24"/>
          <w:vertAlign w:val="subscript"/>
        </w:rPr>
        <w:t>sum</w:t>
      </w:r>
      <w:r>
        <w:rPr>
          <w:szCs w:val="24"/>
        </w:rPr>
        <w:t xml:space="preserve"> – </w:t>
      </w:r>
      <w:r>
        <w:t>suprojektuotų 0,4 kV skirstomųjų tinklų elektros linijų ir (ar) rekonstruojamų operatoriaus elektros linijų suminis ilgis, m</w:t>
      </w:r>
      <w:r>
        <w:rPr>
          <w:szCs w:val="24"/>
        </w:rPr>
        <w:t>;</w:t>
      </w:r>
    </w:p>
    <w:p>
      <w:pPr>
        <w:ind w:firstLine="720"/>
        <w:jc w:val="both"/>
        <w:rPr>
          <w:szCs w:val="24"/>
          <w:lang w:val="en-US"/>
        </w:rPr>
      </w:pPr>
      <w:r>
        <w:rPr>
          <w:szCs w:val="24"/>
        </w:rPr>
        <w:t>n – prijungiamų ir potencialių subjektų (vartotojų ar gamintojų) skaičius, vnt.</w:t>
      </w:r>
    </w:p>
    <w:p>
      <w:pPr>
        <w:keepNext/>
        <w:widowControl w:val="0"/>
        <w:ind w:firstLine="567"/>
        <w:jc w:val="both"/>
      </w:pPr>
    </w:p>
    <w:p>
      <w:pPr>
        <w:keepNext/>
        <w:widowControl w:val="0"/>
        <w:ind w:firstLine="720"/>
        <w:jc w:val="both"/>
      </w:pPr>
      <w:r>
        <w:t xml:space="preserve">Prijungimo įmokos daliai apskaičiuoti operatorius naudoja Metodikos 12 punkte esančią formulę ir šiame papunktyje numatyta tvarka apskaičiuotą metražą. </w:t>
      </w:r>
    </w:p>
    <w:p>
      <w:pPr>
        <w:keepNext/>
        <w:widowControl w:val="0"/>
        <w:ind w:firstLine="720"/>
        <w:jc w:val="both"/>
      </w:pPr>
      <w:r>
        <w:t>27.3</w:t>
      </w:r>
      <w:r>
        <w:t>. prijungimo įmoka apskaičiuojama kaip Metodikos 27.1 ir 27.2 papunkčiuose apskaičiuotų prijungimo įmokos dalių suma.</w:t>
      </w:r>
    </w:p>
    <w:p>
      <w:pPr>
        <w:keepNext/>
        <w:widowControl w:val="0"/>
        <w:ind w:firstLine="720"/>
        <w:jc w:val="both"/>
      </w:pPr>
      <w:r>
        <w:t>Visiems kvartalo ar bendros grupės vartotojams taikomos vienodos prijungimo įmokų apskaičiavimo sąlygos.</w:t>
      </w:r>
    </w:p>
    <w:p>
      <w:pPr>
        <w:ind w:firstLine="720"/>
        <w:jc w:val="both"/>
        <w:rPr>
          <w:szCs w:val="24"/>
          <w:lang w:eastAsia="lt-LT"/>
        </w:rPr>
      </w:pPr>
      <w:r>
        <w:rPr>
          <w:szCs w:val="24"/>
          <w:lang w:eastAsia="lt-LT"/>
        </w:rPr>
        <w:t>28</w:t>
      </w:r>
      <w:r>
        <w:rPr>
          <w:szCs w:val="24"/>
          <w:lang w:eastAsia="lt-LT"/>
        </w:rPr>
        <w:t xml:space="preserve">. Kai </w:t>
      </w:r>
      <w:r>
        <w:t>elektros įrenginius prie tinklo jungia ne kvartalo ar ne bendros grupės vartotojas, kurio elektros įrenginiai prie elektros tinklo yra prijungiami pagal atskiras prijungimo sąlygas, atskirą projektą ir sutartį</w:t>
      </w:r>
      <w:r>
        <w:rPr>
          <w:szCs w:val="24"/>
          <w:lang w:eastAsia="lt-LT"/>
        </w:rPr>
        <w:t xml:space="preserve">, operatorius, apskaičiuodamas prijungimo įmoką pagal Metodikos 12, 18–20, </w:t>
        <w:br/>
        <w:t xml:space="preserve">38 punktus (priklausomai ar jungiami vartotojų elektros įrenginiai su </w:t>
      </w:r>
      <w:r>
        <w:t xml:space="preserve">leistinąja naudoti </w:t>
      </w:r>
      <w:r>
        <w:rPr>
          <w:szCs w:val="24"/>
          <w:lang w:eastAsia="lt-LT"/>
        </w:rPr>
        <w:t xml:space="preserve">galia iki </w:t>
        <w:br/>
        <w:t>500 kW, virš 500 kW, ar gamintojo elektros įrenginiai), įvertina, ar yra kitų potencialių vartotojų ar gamintojų, kurie elektros įrenginius galėtų jungti prie tos pačios įrengiamos elektros infrastruktūros, kuri būtų naudojama bendrai. Nustačius, kad potencialių vartotojų ar gamintojų yra, prijungiamam vartotojui ir kitiems vėliau elektros įrenginius jungiantiems vartotojams ar gamintojams tenkantis elektros tinklo metrų skaičius nustatomas pagal potencialių vartotojų ir gamintojų skaičių.</w:t>
      </w:r>
    </w:p>
    <w:p>
      <w:pPr>
        <w:ind w:firstLine="720"/>
        <w:jc w:val="both"/>
        <w:rPr>
          <w:szCs w:val="24"/>
        </w:rPr>
      </w:pPr>
      <w:r>
        <w:rPr>
          <w:szCs w:val="24"/>
          <w:lang w:eastAsia="lt-LT"/>
        </w:rPr>
        <w:t>Nesant potencialių vartotojų ar gamintojų, tiesiamo ar rekonstruojamo elektros tinklo metražas (trumpiausias geometrinis atstumas arba faktinis ilgis) priskiriamas prijungiamam vartotojui.</w:t>
      </w:r>
    </w:p>
    <w:p>
      <w:pPr>
        <w:ind w:firstLine="720"/>
        <w:jc w:val="both"/>
        <w:rPr>
          <w:szCs w:val="24"/>
        </w:rPr>
      </w:pPr>
      <w:r>
        <w:rPr>
          <w:szCs w:val="24"/>
        </w:rPr>
        <w:t>29</w:t>
      </w:r>
      <w:r>
        <w:rPr>
          <w:szCs w:val="24"/>
        </w:rPr>
        <w:t xml:space="preserve">. </w:t>
      </w:r>
      <w:r>
        <w:rPr>
          <w:szCs w:val="24"/>
          <w:lang w:eastAsia="lt-LT"/>
        </w:rPr>
        <w:t>V</w:t>
      </w:r>
      <w:r>
        <w:t xml:space="preserve">artotojas laikomas potencialiu vartotoju, esant bent vienai iš žemiau nurodytų sąlygų: </w:t>
      </w:r>
    </w:p>
    <w:p>
      <w:pPr>
        <w:ind w:firstLine="720"/>
        <w:jc w:val="both"/>
        <w:rPr>
          <w:szCs w:val="24"/>
          <w:lang w:eastAsia="lt-LT"/>
        </w:rPr>
      </w:pPr>
      <w:r>
        <w:rPr>
          <w:szCs w:val="24"/>
          <w:lang w:eastAsia="lt-LT"/>
        </w:rPr>
        <w:t>29.1</w:t>
      </w:r>
      <w:r>
        <w:rPr>
          <w:szCs w:val="24"/>
          <w:lang w:eastAsia="lt-LT"/>
        </w:rPr>
        <w:t>. kai vartotojas yra pateikęs paraišką dėl elektros įrenginių prijungimo;</w:t>
      </w:r>
    </w:p>
    <w:p>
      <w:pPr>
        <w:ind w:firstLine="720"/>
        <w:jc w:val="both"/>
      </w:pPr>
      <w:r>
        <w:rPr>
          <w:szCs w:val="24"/>
          <w:lang w:eastAsia="lt-LT"/>
        </w:rPr>
        <w:t>29.2</w:t>
      </w:r>
      <w:r>
        <w:rPr>
          <w:szCs w:val="24"/>
          <w:lang w:eastAsia="lt-LT"/>
        </w:rPr>
        <w:t xml:space="preserve">. kai </w:t>
      </w:r>
      <w:r>
        <w:t>naujo kvartalo prijungimo prie elektros tinklų projekto rengimo metu</w:t>
      </w:r>
      <w:r>
        <w:rPr>
          <w:szCs w:val="24"/>
          <w:lang w:eastAsia="lt-LT"/>
        </w:rPr>
        <w:t xml:space="preserve"> ar atskiro ne kvartalo vartotojo prijungimo prie </w:t>
      </w:r>
      <w:r>
        <w:t xml:space="preserve">elektros tinklų projekto rengimo metu vartotojas yra gavęs </w:t>
        <w:br/>
        <w:t>VĮ „Registrų centras“ pažymą apie nuosavybės teisę į įregistruotą žemės sklypą ir tinklų operatorius turi tai patvirtinančio dokumento kopiją;</w:t>
      </w:r>
    </w:p>
    <w:p>
      <w:pPr>
        <w:ind w:firstLine="720"/>
        <w:jc w:val="both"/>
      </w:pPr>
      <w:r>
        <w:rPr>
          <w:szCs w:val="24"/>
          <w:lang w:eastAsia="lt-LT"/>
        </w:rPr>
        <w:t>29.3</w:t>
      </w:r>
      <w:r>
        <w:rPr>
          <w:szCs w:val="24"/>
          <w:lang w:eastAsia="lt-LT"/>
        </w:rPr>
        <w:t xml:space="preserve">. kai </w:t>
      </w:r>
      <w:r>
        <w:t>naujo kvartalo prijungimo prie elektros tinklų projekto rengimo metu</w:t>
      </w:r>
      <w:r>
        <w:rPr>
          <w:szCs w:val="24"/>
          <w:lang w:eastAsia="lt-LT"/>
        </w:rPr>
        <w:t xml:space="preserve"> ar atskiro ne kvartalo vartotojo prijungimo prie </w:t>
      </w:r>
      <w:r>
        <w:t>elektros tinklų projekto rengimo metu vartotojas yra gavęs statybą leidžiantį dokumentą ir tinklų operatorius turi tai patvirtinančio dokumento kopiją;</w:t>
      </w:r>
    </w:p>
    <w:p>
      <w:pPr>
        <w:ind w:firstLine="720"/>
        <w:jc w:val="both"/>
      </w:pPr>
      <w:r>
        <w:rPr>
          <w:szCs w:val="24"/>
          <w:lang w:eastAsia="lt-LT"/>
        </w:rPr>
        <w:t>29.4</w:t>
      </w:r>
      <w:r>
        <w:rPr>
          <w:szCs w:val="24"/>
          <w:lang w:eastAsia="lt-LT"/>
        </w:rPr>
        <w:t xml:space="preserve">. kai </w:t>
      </w:r>
      <w:r>
        <w:t>naujo kvartalo prijungimo prie elektros tinklų projekto rengimo metu</w:t>
      </w:r>
      <w:r>
        <w:rPr>
          <w:szCs w:val="24"/>
          <w:lang w:eastAsia="lt-LT"/>
        </w:rPr>
        <w:t xml:space="preserve"> ar atskiro ne kvartalo vartotojo prijungimo prie </w:t>
      </w:r>
      <w:r>
        <w:t>elektros tinklų projekto rengimo metu numatomas prijungti pastatas yra teisiškai įregistruotas VĮ „Registrų centras“ ir galima gauti nekilnojamojo turto registro centrinio duomenų banko išrašą apie vartotojo sklype pastatytą ar statomą pastatą.</w:t>
      </w:r>
    </w:p>
    <w:p>
      <w:pPr>
        <w:ind w:firstLine="720"/>
        <w:jc w:val="both"/>
        <w:rPr>
          <w:szCs w:val="24"/>
          <w:lang w:eastAsia="lt-LT"/>
        </w:rPr>
      </w:pPr>
      <w:r>
        <w:rPr>
          <w:szCs w:val="24"/>
          <w:lang w:eastAsia="lt-LT"/>
        </w:rPr>
        <w:t>30</w:t>
      </w:r>
      <w:r>
        <w:rPr>
          <w:szCs w:val="24"/>
          <w:lang w:eastAsia="lt-LT"/>
        </w:rPr>
        <w:t xml:space="preserve">. Metodikos </w:t>
      </w:r>
      <w:r>
        <w:rPr>
          <w:bCs/>
          <w:kern w:val="32"/>
          <w:szCs w:val="24"/>
          <w:lang w:eastAsia="lt-LT"/>
        </w:rPr>
        <w:t>27–28</w:t>
      </w:r>
      <w:r>
        <w:rPr>
          <w:szCs w:val="24"/>
          <w:lang w:eastAsia="lt-LT"/>
        </w:rPr>
        <w:t xml:space="preserve"> punktai taikomi būsimiems (potencialiems) vartotojams ir (ar) gamintojams, kurie elektros įrenginius įrengia per 5 metus nuo operatorių elektros tinklų plėtros darbų užbaigimo.</w:t>
      </w:r>
    </w:p>
    <w:p>
      <w:pPr>
        <w:ind w:firstLine="720"/>
        <w:jc w:val="both"/>
        <w:rPr>
          <w:szCs w:val="24"/>
          <w:lang w:eastAsia="lt-LT"/>
        </w:rPr>
      </w:pPr>
      <w:r>
        <w:rPr>
          <w:szCs w:val="24"/>
          <w:lang w:eastAsia="lt-LT"/>
        </w:rPr>
        <w:t>31</w:t>
      </w:r>
      <w:r>
        <w:rPr>
          <w:szCs w:val="24"/>
          <w:lang w:eastAsia="lt-LT"/>
        </w:rPr>
        <w:t xml:space="preserve">. </w:t>
      </w:r>
      <w:r>
        <w:t>Vartotojas, kurio elektros įrenginiai jungiami prie elektros tinklo, moka 0 proc. faktinės prijungimo prie tinklo kainos (prijungimo įmokos), o prijungiantis tinklo operatorius moka 100 proc. faktinės prijungimo prie tinklo kainos (prijungimo įmokos), kai vartotojų elektros energijos įrenginiai prijungiami pagal neelektrifikuotų sodybų ar kaimų elektrifikavimo projektą, finansuojamą iš Europos Sąjungos struktūrinių fondų.</w:t>
      </w:r>
    </w:p>
    <w:p>
      <w:pPr>
        <w:ind w:firstLine="709"/>
        <w:jc w:val="both"/>
        <w:rPr>
          <w:szCs w:val="24"/>
          <w:lang w:eastAsia="lt-LT"/>
        </w:rPr>
      </w:pPr>
      <w:r>
        <w:rPr>
          <w:szCs w:val="24"/>
          <w:lang w:eastAsia="lt-LT"/>
        </w:rPr>
        <w:t>32</w:t>
      </w:r>
      <w:r>
        <w:rPr>
          <w:szCs w:val="24"/>
          <w:lang w:eastAsia="lt-LT"/>
        </w:rPr>
        <w:t xml:space="preserve">. Tuo atveju, kai buitinis vartotojas, kurio elektros įrenginiai buvo prijungti prie elektros skirstomųjų tinklų taikant Metodikos </w:t>
      </w:r>
      <w:r>
        <w:rPr>
          <w:bCs/>
          <w:kern w:val="32"/>
          <w:szCs w:val="24"/>
          <w:lang w:eastAsia="lt-LT"/>
        </w:rPr>
        <w:t>11</w:t>
      </w:r>
      <w:r>
        <w:rPr>
          <w:szCs w:val="24"/>
        </w:rPr>
        <w:t xml:space="preserve"> arba</w:t>
      </w:r>
      <w:r>
        <w:rPr>
          <w:szCs w:val="24"/>
          <w:lang w:eastAsia="lt-LT"/>
        </w:rPr>
        <w:t xml:space="preserve"> 18 punkte nurodytą sąnaudų paskirstymo tvarką, ne vėliau kaip per 12 mėnesių nuo elektros įrenginių prijungimo momento pradeda vartoti šiais įrenginiais patiektą elektros energiją savo ar kitų asmenų ūkinės komercinės ar profesinės veiklos reikmėms tenkinti, toks vartotojas nelaikomas buitiniu vartotoju ir, skirstomųjų tinklų operatoriui pareikalavus, privalo apmokėti likusią sąnaudų dalį, apskaičiuojamą Metodikos </w:t>
      </w:r>
      <w:r>
        <w:rPr>
          <w:bCs/>
          <w:kern w:val="32"/>
          <w:szCs w:val="24"/>
          <w:lang w:eastAsia="lt-LT"/>
        </w:rPr>
        <w:t>11</w:t>
      </w:r>
      <w:r>
        <w:rPr>
          <w:szCs w:val="24"/>
        </w:rPr>
        <w:t xml:space="preserve"> arba</w:t>
      </w:r>
      <w:r>
        <w:rPr>
          <w:szCs w:val="24"/>
          <w:lang w:eastAsia="lt-LT"/>
        </w:rPr>
        <w:t xml:space="preserve"> 20 punkte nustatyta tvarka. </w:t>
      </w:r>
    </w:p>
    <w:p>
      <w:pPr>
        <w:ind w:firstLine="709"/>
        <w:jc w:val="both"/>
        <w:rPr>
          <w:strike/>
          <w:szCs w:val="24"/>
        </w:rPr>
      </w:pPr>
      <w:r>
        <w:rPr>
          <w:szCs w:val="24"/>
          <w:lang w:eastAsia="lt-LT"/>
        </w:rPr>
        <w:t>33</w:t>
      </w:r>
      <w:r>
        <w:rPr>
          <w:szCs w:val="24"/>
          <w:lang w:eastAsia="lt-LT"/>
        </w:rPr>
        <w:t>. Tuo atveju, kai vartotojas turimą elektros įrenginių leistinąją naudoti galią pageidauja mažinti atitinkamoje tiekimo patikimumo kategorijoje ar keisti į žemesnės tiekimo patikimumo kategorijos leistinąją naudoti galią praėjus mažiau kaip 3 metams nuo šios leistinosios naudoti galios suteikimo (elektros energijos pirkimo–pardavimo ir (ar) persiuntimo sutarties sudarymo), vartotojo mokėtina prijungimo paslaugos įmoka apskaičiuojama pagal formulę:</w:t>
      </w:r>
    </w:p>
    <w:p>
      <w:pPr>
        <w:ind w:firstLine="709"/>
        <w:jc w:val="both"/>
        <w:rPr>
          <w:szCs w:val="24"/>
          <w:lang w:eastAsia="lt-LT"/>
        </w:rPr>
      </w:pPr>
    </w:p>
    <w:p>
      <w:pPr>
        <w:rPr>
          <w:highlight w:val="yellow"/>
        </w:rPr>
      </w:pPr>
      <m:oMathPara>
        <m:oMathParaPr>
          <m:jc m:val="left"/>
        </m:oMathParaPr>
        <m:oMath>
          <m:r>
            <m:rPr>
              <m:nor/>
            </m:rPr>
            <w:rPr>
              <w:b/>
              <w:lang w:val="en-US"/>
            </w:rPr>
            <m:t xml:space="preserve">           </m:t>
          </m:r>
          <m:r>
            <m:rPr>
              <m:nor/>
            </m:rPr>
            <w:rPr>
              <w:lang w:val="en-US"/>
            </w:rPr>
            <m:t xml:space="preserve"> </m:t>
          </m:r>
          <m:r>
            <m:rPr>
              <m:nor/>
            </m:rPr>
            <w:rPr>
              <w:iCs/>
              <w:lang w:val="en-US"/>
            </w:rPr>
            <m:t>M</m:t>
          </m:r>
          <m:r>
            <m:rPr>
              <m:nor/>
            </m:rPr>
            <w:rPr>
              <w:lang w:val="en-US"/>
            </w:rPr>
            <m:t>=</m:t>
          </m:r>
          <m:d>
            <m:dPr>
              <m:ctrlPr>
                <w:rPr>
                  <w:rFonts w:ascii="Cambria Math" w:hAnsi="Cambria Math"/>
                </w:rPr>
              </m:ctrlPr>
            </m:dPr>
            <m:e>
              <m:f>
                <m:fPr>
                  <m:ctrlPr>
                    <w:rPr>
                      <w:rFonts w:ascii="Cambria Math" w:hAnsi="Cambria Math"/>
                    </w:rPr>
                  </m:ctrlPr>
                </m:fPr>
                <m:num>
                  <m:r>
                    <m:rPr>
                      <m:nor/>
                    </m:rPr>
                    <w:rPr>
                      <w:iCs/>
                    </w:rPr>
                    <m:t>B</m:t>
                  </m:r>
                  <m:r>
                    <m:rPr>
                      <m:nor/>
                    </m:rPr>
                    <m:t xml:space="preserve"> </m:t>
                  </m:r>
                  <m:r>
                    <m:rPr>
                      <m:nor/>
                    </m:rPr>
                    <w:rPr>
                      <w:iCs/>
                    </w:rPr>
                    <m:t>×</m:t>
                  </m:r>
                  <m:r>
                    <m:rPr>
                      <m:nor/>
                    </m:rPr>
                    <m:t xml:space="preserve"> </m:t>
                  </m:r>
                  <m:r>
                    <m:rPr>
                      <m:nor/>
                    </m:rPr>
                    <w:rPr>
                      <w:iCs/>
                    </w:rPr>
                    <m:t>R</m:t>
                  </m:r>
                  <m:r>
                    <m:rPr>
                      <m:nor/>
                    </m:rPr>
                    <m:t xml:space="preserve"> </m:t>
                  </m:r>
                </m:num>
                <m:den>
                  <m:sSub>
                    <m:sSubPr>
                      <m:ctrlPr>
                        <w:rPr>
                          <w:rFonts w:ascii="Cambria Math" w:hAnsi="Cambria Math"/>
                        </w:rPr>
                      </m:ctrlPr>
                    </m:sSubPr>
                    <m:e>
                      <m:r>
                        <m:rPr>
                          <m:nor/>
                        </m:rPr>
                        <w:rPr>
                          <w:iCs/>
                        </w:rPr>
                        <m:t>P</m:t>
                      </m:r>
                    </m:e>
                    <m:sub>
                      <m:r>
                        <m:rPr>
                          <m:nor/>
                        </m:rPr>
                        <m:t>1;2;3</m:t>
                      </m:r>
                      <m:r>
                        <m:rPr>
                          <m:nor/>
                        </m:rPr>
                        <w:rPr>
                          <w:iCs/>
                        </w:rPr>
                        <m:t>kat</m:t>
                      </m:r>
                    </m:sub>
                  </m:sSub>
                </m:den>
              </m:f>
              <m:r>
                <m:rPr>
                  <m:nor/>
                </m:rPr>
                <w:rPr>
                  <w:iCs/>
                </w:rPr>
                <m:t>×</m:t>
              </m:r>
              <m:r>
                <m:rPr>
                  <m:nor/>
                </m:rPr>
                <m:t xml:space="preserve"> </m:t>
              </m:r>
              <m:r>
                <m:rPr>
                  <m:nor/>
                </m:rPr>
                <w:rPr>
                  <w:iCs/>
                </w:rPr>
                <m:t>S</m:t>
              </m:r>
            </m:e>
          </m:d>
          <m:r>
            <m:rPr>
              <m:nor/>
            </m:rPr>
            <w:rPr>
              <w:iCs/>
            </w:rPr>
            <m:t>×</m:t>
          </m:r>
          <m:r>
            <m:rPr>
              <m:nor/>
            </m:rPr>
            <m:t xml:space="preserve"> </m:t>
          </m:r>
          <m:sSub>
            <m:sSubPr>
              <m:ctrlPr>
                <w:rPr>
                  <w:rFonts w:ascii="Cambria Math" w:hAnsi="Cambria Math"/>
                </w:rPr>
              </m:ctrlPr>
            </m:sSubPr>
            <m:e>
              <m:r>
                <m:rPr>
                  <m:nor/>
                </m:rPr>
                <w:rPr>
                  <w:iCs/>
                </w:rPr>
                <m:t>P</m:t>
              </m:r>
            </m:e>
            <m:sub>
              <m:r>
                <m:rPr>
                  <m:nor/>
                </m:rPr>
                <w:rPr>
                  <w:iCs/>
                </w:rPr>
                <m:t>ma</m:t>
              </m:r>
              <m:r>
                <m:rPr>
                  <m:nor/>
                </m:rPr>
                <m:t>ž1;2;3</m:t>
              </m:r>
            </m:sub>
          </m:sSub>
          <m:r>
            <m:rPr>
              <m:nor/>
            </m:rPr>
            <m:t xml:space="preserve">                    (4)</m:t>
          </m:r>
        </m:oMath>
      </m:oMathPara>
    </w:p>
    <w:p>
      <w:pPr>
        <w:ind w:firstLine="709"/>
        <w:jc w:val="both"/>
        <w:rPr>
          <w:szCs w:val="24"/>
          <w:lang w:val="en-US"/>
        </w:rPr>
      </w:pPr>
    </w:p>
    <w:p>
      <w:pPr>
        <w:ind w:firstLine="720"/>
        <w:jc w:val="both"/>
        <w:rPr>
          <w:szCs w:val="24"/>
          <w:lang w:eastAsia="lt-LT"/>
        </w:rPr>
      </w:pPr>
      <w:r>
        <w:rPr>
          <w:szCs w:val="24"/>
          <w:lang w:eastAsia="lt-LT"/>
        </w:rPr>
        <w:t>čia:</w:t>
      </w:r>
    </w:p>
    <w:p>
      <w:pPr>
        <w:ind w:firstLine="720"/>
        <w:jc w:val="both"/>
        <w:rPr>
          <w:szCs w:val="24"/>
          <w:lang w:eastAsia="lt-LT"/>
        </w:rPr>
      </w:pPr>
      <w:r>
        <w:rPr>
          <w:szCs w:val="24"/>
          <w:lang w:eastAsia="lt-LT"/>
        </w:rPr>
        <w:t>M – vartotojo mokėtina suma už leistinosios naudoti galios sumažinimą, atitinkamoje tiekimo patikimumo kategorijoje;</w:t>
      </w:r>
    </w:p>
    <w:p>
      <w:pPr>
        <w:ind w:firstLine="720"/>
        <w:jc w:val="both"/>
        <w:rPr>
          <w:szCs w:val="24"/>
          <w:lang w:eastAsia="lt-LT"/>
        </w:rPr>
      </w:pPr>
      <w:r>
        <w:rPr>
          <w:szCs w:val="24"/>
          <w:lang w:eastAsia="lt-LT"/>
        </w:rPr>
        <w:t>B – vartotojo sumokėta prijungimo įmoka už leistinosios naudoti galios ir tiekimo patikimumo kategorijos įrengimą, Eur;</w:t>
      </w:r>
    </w:p>
    <w:p>
      <w:pPr>
        <w:ind w:firstLine="720"/>
        <w:jc w:val="both"/>
        <w:rPr>
          <w:szCs w:val="24"/>
          <w:lang w:eastAsia="lt-LT"/>
        </w:rPr>
      </w:pPr>
      <w:r>
        <w:rPr>
          <w:szCs w:val="24"/>
          <w:lang w:eastAsia="lt-LT"/>
        </w:rPr>
        <w:t>R – vartotojo nepadengtų operatoriaus faktiškai patirtų sąnaudų, prijungiant vartotojo elektros įrenginius, koeficientas – 2,5;</w:t>
      </w:r>
    </w:p>
    <w:p>
      <w:pPr>
        <w:ind w:firstLine="720"/>
        <w:jc w:val="both"/>
        <w:rPr>
          <w:szCs w:val="24"/>
          <w:lang w:eastAsia="lt-LT"/>
        </w:rPr>
      </w:pPr>
      <w:r>
        <w:rPr>
          <w:szCs w:val="24"/>
          <w:lang w:eastAsia="lt-LT"/>
        </w:rPr>
        <w:t>P</w:t>
      </w:r>
      <w:r>
        <w:rPr>
          <w:szCs w:val="24"/>
          <w:vertAlign w:val="subscript"/>
          <w:lang w:eastAsia="lt-LT"/>
        </w:rPr>
        <w:t xml:space="preserve">1;2;3kat </w:t>
      </w:r>
      <w:r>
        <w:rPr>
          <w:szCs w:val="24"/>
          <w:lang w:eastAsia="lt-LT"/>
        </w:rPr>
        <w:t>– esama vartotojo suteiktų leistinųjų naudoti galių (kW) pagal suteiktas kategorijas suma, kW. I, II kategorijos leistinoji naudoti galia dauginama iš koeficiento 2;  </w:t>
      </w:r>
    </w:p>
    <w:p>
      <w:pPr>
        <w:ind w:firstLine="720"/>
        <w:jc w:val="both"/>
        <w:rPr>
          <w:szCs w:val="24"/>
          <w:lang w:eastAsia="lt-LT"/>
        </w:rPr>
      </w:pPr>
      <w:r>
        <w:rPr>
          <w:szCs w:val="24"/>
          <w:lang w:eastAsia="lt-LT"/>
        </w:rPr>
        <w:t>S – faktiškai patirtų sąnaudų, prijungiant vartotojo elektros įrenginius, koeficientas – 0,6;</w:t>
      </w:r>
    </w:p>
    <w:p>
      <w:pPr>
        <w:ind w:firstLine="720"/>
        <w:jc w:val="both"/>
        <w:rPr>
          <w:szCs w:val="24"/>
          <w:lang w:eastAsia="lt-LT"/>
        </w:rPr>
      </w:pPr>
      <w:r>
        <w:rPr>
          <w:szCs w:val="24"/>
          <w:lang w:eastAsia="lt-LT"/>
        </w:rPr>
        <w:t>P</w:t>
      </w:r>
      <w:r>
        <w:rPr>
          <w:szCs w:val="24"/>
          <w:vertAlign w:val="subscript"/>
          <w:lang w:eastAsia="lt-LT"/>
        </w:rPr>
        <w:t xml:space="preserve">maž1;2;3 </w:t>
      </w:r>
      <w:r>
        <w:rPr>
          <w:szCs w:val="24"/>
          <w:lang w:eastAsia="lt-LT"/>
        </w:rPr>
        <w:t xml:space="preserve">– vartotojo pageidaujama mažinti leistinųjų naudoti galių, pagal atskiras kategorijas, suma, kW. I, II kategorijos leistinoji naudoti galia dauginama iš koeficiento 2. Kai keičiama </w:t>
        <w:br/>
        <w:t>I, II tiekimo patikimumo kategorijos leistinoji naudoti galia į atitinkamą III tiekimo patikimumo kategorijos leistinąją naudoti galią arba mažinama III tiekimo patikimumo kategorijos leistinoji naudoti galia dauginama iš koeficiento 1.</w:t>
      </w:r>
    </w:p>
    <w:p>
      <w:pPr>
        <w:ind w:firstLine="720"/>
        <w:jc w:val="both"/>
        <w:rPr>
          <w:lang w:val="en-US"/>
        </w:rPr>
      </w:pPr>
      <w:r>
        <w:rPr>
          <w:szCs w:val="24"/>
          <w:lang w:eastAsia="lt-LT"/>
        </w:rPr>
        <w:t>Šis p</w:t>
      </w:r>
      <w:r>
        <w:t>unktas netaikomas buitiniams vartotojams ir asmenims nurodytiems Metodikos 19 ir</w:t>
        <w:br/>
        <w:t>24 punktuose.</w:t>
      </w:r>
    </w:p>
    <w:p>
      <w:pPr>
        <w:keepNext/>
        <w:widowControl w:val="0"/>
        <w:ind w:firstLine="720"/>
        <w:jc w:val="both"/>
        <w:outlineLvl w:val="1"/>
      </w:pPr>
      <w:r>
        <w:t>34</w:t>
      </w:r>
      <w:r>
        <w:t>. Kai leistinoji naudoti galia mažinama arba keičiama žemesnės tiekimo patikimumo kategorijos galia kelis kartus iš eilės (t. y. pakartotinai), prieš tai padidinus leistinąją naudoti galią, vartotojo mokėtina įmoka apskaičiuojama tokia tvarka:</w:t>
      </w:r>
    </w:p>
    <w:p>
      <w:pPr>
        <w:keepNext/>
        <w:widowControl w:val="0"/>
        <w:ind w:firstLine="720"/>
        <w:jc w:val="both"/>
        <w:outlineLvl w:val="1"/>
      </w:pPr>
      <w:r>
        <w:t>34.1</w:t>
      </w:r>
      <w:r>
        <w:t>. jei pakartotinai mažinama galia pagal atskiras kategorijas (kW) mažesnė (arba lygi) už padidintos galios likutį, likusį po pirmojo galios mažinimo, įmoka už pakartotinį galios mažinimą nepraėjus 3 metams nuo galios padidinimo apskaičiuojama pagal Metodikos 33 punkte nurodytą formulę;</w:t>
      </w:r>
    </w:p>
    <w:p>
      <w:pPr>
        <w:keepNext/>
        <w:widowControl w:val="0"/>
        <w:ind w:firstLine="720"/>
        <w:jc w:val="both"/>
        <w:outlineLvl w:val="1"/>
      </w:pPr>
      <w:r>
        <w:t>34.2</w:t>
      </w:r>
      <w:r>
        <w:t>. jei pakartotinai mažinama galia pagal atskiras kategorijas (kW) didesnė (arba lygi) už padidintos galios likutį, likusį po pirmojo galios mažinimo, įmoka už pakartotinį galios mažinimą nepraėjus 3 metams nuo galios padidinimo apskaičiuojama galios padidinimo likučiui taikant Metodikos 33 punkte nurodytą formulę, o likusiai mažinamai galiai Metodikos 24.5 papunktyje nurodytą tvarką.</w:t>
      </w:r>
    </w:p>
    <w:p>
      <w:pPr>
        <w:ind w:firstLine="720"/>
        <w:jc w:val="both"/>
        <w:rPr>
          <w:b/>
        </w:rPr>
      </w:pPr>
      <w:r>
        <w:t>35</w:t>
      </w:r>
      <w:r>
        <w:rPr>
          <w:szCs w:val="24"/>
          <w:lang w:eastAsia="lt-LT"/>
        </w:rPr>
        <w:t>.</w:t>
      </w:r>
      <w:r>
        <w:rPr>
          <w:shd w:val="clear" w:color="auto" w:fill="FFFFFF"/>
        </w:rPr>
        <w:t xml:space="preserve"> Tuo atveju, kai vartotojas, kurio elektros įrenginiai buvo prijungti prie elektros skirstomųjų tinklų taikant Metodikos </w:t>
      </w:r>
      <w:r>
        <w:t>19</w:t>
      </w:r>
      <w:r>
        <w:rPr>
          <w:shd w:val="clear" w:color="auto" w:fill="FFFFFF"/>
        </w:rPr>
        <w:t xml:space="preserve"> punkte nurodytą sąnaudų paskirstymo tvarką, mažina </w:t>
      </w:r>
      <w:r>
        <w:t>leistinąją naudoti galią ir (ar) keičia elektros energijos tiekimo patikimumo kategoriją į žemesnę nepraėjus 10 metų nuo elektros energijos persiuntimo paslaugos sutarties įsigaliojimo,</w:t>
      </w:r>
      <w:r>
        <w:rPr>
          <w:shd w:val="clear" w:color="auto" w:fill="FFFFFF"/>
        </w:rPr>
        <w:t xml:space="preserve"> </w:t>
      </w:r>
      <w:r>
        <w:t>vartotojo mokėtina prijungimo paslaugos įmoka apskaičiuojama pagal formulę:</w:t>
      </w:r>
    </w:p>
    <w:p>
      <w:pPr>
        <w:jc w:val="both"/>
      </w:pPr>
    </w:p>
    <w:p>
      <w:pPr>
        <w:jc w:val="both"/>
      </w:pPr>
      <m:oMathPara>
        <m:oMathParaPr>
          <m:jc m:val="left"/>
        </m:oMathParaPr>
        <m:oMath>
          <m:r>
            <m:rPr>
              <m:nor/>
            </m:rPr>
            <w:rPr>
              <w:rFonts w:ascii="Cambria Math"/>
              <w:b/>
              <w:iCs/>
              <w:lang w:val="en-US"/>
            </w:rPr>
            <m:t xml:space="preserve">              </m:t>
          </m:r>
          <m:r>
            <m:rPr>
              <m:nor/>
            </m:rPr>
            <w:rPr>
              <w:iCs/>
              <w:lang w:val="en-US"/>
            </w:rPr>
            <m:t>M</m:t>
          </m:r>
          <m:r>
            <m:rPr>
              <m:nor/>
            </m:rPr>
            <w:rPr>
              <w:lang w:val="en-US"/>
            </w:rPr>
            <m:t>=</m:t>
          </m:r>
          <m:d>
            <m:dPr>
              <m:ctrlPr>
                <w:rPr>
                  <w:rFonts w:ascii="Cambria Math" w:hAnsi="Cambria Math"/>
                </w:rPr>
              </m:ctrlPr>
            </m:dPr>
            <m:e>
              <m:f>
                <m:fPr>
                  <m:ctrlPr>
                    <w:rPr>
                      <w:rFonts w:ascii="Cambria Math" w:hAnsi="Cambria Math"/>
                    </w:rPr>
                  </m:ctrlPr>
                </m:fPr>
                <m:num>
                  <m:r>
                    <m:rPr>
                      <m:nor/>
                    </m:rPr>
                    <w:rPr>
                      <w:iCs/>
                    </w:rPr>
                    <m:t>B</m:t>
                  </m:r>
                  <m:r>
                    <m:rPr>
                      <m:nor/>
                    </m:rPr>
                    <m:t xml:space="preserve"> </m:t>
                  </m:r>
                  <m:r>
                    <m:rPr>
                      <m:nor/>
                    </m:rPr>
                    <w:rPr>
                      <w:iCs/>
                    </w:rPr>
                    <m:t>×</m:t>
                  </m:r>
                  <m:r>
                    <m:rPr>
                      <m:nor/>
                    </m:rPr>
                    <m:t xml:space="preserve"> </m:t>
                  </m:r>
                  <m:r>
                    <m:rPr>
                      <m:nor/>
                    </m:rPr>
                    <w:rPr>
                      <w:iCs/>
                    </w:rPr>
                    <m:t>R</m:t>
                  </m:r>
                  <m:r>
                    <m:rPr>
                      <m:nor/>
                    </m:rPr>
                    <m:t xml:space="preserve"> </m:t>
                  </m:r>
                </m:num>
                <m:den>
                  <m:sSub>
                    <m:sSubPr>
                      <m:ctrlPr>
                        <w:rPr>
                          <w:rFonts w:ascii="Cambria Math" w:hAnsi="Cambria Math"/>
                        </w:rPr>
                      </m:ctrlPr>
                    </m:sSubPr>
                    <m:e>
                      <m:r>
                        <m:rPr>
                          <m:nor/>
                        </m:rPr>
                        <w:rPr>
                          <w:iCs/>
                        </w:rPr>
                        <m:t>P</m:t>
                      </m:r>
                    </m:e>
                    <m:sub>
                      <m:r>
                        <m:rPr>
                          <m:nor/>
                        </m:rPr>
                        <m:t>1;2;3</m:t>
                      </m:r>
                      <m:r>
                        <m:rPr>
                          <m:nor/>
                        </m:rPr>
                        <w:rPr>
                          <w:iCs/>
                        </w:rPr>
                        <m:t>kat</m:t>
                      </m:r>
                    </m:sub>
                  </m:sSub>
                </m:den>
              </m:f>
              <m:r>
                <m:rPr>
                  <m:nor/>
                </m:rPr>
                <w:rPr>
                  <w:iCs/>
                </w:rPr>
                <m:t>×</m:t>
              </m:r>
              <m:r>
                <m:rPr>
                  <m:nor/>
                </m:rPr>
                <m:t xml:space="preserve"> </m:t>
              </m:r>
              <m:r>
                <m:rPr>
                  <m:nor/>
                </m:rPr>
                <w:rPr>
                  <w:iCs/>
                </w:rPr>
                <m:t>S</m:t>
              </m:r>
            </m:e>
          </m:d>
          <m:r>
            <m:rPr>
              <m:nor/>
            </m:rPr>
            <w:rPr>
              <w:iCs/>
            </w:rPr>
            <m:t>×</m:t>
          </m:r>
          <m:r>
            <m:rPr>
              <m:nor/>
            </m:rPr>
            <m:t xml:space="preserve"> </m:t>
          </m:r>
          <m:sSub>
            <m:sSubPr>
              <m:ctrlPr>
                <w:rPr>
                  <w:rFonts w:ascii="Cambria Math" w:hAnsi="Cambria Math"/>
                </w:rPr>
              </m:ctrlPr>
            </m:sSubPr>
            <m:e>
              <m:r>
                <m:rPr>
                  <m:nor/>
                </m:rPr>
                <w:rPr>
                  <w:iCs/>
                </w:rPr>
                <m:t>P</m:t>
              </m:r>
            </m:e>
            <m:sub>
              <m:r>
                <m:rPr>
                  <m:nor/>
                </m:rPr>
                <w:rPr>
                  <w:iCs/>
                </w:rPr>
                <m:t>ma</m:t>
              </m:r>
              <m:r>
                <m:rPr>
                  <m:nor/>
                </m:rPr>
                <m:t>ž1;2;3</m:t>
              </m:r>
            </m:sub>
          </m:sSub>
          <m:r>
            <m:rPr>
              <m:nor/>
            </m:rPr>
            <m:t xml:space="preserve">                    (5)</m:t>
          </m:r>
        </m:oMath>
      </m:oMathPara>
    </w:p>
    <w:p>
      <w:pPr>
        <w:jc w:val="both"/>
      </w:pPr>
    </w:p>
    <w:p>
      <w:pPr>
        <w:ind w:firstLine="720"/>
        <w:jc w:val="both"/>
      </w:pPr>
      <w:r>
        <w:t>čia:</w:t>
      </w:r>
    </w:p>
    <w:p>
      <w:pPr>
        <w:ind w:firstLine="720"/>
        <w:jc w:val="both"/>
      </w:pPr>
      <w:r>
        <w:t>M – vartotojo mokėtina suma už leistinosios naudoti galios sumažinimą, atitinkamoje tiekimo patikimumo kategorijoje;</w:t>
      </w:r>
    </w:p>
    <w:p>
      <w:pPr>
        <w:ind w:firstLine="720"/>
        <w:jc w:val="both"/>
      </w:pPr>
      <w:r>
        <w:t>B – vartotojo sumokėta prijungimo įmoka už leistinosios naudoti galios ir tiekimo patikimumo kategorijos įrengimą, Eur;</w:t>
      </w:r>
    </w:p>
    <w:p>
      <w:pPr>
        <w:ind w:firstLine="720"/>
        <w:jc w:val="both"/>
      </w:pPr>
      <w:r>
        <w:t>R – vartotojo nepadengtų operatoriaus faktiškai patirtų sąnaudų, prijungiant vartotojo elektros įrenginius, koeficientas – 10;</w:t>
      </w:r>
    </w:p>
    <w:p>
      <w:pPr>
        <w:ind w:firstLine="720"/>
        <w:jc w:val="both"/>
      </w:pPr>
      <w:r>
        <w:t>P</w:t>
      </w:r>
      <w:r>
        <w:rPr>
          <w:vertAlign w:val="subscript"/>
        </w:rPr>
        <w:t xml:space="preserve">1;2;3kat </w:t>
      </w:r>
      <w:r>
        <w:t>– esama vartotojo suteiktų leistinųjų naudoti galių (kW) pagal suteiktas kategorijas suma, kW. I, II kategorijos leistinoji naudoti galia dauginama iš koeficiento 2;  </w:t>
      </w:r>
    </w:p>
    <w:p>
      <w:pPr>
        <w:ind w:firstLine="720"/>
        <w:jc w:val="both"/>
      </w:pPr>
      <w:r>
        <w:t>S – faktiškai patirtų sąnaudų, prijungiant vartotojo elektros įrenginius, koeficientas – 0,9;</w:t>
      </w:r>
    </w:p>
    <w:p>
      <w:pPr>
        <w:ind w:firstLine="720"/>
        <w:jc w:val="both"/>
      </w:pPr>
      <w:r>
        <w:t>P</w:t>
      </w:r>
      <w:r>
        <w:rPr>
          <w:vertAlign w:val="subscript"/>
        </w:rPr>
        <w:t xml:space="preserve">maž1;2;3 </w:t>
      </w:r>
      <w:r>
        <w:t>– vartotojo pageidaujama mažinti leistinųjų naudoti galių, pagal atskiras kategorijas, suma, kW. I, II kategorijos leistinoji naudoti galia dauginama iš koeficiento 2. Kai keičiama I, II tiekimo patikimumo kategorijos leistinoji naudoti galia į atitinkamą III tiekimo patikimumo kategorijos leistinąją naudoti galią arba mažinama III tiekimo patikimumo kategorijos leistinoji naudoti galia dauginama iš koeficiento 1.</w:t>
      </w:r>
    </w:p>
    <w:p>
      <w:pPr>
        <w:ind w:firstLine="720"/>
        <w:jc w:val="both"/>
      </w:pPr>
      <w:r>
        <w:t xml:space="preserve">Šis punktas netaikomas buitiniams vartotojams ir asmenims nurodytiems Metodikos 20, </w:t>
        <w:br/>
        <w:t>24 punktuose.</w:t>
      </w:r>
    </w:p>
    <w:p>
      <w:pPr>
        <w:jc w:val="both"/>
        <w:rPr>
          <w:szCs w:val="24"/>
          <w:lang w:eastAsia="lt-LT"/>
        </w:rPr>
      </w:pPr>
    </w:p>
    <w:p>
      <w:pPr>
        <w:jc w:val="center"/>
        <w:rPr>
          <w:b/>
          <w:bCs/>
          <w:caps/>
        </w:rPr>
      </w:pPr>
      <w:r>
        <w:rPr>
          <w:b/>
          <w:bCs/>
          <w:caps/>
        </w:rPr>
        <w:t>III</w:t>
      </w:r>
      <w:r>
        <w:rPr>
          <w:b/>
          <w:bCs/>
          <w:caps/>
        </w:rPr>
        <w:t xml:space="preserve"> SKYRIUS</w:t>
      </w:r>
    </w:p>
    <w:p>
      <w:pPr>
        <w:ind w:firstLine="720"/>
        <w:jc w:val="center"/>
        <w:rPr>
          <w:szCs w:val="24"/>
          <w:lang w:eastAsia="lt-LT"/>
        </w:rPr>
      </w:pPr>
      <w:r>
        <w:rPr>
          <w:b/>
          <w:bCs/>
          <w:caps/>
        </w:rPr>
        <w:t>GAMINTOJŲ ELEKTROS ENERGIJOS ĮRENGINIŲ PRIJUNGIMO ĮKAINIŲ NUSTATYMO TVARKA</w:t>
      </w:r>
    </w:p>
    <w:p>
      <w:pPr>
        <w:ind w:firstLine="720"/>
        <w:jc w:val="both"/>
      </w:pPr>
    </w:p>
    <w:p>
      <w:pPr>
        <w:ind w:firstLine="720"/>
        <w:jc w:val="both"/>
        <w:rPr>
          <w:szCs w:val="24"/>
          <w:lang w:eastAsia="lt-LT"/>
        </w:rPr>
      </w:pPr>
      <w:r>
        <w:rPr>
          <w:szCs w:val="24"/>
          <w:lang w:eastAsia="lt-LT"/>
        </w:rPr>
        <w:t>36</w:t>
      </w:r>
      <w:r>
        <w:rPr>
          <w:szCs w:val="24"/>
          <w:lang w:eastAsia="lt-LT"/>
        </w:rPr>
        <w:t>. Elektros energijos gamintojui ir operatoriui teisės aktų nustatyta tvarka pasirašius prijungimo prie elektros tinklų paslaugos suteikimo sutartį, operatorius organizuoja viešąjį pirkimą šio gamintojo elektros energijos įrenginių prijungimo prie tinklo darbų rangovui išrinkti.</w:t>
      </w:r>
    </w:p>
    <w:p>
      <w:pPr>
        <w:ind w:firstLine="720"/>
        <w:jc w:val="both"/>
        <w:rPr>
          <w:szCs w:val="24"/>
          <w:lang w:eastAsia="lt-LT"/>
        </w:rPr>
      </w:pPr>
      <w:r>
        <w:rPr>
          <w:szCs w:val="24"/>
          <w:lang w:eastAsia="lt-LT"/>
        </w:rPr>
        <w:t>37</w:t>
      </w:r>
      <w:r>
        <w:rPr>
          <w:szCs w:val="24"/>
          <w:lang w:eastAsia="lt-LT"/>
        </w:rPr>
        <w:t>. Elektros energijos gamintojo įrenginių prijungimo prie tinklo kaina yra lygi rangovo, laimėjusio operatoriaus paskelbtą viešąjį pirkimą dėl elektros energijos gamintojo įrenginių prijungimo prie tinklo, atliktų darbų faktinei kainai (prijungimo įmokai).</w:t>
      </w:r>
    </w:p>
    <w:p>
      <w:pPr>
        <w:ind w:firstLine="720"/>
        <w:jc w:val="both"/>
        <w:rPr>
          <w:szCs w:val="24"/>
          <w:lang w:eastAsia="lt-LT"/>
        </w:rPr>
      </w:pPr>
      <w:r>
        <w:rPr>
          <w:szCs w:val="24"/>
          <w:lang w:eastAsia="lt-LT"/>
        </w:rPr>
        <w:t>38</w:t>
      </w:r>
      <w:r>
        <w:rPr>
          <w:szCs w:val="24"/>
          <w:lang w:eastAsia="lt-LT"/>
        </w:rPr>
        <w:t xml:space="preserve">. Gamintojas, kurio elektros įrenginiai jungiami prie tinklo, moka 100 proc. faktinės prijungimo prie tinklo kainos (prijungimo įmokos). </w:t>
      </w:r>
    </w:p>
    <w:p>
      <w:pPr>
        <w:ind w:firstLine="720"/>
        <w:jc w:val="both"/>
      </w:pPr>
      <w:r>
        <w:t>39</w:t>
      </w:r>
      <w:r>
        <w:t xml:space="preserve">. Kai gamintojas elektros energijos įrenginius pageidauja prijungti prie skirstomojo tinklo ir šio gamintojo elektros energijos įrenginiams prijungti yra būtina atlikti plėtros, rekonstrukcijos, keitimo ar panašius techninio parengimo darbus perdavimo tinkle, prijungiantis skirstomojo tinklo operatorius organizuoja viešąjį pirkimą šio gamintojo elektros energijos įrenginių prijungimo prie skirstomojo tinklo darbų rangovui išrinkti, perdavimo tinklo operatorius atitinkamai organizuoja viešąjį pirkimą plėtros, rekonstrukcijos, keitimo ar panašių techninio parengimo darbų atlikimo perdavimo tinkle rangovui išrinkti. Šiuo atveju elektros įrenginius jungiantis gamintojas operatoriams moka 100 proc. faktinės prijungimo prie skirstomojo tinklo ir prie perdavimo tinklo kainos (prijungimo įmokos). </w:t>
      </w:r>
    </w:p>
    <w:p>
      <w:pPr>
        <w:ind w:firstLine="720"/>
        <w:jc w:val="both"/>
      </w:pPr>
      <w:r>
        <w:t>40</w:t>
      </w:r>
      <w:r>
        <w:t xml:space="preserve">. Kai gamintojas sudaro sutartį su operatoriumi dėl operatoriui priklausančių energetikos objektų (elektros tinklų ir įrenginių) perkėlimo ar rekonstravimo, kai energetikos objektai kliudo statinių statybai ar dėl kitų priežasčių, tokių sutarčių ar susitarimų atžvilgiu yra taikomos Metodikos 37–39 punktuose išdėstytos nuostatos. </w:t>
      </w:r>
    </w:p>
    <w:p>
      <w:pPr>
        <w:ind w:firstLine="720"/>
        <w:jc w:val="both"/>
      </w:pPr>
      <w:r>
        <w:t>41</w:t>
      </w:r>
      <w:r>
        <w:t xml:space="preserve">. Kai prie elektros tinklo jungiamas gamintojas, </w:t>
      </w:r>
      <w:r>
        <w:rPr>
          <w:szCs w:val="24"/>
          <w:lang w:eastAsia="lt-LT"/>
        </w:rPr>
        <w:t>operatorius, apskaičiuodamas prijungimo įmoką pagal Metodikos 39 punktą, įvertina, ar yra kitų potencialių vartotojų ar gamintojų, kurie elektros įrenginius galėtų jungti prie tos pačios įrengiamos elektros infrastruktūros, kuri būtų naudojama bendrai. Nustačius, kad potencialių vartotojų ar gamintojų yra, prijungiamam gamintojui ir kitiems vėliau elektros įrenginius jungiantiems vartotojams ar gamintojams tenkantis elektros tinklo metrų skaičius nustatomas pagal potencialių prisijungiančių asmenų skaičių kaip tai numatyta Metodikos 27.2 papunktyje.</w:t>
      </w:r>
    </w:p>
    <w:p>
      <w:pPr>
        <w:ind w:firstLine="709"/>
        <w:jc w:val="both"/>
      </w:pPr>
      <w:r>
        <w:rPr>
          <w:szCs w:val="24"/>
        </w:rPr>
        <w:t>42</w:t>
      </w:r>
      <w:r>
        <w:rPr>
          <w:szCs w:val="24"/>
        </w:rPr>
        <w:t xml:space="preserve">. </w:t>
      </w:r>
      <w:r>
        <w:t>Elektros energiją gaminančiam vartotojui prijungimo prie elektros tinklų įmoka apskaičiuojama kaip gamintojams, naudojantiems ne atsinaujinančius energijos išteklius, vadovaujantis Metodikos 38 punktu.</w:t>
      </w:r>
    </w:p>
    <w:p>
      <w:pPr>
        <w:ind w:firstLine="709"/>
        <w:jc w:val="both"/>
      </w:pPr>
    </w:p>
    <w:p>
      <w:pPr>
        <w:jc w:val="center"/>
        <w:rPr>
          <w:b/>
          <w:bCs/>
          <w:caps/>
          <w:szCs w:val="24"/>
          <w:lang w:eastAsia="lt-LT"/>
        </w:rPr>
      </w:pPr>
      <w:r>
        <w:rPr>
          <w:b/>
          <w:bCs/>
          <w:caps/>
          <w:szCs w:val="24"/>
          <w:lang w:eastAsia="lt-LT"/>
        </w:rPr>
        <w:t>IV</w:t>
      </w:r>
      <w:r>
        <w:rPr>
          <w:b/>
          <w:bCs/>
          <w:caps/>
          <w:szCs w:val="24"/>
          <w:lang w:eastAsia="lt-LT"/>
        </w:rPr>
        <w:t xml:space="preserve"> Skyrius</w:t>
      </w:r>
    </w:p>
    <w:p>
      <w:pPr>
        <w:ind w:firstLine="62"/>
        <w:jc w:val="center"/>
        <w:rPr>
          <w:b/>
          <w:bCs/>
          <w:caps/>
          <w:szCs w:val="24"/>
          <w:lang w:eastAsia="lt-LT"/>
        </w:rPr>
      </w:pPr>
      <w:r>
        <w:rPr>
          <w:b/>
          <w:bCs/>
          <w:caps/>
          <w:szCs w:val="24"/>
          <w:lang w:eastAsia="lt-LT"/>
        </w:rPr>
        <w:t>GAMINTOJŲ, NAUDOJANČIŲ atsinaujinančius energijos išteklius, ELEKTROS ENERGIJOS ĮRENGINIŲ PRIJUNGIMO ĮKAINIŲ NUSTATYMO TVARKA </w:t>
      </w:r>
    </w:p>
    <w:p>
      <w:pPr>
        <w:jc w:val="center"/>
        <w:rPr>
          <w:b/>
          <w:bCs/>
          <w:caps/>
          <w:szCs w:val="24"/>
          <w:lang w:eastAsia="lt-LT"/>
        </w:rPr>
      </w:pPr>
    </w:p>
    <w:p>
      <w:pPr>
        <w:ind w:firstLine="720"/>
        <w:jc w:val="both"/>
        <w:rPr>
          <w:szCs w:val="24"/>
          <w:lang w:eastAsia="lt-LT"/>
        </w:rPr>
      </w:pPr>
      <w:r>
        <w:rPr>
          <w:szCs w:val="24"/>
          <w:lang w:eastAsia="lt-LT"/>
        </w:rPr>
        <w:t>43</w:t>
      </w:r>
      <w:r>
        <w:rPr>
          <w:szCs w:val="24"/>
          <w:lang w:eastAsia="lt-LT"/>
        </w:rPr>
        <w:t>. Elektros energijos gamintojui, naudojančiam atsinaujinančius energijos išteklius, ir operatoriui teisės aktų nustatyta tvarka pasirašius prijungimo prie elektros tinklų paslaugos suteikimo sutartį, operatorius organizuoja viešąjį pirkimą šio gamintojo elektros energijos įrenginių prijungimo prie tinklo darbų rangovui išrinkti.</w:t>
      </w:r>
    </w:p>
    <w:p>
      <w:pPr>
        <w:ind w:firstLine="720"/>
        <w:jc w:val="both"/>
        <w:rPr>
          <w:szCs w:val="24"/>
          <w:lang w:eastAsia="lt-LT"/>
        </w:rPr>
      </w:pPr>
      <w:r>
        <w:rPr>
          <w:szCs w:val="24"/>
          <w:lang w:eastAsia="lt-LT"/>
        </w:rPr>
        <w:t>44</w:t>
      </w:r>
      <w:r>
        <w:rPr>
          <w:szCs w:val="24"/>
          <w:lang w:eastAsia="lt-LT"/>
        </w:rPr>
        <w:t>. Elektros energijos gamintojų, naudojančių atsinaujinančius energijos išteklius, įrenginių prijungimo paslaugos prie tinklų kaina (prijungimo įmoka) nustatoma pagal rangovo, laimėjusio operatoriaus paskelbtą viešąjį pirkimą dėl elektros energijos gamintojo, naudojančio atsinaujinančius energijos išteklius, įrenginių prijungimo prie tinklų, atliktų rangos darbų ir sunaudotų medžiagų faktinę kainą (prijungimo įmoką).</w:t>
      </w:r>
    </w:p>
    <w:p>
      <w:pPr>
        <w:ind w:firstLine="720"/>
        <w:jc w:val="both"/>
        <w:rPr>
          <w:szCs w:val="24"/>
          <w:lang w:eastAsia="lt-LT"/>
        </w:rPr>
      </w:pPr>
      <w:r>
        <w:rPr>
          <w:szCs w:val="24"/>
          <w:lang w:eastAsia="lt-LT"/>
        </w:rPr>
        <w:t>45</w:t>
      </w:r>
      <w:r>
        <w:rPr>
          <w:szCs w:val="24"/>
          <w:lang w:eastAsia="lt-LT"/>
        </w:rPr>
        <w:t>. Elektros energijos gamintojai, naudojantys atsinaujinančius energijos išteklius, kurie</w:t>
      </w:r>
      <w:r>
        <w:t xml:space="preserve"> skatinami Atsinaujinančių išteklių energetikos įstatymo nustatyta tvarka, </w:t>
      </w:r>
      <w:r>
        <w:rPr>
          <w:bCs/>
          <w:iCs/>
          <w:szCs w:val="26"/>
          <w:lang w:eastAsia="lt-LT"/>
        </w:rPr>
        <w:t>ir prijungiantis operatorius</w:t>
      </w:r>
      <w:r>
        <w:rPr>
          <w:szCs w:val="24"/>
          <w:lang w:eastAsia="lt-LT"/>
        </w:rPr>
        <w:t xml:space="preserve"> Metodikos 44 punkte nurodytą faktinę prijungimo paslaugos atliktų rangos darbų kainą dalijasi tokia tvarka:</w:t>
      </w:r>
      <w:r>
        <w:rPr>
          <w:strike/>
          <w:szCs w:val="24"/>
          <w:lang w:eastAsia="lt-LT"/>
        </w:rPr>
        <w:t xml:space="preserve"> </w:t>
      </w:r>
    </w:p>
    <w:p>
      <w:pPr>
        <w:ind w:firstLine="720"/>
        <w:jc w:val="both"/>
        <w:rPr>
          <w:szCs w:val="24"/>
        </w:rPr>
      </w:pPr>
      <w:r>
        <w:rPr>
          <w:szCs w:val="24"/>
          <w:lang w:eastAsia="lt-LT"/>
        </w:rPr>
        <w:t>45.1</w:t>
      </w:r>
      <w:r>
        <w:rPr>
          <w:szCs w:val="24"/>
          <w:lang w:eastAsia="lt-LT"/>
        </w:rPr>
        <w:t>. kai gamintojo, naudojančio atsinaujinančius energijos išteklius, elektros energijos gamybos įrenginių įrengtoji galia viršija 350 kW, toks gamintojas moka 40 proc. faktinės prijungimo prie tinklo kainos, o prijungiantis operatorius moka 60 proc. faktinės prijungimo prie tinklo kainos;</w:t>
      </w:r>
    </w:p>
    <w:p>
      <w:pPr>
        <w:ind w:firstLine="720"/>
        <w:jc w:val="both"/>
        <w:rPr>
          <w:strike/>
          <w:szCs w:val="24"/>
        </w:rPr>
      </w:pPr>
      <w:r>
        <w:rPr>
          <w:szCs w:val="24"/>
          <w:lang w:eastAsia="lt-LT"/>
        </w:rPr>
        <w:t>45.2</w:t>
      </w:r>
      <w:r>
        <w:rPr>
          <w:szCs w:val="24"/>
          <w:lang w:eastAsia="lt-LT"/>
        </w:rPr>
        <w:t>. kai gamintojo, naudojančio atsinaujinančius energijos išteklius, elektros energijos gamybos įrenginių įrengtoji galia yra ne didesnė kaip 350 kW, toks gamintojas moka 20 proc. faktinės prijungimo prie tinklo kainos, o prijungiantis operatorius moka 80 proc. faktinės prijungimo prie tinklo kainos.</w:t>
      </w:r>
    </w:p>
    <w:p>
      <w:pPr>
        <w:ind w:firstLine="720"/>
        <w:jc w:val="both"/>
        <w:rPr>
          <w:szCs w:val="24"/>
          <w:lang w:eastAsia="lt-LT"/>
        </w:rPr>
      </w:pPr>
      <w:r>
        <w:rPr>
          <w:szCs w:val="24"/>
          <w:lang w:eastAsia="lt-LT"/>
        </w:rPr>
        <w:t>46</w:t>
      </w:r>
      <w:r>
        <w:rPr>
          <w:szCs w:val="24"/>
          <w:lang w:eastAsia="lt-LT"/>
        </w:rPr>
        <w:t>.</w:t>
      </w:r>
      <w:r>
        <w:rPr>
          <w:szCs w:val="24"/>
        </w:rPr>
        <w:t xml:space="preserve"> </w:t>
      </w:r>
      <w:r>
        <w:rPr>
          <w:szCs w:val="24"/>
          <w:lang w:eastAsia="lt-LT"/>
        </w:rPr>
        <w:t>Išlaidas, patiriamas dėl gamintojo pasirinkto kito, nei operatorius nustatė prijungimo sąlygose, prijungimo taško, apmoka gamintojas, naudojantis atsinaujinančius energijos išteklius. Tinklo plėtros, optimizavimo ir (ar) rekonstrukcijos sąnaudas gamintojas kompensuoja operatoriui Atsinaujinančių išteklių energetikos įstatymo nustatyta tvarka.</w:t>
      </w:r>
    </w:p>
    <w:p>
      <w:pPr>
        <w:ind w:firstLine="720"/>
        <w:jc w:val="both"/>
        <w:rPr>
          <w:szCs w:val="24"/>
          <w:lang w:eastAsia="lt-LT"/>
        </w:rPr>
      </w:pPr>
      <w:r>
        <w:rPr>
          <w:szCs w:val="24"/>
          <w:lang w:eastAsia="lt-LT"/>
        </w:rPr>
        <w:t>47</w:t>
      </w:r>
      <w:r>
        <w:rPr>
          <w:szCs w:val="24"/>
          <w:lang w:eastAsia="lt-LT"/>
        </w:rPr>
        <w:t xml:space="preserve">. Jei elektros energijos gamintojai, naudojantys atsinaujinančius energijos išteklius, nėra skatinami Atsinaujinančių išteklių energetikos įstatymo nustatyta tvarka, jų elektros energijos įrenginiai prijungiami prie elektros tinklų Metodikos III skyriuje nustatyta tvarka. </w:t>
      </w:r>
    </w:p>
    <w:p>
      <w:pPr>
        <w:ind w:firstLine="720"/>
        <w:jc w:val="both"/>
        <w:rPr>
          <w:szCs w:val="24"/>
        </w:rPr>
      </w:pPr>
    </w:p>
    <w:p>
      <w:pPr>
        <w:jc w:val="center"/>
        <w:rPr>
          <w:b/>
          <w:bCs/>
          <w:caps/>
        </w:rPr>
      </w:pPr>
      <w:r>
        <w:rPr>
          <w:b/>
          <w:bCs/>
          <w:caps/>
        </w:rPr>
        <w:t>V</w:t>
      </w:r>
      <w:r>
        <w:rPr>
          <w:b/>
          <w:bCs/>
          <w:caps/>
        </w:rPr>
        <w:t xml:space="preserve"> SKYRIUS</w:t>
      </w:r>
    </w:p>
    <w:p>
      <w:pPr>
        <w:ind w:firstLine="709"/>
        <w:jc w:val="center"/>
        <w:rPr>
          <w:szCs w:val="24"/>
        </w:rPr>
      </w:pPr>
      <w:r>
        <w:rPr>
          <w:b/>
          <w:bCs/>
          <w:caps/>
        </w:rPr>
        <w:t>REIKALAVIMAI, SUSIJĘ SU VARTOTOJŲ ELEKTROS ENERGIJOS ĮRENGINIŲ PRIJUNGIMO ĮKAINIŲ NUSTATYMU</w:t>
      </w:r>
    </w:p>
    <w:p>
      <w:pPr>
        <w:jc w:val="both"/>
        <w:rPr>
          <w:szCs w:val="24"/>
        </w:rPr>
      </w:pPr>
    </w:p>
    <w:p>
      <w:pPr>
        <w:ind w:firstLine="720"/>
        <w:jc w:val="both"/>
      </w:pPr>
      <w:r>
        <w:t>48</w:t>
      </w:r>
      <w:r>
        <w:t xml:space="preserve">. Skirstomųjų tinklų operatorius kiekvienų einamųjų metų III ketvirčiui pasibaigus per </w:t>
        <w:br/>
        <w:t>30 kalendorinių dienų pagal Metodikos priede nurodytą formą teikia Komisijai ataskaitą už einamųjų metų tris ketvirčius ir praėjusių metų paskutinį ketvirtį ir detalų rangovų darbų, skirtų leistinajai naudoti galiai įrengti ir elektros tinklui nutiesti, kainų per paskutinių dvejų metų atitinkamus laikotarpius palyginimą.</w:t>
      </w:r>
      <w:r>
        <w:rPr>
          <w:szCs w:val="24"/>
        </w:rPr>
        <w:t xml:space="preserve"> </w:t>
      </w:r>
    </w:p>
    <w:p>
      <w:pPr>
        <w:ind w:firstLine="720"/>
        <w:jc w:val="both"/>
      </w:pPr>
      <w:r>
        <w:rPr>
          <w:szCs w:val="24"/>
          <w:lang w:eastAsia="lt-LT"/>
        </w:rPr>
        <w:t>49</w:t>
      </w:r>
      <w:r>
        <w:rPr>
          <w:szCs w:val="24"/>
          <w:lang w:eastAsia="lt-LT"/>
        </w:rPr>
        <w:t xml:space="preserve">. </w:t>
      </w:r>
      <w:r>
        <w:t>Komisija ne vėliau kaip iki einamųjų kalendorinių metų lapkričio 30 d. apskaičiuoja, tvirtina ir savo interneto tinklalapyje skelbia atitinkamų metų vartotojų įrenginių prijungimo įkainius ir maksimalias projektavimo kainas. Prijungimo prie elektros tinklų paslaugos suteikimo sutartims taikomi sutarties pasirašymo dieną galiojantys Komisijos patvirtinti prijungimo įkainiai. Komisijai patvirtinus naujus prijungimo įkainius, jie taikomi pasirašant prijungimo paslaugos sutartis tik po naujų prijungimo įkainių įsigaliojimo dienos</w:t>
      </w:r>
      <w:r>
        <w:rPr>
          <w:szCs w:val="24"/>
          <w:lang w:eastAsia="lt-LT"/>
        </w:rPr>
        <w:t>.</w:t>
      </w:r>
    </w:p>
    <w:p>
      <w:pPr>
        <w:ind w:firstLine="720"/>
        <w:jc w:val="both"/>
        <w:rPr>
          <w:b/>
          <w:szCs w:val="24"/>
          <w:lang w:eastAsia="lt-LT"/>
        </w:rPr>
      </w:pPr>
      <w:r>
        <w:t>50</w:t>
      </w:r>
      <w:r>
        <w:t>.</w:t>
      </w:r>
      <w:r>
        <w:rPr>
          <w:szCs w:val="24"/>
          <w:lang w:eastAsia="lt-LT"/>
        </w:rPr>
        <w:t xml:space="preserve"> Jeigu dėl duomenų trūkumo ar per mažos imties skirstomųjų tinklų operatoriui nėra apskaičiuoti ir patvirtinti vartotojų elektros įrenginių prijungimo įkainiai ir maksimali projektavimo kaina atitinkamiems metams, operatorius prijungimo įmoką vartotojui apskaičiuoja pagal Metodikos 18 ar 20 punktuose nustatytą tvarką ir taiko didžiausią</w:t>
      </w:r>
      <w:r>
        <w:rPr>
          <w:b/>
          <w:szCs w:val="24"/>
          <w:lang w:eastAsia="lt-LT"/>
        </w:rPr>
        <w:t xml:space="preserve"> </w:t>
      </w:r>
      <w:r>
        <w:rPr>
          <w:szCs w:val="24"/>
          <w:lang w:eastAsia="lt-LT"/>
        </w:rPr>
        <w:t>rinkos dalį užimančio operatoriaus atitinkamai vartotojų grupei nustatytą maksimalią projektavimo kainą, jei projektą savo lėšomis rengia prijungiamas vartotojas.</w:t>
      </w:r>
    </w:p>
    <w:p>
      <w:pPr>
        <w:ind w:firstLine="720"/>
        <w:jc w:val="both"/>
        <w:rPr>
          <w:szCs w:val="24"/>
          <w:lang w:eastAsia="lt-LT"/>
        </w:rPr>
      </w:pPr>
      <w:r>
        <w:rPr>
          <w:szCs w:val="24"/>
          <w:lang w:eastAsia="lt-LT"/>
        </w:rPr>
        <w:t>51</w:t>
      </w:r>
      <w:r>
        <w:rPr>
          <w:szCs w:val="24"/>
          <w:lang w:eastAsia="lt-LT"/>
        </w:rPr>
        <w:t>. Operatorius privalo prijungimo prie elektros tinklų paslaugos suteikimo sutartyje skaidriai nurodyti vartotojo įrenginių prijungimo įmokos apskaičiavimo būdą (prijungimo įmoką) ir vartotojui tenkančią prijungimo įmokos dalį.</w:t>
      </w:r>
    </w:p>
    <w:p>
      <w:pPr>
        <w:ind w:firstLine="720"/>
        <w:jc w:val="both"/>
        <w:rPr>
          <w:szCs w:val="24"/>
          <w:lang w:eastAsia="lt-LT"/>
        </w:rPr>
      </w:pPr>
      <w:r>
        <w:rPr>
          <w:szCs w:val="24"/>
          <w:lang w:eastAsia="lt-LT"/>
        </w:rPr>
        <w:t>52</w:t>
      </w:r>
      <w:r>
        <w:rPr>
          <w:szCs w:val="24"/>
          <w:lang w:eastAsia="lt-LT"/>
        </w:rPr>
        <w:t>. Operatorius, organizavęs viešąjį pirkimą, Metodikos 17 punkte nurodytu atveju prijungiamo elektros energijos vartotojo prašymu per 10 darbo dienų privalo šiam vartotojui pateikti informaciją, susijusią su viešuoju pirkimu ir rangos darbų vykdymu.</w:t>
      </w:r>
    </w:p>
    <w:p>
      <w:pPr>
        <w:ind w:firstLine="720"/>
        <w:jc w:val="both"/>
        <w:rPr>
          <w:szCs w:val="24"/>
          <w:lang w:eastAsia="lt-LT"/>
        </w:rPr>
      </w:pPr>
    </w:p>
    <w:p>
      <w:pPr>
        <w:jc w:val="center"/>
        <w:rPr>
          <w:b/>
          <w:bCs/>
          <w:caps/>
          <w:szCs w:val="24"/>
          <w:lang w:eastAsia="lt-LT"/>
        </w:rPr>
      </w:pPr>
      <w:r>
        <w:rPr>
          <w:b/>
          <w:bCs/>
          <w:caps/>
          <w:szCs w:val="24"/>
          <w:lang w:eastAsia="lt-LT"/>
        </w:rPr>
        <w:t>VI</w:t>
      </w:r>
      <w:r>
        <w:rPr>
          <w:b/>
          <w:bCs/>
          <w:caps/>
          <w:szCs w:val="24"/>
          <w:lang w:eastAsia="lt-LT"/>
        </w:rPr>
        <w:t xml:space="preserve"> SKYRIUS</w:t>
      </w:r>
    </w:p>
    <w:p>
      <w:pPr>
        <w:jc w:val="center"/>
        <w:rPr>
          <w:szCs w:val="24"/>
          <w:lang w:eastAsia="lt-LT"/>
        </w:rPr>
      </w:pPr>
      <w:r>
        <w:rPr>
          <w:b/>
          <w:bCs/>
          <w:caps/>
          <w:szCs w:val="24"/>
          <w:lang w:eastAsia="lt-LT"/>
        </w:rPr>
        <w:t>REIKALAVIMAI, SUSIJĘ SU GAMINTOJŲ ELEKTROS ENERGIJOS ĮRENGINIŲ PRIJUNGIMO ĮKAINIŲ NUSTATYMU</w:t>
      </w:r>
    </w:p>
    <w:p>
      <w:pPr>
        <w:rPr>
          <w:sz w:val="8"/>
          <w:szCs w:val="8"/>
        </w:rPr>
      </w:pPr>
    </w:p>
    <w:p>
      <w:pPr>
        <w:ind w:firstLine="720"/>
        <w:jc w:val="both"/>
        <w:rPr>
          <w:szCs w:val="24"/>
          <w:lang w:eastAsia="lt-LT"/>
        </w:rPr>
      </w:pPr>
      <w:r>
        <w:rPr>
          <w:szCs w:val="24"/>
          <w:lang w:eastAsia="lt-LT"/>
        </w:rPr>
        <w:t>53</w:t>
      </w:r>
      <w:r>
        <w:rPr>
          <w:szCs w:val="24"/>
          <w:lang w:eastAsia="lt-LT"/>
        </w:rPr>
        <w:t>. Operatorius, organizavęs viešąjį pirkimą, Metodikos 36 punkte nurodytu atveju elektros įrenginius jungiančio elektros energijos gamintojo</w:t>
      </w:r>
      <w:r>
        <w:rPr>
          <w:b/>
          <w:bCs/>
          <w:szCs w:val="24"/>
          <w:lang w:eastAsia="lt-LT"/>
        </w:rPr>
        <w:t xml:space="preserve"> </w:t>
      </w:r>
      <w:r>
        <w:rPr>
          <w:szCs w:val="24"/>
          <w:lang w:eastAsia="lt-LT"/>
        </w:rPr>
        <w:t xml:space="preserve">prašymu per 10 darbo dienų privalo šiam gamintojui pateikti informaciją, susijusią su viešuoju pirkimu ir rangos darbų vykdymu. </w:t>
      </w:r>
    </w:p>
    <w:p>
      <w:pPr>
        <w:rPr>
          <w:sz w:val="8"/>
          <w:szCs w:val="8"/>
        </w:rPr>
      </w:pPr>
    </w:p>
    <w:p>
      <w:pPr>
        <w:jc w:val="center"/>
        <w:rPr>
          <w:b/>
          <w:bCs/>
          <w:caps/>
          <w:szCs w:val="24"/>
          <w:lang w:eastAsia="lt-LT"/>
        </w:rPr>
      </w:pPr>
      <w:r>
        <w:rPr>
          <w:b/>
          <w:bCs/>
          <w:caps/>
          <w:szCs w:val="24"/>
          <w:lang w:eastAsia="lt-LT"/>
        </w:rPr>
        <w:t>VII</w:t>
      </w:r>
      <w:r>
        <w:rPr>
          <w:b/>
          <w:bCs/>
          <w:caps/>
          <w:szCs w:val="24"/>
          <w:lang w:eastAsia="lt-LT"/>
        </w:rPr>
        <w:t xml:space="preserve"> SKYRIUS</w:t>
      </w:r>
    </w:p>
    <w:p>
      <w:pPr>
        <w:jc w:val="center"/>
        <w:rPr>
          <w:b/>
          <w:bCs/>
          <w:caps/>
          <w:szCs w:val="24"/>
          <w:lang w:eastAsia="lt-LT"/>
        </w:rPr>
      </w:pPr>
      <w:r>
        <w:rPr>
          <w:b/>
          <w:bCs/>
          <w:caps/>
          <w:szCs w:val="24"/>
          <w:lang w:eastAsia="lt-LT"/>
        </w:rPr>
        <w:t>REIKALAVIMAI, SUSIJĘ SU GAMINTOJŲ, NAUDOJANČIŲ ATSINAUJINANČIUS ENERGIJOS IŠTEKLIUS, ELEKTROS ENERGIJOS ĮRENGINIŲ PRIJUNGIMO ĮKAINIŲ NUSTATYMU</w:t>
      </w:r>
    </w:p>
    <w:p>
      <w:pPr>
        <w:jc w:val="center"/>
        <w:rPr>
          <w:b/>
          <w:bCs/>
          <w:caps/>
          <w:szCs w:val="24"/>
          <w:lang w:eastAsia="lt-LT"/>
        </w:rPr>
      </w:pPr>
    </w:p>
    <w:p>
      <w:pPr>
        <w:ind w:firstLine="567"/>
        <w:jc w:val="both"/>
        <w:rPr>
          <w:szCs w:val="24"/>
          <w:lang w:eastAsia="lt-LT"/>
        </w:rPr>
      </w:pPr>
      <w:r>
        <w:rPr>
          <w:szCs w:val="24"/>
          <w:lang w:eastAsia="lt-LT"/>
        </w:rPr>
        <w:t>54</w:t>
      </w:r>
      <w:r>
        <w:rPr>
          <w:szCs w:val="24"/>
          <w:lang w:eastAsia="lt-LT"/>
        </w:rPr>
        <w:t>. Operatorius, organizavęs viešąjį pirkimą, Metodikos 43 punkte nurodytu atveju elektros įrenginius jungiančio elektros energijos gamintojo, naudojančio atsinaujinančius energetikos išteklius, prašymu per 10 darbo dienų privalo šiam gamintojui pateikti informaciją, susijusią su viešuoju pirkimu ir rangos darbų vykdymu.</w:t>
      </w:r>
    </w:p>
    <w:p>
      <w:pPr>
        <w:ind w:firstLine="567"/>
        <w:jc w:val="both"/>
        <w:rPr>
          <w:szCs w:val="24"/>
          <w:lang w:eastAsia="lt-LT"/>
        </w:rPr>
      </w:pPr>
      <w:r>
        <w:rPr>
          <w:szCs w:val="24"/>
          <w:lang w:eastAsia="lt-LT"/>
        </w:rPr>
        <w:t>55</w:t>
      </w:r>
      <w:r>
        <w:rPr>
          <w:szCs w:val="24"/>
          <w:lang w:eastAsia="lt-LT"/>
        </w:rPr>
        <w:t xml:space="preserve">. Operatorius teikia informaciją Komisijai ir Viešuosius interesus atitinkančių paslaugų administratoriui Viešuosius interesus atitinkančių paslaugų elektros energetikos sektoriuje kainos nustatymo metodikos, patvirtintos Komisijos </w:t>
      </w:r>
      <w:r>
        <w:t xml:space="preserve">2012 m. rugsėjo 28 d. nutarimu Nr. O3-279 „Dėl </w:t>
      </w:r>
      <w:r>
        <w:rPr>
          <w:szCs w:val="24"/>
          <w:lang w:eastAsia="lt-LT"/>
        </w:rPr>
        <w:t>Viešuosius interesus atitinkančių paslaugų elektros energetikos sektoriuje kainos nustatymo metodikos patvirtinimo</w:t>
      </w:r>
      <w:r>
        <w:t>“</w:t>
      </w:r>
      <w:r>
        <w:rPr>
          <w:szCs w:val="24"/>
          <w:lang w:eastAsia="lt-LT"/>
        </w:rPr>
        <w:t xml:space="preserve"> ir Viešuosius interesus atitinkančių paslaugų elektros energetikos sektoriuje lėšų administravimo tvarkos aprašo, patvirtinto</w:t>
      </w:r>
      <w:r>
        <w:t xml:space="preserve"> Lietuvos Respublikos Vyriausybės 2012 m. rugsėjo 19 d. nutarimu Nr. 1157 „Dėl V</w:t>
      </w:r>
      <w:r>
        <w:rPr>
          <w:szCs w:val="24"/>
          <w:lang w:eastAsia="lt-LT"/>
        </w:rPr>
        <w:t>iešuosius interesus atitinkančių paslaugų elektros energetikos sektoriuje lėšų administravimo tvarkos aprašo patvirtinimo</w:t>
      </w:r>
      <w:r>
        <w:t>“</w:t>
      </w:r>
      <w:r>
        <w:rPr>
          <w:szCs w:val="24"/>
          <w:lang w:eastAsia="lt-LT"/>
        </w:rPr>
        <w:t xml:space="preserve"> nustatyta tvarka.</w:t>
      </w:r>
    </w:p>
    <w:p>
      <w:pPr>
        <w:ind w:firstLine="567"/>
        <w:jc w:val="both"/>
        <w:rPr>
          <w:szCs w:val="24"/>
          <w:lang w:eastAsia="lt-LT"/>
        </w:rPr>
      </w:pPr>
    </w:p>
    <w:p>
      <w:pPr>
        <w:jc w:val="center"/>
        <w:rPr>
          <w:b/>
          <w:bCs/>
          <w:caps/>
          <w:szCs w:val="24"/>
          <w:lang w:eastAsia="lt-LT"/>
        </w:rPr>
      </w:pPr>
      <w:r>
        <w:rPr>
          <w:b/>
          <w:bCs/>
          <w:caps/>
          <w:szCs w:val="24"/>
          <w:lang w:eastAsia="lt-LT"/>
        </w:rPr>
        <w:t>VIII</w:t>
      </w:r>
      <w:r>
        <w:rPr>
          <w:b/>
          <w:bCs/>
          <w:caps/>
          <w:szCs w:val="24"/>
          <w:lang w:eastAsia="lt-LT"/>
        </w:rPr>
        <w:t xml:space="preserve"> SKYRIUS</w:t>
      </w:r>
    </w:p>
    <w:p>
      <w:pPr>
        <w:jc w:val="center"/>
        <w:rPr>
          <w:szCs w:val="24"/>
          <w:lang w:eastAsia="lt-LT"/>
        </w:rPr>
      </w:pPr>
      <w:r>
        <w:rPr>
          <w:b/>
          <w:bCs/>
          <w:caps/>
          <w:szCs w:val="24"/>
          <w:lang w:eastAsia="lt-LT"/>
        </w:rPr>
        <w:t>BAIGIAMOSIOS NUOSTATOS</w:t>
      </w:r>
    </w:p>
    <w:p>
      <w:pPr>
        <w:ind w:firstLine="629"/>
        <w:jc w:val="both"/>
        <w:rPr>
          <w:szCs w:val="24"/>
          <w:lang w:eastAsia="lt-LT"/>
        </w:rPr>
      </w:pPr>
    </w:p>
    <w:p>
      <w:pPr>
        <w:ind w:firstLine="567"/>
        <w:jc w:val="both"/>
        <w:rPr>
          <w:szCs w:val="24"/>
          <w:lang w:eastAsia="lt-LT"/>
        </w:rPr>
      </w:pPr>
      <w:r>
        <w:rPr>
          <w:szCs w:val="24"/>
          <w:lang w:eastAsia="lt-LT"/>
        </w:rPr>
        <w:t>56</w:t>
      </w:r>
      <w:r>
        <w:rPr>
          <w:szCs w:val="24"/>
          <w:lang w:eastAsia="lt-LT"/>
        </w:rPr>
        <w:t>. Komisija turi teisę Energetikos įstatymo 25 straipsnio 1 dalies ir kitų teisės aktų nustatyta tvarka iš energetikos įmonių ar asmenų, kurių vykdoma veikla tiesiogiai ar netiesiogiai susijusi su energetikos veikla, bei valstybės institucijų gauti visą reikalingą informaciją ir dokumentus, būtinus prijungimo įkainiams apskaičiuoti ir nustatyti.</w:t>
      </w:r>
    </w:p>
    <w:p>
      <w:pPr>
        <w:ind w:firstLine="567"/>
        <w:jc w:val="both"/>
        <w:rPr>
          <w:szCs w:val="24"/>
          <w:lang w:eastAsia="lt-LT"/>
        </w:rPr>
      </w:pPr>
      <w:r>
        <w:rPr>
          <w:szCs w:val="24"/>
          <w:lang w:eastAsia="lt-LT"/>
        </w:rPr>
        <w:t>57</w:t>
      </w:r>
      <w:r>
        <w:rPr>
          <w:szCs w:val="24"/>
          <w:lang w:eastAsia="lt-LT"/>
        </w:rPr>
        <w:t>. Asmenys, pažeidę šios Metodikos reikalavimus, atsako Lietuvos Respublikos įstatymų nustatyta tvarka.</w:t>
      </w:r>
    </w:p>
    <w:p>
      <w:pPr>
        <w:ind w:firstLine="567"/>
        <w:jc w:val="both"/>
        <w:rPr>
          <w:szCs w:val="24"/>
          <w:lang w:eastAsia="lt-LT"/>
        </w:rPr>
      </w:pPr>
      <w:r>
        <w:rPr>
          <w:szCs w:val="24"/>
          <w:lang w:eastAsia="lt-LT"/>
        </w:rPr>
        <w:t>58</w:t>
      </w:r>
      <w:r>
        <w:rPr>
          <w:szCs w:val="24"/>
          <w:lang w:eastAsia="lt-LT"/>
        </w:rPr>
        <w:t>. Komisijos veiksmai arba neveikimas, įgyvendinant šią Metodiką, gali būti skundžiami Lietuvos Respublikos įstatymų nustatyta tvarka ir sąlygomis.</w:t>
      </w:r>
    </w:p>
    <w:p>
      <w:pPr>
        <w:keepNext/>
        <w:widowControl w:val="0"/>
        <w:spacing w:line="23" w:lineRule="atLeast"/>
        <w:jc w:val="both"/>
        <w:rPr>
          <w:rFonts w:eastAsia="Calibri"/>
          <w:szCs w:val="24"/>
        </w:rPr>
      </w:pPr>
    </w:p>
    <w:p>
      <w:pPr>
        <w:keepNext/>
        <w:widowControl w:val="0"/>
        <w:spacing w:line="23" w:lineRule="atLeast"/>
        <w:jc w:val="both"/>
        <w:rPr>
          <w:rFonts w:eastAsia="Calibri"/>
          <w:szCs w:val="24"/>
        </w:rPr>
      </w:pPr>
    </w:p>
    <w:p>
      <w:pPr>
        <w:keepNext/>
        <w:widowControl w:val="0"/>
        <w:spacing w:line="23" w:lineRule="atLeast"/>
        <w:jc w:val="center"/>
        <w:rPr>
          <w:color w:val="000000"/>
        </w:rPr>
      </w:pPr>
      <w:r>
        <w:rPr>
          <w:rFonts w:ascii="Arial" w:hAnsi="Arial" w:cs="Arial"/>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e449860f79b11e880d0fe0db08fac89">
        <w:r w:rsidRPr="00532B9F">
          <w:rPr>
            <w:rFonts w:ascii="Times New Roman" w:eastAsia="MS Mincho" w:hAnsi="Times New Roman"/>
            <w:sz w:val="20"/>
            <w:i/>
            <w:iCs/>
            <w:color w:val="0000FF" w:themeColor="hyperlink"/>
            <w:u w:val="single"/>
          </w:rPr>
          <w:t>O3E-436</w:t>
        </w:r>
      </w:fldSimple>
      <w:r>
        <w:rPr>
          <w:rFonts w:ascii="Times New Roman" w:eastAsia="MS Mincho" w:hAnsi="Times New Roman"/>
          <w:sz w:val="20"/>
          <w:i/>
          <w:iCs/>
        </w:rPr>
        <w:t>,
2018-12-04,
paskelbta TAR 2018-12-04, i. k. 2018-19682            </w:t>
      </w:r>
    </w:p>
    <w:p/>
    <w:p>
      <w:pPr>
        <w:keepNext/>
        <w:widowControl w:val="0"/>
        <w:ind w:left="10773" w:firstLine="3844"/>
        <w:jc w:val="both"/>
        <w:sectPr>
          <w:pgSz w:w="11907" w:h="16838" w:code="9"/>
          <w:pgMar w:top="1134" w:right="567" w:bottom="1134" w:left="1701" w:header="567" w:footer="567" w:gutter="0"/>
          <w:pgNumType w:start="1"/>
          <w:cols w:space="1296"/>
          <w:titlePg/>
          <w:docGrid w:linePitch="326"/>
        </w:sectPr>
      </w:pPr>
    </w:p>
    <w:p>
      <w:pPr>
        <w:keepNext/>
        <w:widowControl w:val="0"/>
        <w:ind w:left="9639" w:right="407" w:firstLine="27"/>
        <w:jc w:val="both"/>
        <w:rPr>
          <w:szCs w:val="24"/>
        </w:rPr>
      </w:pPr>
      <w:r>
        <w:rPr>
          <w:szCs w:val="24"/>
        </w:rPr>
        <w:t xml:space="preserve">Elektros energijos įrenginių </w:t>
      </w:r>
    </w:p>
    <w:p>
      <w:pPr>
        <w:keepNext/>
        <w:widowControl w:val="0"/>
        <w:ind w:left="9639" w:right="407" w:firstLine="27"/>
        <w:jc w:val="both"/>
        <w:rPr>
          <w:szCs w:val="24"/>
        </w:rPr>
      </w:pPr>
      <w:r>
        <w:rPr>
          <w:szCs w:val="24"/>
        </w:rPr>
        <w:t xml:space="preserve">prijungimo prie elektros tinklų </w:t>
      </w:r>
    </w:p>
    <w:p>
      <w:pPr>
        <w:keepNext/>
        <w:widowControl w:val="0"/>
        <w:ind w:left="9639" w:right="407" w:firstLine="27"/>
        <w:jc w:val="both"/>
        <w:rPr>
          <w:szCs w:val="24"/>
        </w:rPr>
      </w:pPr>
      <w:r>
        <w:rPr>
          <w:szCs w:val="24"/>
        </w:rPr>
        <w:t>įkainių nustatymo metodikos</w:t>
      </w:r>
    </w:p>
    <w:p>
      <w:pPr>
        <w:tabs>
          <w:tab w:val="center" w:pos="4153"/>
          <w:tab w:val="right" w:pos="8306"/>
          <w:tab w:val="left" w:pos="10786"/>
          <w:tab w:val="right" w:pos="14570"/>
        </w:tabs>
        <w:ind w:left="9639"/>
        <w:jc w:val="both"/>
        <w:rPr>
          <w:szCs w:val="24"/>
        </w:rPr>
      </w:pPr>
      <w:r>
        <w:rPr>
          <w:szCs w:val="24"/>
        </w:rPr>
        <w:t>priedas</w:t>
      </w:r>
    </w:p>
    <w:p>
      <w:pPr>
        <w:keepNext/>
        <w:widowControl w:val="0"/>
        <w:tabs>
          <w:tab w:val="left" w:pos="10297"/>
        </w:tabs>
        <w:ind w:firstLine="10297"/>
        <w:rPr>
          <w:szCs w:val="24"/>
        </w:rPr>
      </w:pPr>
    </w:p>
    <w:p>
      <w:pPr>
        <w:ind w:firstLine="720"/>
        <w:jc w:val="center"/>
        <w:rPr>
          <w:szCs w:val="24"/>
          <w:lang w:eastAsia="lt-LT"/>
        </w:rPr>
      </w:pPr>
    </w:p>
    <w:p>
      <w:pPr>
        <w:tabs>
          <w:tab w:val="left" w:leader="dot" w:pos="9912"/>
        </w:tabs>
        <w:jc w:val="center"/>
      </w:pPr>
      <w:r>
        <w:rPr>
          <w:b/>
        </w:rPr>
        <w:t>NAUJŲ VARTOTOJŲ ELEKTROS ĮRENGINIŲ PRIJUNGIMO ATASKAITA</w:t>
      </w:r>
      <w:r>
        <w:t xml:space="preserve"> </w:t>
      </w:r>
    </w:p>
    <w:p>
      <w:pPr>
        <w:tabs>
          <w:tab w:val="left" w:leader="dot" w:pos="9912"/>
        </w:tabs>
        <w:jc w:val="center"/>
        <w:rPr>
          <w:b/>
          <w:szCs w:val="24"/>
          <w:lang w:eastAsia="lt-LT"/>
        </w:rPr>
      </w:pPr>
      <w:r>
        <w:rPr>
          <w:b/>
        </w:rPr>
        <w:t>UŽ 20</w:t>
      </w:r>
      <w:r>
        <w:t xml:space="preserve">...... </w:t>
      </w:r>
      <w:r>
        <w:rPr>
          <w:b/>
        </w:rPr>
        <w:t>M. IV KETV. IR 20..... M. I-III KETV.</w:t>
      </w:r>
    </w:p>
    <w:p>
      <w:pPr>
        <w:jc w:val="center"/>
        <w:rPr>
          <w:sz w:val="20"/>
          <w:szCs w:val="24"/>
          <w:lang w:eastAsia="lt-LT"/>
        </w:rPr>
      </w:pPr>
    </w:p>
    <w:tbl>
      <w:tblPr>
        <w:tblW w:w="12384" w:type="dxa"/>
        <w:tblInd w:w="568" w:type="dxa"/>
        <w:tblCellMar>
          <w:left w:w="40" w:type="dxa"/>
          <w:right w:w="40" w:type="dxa"/>
        </w:tblCellMar>
        <w:tblLook w:val="0000" w:firstRow="0" w:lastRow="0" w:firstColumn="0" w:lastColumn="0" w:noHBand="0" w:noVBand="0"/>
      </w:tblPr>
      <w:tblGrid>
        <w:gridCol w:w="3294"/>
        <w:gridCol w:w="2791"/>
        <w:gridCol w:w="3418"/>
        <w:gridCol w:w="2881"/>
      </w:tblGrid>
      <w:tr>
        <w:tc>
          <w:tcPr>
            <w:tcW w:w="1330" w:type="pct"/>
            <w:tcBorders>
              <w:top w:val="single" w:sz="6" w:space="0" w:color="auto"/>
              <w:left w:val="single" w:sz="6" w:space="0" w:color="auto"/>
              <w:bottom w:val="single" w:sz="6" w:space="0" w:color="auto"/>
              <w:right w:val="single" w:sz="6" w:space="0" w:color="auto"/>
            </w:tcBorders>
          </w:tcPr>
          <w:p>
            <w:pPr>
              <w:rPr>
                <w:sz w:val="20"/>
                <w:szCs w:val="24"/>
                <w:lang w:eastAsia="lt-LT"/>
              </w:rPr>
            </w:pPr>
            <w:r>
              <w:rPr>
                <w:sz w:val="20"/>
                <w:szCs w:val="24"/>
                <w:lang w:eastAsia="lt-LT"/>
              </w:rPr>
              <w:t>Duomenys apie ūkio subjektą:</w:t>
            </w:r>
          </w:p>
        </w:tc>
        <w:tc>
          <w:tcPr>
            <w:tcW w:w="1127" w:type="pct"/>
            <w:tcBorders>
              <w:top w:val="single" w:sz="6" w:space="0" w:color="auto"/>
              <w:left w:val="single" w:sz="6" w:space="0" w:color="auto"/>
              <w:bottom w:val="single" w:sz="6" w:space="0" w:color="auto"/>
              <w:right w:val="single" w:sz="6" w:space="0" w:color="auto"/>
            </w:tcBorders>
          </w:tcPr>
          <w:p>
            <w:pPr>
              <w:rPr>
                <w:sz w:val="20"/>
                <w:szCs w:val="24"/>
                <w:lang w:eastAsia="lt-LT"/>
              </w:rPr>
            </w:pPr>
          </w:p>
        </w:tc>
        <w:tc>
          <w:tcPr>
            <w:tcW w:w="1380" w:type="pct"/>
            <w:tcBorders>
              <w:top w:val="single" w:sz="6" w:space="0" w:color="auto"/>
              <w:left w:val="single" w:sz="6" w:space="0" w:color="auto"/>
              <w:bottom w:val="single" w:sz="6" w:space="0" w:color="auto"/>
              <w:right w:val="single" w:sz="6" w:space="0" w:color="auto"/>
            </w:tcBorders>
          </w:tcPr>
          <w:p>
            <w:pPr>
              <w:rPr>
                <w:sz w:val="20"/>
                <w:szCs w:val="24"/>
                <w:lang w:eastAsia="lt-LT"/>
              </w:rPr>
            </w:pPr>
            <w:r>
              <w:rPr>
                <w:sz w:val="20"/>
                <w:szCs w:val="24"/>
                <w:lang w:eastAsia="lt-LT"/>
              </w:rPr>
              <w:t>Duomenys apie kontaktinį asmenį:</w:t>
            </w:r>
          </w:p>
        </w:tc>
        <w:tc>
          <w:tcPr>
            <w:tcW w:w="1163" w:type="pct"/>
            <w:tcBorders>
              <w:top w:val="single" w:sz="6" w:space="0" w:color="auto"/>
              <w:left w:val="single" w:sz="6" w:space="0" w:color="auto"/>
              <w:bottom w:val="single" w:sz="6" w:space="0" w:color="auto"/>
              <w:right w:val="single" w:sz="6" w:space="0" w:color="auto"/>
            </w:tcBorders>
          </w:tcPr>
          <w:p>
            <w:pPr>
              <w:rPr>
                <w:sz w:val="20"/>
                <w:szCs w:val="24"/>
                <w:lang w:eastAsia="lt-LT"/>
              </w:rPr>
            </w:pPr>
          </w:p>
        </w:tc>
      </w:tr>
      <w:tr>
        <w:tc>
          <w:tcPr>
            <w:tcW w:w="1330" w:type="pct"/>
            <w:tcBorders>
              <w:top w:val="single" w:sz="6" w:space="0" w:color="auto"/>
              <w:left w:val="single" w:sz="6" w:space="0" w:color="auto"/>
              <w:bottom w:val="single" w:sz="6" w:space="0" w:color="auto"/>
              <w:right w:val="single" w:sz="6" w:space="0" w:color="auto"/>
            </w:tcBorders>
          </w:tcPr>
          <w:p>
            <w:pPr>
              <w:rPr>
                <w:sz w:val="20"/>
                <w:szCs w:val="24"/>
                <w:lang w:eastAsia="lt-LT"/>
              </w:rPr>
            </w:pPr>
            <w:r>
              <w:rPr>
                <w:sz w:val="20"/>
                <w:szCs w:val="24"/>
                <w:lang w:eastAsia="lt-LT"/>
              </w:rPr>
              <w:t>Pavadinimas</w:t>
            </w:r>
          </w:p>
        </w:tc>
        <w:tc>
          <w:tcPr>
            <w:tcW w:w="1127" w:type="pct"/>
            <w:tcBorders>
              <w:top w:val="single" w:sz="6" w:space="0" w:color="auto"/>
              <w:left w:val="single" w:sz="6" w:space="0" w:color="auto"/>
              <w:bottom w:val="single" w:sz="6" w:space="0" w:color="auto"/>
              <w:right w:val="single" w:sz="6" w:space="0" w:color="auto"/>
            </w:tcBorders>
          </w:tcPr>
          <w:p>
            <w:pPr>
              <w:rPr>
                <w:sz w:val="20"/>
                <w:szCs w:val="24"/>
                <w:lang w:eastAsia="lt-LT"/>
              </w:rPr>
            </w:pPr>
          </w:p>
        </w:tc>
        <w:tc>
          <w:tcPr>
            <w:tcW w:w="1380" w:type="pct"/>
            <w:tcBorders>
              <w:top w:val="single" w:sz="6" w:space="0" w:color="auto"/>
              <w:left w:val="single" w:sz="6" w:space="0" w:color="auto"/>
              <w:bottom w:val="single" w:sz="6" w:space="0" w:color="auto"/>
              <w:right w:val="single" w:sz="6" w:space="0" w:color="auto"/>
            </w:tcBorders>
          </w:tcPr>
          <w:p>
            <w:pPr>
              <w:rPr>
                <w:sz w:val="20"/>
                <w:szCs w:val="24"/>
                <w:lang w:eastAsia="lt-LT"/>
              </w:rPr>
            </w:pPr>
            <w:r>
              <w:rPr>
                <w:sz w:val="20"/>
                <w:szCs w:val="24"/>
                <w:lang w:eastAsia="lt-LT"/>
              </w:rPr>
              <w:t>V., pavardė</w:t>
            </w:r>
          </w:p>
        </w:tc>
        <w:tc>
          <w:tcPr>
            <w:tcW w:w="1163" w:type="pct"/>
            <w:tcBorders>
              <w:top w:val="single" w:sz="6" w:space="0" w:color="auto"/>
              <w:left w:val="single" w:sz="6" w:space="0" w:color="auto"/>
              <w:bottom w:val="single" w:sz="6" w:space="0" w:color="auto"/>
              <w:right w:val="single" w:sz="6" w:space="0" w:color="auto"/>
            </w:tcBorders>
          </w:tcPr>
          <w:p>
            <w:pPr>
              <w:rPr>
                <w:sz w:val="20"/>
                <w:szCs w:val="24"/>
                <w:lang w:eastAsia="lt-LT"/>
              </w:rPr>
            </w:pPr>
          </w:p>
        </w:tc>
      </w:tr>
      <w:tr>
        <w:tc>
          <w:tcPr>
            <w:tcW w:w="1330" w:type="pct"/>
            <w:tcBorders>
              <w:top w:val="single" w:sz="6" w:space="0" w:color="auto"/>
              <w:left w:val="single" w:sz="6" w:space="0" w:color="auto"/>
              <w:bottom w:val="single" w:sz="6" w:space="0" w:color="auto"/>
              <w:right w:val="single" w:sz="6" w:space="0" w:color="auto"/>
            </w:tcBorders>
          </w:tcPr>
          <w:p>
            <w:pPr>
              <w:rPr>
                <w:sz w:val="20"/>
                <w:szCs w:val="24"/>
                <w:lang w:eastAsia="lt-LT"/>
              </w:rPr>
            </w:pPr>
            <w:r>
              <w:rPr>
                <w:sz w:val="20"/>
                <w:szCs w:val="24"/>
                <w:lang w:eastAsia="lt-LT"/>
              </w:rPr>
              <w:t>Kodas</w:t>
            </w:r>
          </w:p>
        </w:tc>
        <w:tc>
          <w:tcPr>
            <w:tcW w:w="1127" w:type="pct"/>
            <w:tcBorders>
              <w:top w:val="single" w:sz="6" w:space="0" w:color="auto"/>
              <w:left w:val="single" w:sz="6" w:space="0" w:color="auto"/>
              <w:bottom w:val="single" w:sz="6" w:space="0" w:color="auto"/>
              <w:right w:val="single" w:sz="6" w:space="0" w:color="auto"/>
            </w:tcBorders>
          </w:tcPr>
          <w:p>
            <w:pPr>
              <w:rPr>
                <w:sz w:val="20"/>
                <w:szCs w:val="24"/>
                <w:lang w:eastAsia="lt-LT"/>
              </w:rPr>
            </w:pPr>
          </w:p>
        </w:tc>
        <w:tc>
          <w:tcPr>
            <w:tcW w:w="1380" w:type="pct"/>
            <w:tcBorders>
              <w:top w:val="single" w:sz="6" w:space="0" w:color="auto"/>
              <w:left w:val="single" w:sz="6" w:space="0" w:color="auto"/>
              <w:bottom w:val="single" w:sz="6" w:space="0" w:color="auto"/>
              <w:right w:val="single" w:sz="6" w:space="0" w:color="auto"/>
            </w:tcBorders>
          </w:tcPr>
          <w:p>
            <w:pPr>
              <w:rPr>
                <w:sz w:val="20"/>
                <w:szCs w:val="24"/>
                <w:lang w:eastAsia="lt-LT"/>
              </w:rPr>
            </w:pPr>
            <w:r>
              <w:rPr>
                <w:sz w:val="20"/>
                <w:szCs w:val="24"/>
                <w:lang w:eastAsia="lt-LT"/>
              </w:rPr>
              <w:t>Pareigos</w:t>
            </w:r>
          </w:p>
        </w:tc>
        <w:tc>
          <w:tcPr>
            <w:tcW w:w="1163" w:type="pct"/>
            <w:tcBorders>
              <w:top w:val="single" w:sz="6" w:space="0" w:color="auto"/>
              <w:left w:val="single" w:sz="6" w:space="0" w:color="auto"/>
              <w:bottom w:val="single" w:sz="6" w:space="0" w:color="auto"/>
              <w:right w:val="single" w:sz="6" w:space="0" w:color="auto"/>
            </w:tcBorders>
          </w:tcPr>
          <w:p>
            <w:pPr>
              <w:jc w:val="both"/>
              <w:rPr>
                <w:sz w:val="20"/>
                <w:szCs w:val="24"/>
                <w:lang w:eastAsia="lt-LT"/>
              </w:rPr>
            </w:pPr>
          </w:p>
        </w:tc>
      </w:tr>
      <w:tr>
        <w:tc>
          <w:tcPr>
            <w:tcW w:w="1330" w:type="pct"/>
            <w:tcBorders>
              <w:top w:val="single" w:sz="6" w:space="0" w:color="auto"/>
              <w:left w:val="single" w:sz="6" w:space="0" w:color="auto"/>
              <w:bottom w:val="single" w:sz="6" w:space="0" w:color="auto"/>
              <w:right w:val="single" w:sz="6" w:space="0" w:color="auto"/>
            </w:tcBorders>
          </w:tcPr>
          <w:p>
            <w:pPr>
              <w:rPr>
                <w:sz w:val="20"/>
                <w:szCs w:val="24"/>
                <w:lang w:eastAsia="lt-LT"/>
              </w:rPr>
            </w:pPr>
            <w:r>
              <w:rPr>
                <w:sz w:val="20"/>
                <w:szCs w:val="24"/>
                <w:lang w:eastAsia="lt-LT"/>
              </w:rPr>
              <w:t>Buveinės adresas</w:t>
            </w:r>
          </w:p>
        </w:tc>
        <w:tc>
          <w:tcPr>
            <w:tcW w:w="1127" w:type="pct"/>
            <w:tcBorders>
              <w:top w:val="single" w:sz="6" w:space="0" w:color="auto"/>
              <w:left w:val="single" w:sz="6" w:space="0" w:color="auto"/>
              <w:bottom w:val="single" w:sz="6" w:space="0" w:color="auto"/>
              <w:right w:val="single" w:sz="6" w:space="0" w:color="auto"/>
            </w:tcBorders>
          </w:tcPr>
          <w:p>
            <w:pPr>
              <w:rPr>
                <w:sz w:val="20"/>
                <w:szCs w:val="24"/>
                <w:lang w:eastAsia="lt-LT"/>
              </w:rPr>
            </w:pPr>
          </w:p>
        </w:tc>
        <w:tc>
          <w:tcPr>
            <w:tcW w:w="1380" w:type="pct"/>
            <w:tcBorders>
              <w:top w:val="single" w:sz="6" w:space="0" w:color="auto"/>
              <w:left w:val="single" w:sz="6" w:space="0" w:color="auto"/>
              <w:bottom w:val="single" w:sz="6" w:space="0" w:color="auto"/>
              <w:right w:val="single" w:sz="6" w:space="0" w:color="auto"/>
            </w:tcBorders>
          </w:tcPr>
          <w:p>
            <w:pPr>
              <w:rPr>
                <w:sz w:val="20"/>
                <w:szCs w:val="24"/>
                <w:lang w:eastAsia="lt-LT"/>
              </w:rPr>
            </w:pPr>
            <w:r>
              <w:rPr>
                <w:sz w:val="20"/>
                <w:szCs w:val="24"/>
                <w:lang w:eastAsia="lt-LT"/>
              </w:rPr>
              <w:t>Telefonas</w:t>
            </w:r>
          </w:p>
        </w:tc>
        <w:tc>
          <w:tcPr>
            <w:tcW w:w="1163" w:type="pct"/>
            <w:tcBorders>
              <w:top w:val="single" w:sz="6" w:space="0" w:color="auto"/>
              <w:left w:val="single" w:sz="6" w:space="0" w:color="auto"/>
              <w:bottom w:val="single" w:sz="6" w:space="0" w:color="auto"/>
              <w:right w:val="single" w:sz="6" w:space="0" w:color="auto"/>
            </w:tcBorders>
          </w:tcPr>
          <w:p>
            <w:pPr>
              <w:rPr>
                <w:sz w:val="20"/>
                <w:szCs w:val="24"/>
                <w:lang w:eastAsia="lt-LT"/>
              </w:rPr>
            </w:pPr>
          </w:p>
        </w:tc>
      </w:tr>
      <w:tr>
        <w:tc>
          <w:tcPr>
            <w:tcW w:w="1330" w:type="pct"/>
            <w:tcBorders>
              <w:top w:val="single" w:sz="6" w:space="0" w:color="auto"/>
              <w:left w:val="single" w:sz="6" w:space="0" w:color="auto"/>
              <w:bottom w:val="single" w:sz="6" w:space="0" w:color="auto"/>
              <w:right w:val="single" w:sz="6" w:space="0" w:color="auto"/>
            </w:tcBorders>
          </w:tcPr>
          <w:p>
            <w:pPr>
              <w:rPr>
                <w:sz w:val="20"/>
                <w:szCs w:val="24"/>
                <w:lang w:eastAsia="lt-LT"/>
              </w:rPr>
            </w:pPr>
            <w:r>
              <w:rPr>
                <w:sz w:val="20"/>
                <w:szCs w:val="24"/>
                <w:lang w:eastAsia="lt-LT"/>
              </w:rPr>
              <w:t>Telefonas</w:t>
            </w:r>
          </w:p>
        </w:tc>
        <w:tc>
          <w:tcPr>
            <w:tcW w:w="1127" w:type="pct"/>
            <w:tcBorders>
              <w:top w:val="single" w:sz="6" w:space="0" w:color="auto"/>
              <w:left w:val="single" w:sz="6" w:space="0" w:color="auto"/>
              <w:bottom w:val="single" w:sz="6" w:space="0" w:color="auto"/>
              <w:right w:val="single" w:sz="6" w:space="0" w:color="auto"/>
            </w:tcBorders>
          </w:tcPr>
          <w:p>
            <w:pPr>
              <w:rPr>
                <w:sz w:val="20"/>
                <w:szCs w:val="24"/>
                <w:lang w:eastAsia="lt-LT"/>
              </w:rPr>
            </w:pPr>
          </w:p>
        </w:tc>
        <w:tc>
          <w:tcPr>
            <w:tcW w:w="1380" w:type="pct"/>
            <w:tcBorders>
              <w:top w:val="single" w:sz="6" w:space="0" w:color="auto"/>
              <w:left w:val="single" w:sz="6" w:space="0" w:color="auto"/>
              <w:bottom w:val="single" w:sz="6" w:space="0" w:color="auto"/>
              <w:right w:val="single" w:sz="6" w:space="0" w:color="auto"/>
            </w:tcBorders>
          </w:tcPr>
          <w:p>
            <w:pPr>
              <w:rPr>
                <w:sz w:val="20"/>
                <w:szCs w:val="24"/>
                <w:lang w:eastAsia="lt-LT"/>
              </w:rPr>
            </w:pPr>
            <w:r>
              <w:rPr>
                <w:sz w:val="20"/>
                <w:szCs w:val="24"/>
                <w:lang w:eastAsia="lt-LT"/>
              </w:rPr>
              <w:t>Faksas</w:t>
            </w:r>
          </w:p>
        </w:tc>
        <w:tc>
          <w:tcPr>
            <w:tcW w:w="1163" w:type="pct"/>
            <w:tcBorders>
              <w:top w:val="single" w:sz="6" w:space="0" w:color="auto"/>
              <w:left w:val="single" w:sz="6" w:space="0" w:color="auto"/>
              <w:bottom w:val="single" w:sz="6" w:space="0" w:color="auto"/>
              <w:right w:val="single" w:sz="6" w:space="0" w:color="auto"/>
            </w:tcBorders>
          </w:tcPr>
          <w:p>
            <w:pPr>
              <w:rPr>
                <w:sz w:val="20"/>
                <w:szCs w:val="24"/>
                <w:lang w:eastAsia="lt-LT"/>
              </w:rPr>
            </w:pPr>
          </w:p>
        </w:tc>
      </w:tr>
      <w:tr>
        <w:tc>
          <w:tcPr>
            <w:tcW w:w="1330" w:type="pct"/>
            <w:tcBorders>
              <w:top w:val="single" w:sz="6" w:space="0" w:color="auto"/>
              <w:left w:val="single" w:sz="6" w:space="0" w:color="auto"/>
              <w:bottom w:val="single" w:sz="6" w:space="0" w:color="auto"/>
              <w:right w:val="single" w:sz="6" w:space="0" w:color="auto"/>
            </w:tcBorders>
          </w:tcPr>
          <w:p>
            <w:pPr>
              <w:rPr>
                <w:sz w:val="20"/>
                <w:szCs w:val="24"/>
                <w:lang w:eastAsia="lt-LT"/>
              </w:rPr>
            </w:pPr>
            <w:r>
              <w:rPr>
                <w:sz w:val="20"/>
                <w:szCs w:val="24"/>
                <w:lang w:eastAsia="lt-LT"/>
              </w:rPr>
              <w:t>Faksas</w:t>
            </w:r>
          </w:p>
        </w:tc>
        <w:tc>
          <w:tcPr>
            <w:tcW w:w="1127" w:type="pct"/>
            <w:tcBorders>
              <w:top w:val="single" w:sz="6" w:space="0" w:color="auto"/>
              <w:left w:val="single" w:sz="6" w:space="0" w:color="auto"/>
              <w:bottom w:val="single" w:sz="6" w:space="0" w:color="auto"/>
              <w:right w:val="single" w:sz="6" w:space="0" w:color="auto"/>
            </w:tcBorders>
          </w:tcPr>
          <w:p>
            <w:pPr>
              <w:rPr>
                <w:sz w:val="20"/>
                <w:szCs w:val="24"/>
                <w:lang w:eastAsia="lt-LT"/>
              </w:rPr>
            </w:pPr>
          </w:p>
        </w:tc>
        <w:tc>
          <w:tcPr>
            <w:tcW w:w="1380" w:type="pct"/>
            <w:tcBorders>
              <w:top w:val="single" w:sz="6" w:space="0" w:color="auto"/>
              <w:left w:val="single" w:sz="6" w:space="0" w:color="auto"/>
              <w:bottom w:val="single" w:sz="6" w:space="0" w:color="auto"/>
              <w:right w:val="single" w:sz="6" w:space="0" w:color="auto"/>
            </w:tcBorders>
          </w:tcPr>
          <w:p>
            <w:pPr>
              <w:rPr>
                <w:sz w:val="20"/>
                <w:szCs w:val="24"/>
                <w:lang w:eastAsia="lt-LT"/>
              </w:rPr>
            </w:pPr>
            <w:r>
              <w:rPr>
                <w:sz w:val="20"/>
                <w:szCs w:val="24"/>
                <w:lang w:eastAsia="lt-LT"/>
              </w:rPr>
              <w:t>El. paštas</w:t>
            </w:r>
          </w:p>
        </w:tc>
        <w:tc>
          <w:tcPr>
            <w:tcW w:w="1163" w:type="pct"/>
            <w:tcBorders>
              <w:top w:val="single" w:sz="6" w:space="0" w:color="auto"/>
              <w:left w:val="single" w:sz="6" w:space="0" w:color="auto"/>
              <w:bottom w:val="single" w:sz="6" w:space="0" w:color="auto"/>
              <w:right w:val="single" w:sz="6" w:space="0" w:color="auto"/>
            </w:tcBorders>
          </w:tcPr>
          <w:p>
            <w:pPr>
              <w:rPr>
                <w:sz w:val="20"/>
                <w:szCs w:val="24"/>
                <w:lang w:eastAsia="lt-LT"/>
              </w:rPr>
            </w:pPr>
          </w:p>
        </w:tc>
      </w:tr>
      <w:tr>
        <w:tc>
          <w:tcPr>
            <w:tcW w:w="1330" w:type="pct"/>
            <w:tcBorders>
              <w:top w:val="single" w:sz="6" w:space="0" w:color="auto"/>
              <w:left w:val="single" w:sz="6" w:space="0" w:color="auto"/>
              <w:bottom w:val="single" w:sz="6" w:space="0" w:color="auto"/>
              <w:right w:val="single" w:sz="6" w:space="0" w:color="auto"/>
            </w:tcBorders>
          </w:tcPr>
          <w:p>
            <w:pPr>
              <w:rPr>
                <w:sz w:val="20"/>
                <w:szCs w:val="24"/>
                <w:lang w:eastAsia="lt-LT"/>
              </w:rPr>
            </w:pPr>
            <w:r>
              <w:rPr>
                <w:sz w:val="20"/>
                <w:szCs w:val="24"/>
                <w:lang w:eastAsia="lt-LT"/>
              </w:rPr>
              <w:t>Tinklalapis</w:t>
            </w:r>
          </w:p>
        </w:tc>
        <w:tc>
          <w:tcPr>
            <w:tcW w:w="1127" w:type="pct"/>
            <w:tcBorders>
              <w:top w:val="single" w:sz="6" w:space="0" w:color="auto"/>
              <w:left w:val="single" w:sz="6" w:space="0" w:color="auto"/>
              <w:bottom w:val="single" w:sz="6" w:space="0" w:color="auto"/>
              <w:right w:val="single" w:sz="6" w:space="0" w:color="auto"/>
            </w:tcBorders>
          </w:tcPr>
          <w:p>
            <w:pPr>
              <w:rPr>
                <w:sz w:val="20"/>
                <w:szCs w:val="24"/>
                <w:lang w:eastAsia="lt-LT"/>
              </w:rPr>
            </w:pPr>
          </w:p>
        </w:tc>
        <w:tc>
          <w:tcPr>
            <w:tcW w:w="1380" w:type="pct"/>
            <w:tcBorders>
              <w:top w:val="single" w:sz="6" w:space="0" w:color="auto"/>
              <w:left w:val="single" w:sz="6" w:space="0" w:color="auto"/>
              <w:bottom w:val="single" w:sz="6" w:space="0" w:color="auto"/>
              <w:right w:val="single" w:sz="6" w:space="0" w:color="auto"/>
            </w:tcBorders>
          </w:tcPr>
          <w:p>
            <w:pPr>
              <w:rPr>
                <w:sz w:val="20"/>
                <w:szCs w:val="24"/>
                <w:lang w:eastAsia="lt-LT"/>
              </w:rPr>
            </w:pPr>
          </w:p>
        </w:tc>
        <w:tc>
          <w:tcPr>
            <w:tcW w:w="1163" w:type="pct"/>
            <w:tcBorders>
              <w:top w:val="single" w:sz="6" w:space="0" w:color="auto"/>
              <w:left w:val="single" w:sz="6" w:space="0" w:color="auto"/>
              <w:bottom w:val="single" w:sz="6" w:space="0" w:color="auto"/>
              <w:right w:val="single" w:sz="6" w:space="0" w:color="auto"/>
            </w:tcBorders>
          </w:tcPr>
          <w:p>
            <w:pPr>
              <w:rPr>
                <w:sz w:val="20"/>
                <w:szCs w:val="24"/>
                <w:lang w:eastAsia="lt-LT"/>
              </w:rPr>
            </w:pPr>
          </w:p>
        </w:tc>
      </w:tr>
      <w:tr>
        <w:tc>
          <w:tcPr>
            <w:tcW w:w="1330" w:type="pct"/>
            <w:tcBorders>
              <w:top w:val="single" w:sz="6" w:space="0" w:color="auto"/>
              <w:left w:val="single" w:sz="6" w:space="0" w:color="auto"/>
              <w:bottom w:val="single" w:sz="6" w:space="0" w:color="auto"/>
              <w:right w:val="single" w:sz="6" w:space="0" w:color="auto"/>
            </w:tcBorders>
          </w:tcPr>
          <w:p>
            <w:pPr>
              <w:rPr>
                <w:sz w:val="20"/>
                <w:szCs w:val="24"/>
                <w:lang w:eastAsia="lt-LT"/>
              </w:rPr>
            </w:pPr>
            <w:r>
              <w:rPr>
                <w:sz w:val="20"/>
                <w:szCs w:val="24"/>
                <w:lang w:eastAsia="lt-LT"/>
              </w:rPr>
              <w:t>El. paštas</w:t>
            </w:r>
          </w:p>
        </w:tc>
        <w:tc>
          <w:tcPr>
            <w:tcW w:w="1127" w:type="pct"/>
            <w:tcBorders>
              <w:top w:val="single" w:sz="6" w:space="0" w:color="auto"/>
              <w:left w:val="single" w:sz="6" w:space="0" w:color="auto"/>
              <w:bottom w:val="single" w:sz="6" w:space="0" w:color="auto"/>
              <w:right w:val="single" w:sz="6" w:space="0" w:color="auto"/>
            </w:tcBorders>
          </w:tcPr>
          <w:p>
            <w:pPr>
              <w:rPr>
                <w:sz w:val="20"/>
                <w:szCs w:val="24"/>
                <w:lang w:eastAsia="lt-LT"/>
              </w:rPr>
            </w:pPr>
          </w:p>
        </w:tc>
        <w:tc>
          <w:tcPr>
            <w:tcW w:w="1380" w:type="pct"/>
            <w:tcBorders>
              <w:top w:val="single" w:sz="6" w:space="0" w:color="auto"/>
              <w:left w:val="single" w:sz="6" w:space="0" w:color="auto"/>
              <w:bottom w:val="single" w:sz="6" w:space="0" w:color="auto"/>
              <w:right w:val="single" w:sz="6" w:space="0" w:color="auto"/>
            </w:tcBorders>
          </w:tcPr>
          <w:p>
            <w:pPr>
              <w:rPr>
                <w:sz w:val="20"/>
                <w:szCs w:val="24"/>
                <w:lang w:eastAsia="lt-LT"/>
              </w:rPr>
            </w:pPr>
          </w:p>
        </w:tc>
        <w:tc>
          <w:tcPr>
            <w:tcW w:w="1163" w:type="pct"/>
            <w:tcBorders>
              <w:top w:val="single" w:sz="6" w:space="0" w:color="auto"/>
              <w:left w:val="single" w:sz="6" w:space="0" w:color="auto"/>
              <w:bottom w:val="single" w:sz="6" w:space="0" w:color="auto"/>
              <w:right w:val="single" w:sz="6" w:space="0" w:color="auto"/>
            </w:tcBorders>
          </w:tcPr>
          <w:p>
            <w:pPr>
              <w:rPr>
                <w:sz w:val="20"/>
                <w:szCs w:val="24"/>
                <w:lang w:eastAsia="lt-LT"/>
              </w:rPr>
            </w:pPr>
          </w:p>
        </w:tc>
      </w:tr>
    </w:tbl>
    <w:p>
      <w:pPr>
        <w:widowControl w:val="0"/>
        <w:tabs>
          <w:tab w:val="right" w:pos="9071"/>
        </w:tabs>
        <w:ind w:firstLine="720"/>
        <w:rPr>
          <w:sz w:val="20"/>
          <w:szCs w:val="24"/>
          <w:lang w:eastAsia="lt-LT"/>
        </w:rPr>
      </w:pPr>
      <w:r>
        <w:rPr>
          <w:sz w:val="20"/>
          <w:szCs w:val="24"/>
          <w:lang w:eastAsia="lt-LT"/>
        </w:rPr>
        <w:t xml:space="preserve">Valstybinei kainų ir energetikos kontrolės komisijai </w:t>
        <w:tab/>
        <w:t>______________</w:t>
      </w:r>
    </w:p>
    <w:p>
      <w:pPr>
        <w:widowControl w:val="0"/>
        <w:tabs>
          <w:tab w:val="right" w:pos="9071"/>
        </w:tabs>
        <w:ind w:firstLine="709"/>
        <w:rPr>
          <w:sz w:val="20"/>
          <w:lang w:eastAsia="lt-LT"/>
        </w:rPr>
      </w:pPr>
      <w:r>
        <w:rPr>
          <w:sz w:val="20"/>
          <w:lang w:eastAsia="lt-LT"/>
        </w:rPr>
        <w:t>Verkių g. 25C</w:t>
      </w:r>
      <w:r>
        <w:rPr>
          <w:b/>
          <w:sz w:val="20"/>
          <w:lang w:eastAsia="lt-LT"/>
        </w:rPr>
        <w:t>-</w:t>
      </w:r>
      <w:r>
        <w:rPr>
          <w:sz w:val="20"/>
          <w:lang w:eastAsia="lt-LT"/>
        </w:rPr>
        <w:t xml:space="preserve">1, 08223 Vilnius, rastine@regula.lt    </w:t>
        <w:tab/>
        <w:t xml:space="preserve">    (sudarymo data)  </w:t>
      </w:r>
    </w:p>
    <w:p>
      <w:pPr>
        <w:widowControl w:val="0"/>
        <w:tabs>
          <w:tab w:val="right" w:pos="9071"/>
        </w:tabs>
        <w:ind w:firstLine="8087"/>
        <w:jc w:val="center"/>
        <w:rPr>
          <w:sz w:val="20"/>
          <w:szCs w:val="24"/>
          <w:lang w:eastAsia="lt-LT"/>
        </w:rPr>
      </w:pPr>
    </w:p>
    <w:tbl>
      <w:tblPr>
        <w:tblW w:w="13600" w:type="dxa"/>
        <w:tblLayout w:type="fixed"/>
        <w:tblCellMar>
          <w:left w:w="0" w:type="dxa"/>
          <w:right w:w="0" w:type="dxa"/>
        </w:tblCellMar>
        <w:tblLook w:val="0000" w:firstRow="0" w:lastRow="0" w:firstColumn="0" w:lastColumn="0" w:noHBand="0" w:noVBand="0"/>
      </w:tblPr>
      <w:tblGrid>
        <w:gridCol w:w="1134"/>
        <w:gridCol w:w="850"/>
        <w:gridCol w:w="843"/>
        <w:gridCol w:w="993"/>
        <w:gridCol w:w="708"/>
        <w:gridCol w:w="709"/>
        <w:gridCol w:w="851"/>
        <w:gridCol w:w="850"/>
        <w:gridCol w:w="851"/>
        <w:gridCol w:w="992"/>
        <w:gridCol w:w="850"/>
        <w:gridCol w:w="851"/>
        <w:gridCol w:w="1134"/>
        <w:gridCol w:w="992"/>
        <w:gridCol w:w="992"/>
      </w:tblGrid>
      <w:tr>
        <w:tc>
          <w:tcPr>
            <w:tcW w:w="1134" w:type="dxa"/>
            <w:vMerge w:val="restart"/>
            <w:tcBorders>
              <w:top w:val="single" w:sz="6" w:space="0" w:color="auto"/>
              <w:left w:val="single" w:sz="6" w:space="0" w:color="auto"/>
              <w:right w:val="single" w:sz="6" w:space="0" w:color="auto"/>
            </w:tcBorders>
            <w:vAlign w:val="center"/>
          </w:tcPr>
          <w:p>
            <w:pPr>
              <w:jc w:val="center"/>
              <w:rPr>
                <w:sz w:val="16"/>
                <w:szCs w:val="16"/>
                <w:lang w:eastAsia="lt-LT"/>
              </w:rPr>
            </w:pPr>
            <w:r>
              <w:rPr>
                <w:sz w:val="16"/>
                <w:szCs w:val="16"/>
                <w:lang w:eastAsia="lt-LT"/>
              </w:rPr>
              <w:t>Vartotojų grupė</w:t>
            </w:r>
          </w:p>
        </w:tc>
        <w:tc>
          <w:tcPr>
            <w:tcW w:w="850" w:type="dxa"/>
            <w:vMerge w:val="restart"/>
            <w:tcBorders>
              <w:top w:val="single" w:sz="6" w:space="0" w:color="auto"/>
              <w:left w:val="single" w:sz="6" w:space="0" w:color="auto"/>
              <w:right w:val="single" w:sz="6" w:space="0" w:color="auto"/>
            </w:tcBorders>
            <w:vAlign w:val="center"/>
          </w:tcPr>
          <w:p>
            <w:pPr>
              <w:jc w:val="center"/>
              <w:rPr>
                <w:sz w:val="16"/>
                <w:szCs w:val="16"/>
                <w:lang w:eastAsia="lt-LT"/>
              </w:rPr>
            </w:pPr>
            <w:r>
              <w:rPr>
                <w:sz w:val="16"/>
                <w:szCs w:val="16"/>
                <w:lang w:eastAsia="lt-LT"/>
              </w:rPr>
              <w:t>Vartotojo tipas</w:t>
            </w:r>
          </w:p>
        </w:tc>
        <w:tc>
          <w:tcPr>
            <w:tcW w:w="1836" w:type="dxa"/>
            <w:gridSpan w:val="2"/>
            <w:vMerge w:val="restart"/>
            <w:tcBorders>
              <w:top w:val="single" w:sz="6" w:space="0" w:color="auto"/>
              <w:left w:val="single" w:sz="6" w:space="0" w:color="auto"/>
              <w:right w:val="single" w:sz="6" w:space="0" w:color="auto"/>
            </w:tcBorders>
            <w:vAlign w:val="center"/>
          </w:tcPr>
          <w:p>
            <w:pPr>
              <w:jc w:val="center"/>
              <w:rPr>
                <w:sz w:val="16"/>
                <w:szCs w:val="16"/>
                <w:lang w:eastAsia="lt-LT"/>
              </w:rPr>
            </w:pPr>
            <w:r>
              <w:rPr>
                <w:sz w:val="16"/>
                <w:szCs w:val="16"/>
                <w:lang w:eastAsia="lt-LT"/>
              </w:rPr>
              <w:t>Prijungimo tipas</w:t>
            </w:r>
          </w:p>
        </w:tc>
        <w:tc>
          <w:tcPr>
            <w:tcW w:w="708" w:type="dxa"/>
            <w:vMerge w:val="restart"/>
            <w:tcBorders>
              <w:top w:val="single" w:sz="6" w:space="0" w:color="auto"/>
              <w:left w:val="single" w:sz="6" w:space="0" w:color="auto"/>
              <w:right w:val="single" w:sz="6" w:space="0" w:color="auto"/>
            </w:tcBorders>
            <w:vAlign w:val="center"/>
          </w:tcPr>
          <w:p>
            <w:pPr>
              <w:jc w:val="center"/>
              <w:rPr>
                <w:sz w:val="16"/>
                <w:szCs w:val="16"/>
                <w:lang w:eastAsia="lt-LT"/>
              </w:rPr>
            </w:pPr>
            <w:r>
              <w:rPr>
                <w:sz w:val="16"/>
                <w:szCs w:val="16"/>
                <w:lang w:eastAsia="lt-LT"/>
              </w:rPr>
              <w:t>Naujų vartotojų skaičius</w:t>
            </w:r>
          </w:p>
        </w:tc>
        <w:tc>
          <w:tcPr>
            <w:tcW w:w="709" w:type="dxa"/>
            <w:vMerge w:val="restart"/>
            <w:tcBorders>
              <w:top w:val="single" w:sz="6" w:space="0" w:color="auto"/>
              <w:left w:val="single" w:sz="6" w:space="0" w:color="auto"/>
              <w:right w:val="single" w:sz="4" w:space="0" w:color="auto"/>
            </w:tcBorders>
            <w:vAlign w:val="center"/>
          </w:tcPr>
          <w:p>
            <w:pPr>
              <w:jc w:val="center"/>
              <w:rPr>
                <w:sz w:val="16"/>
                <w:szCs w:val="16"/>
                <w:lang w:eastAsia="lt-LT"/>
              </w:rPr>
            </w:pPr>
            <w:r>
              <w:rPr>
                <w:sz w:val="16"/>
                <w:szCs w:val="16"/>
                <w:lang w:eastAsia="lt-LT"/>
              </w:rPr>
              <w:t>Prijungta leistinoji naudoti galia</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16"/>
                <w:szCs w:val="16"/>
                <w:lang w:eastAsia="lt-LT"/>
              </w:rPr>
            </w:pPr>
            <w:r>
              <w:rPr>
                <w:sz w:val="16"/>
                <w:szCs w:val="16"/>
                <w:lang w:eastAsia="lt-LT"/>
              </w:rPr>
              <w:t>Parengta projektų</w:t>
            </w:r>
          </w:p>
        </w:tc>
        <w:tc>
          <w:tcPr>
            <w:tcW w:w="1843" w:type="dxa"/>
            <w:gridSpan w:val="2"/>
            <w:tcBorders>
              <w:top w:val="single" w:sz="6" w:space="0" w:color="auto"/>
              <w:left w:val="single" w:sz="4"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Elektros tinklo ilgis</w:t>
            </w:r>
          </w:p>
        </w:tc>
        <w:tc>
          <w:tcPr>
            <w:tcW w:w="1701" w:type="dxa"/>
            <w:gridSpan w:val="2"/>
            <w:tcBorders>
              <w:top w:val="single" w:sz="6" w:space="0" w:color="auto"/>
              <w:left w:val="single" w:sz="6" w:space="0" w:color="auto"/>
              <w:bottom w:val="single" w:sz="6" w:space="0" w:color="auto"/>
              <w:right w:val="single" w:sz="6" w:space="0" w:color="auto"/>
            </w:tcBorders>
            <w:vAlign w:val="center"/>
          </w:tcPr>
          <w:p>
            <w:pPr>
              <w:jc w:val="center"/>
              <w:rPr>
                <w:sz w:val="16"/>
                <w:szCs w:val="16"/>
                <w:lang w:eastAsia="lt-LT"/>
              </w:rPr>
            </w:pPr>
            <w:r>
              <w:rPr>
                <w:sz w:val="16"/>
                <w:szCs w:val="16"/>
                <w:lang w:eastAsia="lt-LT"/>
              </w:rPr>
              <w:t>Vartotojo sumokėtas prijungimo paslaugos mokestis</w:t>
            </w:r>
          </w:p>
        </w:tc>
        <w:tc>
          <w:tcPr>
            <w:tcW w:w="3118" w:type="dxa"/>
            <w:gridSpan w:val="3"/>
            <w:tcBorders>
              <w:top w:val="single" w:sz="6" w:space="0" w:color="auto"/>
              <w:left w:val="single" w:sz="6" w:space="0" w:color="auto"/>
              <w:bottom w:val="single" w:sz="6" w:space="0" w:color="auto"/>
              <w:right w:val="single" w:sz="4" w:space="0" w:color="auto"/>
            </w:tcBorders>
            <w:vAlign w:val="center"/>
          </w:tcPr>
          <w:p>
            <w:pPr>
              <w:jc w:val="center"/>
              <w:rPr>
                <w:sz w:val="16"/>
                <w:szCs w:val="16"/>
                <w:lang w:eastAsia="lt-LT"/>
              </w:rPr>
            </w:pPr>
            <w:r>
              <w:rPr>
                <w:sz w:val="16"/>
                <w:szCs w:val="16"/>
                <w:lang w:eastAsia="lt-LT"/>
              </w:rPr>
              <w:t>Operatoriaus patirtos išlaidos</w:t>
            </w:r>
          </w:p>
        </w:tc>
      </w:tr>
      <w:tr>
        <w:trPr>
          <w:trHeight w:val="458"/>
        </w:trPr>
        <w:tc>
          <w:tcPr>
            <w:tcW w:w="1134" w:type="dxa"/>
            <w:vMerge/>
            <w:tcBorders>
              <w:left w:val="single" w:sz="6" w:space="0" w:color="auto"/>
              <w:right w:val="single" w:sz="6" w:space="0" w:color="auto"/>
            </w:tcBorders>
            <w:vAlign w:val="center"/>
          </w:tcPr>
          <w:p>
            <w:pPr>
              <w:rPr>
                <w:sz w:val="16"/>
                <w:szCs w:val="16"/>
                <w:lang w:eastAsia="lt-LT"/>
              </w:rPr>
            </w:pPr>
          </w:p>
        </w:tc>
        <w:tc>
          <w:tcPr>
            <w:tcW w:w="850" w:type="dxa"/>
            <w:vMerge/>
            <w:tcBorders>
              <w:left w:val="single" w:sz="6" w:space="0" w:color="auto"/>
              <w:right w:val="single" w:sz="6" w:space="0" w:color="auto"/>
            </w:tcBorders>
            <w:vAlign w:val="center"/>
          </w:tcPr>
          <w:p>
            <w:pPr>
              <w:rPr>
                <w:sz w:val="16"/>
                <w:szCs w:val="16"/>
                <w:lang w:eastAsia="lt-LT"/>
              </w:rPr>
            </w:pPr>
          </w:p>
        </w:tc>
        <w:tc>
          <w:tcPr>
            <w:tcW w:w="1836" w:type="dxa"/>
            <w:gridSpan w:val="2"/>
            <w:vMerge/>
            <w:tcBorders>
              <w:left w:val="single" w:sz="6" w:space="0" w:color="auto"/>
              <w:right w:val="single" w:sz="6" w:space="0" w:color="auto"/>
            </w:tcBorders>
          </w:tcPr>
          <w:p>
            <w:pPr>
              <w:rPr>
                <w:sz w:val="16"/>
                <w:szCs w:val="16"/>
                <w:lang w:eastAsia="lt-LT"/>
              </w:rPr>
            </w:pPr>
          </w:p>
        </w:tc>
        <w:tc>
          <w:tcPr>
            <w:tcW w:w="708" w:type="dxa"/>
            <w:vMerge/>
            <w:tcBorders>
              <w:left w:val="single" w:sz="6" w:space="0" w:color="auto"/>
              <w:right w:val="single" w:sz="6" w:space="0" w:color="auto"/>
            </w:tcBorders>
            <w:vAlign w:val="center"/>
          </w:tcPr>
          <w:p>
            <w:pPr>
              <w:rPr>
                <w:sz w:val="16"/>
                <w:szCs w:val="16"/>
                <w:lang w:eastAsia="lt-LT"/>
              </w:rPr>
            </w:pPr>
          </w:p>
        </w:tc>
        <w:tc>
          <w:tcPr>
            <w:tcW w:w="709" w:type="dxa"/>
            <w:vMerge/>
            <w:tcBorders>
              <w:left w:val="single" w:sz="6" w:space="0" w:color="auto"/>
              <w:right w:val="single" w:sz="4" w:space="0" w:color="auto"/>
            </w:tcBorders>
            <w:vAlign w:val="center"/>
          </w:tcPr>
          <w:p>
            <w:pPr>
              <w:rPr>
                <w:sz w:val="16"/>
                <w:szCs w:val="16"/>
                <w:lang w:eastAsia="lt-LT"/>
              </w:rPr>
            </w:pPr>
          </w:p>
        </w:tc>
        <w:tc>
          <w:tcPr>
            <w:tcW w:w="1701" w:type="dxa"/>
            <w:gridSpan w:val="2"/>
            <w:vMerge/>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851" w:type="dxa"/>
            <w:vMerge w:val="restart"/>
            <w:tcBorders>
              <w:top w:val="single" w:sz="6" w:space="0" w:color="auto"/>
              <w:left w:val="single" w:sz="4" w:space="0" w:color="auto"/>
              <w:right w:val="single" w:sz="6" w:space="0" w:color="auto"/>
            </w:tcBorders>
            <w:vAlign w:val="center"/>
          </w:tcPr>
          <w:p>
            <w:pPr>
              <w:jc w:val="center"/>
              <w:rPr>
                <w:sz w:val="16"/>
                <w:szCs w:val="16"/>
                <w:lang w:eastAsia="lt-LT"/>
              </w:rPr>
            </w:pPr>
            <w:r>
              <w:rPr>
                <w:sz w:val="16"/>
                <w:szCs w:val="16"/>
                <w:lang w:eastAsia="lt-LT"/>
              </w:rPr>
              <w:t>nutiesta elektros tinklų</w:t>
            </w:r>
          </w:p>
        </w:tc>
        <w:tc>
          <w:tcPr>
            <w:tcW w:w="992" w:type="dxa"/>
            <w:vMerge w:val="restart"/>
            <w:tcBorders>
              <w:top w:val="single" w:sz="6" w:space="0" w:color="auto"/>
              <w:left w:val="single" w:sz="6" w:space="0" w:color="auto"/>
              <w:right w:val="single" w:sz="6" w:space="0" w:color="auto"/>
            </w:tcBorders>
            <w:vAlign w:val="center"/>
          </w:tcPr>
          <w:p>
            <w:pPr>
              <w:jc w:val="center"/>
              <w:rPr>
                <w:sz w:val="16"/>
                <w:szCs w:val="16"/>
                <w:lang w:eastAsia="lt-LT"/>
              </w:rPr>
            </w:pPr>
            <w:r>
              <w:rPr>
                <w:sz w:val="16"/>
                <w:szCs w:val="16"/>
                <w:lang w:eastAsia="lt-LT"/>
              </w:rPr>
              <w:t>apmokestintas geometrinis atstumas</w:t>
            </w:r>
          </w:p>
        </w:tc>
        <w:tc>
          <w:tcPr>
            <w:tcW w:w="850" w:type="dxa"/>
            <w:vMerge w:val="restart"/>
            <w:tcBorders>
              <w:top w:val="single" w:sz="6" w:space="0" w:color="auto"/>
              <w:left w:val="single" w:sz="6" w:space="0" w:color="auto"/>
              <w:right w:val="single" w:sz="6" w:space="0" w:color="auto"/>
            </w:tcBorders>
            <w:vAlign w:val="center"/>
          </w:tcPr>
          <w:p>
            <w:pPr>
              <w:jc w:val="center"/>
              <w:rPr>
                <w:sz w:val="16"/>
                <w:szCs w:val="16"/>
                <w:lang w:eastAsia="lt-LT"/>
              </w:rPr>
            </w:pPr>
            <w:r>
              <w:rPr>
                <w:sz w:val="16"/>
                <w:szCs w:val="16"/>
                <w:lang w:eastAsia="lt-LT"/>
              </w:rPr>
              <w:t>už leistinąją naudoti galią</w:t>
            </w:r>
          </w:p>
        </w:tc>
        <w:tc>
          <w:tcPr>
            <w:tcW w:w="851" w:type="dxa"/>
            <w:vMerge w:val="restart"/>
            <w:tcBorders>
              <w:top w:val="single" w:sz="6" w:space="0" w:color="auto"/>
              <w:left w:val="single" w:sz="6" w:space="0" w:color="auto"/>
              <w:right w:val="single" w:sz="4" w:space="0" w:color="auto"/>
            </w:tcBorders>
            <w:vAlign w:val="center"/>
          </w:tcPr>
          <w:p>
            <w:pPr>
              <w:jc w:val="center"/>
              <w:rPr>
                <w:sz w:val="16"/>
                <w:szCs w:val="16"/>
                <w:lang w:eastAsia="lt-LT"/>
              </w:rPr>
            </w:pPr>
            <w:r>
              <w:rPr>
                <w:sz w:val="16"/>
                <w:szCs w:val="16"/>
                <w:lang w:eastAsia="lt-LT"/>
              </w:rPr>
              <w:t>už atstumą</w:t>
            </w:r>
          </w:p>
        </w:tc>
        <w:tc>
          <w:tcPr>
            <w:tcW w:w="1134" w:type="dxa"/>
            <w:tcBorders>
              <w:top w:val="single" w:sz="4" w:space="0" w:color="auto"/>
              <w:left w:val="single" w:sz="4" w:space="0" w:color="auto"/>
              <w:bottom w:val="single" w:sz="4" w:space="0" w:color="auto"/>
              <w:right w:val="single" w:sz="4" w:space="0" w:color="auto"/>
            </w:tcBorders>
            <w:vAlign w:val="center"/>
          </w:tcPr>
          <w:p>
            <w:pPr>
              <w:jc w:val="center"/>
              <w:rPr>
                <w:sz w:val="16"/>
                <w:szCs w:val="16"/>
                <w:lang w:eastAsia="lt-LT"/>
              </w:rPr>
            </w:pPr>
            <w:r>
              <w:rPr>
                <w:sz w:val="16"/>
                <w:szCs w:val="16"/>
                <w:lang w:eastAsia="lt-LT"/>
              </w:rPr>
              <w:t>leistinajai naudoti galiai įrengti</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sz w:val="16"/>
                <w:szCs w:val="16"/>
                <w:lang w:eastAsia="lt-LT"/>
              </w:rPr>
            </w:pPr>
            <w:r>
              <w:rPr>
                <w:sz w:val="16"/>
                <w:szCs w:val="16"/>
                <w:lang w:eastAsia="lt-LT"/>
              </w:rPr>
              <w:t>elektros linijoms tiesti</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sz w:val="16"/>
                <w:szCs w:val="16"/>
                <w:lang w:eastAsia="lt-LT"/>
              </w:rPr>
            </w:pPr>
            <w:r>
              <w:rPr>
                <w:sz w:val="16"/>
                <w:szCs w:val="16"/>
                <w:lang w:eastAsia="lt-LT"/>
              </w:rPr>
              <w:t>projektams parengti</w:t>
            </w:r>
          </w:p>
        </w:tc>
      </w:tr>
      <w:tr>
        <w:trPr>
          <w:trHeight w:val="741"/>
        </w:trPr>
        <w:tc>
          <w:tcPr>
            <w:tcW w:w="1134" w:type="dxa"/>
            <w:vMerge/>
            <w:tcBorders>
              <w:left w:val="single" w:sz="6" w:space="0" w:color="auto"/>
              <w:bottom w:val="nil"/>
              <w:right w:val="single" w:sz="6" w:space="0" w:color="auto"/>
            </w:tcBorders>
            <w:vAlign w:val="center"/>
          </w:tcPr>
          <w:p>
            <w:pPr>
              <w:rPr>
                <w:sz w:val="16"/>
                <w:szCs w:val="16"/>
                <w:lang w:eastAsia="lt-LT"/>
              </w:rPr>
            </w:pPr>
          </w:p>
        </w:tc>
        <w:tc>
          <w:tcPr>
            <w:tcW w:w="850" w:type="dxa"/>
            <w:vMerge/>
            <w:tcBorders>
              <w:left w:val="single" w:sz="6" w:space="0" w:color="auto"/>
              <w:bottom w:val="nil"/>
              <w:right w:val="single" w:sz="6" w:space="0" w:color="auto"/>
            </w:tcBorders>
            <w:vAlign w:val="center"/>
          </w:tcPr>
          <w:p>
            <w:pPr>
              <w:rPr>
                <w:sz w:val="16"/>
                <w:szCs w:val="16"/>
                <w:lang w:eastAsia="lt-LT"/>
              </w:rPr>
            </w:pPr>
          </w:p>
        </w:tc>
        <w:tc>
          <w:tcPr>
            <w:tcW w:w="1836" w:type="dxa"/>
            <w:gridSpan w:val="2"/>
            <w:vMerge/>
            <w:tcBorders>
              <w:left w:val="single" w:sz="6" w:space="0" w:color="auto"/>
              <w:bottom w:val="single" w:sz="4" w:space="0" w:color="auto"/>
              <w:right w:val="single" w:sz="6" w:space="0" w:color="auto"/>
            </w:tcBorders>
          </w:tcPr>
          <w:p>
            <w:pPr>
              <w:rPr>
                <w:sz w:val="16"/>
                <w:szCs w:val="16"/>
                <w:lang w:eastAsia="lt-LT"/>
              </w:rPr>
            </w:pPr>
          </w:p>
        </w:tc>
        <w:tc>
          <w:tcPr>
            <w:tcW w:w="708" w:type="dxa"/>
            <w:vMerge/>
            <w:tcBorders>
              <w:left w:val="single" w:sz="6" w:space="0" w:color="auto"/>
              <w:bottom w:val="nil"/>
              <w:right w:val="single" w:sz="6" w:space="0" w:color="auto"/>
            </w:tcBorders>
            <w:vAlign w:val="center"/>
          </w:tcPr>
          <w:p>
            <w:pPr>
              <w:rPr>
                <w:sz w:val="16"/>
                <w:szCs w:val="16"/>
                <w:lang w:eastAsia="lt-LT"/>
              </w:rPr>
            </w:pPr>
          </w:p>
        </w:tc>
        <w:tc>
          <w:tcPr>
            <w:tcW w:w="709" w:type="dxa"/>
            <w:vMerge/>
            <w:tcBorders>
              <w:left w:val="single" w:sz="6" w:space="0" w:color="auto"/>
              <w:bottom w:val="nil"/>
              <w:right w:val="single" w:sz="4" w:space="0" w:color="auto"/>
            </w:tcBorders>
            <w:vAlign w:val="center"/>
          </w:tcPr>
          <w:p>
            <w:pPr>
              <w:rPr>
                <w:sz w:val="16"/>
                <w:szCs w:val="16"/>
                <w:lang w:eastAsia="lt-LT"/>
              </w:rPr>
            </w:pPr>
          </w:p>
        </w:tc>
        <w:tc>
          <w:tcPr>
            <w:tcW w:w="851" w:type="dxa"/>
            <w:vMerge w:val="restart"/>
            <w:tcBorders>
              <w:left w:val="single" w:sz="4" w:space="0" w:color="auto"/>
              <w:bottom w:val="nil"/>
              <w:right w:val="single" w:sz="4" w:space="0" w:color="auto"/>
            </w:tcBorders>
            <w:vAlign w:val="center"/>
          </w:tcPr>
          <w:p>
            <w:pPr>
              <w:jc w:val="center"/>
              <w:rPr>
                <w:sz w:val="16"/>
                <w:szCs w:val="16"/>
                <w:lang w:eastAsia="lt-LT"/>
              </w:rPr>
            </w:pPr>
            <w:r>
              <w:rPr>
                <w:sz w:val="16"/>
                <w:szCs w:val="16"/>
                <w:lang w:eastAsia="lt-LT"/>
              </w:rPr>
              <w:t>Vartotojai</w:t>
            </w:r>
          </w:p>
        </w:tc>
        <w:tc>
          <w:tcPr>
            <w:tcW w:w="850" w:type="dxa"/>
            <w:vMerge w:val="restart"/>
            <w:tcBorders>
              <w:top w:val="single" w:sz="4" w:space="0" w:color="auto"/>
              <w:left w:val="single" w:sz="4" w:space="0" w:color="auto"/>
              <w:bottom w:val="nil"/>
              <w:right w:val="single" w:sz="4" w:space="0" w:color="auto"/>
            </w:tcBorders>
            <w:vAlign w:val="center"/>
          </w:tcPr>
          <w:p>
            <w:pPr>
              <w:jc w:val="center"/>
              <w:rPr>
                <w:sz w:val="16"/>
                <w:szCs w:val="16"/>
                <w:lang w:eastAsia="lt-LT"/>
              </w:rPr>
            </w:pPr>
            <w:r>
              <w:rPr>
                <w:sz w:val="16"/>
                <w:szCs w:val="16"/>
                <w:lang w:eastAsia="lt-LT"/>
              </w:rPr>
              <w:t>Operatorius</w:t>
            </w:r>
          </w:p>
        </w:tc>
        <w:tc>
          <w:tcPr>
            <w:tcW w:w="851" w:type="dxa"/>
            <w:vMerge/>
            <w:tcBorders>
              <w:left w:val="single" w:sz="4" w:space="0" w:color="auto"/>
              <w:bottom w:val="nil"/>
              <w:right w:val="single" w:sz="6" w:space="0" w:color="auto"/>
            </w:tcBorders>
            <w:vAlign w:val="center"/>
          </w:tcPr>
          <w:p>
            <w:pPr>
              <w:jc w:val="center"/>
              <w:rPr>
                <w:sz w:val="16"/>
                <w:szCs w:val="16"/>
                <w:lang w:eastAsia="lt-LT"/>
              </w:rPr>
            </w:pPr>
          </w:p>
        </w:tc>
        <w:tc>
          <w:tcPr>
            <w:tcW w:w="992" w:type="dxa"/>
            <w:vMerge/>
            <w:tcBorders>
              <w:left w:val="single" w:sz="6" w:space="0" w:color="auto"/>
              <w:bottom w:val="nil"/>
              <w:right w:val="single" w:sz="6" w:space="0" w:color="auto"/>
            </w:tcBorders>
            <w:vAlign w:val="center"/>
          </w:tcPr>
          <w:p>
            <w:pPr>
              <w:jc w:val="center"/>
              <w:rPr>
                <w:sz w:val="16"/>
                <w:szCs w:val="16"/>
                <w:lang w:eastAsia="lt-LT"/>
              </w:rPr>
            </w:pPr>
          </w:p>
        </w:tc>
        <w:tc>
          <w:tcPr>
            <w:tcW w:w="850" w:type="dxa"/>
            <w:vMerge/>
            <w:tcBorders>
              <w:left w:val="single" w:sz="6" w:space="0" w:color="auto"/>
              <w:bottom w:val="nil"/>
              <w:right w:val="single" w:sz="6" w:space="0" w:color="auto"/>
            </w:tcBorders>
            <w:vAlign w:val="center"/>
          </w:tcPr>
          <w:p>
            <w:pPr>
              <w:jc w:val="center"/>
              <w:rPr>
                <w:sz w:val="16"/>
                <w:szCs w:val="16"/>
                <w:lang w:eastAsia="lt-LT"/>
              </w:rPr>
            </w:pPr>
          </w:p>
        </w:tc>
        <w:tc>
          <w:tcPr>
            <w:tcW w:w="851" w:type="dxa"/>
            <w:vMerge/>
            <w:tcBorders>
              <w:left w:val="single" w:sz="6" w:space="0" w:color="auto"/>
              <w:bottom w:val="nil"/>
              <w:right w:val="single" w:sz="4" w:space="0" w:color="auto"/>
            </w:tcBorders>
            <w:vAlign w:val="center"/>
          </w:tcPr>
          <w:p>
            <w:pPr>
              <w:jc w:val="center"/>
              <w:rPr>
                <w:sz w:val="16"/>
                <w:szCs w:val="16"/>
                <w:lang w:eastAsia="lt-LT"/>
              </w:rPr>
            </w:pPr>
          </w:p>
        </w:tc>
        <w:tc>
          <w:tcPr>
            <w:tcW w:w="1134" w:type="dxa"/>
            <w:vMerge w:val="restart"/>
            <w:tcBorders>
              <w:top w:val="single" w:sz="6" w:space="0" w:color="auto"/>
              <w:left w:val="single" w:sz="4" w:space="0" w:color="auto"/>
              <w:bottom w:val="nil"/>
              <w:right w:val="single" w:sz="4" w:space="0" w:color="auto"/>
            </w:tcBorders>
            <w:vAlign w:val="center"/>
          </w:tcPr>
          <w:p>
            <w:pPr>
              <w:jc w:val="center"/>
              <w:rPr>
                <w:sz w:val="16"/>
                <w:szCs w:val="16"/>
                <w:lang w:eastAsia="lt-LT"/>
              </w:rPr>
            </w:pPr>
            <w:r>
              <w:rPr>
                <w:sz w:val="16"/>
                <w:szCs w:val="16"/>
                <w:lang w:eastAsia="lt-LT"/>
              </w:rPr>
              <w:t xml:space="preserve">galiai įrengti </w:t>
            </w:r>
          </w:p>
        </w:tc>
        <w:tc>
          <w:tcPr>
            <w:tcW w:w="992" w:type="dxa"/>
            <w:vMerge w:val="restart"/>
            <w:tcBorders>
              <w:top w:val="single" w:sz="4" w:space="0" w:color="auto"/>
              <w:left w:val="single" w:sz="4" w:space="0" w:color="auto"/>
              <w:bottom w:val="nil"/>
              <w:right w:val="single" w:sz="4" w:space="0" w:color="auto"/>
            </w:tcBorders>
            <w:vAlign w:val="center"/>
          </w:tcPr>
          <w:p>
            <w:pPr>
              <w:jc w:val="center"/>
              <w:rPr>
                <w:sz w:val="16"/>
                <w:szCs w:val="16"/>
                <w:lang w:eastAsia="lt-LT"/>
              </w:rPr>
            </w:pPr>
            <w:r>
              <w:rPr>
                <w:sz w:val="16"/>
                <w:szCs w:val="16"/>
                <w:lang w:eastAsia="lt-LT"/>
              </w:rPr>
              <w:t>elektros linijoms tiesti</w:t>
            </w:r>
          </w:p>
        </w:tc>
        <w:tc>
          <w:tcPr>
            <w:tcW w:w="992" w:type="dxa"/>
            <w:vMerge w:val="restart"/>
            <w:tcBorders>
              <w:top w:val="single" w:sz="4" w:space="0" w:color="auto"/>
              <w:left w:val="single" w:sz="4" w:space="0" w:color="auto"/>
              <w:bottom w:val="nil"/>
              <w:right w:val="single" w:sz="4" w:space="0" w:color="auto"/>
            </w:tcBorders>
            <w:vAlign w:val="center"/>
          </w:tcPr>
          <w:p>
            <w:pPr>
              <w:jc w:val="center"/>
              <w:rPr>
                <w:sz w:val="16"/>
                <w:szCs w:val="16"/>
                <w:lang w:eastAsia="lt-LT"/>
              </w:rPr>
            </w:pPr>
            <w:r>
              <w:rPr>
                <w:sz w:val="16"/>
                <w:szCs w:val="16"/>
                <w:lang w:eastAsia="lt-LT"/>
              </w:rPr>
              <w:t>projektui parengti</w:t>
            </w:r>
          </w:p>
        </w:tc>
      </w:tr>
      <w:tr>
        <w:trPr>
          <w:trHeight w:val="340"/>
        </w:trPr>
        <w:tc>
          <w:tcPr>
            <w:tcW w:w="1134" w:type="dxa"/>
            <w:vMerge/>
            <w:tcBorders>
              <w:left w:val="single" w:sz="6" w:space="0" w:color="auto"/>
              <w:right w:val="single" w:sz="6" w:space="0" w:color="auto"/>
            </w:tcBorders>
            <w:vAlign w:val="center"/>
          </w:tcPr>
          <w:p>
            <w:pPr>
              <w:rPr>
                <w:sz w:val="16"/>
                <w:szCs w:val="16"/>
                <w:lang w:eastAsia="lt-LT"/>
              </w:rPr>
            </w:pPr>
          </w:p>
        </w:tc>
        <w:tc>
          <w:tcPr>
            <w:tcW w:w="850" w:type="dxa"/>
            <w:vMerge/>
            <w:tcBorders>
              <w:left w:val="single" w:sz="6" w:space="0" w:color="auto"/>
              <w:right w:val="single" w:sz="4" w:space="0" w:color="auto"/>
            </w:tcBorders>
            <w:vAlign w:val="center"/>
          </w:tcPr>
          <w:p>
            <w:pPr>
              <w:rPr>
                <w:sz w:val="16"/>
                <w:szCs w:val="16"/>
                <w:lang w:eastAsia="lt-LT"/>
              </w:rPr>
            </w:pPr>
          </w:p>
        </w:tc>
        <w:tc>
          <w:tcPr>
            <w:tcW w:w="843" w:type="dxa"/>
            <w:tcBorders>
              <w:top w:val="single" w:sz="4" w:space="0" w:color="auto"/>
              <w:left w:val="single" w:sz="4" w:space="0" w:color="auto"/>
              <w:bottom w:val="single" w:sz="4" w:space="0" w:color="auto"/>
              <w:right w:val="single" w:sz="4" w:space="0" w:color="auto"/>
            </w:tcBorders>
          </w:tcPr>
          <w:p>
            <w:pPr>
              <w:rPr>
                <w:sz w:val="16"/>
                <w:szCs w:val="16"/>
                <w:lang w:eastAsia="lt-LT"/>
              </w:rPr>
            </w:pPr>
            <w:r>
              <w:rPr>
                <w:sz w:val="16"/>
                <w:szCs w:val="16"/>
                <w:lang w:eastAsia="lt-LT"/>
              </w:rPr>
              <w:t>Naujų elektros tinklų, įrenginių įrengimas</w:t>
            </w:r>
          </w:p>
        </w:tc>
        <w:tc>
          <w:tcPr>
            <w:tcW w:w="993" w:type="dxa"/>
            <w:tcBorders>
              <w:top w:val="single" w:sz="4" w:space="0" w:color="auto"/>
              <w:left w:val="single" w:sz="4" w:space="0" w:color="auto"/>
              <w:bottom w:val="single" w:sz="4" w:space="0" w:color="auto"/>
              <w:right w:val="single" w:sz="4" w:space="0" w:color="auto"/>
            </w:tcBorders>
          </w:tcPr>
          <w:p>
            <w:pPr>
              <w:rPr>
                <w:sz w:val="16"/>
                <w:szCs w:val="16"/>
                <w:lang w:eastAsia="lt-LT"/>
              </w:rPr>
            </w:pPr>
            <w:r>
              <w:rPr>
                <w:sz w:val="16"/>
                <w:szCs w:val="16"/>
                <w:lang w:eastAsia="lt-LT"/>
              </w:rPr>
              <w:t xml:space="preserve">Elektros tinklų, įrenginių rekonstrukcija </w:t>
            </w:r>
          </w:p>
        </w:tc>
        <w:tc>
          <w:tcPr>
            <w:tcW w:w="708" w:type="dxa"/>
            <w:vMerge/>
            <w:tcBorders>
              <w:left w:val="single" w:sz="4" w:space="0" w:color="auto"/>
              <w:right w:val="single" w:sz="6" w:space="0" w:color="auto"/>
            </w:tcBorders>
            <w:vAlign w:val="center"/>
          </w:tcPr>
          <w:p>
            <w:pPr>
              <w:rPr>
                <w:sz w:val="16"/>
                <w:szCs w:val="16"/>
                <w:lang w:eastAsia="lt-LT"/>
              </w:rPr>
            </w:pPr>
          </w:p>
        </w:tc>
        <w:tc>
          <w:tcPr>
            <w:tcW w:w="709" w:type="dxa"/>
            <w:vMerge/>
            <w:tcBorders>
              <w:left w:val="single" w:sz="6" w:space="0" w:color="auto"/>
              <w:right w:val="single" w:sz="4" w:space="0" w:color="auto"/>
            </w:tcBorders>
            <w:vAlign w:val="center"/>
          </w:tcPr>
          <w:p>
            <w:pPr>
              <w:rPr>
                <w:sz w:val="16"/>
                <w:szCs w:val="16"/>
                <w:lang w:eastAsia="lt-LT"/>
              </w:rPr>
            </w:pPr>
          </w:p>
        </w:tc>
        <w:tc>
          <w:tcPr>
            <w:tcW w:w="851" w:type="dxa"/>
            <w:vMerge/>
            <w:tcBorders>
              <w:left w:val="single" w:sz="4" w:space="0" w:color="auto"/>
              <w:right w:val="single" w:sz="4" w:space="0" w:color="auto"/>
            </w:tcBorders>
            <w:vAlign w:val="center"/>
          </w:tcPr>
          <w:p>
            <w:pPr>
              <w:jc w:val="center"/>
              <w:rPr>
                <w:b/>
                <w:sz w:val="16"/>
                <w:szCs w:val="16"/>
                <w:lang w:eastAsia="lt-LT"/>
              </w:rPr>
            </w:pPr>
          </w:p>
        </w:tc>
        <w:tc>
          <w:tcPr>
            <w:tcW w:w="850" w:type="dxa"/>
            <w:vMerge/>
            <w:tcBorders>
              <w:left w:val="single" w:sz="4" w:space="0" w:color="auto"/>
              <w:bottom w:val="single" w:sz="4" w:space="0" w:color="auto"/>
              <w:right w:val="single" w:sz="4" w:space="0" w:color="auto"/>
            </w:tcBorders>
            <w:vAlign w:val="center"/>
          </w:tcPr>
          <w:p>
            <w:pPr>
              <w:jc w:val="center"/>
              <w:rPr>
                <w:b/>
                <w:sz w:val="16"/>
                <w:szCs w:val="16"/>
                <w:lang w:eastAsia="lt-LT"/>
              </w:rPr>
            </w:pPr>
          </w:p>
        </w:tc>
        <w:tc>
          <w:tcPr>
            <w:tcW w:w="851" w:type="dxa"/>
            <w:vMerge/>
            <w:tcBorders>
              <w:left w:val="single" w:sz="4" w:space="0" w:color="auto"/>
              <w:right w:val="single" w:sz="6" w:space="0" w:color="auto"/>
            </w:tcBorders>
            <w:vAlign w:val="center"/>
          </w:tcPr>
          <w:p>
            <w:pPr>
              <w:jc w:val="center"/>
              <w:rPr>
                <w:sz w:val="16"/>
                <w:szCs w:val="16"/>
                <w:lang w:eastAsia="lt-LT"/>
              </w:rPr>
            </w:pPr>
          </w:p>
        </w:tc>
        <w:tc>
          <w:tcPr>
            <w:tcW w:w="992" w:type="dxa"/>
            <w:vMerge/>
            <w:tcBorders>
              <w:left w:val="single" w:sz="6" w:space="0" w:color="auto"/>
              <w:right w:val="single" w:sz="6" w:space="0" w:color="auto"/>
            </w:tcBorders>
            <w:vAlign w:val="center"/>
          </w:tcPr>
          <w:p>
            <w:pPr>
              <w:jc w:val="center"/>
              <w:rPr>
                <w:sz w:val="16"/>
                <w:szCs w:val="16"/>
                <w:lang w:eastAsia="lt-LT"/>
              </w:rPr>
            </w:pPr>
          </w:p>
        </w:tc>
        <w:tc>
          <w:tcPr>
            <w:tcW w:w="850" w:type="dxa"/>
            <w:vMerge/>
            <w:tcBorders>
              <w:left w:val="single" w:sz="6" w:space="0" w:color="auto"/>
              <w:right w:val="single" w:sz="6" w:space="0" w:color="auto"/>
            </w:tcBorders>
            <w:vAlign w:val="center"/>
          </w:tcPr>
          <w:p>
            <w:pPr>
              <w:jc w:val="center"/>
              <w:rPr>
                <w:sz w:val="16"/>
                <w:szCs w:val="16"/>
                <w:lang w:eastAsia="lt-LT"/>
              </w:rPr>
            </w:pPr>
          </w:p>
        </w:tc>
        <w:tc>
          <w:tcPr>
            <w:tcW w:w="851" w:type="dxa"/>
            <w:vMerge/>
            <w:tcBorders>
              <w:left w:val="single" w:sz="6" w:space="0" w:color="auto"/>
              <w:right w:val="single" w:sz="4" w:space="0" w:color="auto"/>
            </w:tcBorders>
            <w:vAlign w:val="center"/>
          </w:tcPr>
          <w:p>
            <w:pPr>
              <w:jc w:val="center"/>
              <w:rPr>
                <w:sz w:val="16"/>
                <w:szCs w:val="16"/>
                <w:lang w:eastAsia="lt-LT"/>
              </w:rPr>
            </w:pPr>
          </w:p>
        </w:tc>
        <w:tc>
          <w:tcPr>
            <w:tcW w:w="1134" w:type="dxa"/>
            <w:vMerge/>
            <w:tcBorders>
              <w:left w:val="single" w:sz="4" w:space="0" w:color="auto"/>
              <w:right w:val="single" w:sz="4" w:space="0" w:color="auto"/>
            </w:tcBorders>
            <w:vAlign w:val="center"/>
          </w:tcPr>
          <w:p>
            <w:pPr>
              <w:jc w:val="center"/>
              <w:rPr>
                <w:b/>
                <w:sz w:val="16"/>
                <w:szCs w:val="16"/>
                <w:lang w:eastAsia="lt-LT"/>
              </w:rPr>
            </w:pPr>
          </w:p>
        </w:tc>
        <w:tc>
          <w:tcPr>
            <w:tcW w:w="992" w:type="dxa"/>
            <w:vMerge/>
            <w:tcBorders>
              <w:left w:val="single" w:sz="4" w:space="0" w:color="auto"/>
              <w:bottom w:val="single" w:sz="4" w:space="0" w:color="auto"/>
              <w:right w:val="single" w:sz="4" w:space="0" w:color="auto"/>
            </w:tcBorders>
            <w:vAlign w:val="center"/>
          </w:tcPr>
          <w:p>
            <w:pPr>
              <w:jc w:val="center"/>
              <w:rPr>
                <w:b/>
                <w:sz w:val="16"/>
                <w:szCs w:val="16"/>
                <w:lang w:eastAsia="lt-LT"/>
              </w:rPr>
            </w:pPr>
          </w:p>
        </w:tc>
        <w:tc>
          <w:tcPr>
            <w:tcW w:w="992" w:type="dxa"/>
            <w:vMerge/>
            <w:tcBorders>
              <w:left w:val="single" w:sz="4" w:space="0" w:color="auto"/>
              <w:bottom w:val="single" w:sz="4" w:space="0" w:color="auto"/>
              <w:right w:val="single" w:sz="4" w:space="0" w:color="auto"/>
            </w:tcBorders>
            <w:vAlign w:val="center"/>
          </w:tcPr>
          <w:p>
            <w:pPr>
              <w:jc w:val="center"/>
              <w:rPr>
                <w:b/>
                <w:sz w:val="16"/>
                <w:szCs w:val="16"/>
                <w:lang w:eastAsia="lt-LT"/>
              </w:rPr>
            </w:pPr>
          </w:p>
        </w:tc>
      </w:tr>
      <w:tr>
        <w:tc>
          <w:tcPr>
            <w:tcW w:w="1134" w:type="dxa"/>
            <w:vMerge/>
            <w:tcBorders>
              <w:left w:val="single" w:sz="6" w:space="0" w:color="auto"/>
              <w:bottom w:val="single" w:sz="6" w:space="0" w:color="auto"/>
              <w:right w:val="single" w:sz="6" w:space="0" w:color="auto"/>
            </w:tcBorders>
            <w:vAlign w:val="center"/>
          </w:tcPr>
          <w:p>
            <w:pPr>
              <w:rPr>
                <w:sz w:val="16"/>
                <w:szCs w:val="16"/>
                <w:lang w:eastAsia="lt-LT"/>
              </w:rPr>
            </w:pPr>
          </w:p>
        </w:tc>
        <w:tc>
          <w:tcPr>
            <w:tcW w:w="850" w:type="dxa"/>
            <w:vMerge/>
            <w:tcBorders>
              <w:left w:val="single" w:sz="6" w:space="0" w:color="auto"/>
              <w:bottom w:val="single" w:sz="6" w:space="0" w:color="auto"/>
              <w:right w:val="single" w:sz="6" w:space="0" w:color="auto"/>
            </w:tcBorders>
            <w:vAlign w:val="center"/>
          </w:tcPr>
          <w:p>
            <w:pPr>
              <w:rPr>
                <w:sz w:val="16"/>
                <w:szCs w:val="16"/>
                <w:lang w:eastAsia="lt-LT"/>
              </w:rPr>
            </w:pPr>
          </w:p>
        </w:tc>
        <w:tc>
          <w:tcPr>
            <w:tcW w:w="843" w:type="dxa"/>
            <w:tcBorders>
              <w:top w:val="single" w:sz="4"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proc.</w:t>
            </w:r>
          </w:p>
        </w:tc>
        <w:tc>
          <w:tcPr>
            <w:tcW w:w="993" w:type="dxa"/>
            <w:tcBorders>
              <w:top w:val="single" w:sz="4"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proc.</w:t>
            </w:r>
          </w:p>
        </w:tc>
        <w:tc>
          <w:tcPr>
            <w:tcW w:w="708"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vnt.</w:t>
            </w:r>
          </w:p>
        </w:tc>
        <w:tc>
          <w:tcPr>
            <w:tcW w:w="709"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kW</w:t>
            </w:r>
          </w:p>
        </w:tc>
        <w:tc>
          <w:tcPr>
            <w:tcW w:w="851"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vnt.</w:t>
            </w:r>
          </w:p>
        </w:tc>
        <w:tc>
          <w:tcPr>
            <w:tcW w:w="850" w:type="dxa"/>
            <w:tcBorders>
              <w:top w:val="single" w:sz="4"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vnt.</w:t>
            </w:r>
          </w:p>
        </w:tc>
        <w:tc>
          <w:tcPr>
            <w:tcW w:w="851"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m</w:t>
            </w:r>
          </w:p>
        </w:tc>
        <w:tc>
          <w:tcPr>
            <w:tcW w:w="992"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m</w:t>
            </w:r>
          </w:p>
        </w:tc>
        <w:tc>
          <w:tcPr>
            <w:tcW w:w="850"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Eur</w:t>
            </w:r>
          </w:p>
        </w:tc>
        <w:tc>
          <w:tcPr>
            <w:tcW w:w="851"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Eur</w:t>
            </w:r>
          </w:p>
        </w:tc>
        <w:tc>
          <w:tcPr>
            <w:tcW w:w="1134"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Eur</w:t>
            </w:r>
          </w:p>
        </w:tc>
        <w:tc>
          <w:tcPr>
            <w:tcW w:w="992" w:type="dxa"/>
            <w:tcBorders>
              <w:top w:val="single" w:sz="4"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Eur</w:t>
            </w:r>
          </w:p>
        </w:tc>
        <w:tc>
          <w:tcPr>
            <w:tcW w:w="992" w:type="dxa"/>
            <w:tcBorders>
              <w:top w:val="single" w:sz="4"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Eur</w:t>
            </w:r>
          </w:p>
        </w:tc>
      </w:tr>
      <w:tr>
        <w:tc>
          <w:tcPr>
            <w:tcW w:w="1134"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w:t>
            </w:r>
          </w:p>
        </w:tc>
        <w:tc>
          <w:tcPr>
            <w:tcW w:w="850"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2</w:t>
            </w:r>
          </w:p>
        </w:tc>
        <w:tc>
          <w:tcPr>
            <w:tcW w:w="843"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3</w:t>
            </w:r>
          </w:p>
        </w:tc>
        <w:tc>
          <w:tcPr>
            <w:tcW w:w="993"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4</w:t>
            </w:r>
          </w:p>
        </w:tc>
        <w:tc>
          <w:tcPr>
            <w:tcW w:w="708"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5</w:t>
            </w:r>
          </w:p>
        </w:tc>
        <w:tc>
          <w:tcPr>
            <w:tcW w:w="709"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6</w:t>
            </w:r>
          </w:p>
        </w:tc>
        <w:tc>
          <w:tcPr>
            <w:tcW w:w="851"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7</w:t>
            </w:r>
          </w:p>
        </w:tc>
        <w:tc>
          <w:tcPr>
            <w:tcW w:w="850"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8</w:t>
            </w:r>
          </w:p>
        </w:tc>
        <w:tc>
          <w:tcPr>
            <w:tcW w:w="851"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9</w:t>
            </w:r>
          </w:p>
        </w:tc>
        <w:tc>
          <w:tcPr>
            <w:tcW w:w="992"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10</w:t>
            </w:r>
          </w:p>
        </w:tc>
        <w:tc>
          <w:tcPr>
            <w:tcW w:w="850"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11</w:t>
            </w:r>
          </w:p>
        </w:tc>
        <w:tc>
          <w:tcPr>
            <w:tcW w:w="851"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12</w:t>
            </w:r>
          </w:p>
        </w:tc>
        <w:tc>
          <w:tcPr>
            <w:tcW w:w="1134"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13</w:t>
            </w:r>
          </w:p>
        </w:tc>
        <w:tc>
          <w:tcPr>
            <w:tcW w:w="992"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14</w:t>
            </w:r>
          </w:p>
        </w:tc>
        <w:tc>
          <w:tcPr>
            <w:tcW w:w="992" w:type="dxa"/>
            <w:tcBorders>
              <w:top w:val="single" w:sz="6" w:space="0" w:color="auto"/>
              <w:left w:val="single" w:sz="6" w:space="0" w:color="auto"/>
              <w:bottom w:val="single" w:sz="6" w:space="0" w:color="auto"/>
              <w:right w:val="single" w:sz="6" w:space="0" w:color="auto"/>
            </w:tcBorders>
          </w:tcPr>
          <w:p>
            <w:pPr>
              <w:jc w:val="center"/>
              <w:rPr>
                <w:sz w:val="16"/>
                <w:szCs w:val="16"/>
                <w:lang w:eastAsia="lt-LT"/>
              </w:rPr>
            </w:pPr>
            <w:r>
              <w:rPr>
                <w:sz w:val="16"/>
                <w:szCs w:val="16"/>
                <w:lang w:eastAsia="lt-LT"/>
              </w:rPr>
              <w:t>15</w:t>
            </w:r>
          </w:p>
        </w:tc>
      </w:tr>
      <w:tr>
        <w:tc>
          <w:tcPr>
            <w:tcW w:w="1134" w:type="dxa"/>
            <w:vMerge w:val="restart"/>
            <w:tcBorders>
              <w:top w:val="single" w:sz="6" w:space="0" w:color="auto"/>
              <w:left w:val="single" w:sz="6" w:space="0" w:color="auto"/>
              <w:right w:val="single" w:sz="6" w:space="0" w:color="auto"/>
            </w:tcBorders>
          </w:tcPr>
          <w:p>
            <w:pPr>
              <w:rPr>
                <w:sz w:val="16"/>
                <w:szCs w:val="16"/>
                <w:lang w:eastAsia="lt-LT"/>
              </w:rPr>
            </w:pPr>
            <w:r>
              <w:rPr>
                <w:sz w:val="16"/>
                <w:szCs w:val="16"/>
                <w:lang w:eastAsia="lt-LT"/>
              </w:rPr>
              <w:t>I grupė</w:t>
            </w:r>
          </w:p>
        </w:tc>
        <w:tc>
          <w:tcPr>
            <w:tcW w:w="850" w:type="dxa"/>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r>
              <w:rPr>
                <w:sz w:val="16"/>
                <w:szCs w:val="16"/>
                <w:lang w:eastAsia="lt-LT"/>
              </w:rPr>
              <w:t>Buitinis</w:t>
            </w:r>
          </w:p>
        </w:tc>
        <w:tc>
          <w:tcPr>
            <w:tcW w:w="843"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3"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1134"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r>
      <w:tr>
        <w:tc>
          <w:tcPr>
            <w:tcW w:w="1134" w:type="dxa"/>
            <w:vMerge/>
            <w:tcBorders>
              <w:left w:val="single" w:sz="6" w:space="0" w:color="auto"/>
              <w:bottom w:val="single" w:sz="6" w:space="0" w:color="auto"/>
              <w:right w:val="single" w:sz="6" w:space="0" w:color="auto"/>
            </w:tcBorders>
          </w:tcPr>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r>
              <w:rPr>
                <w:sz w:val="16"/>
                <w:szCs w:val="16"/>
                <w:lang w:eastAsia="lt-LT"/>
              </w:rPr>
              <w:t>Nebuitinis</w:t>
            </w:r>
          </w:p>
        </w:tc>
        <w:tc>
          <w:tcPr>
            <w:tcW w:w="843"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3"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1134"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r>
      <w:tr>
        <w:tc>
          <w:tcPr>
            <w:tcW w:w="1134" w:type="dxa"/>
            <w:vMerge w:val="restart"/>
            <w:tcBorders>
              <w:top w:val="single" w:sz="6" w:space="0" w:color="auto"/>
              <w:left w:val="single" w:sz="6" w:space="0" w:color="auto"/>
              <w:bottom w:val="single" w:sz="6" w:space="0" w:color="auto"/>
              <w:right w:val="single" w:sz="6" w:space="0" w:color="auto"/>
            </w:tcBorders>
            <w:vAlign w:val="bottom"/>
          </w:tcPr>
          <w:p>
            <w:pPr>
              <w:rPr>
                <w:sz w:val="16"/>
                <w:szCs w:val="16"/>
                <w:lang w:eastAsia="lt-LT"/>
              </w:rPr>
            </w:pPr>
            <w:r>
              <w:rPr>
                <w:sz w:val="16"/>
                <w:szCs w:val="16"/>
                <w:lang w:eastAsia="lt-LT"/>
              </w:rPr>
              <w:t>II grupė</w:t>
            </w:r>
          </w:p>
        </w:tc>
        <w:tc>
          <w:tcPr>
            <w:tcW w:w="850" w:type="dxa"/>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r>
              <w:rPr>
                <w:sz w:val="16"/>
                <w:szCs w:val="16"/>
                <w:lang w:eastAsia="lt-LT"/>
              </w:rPr>
              <w:t>Buitinis</w:t>
            </w:r>
          </w:p>
        </w:tc>
        <w:tc>
          <w:tcPr>
            <w:tcW w:w="843"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3"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1134"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r>
      <w:tr>
        <w:tc>
          <w:tcPr>
            <w:tcW w:w="1134"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r>
              <w:rPr>
                <w:sz w:val="16"/>
                <w:szCs w:val="16"/>
                <w:lang w:eastAsia="lt-LT"/>
              </w:rPr>
              <w:t>Nebuitinis</w:t>
            </w:r>
          </w:p>
        </w:tc>
        <w:tc>
          <w:tcPr>
            <w:tcW w:w="843"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3"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1134"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r>
      <w:tr>
        <w:tc>
          <w:tcPr>
            <w:tcW w:w="1134" w:type="dxa"/>
            <w:vMerge w:val="restart"/>
            <w:tcBorders>
              <w:top w:val="single" w:sz="6" w:space="0" w:color="auto"/>
              <w:left w:val="single" w:sz="6" w:space="0" w:color="auto"/>
              <w:bottom w:val="single" w:sz="6" w:space="0" w:color="auto"/>
              <w:right w:val="single" w:sz="6" w:space="0" w:color="auto"/>
            </w:tcBorders>
            <w:vAlign w:val="bottom"/>
          </w:tcPr>
          <w:p>
            <w:pPr>
              <w:rPr>
                <w:sz w:val="16"/>
                <w:szCs w:val="16"/>
                <w:lang w:eastAsia="lt-LT"/>
              </w:rPr>
            </w:pPr>
            <w:r>
              <w:rPr>
                <w:sz w:val="16"/>
                <w:szCs w:val="16"/>
                <w:lang w:eastAsia="lt-LT"/>
              </w:rPr>
              <w:t>III grupė</w:t>
            </w:r>
          </w:p>
        </w:tc>
        <w:tc>
          <w:tcPr>
            <w:tcW w:w="850" w:type="dxa"/>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r>
              <w:rPr>
                <w:sz w:val="16"/>
                <w:szCs w:val="16"/>
                <w:lang w:eastAsia="lt-LT"/>
              </w:rPr>
              <w:t>Buitinis</w:t>
            </w:r>
          </w:p>
        </w:tc>
        <w:tc>
          <w:tcPr>
            <w:tcW w:w="843"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3"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1134"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r>
      <w:tr>
        <w:tc>
          <w:tcPr>
            <w:tcW w:w="1134" w:type="dxa"/>
            <w:vMerge/>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r>
              <w:rPr>
                <w:sz w:val="16"/>
                <w:szCs w:val="16"/>
                <w:lang w:eastAsia="lt-LT"/>
              </w:rPr>
              <w:t>Nebuitinis</w:t>
            </w:r>
          </w:p>
        </w:tc>
        <w:tc>
          <w:tcPr>
            <w:tcW w:w="843"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3"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1134"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r>
      <w:tr>
        <w:trPr>
          <w:trHeight w:val="1120"/>
        </w:trPr>
        <w:tc>
          <w:tcPr>
            <w:tcW w:w="1134" w:type="dxa"/>
            <w:vMerge w:val="restart"/>
            <w:tcBorders>
              <w:top w:val="single" w:sz="6" w:space="0" w:color="auto"/>
              <w:left w:val="single" w:sz="6" w:space="0" w:color="auto"/>
              <w:right w:val="single" w:sz="6" w:space="0" w:color="auto"/>
            </w:tcBorders>
          </w:tcPr>
          <w:p>
            <w:pPr>
              <w:rPr>
                <w:sz w:val="16"/>
                <w:szCs w:val="16"/>
                <w:lang w:eastAsia="lt-LT"/>
              </w:rPr>
            </w:pPr>
            <w:r>
              <w:rPr>
                <w:sz w:val="16"/>
                <w:szCs w:val="16"/>
                <w:lang w:eastAsia="lt-LT"/>
              </w:rPr>
              <w:t>Vartotojai, kurių naujai prijungiama ar didinama leistinoji naudoti galia didesnė nei 500 kW</w:t>
            </w:r>
          </w:p>
        </w:tc>
        <w:tc>
          <w:tcPr>
            <w:tcW w:w="850" w:type="dxa"/>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r>
              <w:rPr>
                <w:sz w:val="16"/>
                <w:szCs w:val="16"/>
                <w:lang w:eastAsia="lt-LT"/>
              </w:rPr>
              <w:t>Buitinis</w:t>
            </w:r>
          </w:p>
        </w:tc>
        <w:tc>
          <w:tcPr>
            <w:tcW w:w="843"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3"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1134"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r>
      <w:tr>
        <w:tc>
          <w:tcPr>
            <w:tcW w:w="1134" w:type="dxa"/>
            <w:vMerge/>
            <w:tcBorders>
              <w:left w:val="single" w:sz="6" w:space="0" w:color="auto"/>
              <w:bottom w:val="single" w:sz="6" w:space="0" w:color="auto"/>
              <w:right w:val="single" w:sz="6" w:space="0" w:color="auto"/>
            </w:tcBorders>
          </w:tcPr>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r>
              <w:rPr>
                <w:sz w:val="16"/>
                <w:szCs w:val="16"/>
                <w:lang w:eastAsia="lt-LT"/>
              </w:rPr>
              <w:t>Nebuitinis</w:t>
            </w:r>
          </w:p>
        </w:tc>
        <w:tc>
          <w:tcPr>
            <w:tcW w:w="843"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3"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1134"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r>
      <w:tr>
        <w:tc>
          <w:tcPr>
            <w:tcW w:w="1134" w:type="dxa"/>
            <w:tcBorders>
              <w:top w:val="single" w:sz="6" w:space="0" w:color="auto"/>
              <w:left w:val="single" w:sz="6" w:space="0" w:color="auto"/>
              <w:bottom w:val="single" w:sz="6" w:space="0" w:color="auto"/>
              <w:right w:val="single" w:sz="6" w:space="0" w:color="auto"/>
            </w:tcBorders>
          </w:tcPr>
          <w:p>
            <w:pPr>
              <w:rPr>
                <w:sz w:val="16"/>
                <w:szCs w:val="16"/>
                <w:lang w:eastAsia="lt-LT"/>
              </w:rPr>
            </w:pPr>
            <w:r>
              <w:rPr>
                <w:sz w:val="16"/>
                <w:szCs w:val="16"/>
                <w:lang w:eastAsia="lt-LT"/>
              </w:rPr>
              <w:t>Vartotojai, kurių naujai prijungiama ar didinama leistinoji naudoti galia ne mažesnė nei 1 MW</w:t>
            </w:r>
          </w:p>
        </w:tc>
        <w:tc>
          <w:tcPr>
            <w:tcW w:w="850" w:type="dxa"/>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r>
              <w:rPr>
                <w:sz w:val="16"/>
                <w:szCs w:val="16"/>
                <w:lang w:eastAsia="lt-LT"/>
              </w:rPr>
              <w:t>Nebuitinis</w:t>
            </w:r>
          </w:p>
        </w:tc>
        <w:tc>
          <w:tcPr>
            <w:tcW w:w="843"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3"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1134"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r>
      <w:tr>
        <w:tc>
          <w:tcPr>
            <w:tcW w:w="1134" w:type="dxa"/>
            <w:vMerge w:val="restart"/>
            <w:tcBorders>
              <w:top w:val="single" w:sz="6" w:space="0" w:color="auto"/>
              <w:left w:val="single" w:sz="6" w:space="0" w:color="auto"/>
              <w:right w:val="single" w:sz="6" w:space="0" w:color="auto"/>
            </w:tcBorders>
            <w:vAlign w:val="center"/>
          </w:tcPr>
          <w:p>
            <w:pPr>
              <w:jc w:val="right"/>
              <w:rPr>
                <w:sz w:val="16"/>
                <w:szCs w:val="16"/>
                <w:lang w:eastAsia="lt-LT"/>
              </w:rPr>
            </w:pPr>
            <w:r>
              <w:rPr>
                <w:sz w:val="16"/>
                <w:szCs w:val="16"/>
                <w:lang w:eastAsia="lt-LT"/>
              </w:rPr>
              <w:t>Iš viso:</w:t>
            </w:r>
          </w:p>
        </w:tc>
        <w:tc>
          <w:tcPr>
            <w:tcW w:w="850" w:type="dxa"/>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r>
              <w:rPr>
                <w:sz w:val="16"/>
                <w:szCs w:val="16"/>
                <w:lang w:eastAsia="lt-LT"/>
              </w:rPr>
              <w:t xml:space="preserve">Buitinis </w:t>
            </w:r>
          </w:p>
        </w:tc>
        <w:tc>
          <w:tcPr>
            <w:tcW w:w="843"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3"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1134"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r>
      <w:tr>
        <w:tc>
          <w:tcPr>
            <w:tcW w:w="1134" w:type="dxa"/>
            <w:vMerge/>
            <w:tcBorders>
              <w:left w:val="single" w:sz="6" w:space="0" w:color="auto"/>
              <w:bottom w:val="single" w:sz="6" w:space="0" w:color="auto"/>
              <w:right w:val="single" w:sz="6" w:space="0" w:color="auto"/>
            </w:tcBorders>
            <w:vAlign w:val="center"/>
          </w:tcPr>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r>
              <w:rPr>
                <w:sz w:val="16"/>
                <w:szCs w:val="16"/>
                <w:lang w:eastAsia="lt-LT"/>
              </w:rPr>
              <w:t>Nebuitinis</w:t>
            </w:r>
          </w:p>
        </w:tc>
        <w:tc>
          <w:tcPr>
            <w:tcW w:w="843"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3"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1134"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r>
      <w:tr>
        <w:tc>
          <w:tcPr>
            <w:tcW w:w="1134" w:type="dxa"/>
            <w:tcBorders>
              <w:left w:val="single" w:sz="6" w:space="0" w:color="auto"/>
              <w:bottom w:val="single" w:sz="6" w:space="0" w:color="auto"/>
              <w:right w:val="single" w:sz="6" w:space="0" w:color="auto"/>
            </w:tcBorders>
            <w:vAlign w:val="center"/>
          </w:tcPr>
          <w:p>
            <w:pPr>
              <w:jc w:val="right"/>
              <w:rPr>
                <w:sz w:val="16"/>
                <w:szCs w:val="16"/>
                <w:lang w:eastAsia="lt-LT"/>
              </w:rPr>
            </w:pPr>
            <w:r>
              <w:rPr>
                <w:sz w:val="16"/>
                <w:szCs w:val="16"/>
                <w:lang w:eastAsia="lt-LT"/>
              </w:rPr>
              <w:t>Iš viso:</w:t>
            </w:r>
          </w:p>
        </w:tc>
        <w:tc>
          <w:tcPr>
            <w:tcW w:w="850" w:type="dxa"/>
            <w:tcBorders>
              <w:top w:val="single" w:sz="6" w:space="0" w:color="auto"/>
              <w:left w:val="single" w:sz="6" w:space="0" w:color="auto"/>
              <w:bottom w:val="single" w:sz="6" w:space="0" w:color="auto"/>
              <w:right w:val="single" w:sz="6" w:space="0" w:color="auto"/>
            </w:tcBorders>
            <w:vAlign w:val="center"/>
          </w:tcPr>
          <w:p>
            <w:pPr>
              <w:rPr>
                <w:sz w:val="16"/>
                <w:szCs w:val="16"/>
                <w:lang w:eastAsia="lt-LT"/>
              </w:rPr>
            </w:pPr>
          </w:p>
        </w:tc>
        <w:tc>
          <w:tcPr>
            <w:tcW w:w="843"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3"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708"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709"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0"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851"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1134"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c>
          <w:tcPr>
            <w:tcW w:w="992" w:type="dxa"/>
            <w:tcBorders>
              <w:top w:val="single" w:sz="6" w:space="0" w:color="auto"/>
              <w:left w:val="single" w:sz="6" w:space="0" w:color="auto"/>
              <w:bottom w:val="single" w:sz="6" w:space="0" w:color="auto"/>
              <w:right w:val="single" w:sz="6" w:space="0" w:color="auto"/>
            </w:tcBorders>
          </w:tcPr>
          <w:p>
            <w:pPr>
              <w:rPr>
                <w:sz w:val="16"/>
                <w:szCs w:val="16"/>
                <w:lang w:eastAsia="lt-LT"/>
              </w:rPr>
            </w:pPr>
          </w:p>
        </w:tc>
      </w:tr>
    </w:tbl>
    <w:p>
      <w:pPr>
        <w:jc w:val="both"/>
        <w:rPr>
          <w:b/>
          <w:sz w:val="20"/>
          <w:lang w:val="en-US" w:eastAsia="lt-LT"/>
        </w:rPr>
      </w:pPr>
    </w:p>
    <w:tbl>
      <w:tblPr>
        <w:tblW w:w="14400" w:type="dxa"/>
        <w:tblInd w:w="360" w:type="dxa"/>
        <w:tblLayout w:type="fixed"/>
        <w:tblLook w:val="01E0" w:firstRow="1" w:lastRow="1" w:firstColumn="1" w:lastColumn="1" w:noHBand="0" w:noVBand="0"/>
      </w:tblPr>
      <w:tblGrid>
        <w:gridCol w:w="3037"/>
        <w:gridCol w:w="3629"/>
        <w:gridCol w:w="758"/>
        <w:gridCol w:w="3114"/>
        <w:gridCol w:w="512"/>
        <w:gridCol w:w="3350"/>
      </w:tblGrid>
      <w:tr>
        <w:trPr>
          <w:trHeight w:val="434"/>
        </w:trPr>
        <w:tc>
          <w:tcPr>
            <w:tcW w:w="3037" w:type="dxa"/>
            <w:shd w:val="clear" w:color="auto" w:fill="auto"/>
          </w:tcPr>
          <w:p>
            <w:pPr>
              <w:jc w:val="both"/>
              <w:rPr>
                <w:sz w:val="20"/>
                <w:szCs w:val="24"/>
                <w:lang w:eastAsia="lt-LT"/>
              </w:rPr>
            </w:pPr>
          </w:p>
          <w:p>
            <w:pPr>
              <w:jc w:val="both"/>
              <w:rPr>
                <w:sz w:val="20"/>
                <w:szCs w:val="24"/>
                <w:lang w:eastAsia="lt-LT"/>
              </w:rPr>
            </w:pPr>
            <w:r>
              <w:rPr>
                <w:sz w:val="20"/>
                <w:szCs w:val="24"/>
                <w:lang w:eastAsia="lt-LT"/>
              </w:rPr>
              <w:t>Tvirtinu:</w:t>
            </w:r>
          </w:p>
        </w:tc>
        <w:tc>
          <w:tcPr>
            <w:tcW w:w="3629" w:type="dxa"/>
            <w:tcBorders>
              <w:bottom w:val="single" w:sz="4" w:space="0" w:color="auto"/>
            </w:tcBorders>
            <w:shd w:val="clear" w:color="auto" w:fill="auto"/>
          </w:tcPr>
          <w:p>
            <w:pPr>
              <w:jc w:val="both"/>
              <w:rPr>
                <w:sz w:val="20"/>
                <w:szCs w:val="24"/>
                <w:lang w:eastAsia="lt-LT"/>
              </w:rPr>
            </w:pPr>
          </w:p>
        </w:tc>
        <w:tc>
          <w:tcPr>
            <w:tcW w:w="758" w:type="dxa"/>
            <w:shd w:val="clear" w:color="auto" w:fill="auto"/>
          </w:tcPr>
          <w:p>
            <w:pPr>
              <w:jc w:val="both"/>
              <w:rPr>
                <w:sz w:val="20"/>
                <w:szCs w:val="24"/>
                <w:lang w:eastAsia="lt-LT"/>
              </w:rPr>
            </w:pPr>
          </w:p>
        </w:tc>
        <w:tc>
          <w:tcPr>
            <w:tcW w:w="3114" w:type="dxa"/>
            <w:tcBorders>
              <w:bottom w:val="single" w:sz="4" w:space="0" w:color="auto"/>
            </w:tcBorders>
            <w:shd w:val="clear" w:color="auto" w:fill="auto"/>
          </w:tcPr>
          <w:p>
            <w:pPr>
              <w:jc w:val="both"/>
              <w:rPr>
                <w:sz w:val="20"/>
                <w:szCs w:val="24"/>
                <w:lang w:eastAsia="lt-LT"/>
              </w:rPr>
            </w:pPr>
          </w:p>
        </w:tc>
        <w:tc>
          <w:tcPr>
            <w:tcW w:w="512" w:type="dxa"/>
            <w:shd w:val="clear" w:color="auto" w:fill="auto"/>
          </w:tcPr>
          <w:p>
            <w:pPr>
              <w:jc w:val="both"/>
              <w:rPr>
                <w:sz w:val="20"/>
                <w:szCs w:val="24"/>
                <w:lang w:eastAsia="lt-LT"/>
              </w:rPr>
            </w:pPr>
          </w:p>
        </w:tc>
        <w:tc>
          <w:tcPr>
            <w:tcW w:w="3350" w:type="dxa"/>
            <w:tcBorders>
              <w:bottom w:val="single" w:sz="4" w:space="0" w:color="auto"/>
            </w:tcBorders>
            <w:shd w:val="clear" w:color="auto" w:fill="auto"/>
          </w:tcPr>
          <w:p>
            <w:pPr>
              <w:jc w:val="both"/>
              <w:rPr>
                <w:sz w:val="20"/>
                <w:szCs w:val="24"/>
                <w:lang w:eastAsia="lt-LT"/>
              </w:rPr>
            </w:pPr>
          </w:p>
        </w:tc>
      </w:tr>
      <w:tr>
        <w:trPr>
          <w:trHeight w:val="210"/>
        </w:trPr>
        <w:tc>
          <w:tcPr>
            <w:tcW w:w="3037" w:type="dxa"/>
            <w:shd w:val="clear" w:color="auto" w:fill="auto"/>
          </w:tcPr>
          <w:p>
            <w:pPr>
              <w:jc w:val="both"/>
              <w:rPr>
                <w:sz w:val="20"/>
                <w:szCs w:val="24"/>
                <w:lang w:eastAsia="lt-LT"/>
              </w:rPr>
            </w:pPr>
          </w:p>
        </w:tc>
        <w:tc>
          <w:tcPr>
            <w:tcW w:w="3629" w:type="dxa"/>
            <w:tcBorders>
              <w:top w:val="single" w:sz="4" w:space="0" w:color="auto"/>
            </w:tcBorders>
            <w:shd w:val="clear" w:color="auto" w:fill="auto"/>
          </w:tcPr>
          <w:p>
            <w:pPr>
              <w:jc w:val="center"/>
              <w:rPr>
                <w:sz w:val="20"/>
                <w:szCs w:val="24"/>
                <w:lang w:eastAsia="lt-LT"/>
              </w:rPr>
            </w:pPr>
            <w:r>
              <w:rPr>
                <w:sz w:val="20"/>
                <w:szCs w:val="24"/>
                <w:lang w:eastAsia="lt-LT"/>
              </w:rPr>
              <w:t>pareigos</w:t>
            </w:r>
          </w:p>
        </w:tc>
        <w:tc>
          <w:tcPr>
            <w:tcW w:w="758" w:type="dxa"/>
            <w:shd w:val="clear" w:color="auto" w:fill="auto"/>
          </w:tcPr>
          <w:p>
            <w:pPr>
              <w:jc w:val="center"/>
              <w:rPr>
                <w:sz w:val="20"/>
                <w:szCs w:val="24"/>
                <w:lang w:eastAsia="lt-LT"/>
              </w:rPr>
            </w:pPr>
          </w:p>
        </w:tc>
        <w:tc>
          <w:tcPr>
            <w:tcW w:w="3114" w:type="dxa"/>
            <w:tcBorders>
              <w:top w:val="single" w:sz="4" w:space="0" w:color="auto"/>
            </w:tcBorders>
            <w:shd w:val="clear" w:color="auto" w:fill="auto"/>
          </w:tcPr>
          <w:p>
            <w:pPr>
              <w:jc w:val="center"/>
              <w:rPr>
                <w:sz w:val="20"/>
                <w:szCs w:val="24"/>
                <w:lang w:eastAsia="lt-LT"/>
              </w:rPr>
            </w:pPr>
            <w:r>
              <w:rPr>
                <w:sz w:val="20"/>
                <w:szCs w:val="24"/>
                <w:lang w:eastAsia="lt-LT"/>
              </w:rPr>
              <w:t>parašas</w:t>
            </w:r>
          </w:p>
        </w:tc>
        <w:tc>
          <w:tcPr>
            <w:tcW w:w="512" w:type="dxa"/>
            <w:shd w:val="clear" w:color="auto" w:fill="auto"/>
          </w:tcPr>
          <w:p>
            <w:pPr>
              <w:jc w:val="center"/>
              <w:rPr>
                <w:sz w:val="20"/>
                <w:szCs w:val="24"/>
                <w:lang w:eastAsia="lt-LT"/>
              </w:rPr>
            </w:pPr>
          </w:p>
        </w:tc>
        <w:tc>
          <w:tcPr>
            <w:tcW w:w="3350" w:type="dxa"/>
            <w:tcBorders>
              <w:top w:val="single" w:sz="4" w:space="0" w:color="auto"/>
            </w:tcBorders>
            <w:shd w:val="clear" w:color="auto" w:fill="auto"/>
          </w:tcPr>
          <w:p>
            <w:pPr>
              <w:jc w:val="center"/>
              <w:rPr>
                <w:sz w:val="20"/>
                <w:szCs w:val="24"/>
                <w:lang w:eastAsia="lt-LT"/>
              </w:rPr>
            </w:pPr>
            <w:r>
              <w:rPr>
                <w:sz w:val="20"/>
                <w:szCs w:val="24"/>
                <w:lang w:eastAsia="lt-LT"/>
              </w:rPr>
              <w:t>vardas, pavardė</w:t>
            </w:r>
          </w:p>
        </w:tc>
      </w:tr>
    </w:tbl>
    <w:p>
      <w:pPr>
        <w:ind w:left="90"/>
        <w:jc w:val="both"/>
        <w:rPr>
          <w:b/>
          <w:sz w:val="20"/>
          <w:lang w:val="en-US" w:eastAsia="lt-LT"/>
        </w:rPr>
      </w:pPr>
    </w:p>
    <w:p>
      <w:pPr>
        <w:jc w:val="both"/>
        <w:rPr>
          <w:sz w:val="20"/>
          <w:lang w:val="en-US" w:eastAsia="lt-LT"/>
        </w:rPr>
      </w:pPr>
      <w:r>
        <w:rPr>
          <w:sz w:val="20"/>
          <w:lang w:val="en-US" w:eastAsia="lt-LT"/>
        </w:rPr>
        <w:t xml:space="preserve">* </w:t>
      </w:r>
      <w:r>
        <w:rPr>
          <w:sz w:val="20"/>
        </w:rPr>
        <w:t>Kartu su ataskaita teikiamas rangovų darbų, skirtų leistinajai naudoti galiai įrengti ir elektros tinklui nutiesti, kainų per paskutinių dvejų metų atitinkamus laikotarpius palyginimas.</w:t>
      </w:r>
    </w:p>
    <w:p>
      <w:pPr>
        <w:jc w:val="both"/>
        <w:rPr>
          <w:sz w:val="20"/>
          <w:lang w:val="en-US" w:eastAsia="lt-LT"/>
        </w:rPr>
      </w:pPr>
    </w:p>
    <w:p>
      <w:pPr>
        <w:rPr>
          <w:szCs w:val="24"/>
          <w:lang w:eastAsia="lt-LT"/>
        </w:rPr>
      </w:pPr>
    </w:p>
    <w:p>
      <w:pPr>
        <w:jc w:val="center"/>
      </w:pPr>
      <w:r>
        <w:rPr>
          <w:szCs w:val="24"/>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861FD53374">
        <w:r w:rsidRPr="00532B9F">
          <w:rPr>
            <w:rFonts w:ascii="Times New Roman" w:eastAsia="MS Mincho" w:hAnsi="Times New Roman"/>
            <w:sz w:val="20"/>
            <w:i/>
            <w:iCs/>
            <w:color w:val="0000FF" w:themeColor="hyperlink"/>
            <w:u w:val="single"/>
          </w:rPr>
          <w:t>O3-139</w:t>
        </w:r>
      </w:fldSimple>
      <w:r>
        <w:rPr>
          <w:rFonts w:ascii="Times New Roman" w:eastAsia="MS Mincho" w:hAnsi="Times New Roman"/>
          <w:sz w:val="20"/>
          <w:i/>
          <w:iCs/>
        </w:rPr>
        <w:t>,
2013-04-29,
Žin., 2013, Nr.
46-2315 (2013-05-07), i. k. 113106ANUTA00O3-139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6BCF34DA59D">
        <w:r w:rsidRPr="00532B9F">
          <w:rPr>
            <w:rFonts w:ascii="Times New Roman" w:eastAsia="MS Mincho" w:hAnsi="Times New Roman"/>
            <w:sz w:val="20"/>
            <w:i/>
            <w:iCs/>
            <w:color w:val="0000FF" w:themeColor="hyperlink"/>
            <w:u w:val="single"/>
          </w:rPr>
          <w:t>O3-341</w:t>
        </w:r>
      </w:fldSimple>
      <w:r>
        <w:rPr>
          <w:rFonts w:ascii="Times New Roman" w:eastAsia="MS Mincho" w:hAnsi="Times New Roman"/>
          <w:sz w:val="20"/>
          <w:i/>
          <w:iCs/>
        </w:rPr>
        <w:t>,
2013-08-27,
Žin., 2013, Nr.
92-4637 (2013-08-31), i. k. 113106ANUTA00O3-341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586f570487811e483c6e89f9dba57fd">
        <w:r w:rsidRPr="00532B9F">
          <w:rPr>
            <w:rFonts w:ascii="Times New Roman" w:eastAsia="MS Mincho" w:hAnsi="Times New Roman"/>
            <w:sz w:val="20"/>
            <w:i/>
            <w:iCs/>
            <w:color w:val="0000FF" w:themeColor="hyperlink"/>
            <w:u w:val="single"/>
          </w:rPr>
          <w:t>O3-819</w:t>
        </w:r>
      </w:fldSimple>
      <w:r>
        <w:rPr>
          <w:rFonts w:ascii="Times New Roman" w:eastAsia="MS Mincho" w:hAnsi="Times New Roman"/>
          <w:sz w:val="20"/>
          <w:i/>
          <w:iCs/>
        </w:rPr>
        <w:t>,
2014-09-30,
paskelbta TAR 2014-09-30, i. k. 2014-13255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e449860f79b11e880d0fe0db08fac89">
        <w:r w:rsidRPr="00532B9F">
          <w:rPr>
            <w:rFonts w:ascii="Times New Roman" w:eastAsia="MS Mincho" w:hAnsi="Times New Roman"/>
            <w:sz w:val="20"/>
            <w:i/>
            <w:iCs/>
            <w:color w:val="0000FF" w:themeColor="hyperlink"/>
            <w:u w:val="single"/>
          </w:rPr>
          <w:t>O3E-436</w:t>
        </w:r>
      </w:fldSimple>
      <w:r>
        <w:rPr>
          <w:rFonts w:ascii="Times New Roman" w:eastAsia="MS Mincho" w:hAnsi="Times New Roman"/>
          <w:sz w:val="20"/>
          <w:i/>
          <w:iCs/>
        </w:rPr>
        <w:t>,
2018-12-04,
paskelbta TAR 2018-12-04, i. k. 2018-19682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AF114DE0ABE2">
        <w:r w:rsidRPr="00532B9F">
          <w:rPr>
            <w:rFonts w:ascii="Times New Roman" w:eastAsia="MS Mincho" w:hAnsi="Times New Roman"/>
            <w:sz w:val="20"/>
            <w:iCs/>
            <w:color w:val="0000FF" w:themeColor="hyperlink"/>
            <w:u w:val="single"/>
          </w:rPr>
          <w:t>O3-248</w:t>
        </w:r>
      </w:fldSimple>
      <w:r>
        <w:rPr>
          <w:rFonts w:ascii="Times New Roman" w:eastAsia="MS Mincho" w:hAnsi="Times New Roman"/>
          <w:sz w:val="20"/>
          <w:iCs/>
        </w:rPr>
        <w:t>,
2012-09-14,
Žin., 2012, Nr.
108-5510 (2012-09-19), i. k. 112106ANUTA00O3-248                </w:t>
      </w:r>
    </w:p>
    <w:p>
      <w:pPr>
        <w:jc w:val="both"/>
        <w:rPr>
          <w:rFonts w:ascii="Times New Roman" w:hAnsi="Times New Roman"/>
        </w:rPr>
      </w:pPr>
      <w:r>
        <w:rPr>
          <w:rFonts w:ascii="Times New Roman" w:hAnsi="Times New Roman"/>
          <w:sz w:val="20"/>
        </w:rPr>
        <w:t>Dėl Valstybinės kainų ir energetikos kontrolės komisijos 2011 m. liepos 29 d. nutarimo Nr. O3-235 "Dėl Elektros energijos įrenginių prijungimo prie elektros tinklų įkainių nustatymo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A861FD53374">
        <w:r w:rsidRPr="00532B9F">
          <w:rPr>
            <w:rFonts w:ascii="Times New Roman" w:eastAsia="MS Mincho" w:hAnsi="Times New Roman"/>
            <w:sz w:val="20"/>
            <w:iCs/>
            <w:color w:val="0000FF" w:themeColor="hyperlink"/>
            <w:u w:val="single"/>
          </w:rPr>
          <w:t>O3-139</w:t>
        </w:r>
      </w:fldSimple>
      <w:r>
        <w:rPr>
          <w:rFonts w:ascii="Times New Roman" w:eastAsia="MS Mincho" w:hAnsi="Times New Roman"/>
          <w:sz w:val="20"/>
          <w:iCs/>
        </w:rPr>
        <w:t>,
2013-04-29,
Žin., 2013, Nr.
46-2315 (2013-05-07), i. k. 113106ANUTA00O3-139                </w:t>
      </w:r>
    </w:p>
    <w:p>
      <w:pPr>
        <w:jc w:val="both"/>
        <w:rPr>
          <w:rFonts w:ascii="Times New Roman" w:hAnsi="Times New Roman"/>
        </w:rPr>
      </w:pPr>
      <w:r>
        <w:rPr>
          <w:rFonts w:ascii="Times New Roman" w:hAnsi="Times New Roman"/>
          <w:sz w:val="20"/>
        </w:rPr>
        <w:t>Dėl Valstybinės kainų ir energetikos kontrolės komisijos 2011 m. liepos 29 d. nutarimo Nr. O3-235 "Dėl Elektros energijos įrenginių prijungimo prie elektros tinklų įkainių nustatymo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6BCF34DA59D">
        <w:r w:rsidRPr="00532B9F">
          <w:rPr>
            <w:rFonts w:ascii="Times New Roman" w:eastAsia="MS Mincho" w:hAnsi="Times New Roman"/>
            <w:sz w:val="20"/>
            <w:iCs/>
            <w:color w:val="0000FF" w:themeColor="hyperlink"/>
            <w:u w:val="single"/>
          </w:rPr>
          <w:t>O3-341</w:t>
        </w:r>
      </w:fldSimple>
      <w:r>
        <w:rPr>
          <w:rFonts w:ascii="Times New Roman" w:eastAsia="MS Mincho" w:hAnsi="Times New Roman"/>
          <w:sz w:val="20"/>
          <w:iCs/>
        </w:rPr>
        <w:t>,
2013-08-27,
Žin., 2013, Nr.
92-4637 (2013-08-31), i. k. 113106ANUTA00O3-341                </w:t>
      </w:r>
    </w:p>
    <w:p>
      <w:pPr>
        <w:jc w:val="both"/>
        <w:rPr>
          <w:rFonts w:ascii="Times New Roman" w:hAnsi="Times New Roman"/>
        </w:rPr>
      </w:pPr>
      <w:r>
        <w:rPr>
          <w:rFonts w:ascii="Times New Roman" w:hAnsi="Times New Roman"/>
          <w:sz w:val="20"/>
        </w:rPr>
        <w:t>Dėl Valstybinės kainų ir energetikos kontrolės komisijos 2011 m. liepos 29 d. nutarimo Nr. O3-235 "Dėl Elektros energijos įrenginių prijungimo prie elektros tinklų įkainių nustatymo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3586f570487811e483c6e89f9dba57fd">
        <w:r w:rsidRPr="00532B9F">
          <w:rPr>
            <w:rFonts w:ascii="Times New Roman" w:eastAsia="MS Mincho" w:hAnsi="Times New Roman"/>
            <w:sz w:val="20"/>
            <w:iCs/>
            <w:color w:val="0000FF" w:themeColor="hyperlink"/>
            <w:u w:val="single"/>
          </w:rPr>
          <w:t>O3-819</w:t>
        </w:r>
      </w:fldSimple>
      <w:r>
        <w:rPr>
          <w:rFonts w:ascii="Times New Roman" w:eastAsia="MS Mincho" w:hAnsi="Times New Roman"/>
          <w:sz w:val="20"/>
          <w:iCs/>
        </w:rPr>
        <w:t>,
2014-09-30,
paskelbta TAR 2014-09-30, i. k. 2014-13255                </w:t>
      </w:r>
    </w:p>
    <w:p>
      <w:pPr>
        <w:jc w:val="both"/>
        <w:rPr>
          <w:rFonts w:ascii="Times New Roman" w:hAnsi="Times New Roman"/>
        </w:rPr>
      </w:pPr>
      <w:r>
        <w:rPr>
          <w:rFonts w:ascii="Times New Roman" w:hAnsi="Times New Roman"/>
          <w:sz w:val="20"/>
        </w:rPr>
        <w:t>Dėl Valstybinės kainų ir energetikos kontrolės komisijos 2011 m. liepos 29 d. nutarimo Nr. O3-235 „Dėl Elektros energijos įrenginių prijungimo prie elektros tinklų įkainių nustatymo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0c8e04c02c8311e5be2eca50406acf3c">
        <w:r w:rsidRPr="00532B9F">
          <w:rPr>
            <w:rFonts w:ascii="Times New Roman" w:eastAsia="MS Mincho" w:hAnsi="Times New Roman"/>
            <w:sz w:val="20"/>
            <w:iCs/>
            <w:color w:val="0000FF" w:themeColor="hyperlink"/>
            <w:u w:val="single"/>
          </w:rPr>
          <w:t>O3-436</w:t>
        </w:r>
      </w:fldSimple>
      <w:r>
        <w:rPr>
          <w:rFonts w:ascii="Times New Roman" w:eastAsia="MS Mincho" w:hAnsi="Times New Roman"/>
          <w:sz w:val="20"/>
          <w:iCs/>
        </w:rPr>
        <w:t>,
2015-07-17,
paskelbta TAR 2015-07-20, i. k. 2015-11471                </w:t>
      </w:r>
    </w:p>
    <w:p>
      <w:pPr>
        <w:jc w:val="both"/>
        <w:rPr>
          <w:rFonts w:ascii="Times New Roman" w:hAnsi="Times New Roman"/>
        </w:rPr>
      </w:pPr>
      <w:r>
        <w:rPr>
          <w:rFonts w:ascii="Times New Roman" w:hAnsi="Times New Roman"/>
          <w:sz w:val="20"/>
        </w:rPr>
        <w:t>Dėl Valstybinės kainų ir energetikos kontrolės komisijos 2011 m. liepos 29 d. nutarimo Nr. O3-235 „Dėl Elektros energijos įrenginių prijungimo prie elektros tinklų įkainių nustatymo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fe449860f79b11e880d0fe0db08fac89">
        <w:r w:rsidRPr="00532B9F">
          <w:rPr>
            <w:rFonts w:ascii="Times New Roman" w:eastAsia="MS Mincho" w:hAnsi="Times New Roman"/>
            <w:sz w:val="20"/>
            <w:iCs/>
            <w:color w:val="0000FF" w:themeColor="hyperlink"/>
            <w:u w:val="single"/>
          </w:rPr>
          <w:t>O3E-436</w:t>
        </w:r>
      </w:fldSimple>
      <w:r>
        <w:rPr>
          <w:rFonts w:ascii="Times New Roman" w:eastAsia="MS Mincho" w:hAnsi="Times New Roman"/>
          <w:sz w:val="20"/>
          <w:iCs/>
        </w:rPr>
        <w:t>,
2018-12-04,
paskelbta TAR 2018-12-04, i. k. 2018-19682                </w:t>
      </w:r>
    </w:p>
    <w:p>
      <w:pPr>
        <w:jc w:val="both"/>
        <w:rPr>
          <w:rFonts w:ascii="Times New Roman" w:hAnsi="Times New Roman"/>
        </w:rPr>
      </w:pPr>
      <w:r>
        <w:rPr>
          <w:rFonts w:ascii="Times New Roman" w:hAnsi="Times New Roman"/>
          <w:sz w:val="20"/>
        </w:rPr>
        <w:t>Dėl Valstybinės kainų ir energetikos kontrolės komisijos 2011 m. liepos 29 d. nutarimo Nr. O3-235 „Dėl Elektros energijos įrenginių prijungimo prie elektros tinklų įkainių nustatymo metodikos patvirtinimo“ pakeitimo</w:t>
      </w:r>
    </w:p>
    <w:p>
      <w:pPr>
        <w:jc w:val="both"/>
        <w:rPr>
          <w:rFonts w:ascii="Times New Roman" w:hAnsi="Times New Roman"/>
          <w:sz w:val="20"/>
        </w:rPr>
      </w:pPr>
    </w:p>
    <w:p>
      <w:pPr>
        <w:widowControl w:val="0"/>
        <w:rPr>
          <w:rFonts w:ascii="Times New Roman" w:hAnsi="Times New Roman"/>
          <w:snapToGrid w:val="0"/>
        </w:rPr>
      </w:pPr>
    </w:p>
    <w:sectPr>
      <w:pgSz w:w="16840" w:h="11907" w:orient="landscape" w:code="9"/>
      <w:pgMar w:top="1701" w:right="1701" w:bottom="567" w:left="1134"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720"/>
      <w:rPr>
        <w:rFonts w:ascii="Arial" w:hAnsi="Arial" w:cs="Arial"/>
        <w:sz w:val="20"/>
        <w:lang w:val="en-GB"/>
      </w:rPr>
    </w:pPr>
    <w:r>
      <w:rPr>
        <w:rFonts w:ascii="Arial" w:hAnsi="Arial" w:cs="Arial"/>
        <w:sz w:val="20"/>
        <w:lang w:val="en-GB"/>
      </w:rPr>
      <w:fldChar w:fldCharType="begin"/>
    </w:r>
    <w:r>
      <w:rPr>
        <w:rFonts w:ascii="Arial" w:hAnsi="Arial" w:cs="Arial"/>
        <w:sz w:val="20"/>
        <w:lang w:val="en-GB"/>
      </w:rPr>
      <w:instrText xml:space="preserve">PAGE  </w:instrText>
    </w:r>
    <w:r>
      <w:rPr>
        <w:rFonts w:ascii="Arial" w:hAnsi="Arial" w:cs="Arial"/>
        <w:sz w:val="20"/>
        <w:lang w:val="en-GB"/>
      </w:rPr>
      <w:fldChar w:fldCharType="separate"/>
    </w:r>
    <w:r>
      <w:rPr>
        <w:rFonts w:ascii="Arial" w:hAnsi="Arial" w:cs="Arial"/>
        <w:sz w:val="20"/>
        <w:lang w:val="en-GB"/>
      </w:rPr>
      <w:t>7</w:t>
    </w:r>
    <w:r>
      <w:rPr>
        <w:rFonts w:ascii="Arial" w:hAnsi="Arial" w:cs="Arial"/>
        <w:sz w:val="20"/>
        <w:lang w:val="en-GB"/>
      </w:rPr>
      <w:fldChar w:fldCharType="end"/>
    </w:r>
  </w:p>
  <w:p>
    <w:pPr>
      <w:tabs>
        <w:tab w:val="center" w:pos="4153"/>
        <w:tab w:val="right" w:pos="8306"/>
      </w:tabs>
      <w:ind w:firstLine="720"/>
      <w:rPr>
        <w:rFonts w:ascii="Arial" w:hAnsi="Arial" w:cs="Arial"/>
        <w:sz w:val="20"/>
        <w:lang w:val="en-GB"/>
      </w:rPr>
    </w:pPr>
  </w:p>
  <w:p/>
  <w:p>
    <w:pPr>
      <w:ind w:firstLine="720"/>
      <w:rPr>
        <w:rFonts w:ascii="Arial" w:hAnsi="Arial" w:cs="Arial"/>
        <w:sz w:val="20"/>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pPr>
    <w:r>
      <w:fldChar w:fldCharType="begin"/>
    </w:r>
    <w:r>
      <w:instrText>PAGE   \* MERGEFORMAT</w:instrText>
    </w:r>
    <w:r>
      <w:fldChar w:fldCharType="separate"/>
    </w:r>
    <w:r>
      <w:t>5</w:t>
    </w:r>
    <w:r>
      <w:fldChar w:fldCharType="end"/>
    </w:r>
  </w:p>
  <w:p>
    <w:pPr>
      <w:rPr>
        <w:rFonts w:ascii="Arial" w:hAnsi="Arial" w:cs="Arial"/>
        <w:sz w:val="20"/>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720"/>
      <w:rPr>
        <w:rFonts w:ascii="Arial" w:hAnsi="Arial" w:cs="Arial"/>
        <w:sz w:val="20"/>
        <w:lang w:val="en-GB"/>
      </w:rPr>
    </w:pPr>
    <w:r>
      <w:rPr>
        <w:rFonts w:ascii="Arial" w:hAnsi="Arial" w:cs="Arial"/>
        <w:sz w:val="20"/>
        <w:lang w:val="en-GB"/>
      </w:rPr>
      <w:fldChar w:fldCharType="begin"/>
    </w:r>
    <w:r>
      <w:rPr>
        <w:rFonts w:ascii="Arial" w:hAnsi="Arial" w:cs="Arial"/>
        <w:sz w:val="20"/>
        <w:lang w:val="en-GB"/>
      </w:rPr>
      <w:instrText xml:space="preserve">PAGE  </w:instrText>
    </w:r>
    <w:r>
      <w:rPr>
        <w:rFonts w:ascii="Arial" w:hAnsi="Arial" w:cs="Arial"/>
        <w:sz w:val="20"/>
        <w:lang w:val="en-GB"/>
      </w:rPr>
      <w:fldChar w:fldCharType="separate"/>
    </w:r>
    <w:r>
      <w:rPr>
        <w:rFonts w:ascii="Arial" w:hAnsi="Arial" w:cs="Arial"/>
        <w:sz w:val="20"/>
        <w:lang w:val="en-GB"/>
      </w:rPr>
      <w:t>7</w:t>
    </w:r>
    <w:r>
      <w:rPr>
        <w:rFonts w:ascii="Arial" w:hAnsi="Arial" w:cs="Arial"/>
        <w:sz w:val="20"/>
        <w:lang w:val="en-GB"/>
      </w:rPr>
      <w:fldChar w:fldCharType="end"/>
    </w:r>
  </w:p>
  <w:p>
    <w:pPr>
      <w:tabs>
        <w:tab w:val="center" w:pos="4153"/>
        <w:tab w:val="right" w:pos="8306"/>
      </w:tabs>
      <w:ind w:firstLine="720"/>
      <w:rPr>
        <w:rFonts w:ascii="Arial" w:hAnsi="Arial" w:cs="Arial"/>
        <w:sz w:val="20"/>
        <w:lang w:val="en-GB"/>
      </w:rPr>
    </w:pPr>
  </w:p>
  <w:p/>
  <w:p>
    <w:pPr>
      <w:ind w:firstLine="720"/>
      <w:rPr>
        <w:rFonts w:ascii="Arial" w:hAnsi="Arial" w:cs="Arial"/>
        <w:sz w:val="20"/>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pPr>
    <w:r>
      <w:fldChar w:fldCharType="begin"/>
    </w:r>
    <w:r>
      <w:instrText>PAGE   \* MERGEFORMAT</w:instrText>
    </w:r>
    <w:r>
      <w:fldChar w:fldCharType="separate"/>
    </w:r>
    <w:r>
      <w:t>5</w:t>
    </w:r>
    <w:r>
      <w:fldChar w:fldCharType="end"/>
    </w:r>
  </w:p>
  <w:p>
    <w:pPr>
      <w:rPr>
        <w:rFonts w:ascii="Arial" w:hAnsi="Arial" w:cs="Arial"/>
        <w:sz w:val="20"/>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8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89F66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3.xml"/>
  <Relationship Id="rId11" Type="http://schemas.openxmlformats.org/officeDocument/2006/relationships/hyperlink" TargetMode="External" Target="https://www.e-tar.lt/portal/lt/legalAct/TAR.969A03ACFB06"/>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6.xml"/>
  <Relationship Id="rId17"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3.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86</TotalTime>
  <Pages>14</Pages>
  <Words>30190</Words>
  <Characters>17209</Characters>
  <Application>Microsoft Office Word</Application>
  <DocSecurity>0</DocSecurity>
  <Lines>143</Lines>
  <Paragraphs>94</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VALSTYBINĖS KAINŲ IR ENERGETIKOS KONTROLĖS KOMISIJOS</vt:lpstr>
    </vt:vector>
  </TitlesOfParts>
  <Company/>
  <LinksUpToDate>false</LinksUpToDate>
  <CharactersWithSpaces>47305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2015-07-02T00:29:00Z</dcterms:created>
  <dc:creator>Rima</dc:creator>
  <lastModifiedBy>GUMBYTĖ Danguolė</lastModifiedBy>
  <dcterms:modified xsi:type="dcterms:W3CDTF">2018-12-06T13:40:00Z</dcterms:modified>
  <revision>19</revision>
  <dc:title>VALSTYBINĖS KAINŲ IR ENERGETIKOS KONTROLĖS KOMISIJOS</dc:title>
</coreProperties>
</file>