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1704366F45F">
        <w:r w:rsidRPr="00532B9F">
          <w:rPr>
            <w:rFonts w:ascii="Times New Roman" w:eastAsia="MS Mincho" w:hAnsi="Times New Roman"/>
            <w:sz w:val="20"/>
            <w:i/>
            <w:iCs/>
            <w:color w:val="0000FF" w:themeColor="hyperlink"/>
            <w:u w:val="single"/>
          </w:rPr>
          <w:t>36-1298</w:t>
        </w:r>
      </w:fldSimple>
      <w:r>
        <w:rPr>
          <w:rFonts w:ascii="Times New Roman" w:eastAsia="MS Mincho" w:hAnsi="Times New Roman"/>
          <w:sz w:val="20"/>
          <w:i/>
          <w:iCs/>
        </w:rPr>
        <w:t>, i. k. 1082020ISAK0004-119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1edc7da0268211e78397ae072f58c508">
        <w:r w:rsidRPr="00532B9F">
          <w:rPr>
            <w:rFonts w:ascii="Times New Roman" w:eastAsia="MS Mincho" w:hAnsi="Times New Roman"/>
            <w:sz w:val="20"/>
            <w:i/>
            <w:iCs/>
            <w:color w:val="0000FF" w:themeColor="hyperlink"/>
            <w:u w:val="single"/>
          </w:rPr>
          <w:t>4-250</w:t>
        </w:r>
      </w:fldSimple>
      <w:r>
        <w:rPr>
          <w:rFonts w:ascii="Times New Roman" w:eastAsia="MS Mincho" w:hAnsi="Times New Roman"/>
          <w:sz w:val="20"/>
          <w:i/>
          <w:iCs/>
        </w:rPr>
        <w:t>,
2017-04-21,
paskelbta TAR 2017-04-21, i. k. 2017-06764                </w:t>
      </w:r>
    </w:p>
    <w:p>
      <w:pPr>
        <w:rPr>
          <w:rFonts w:ascii="Times New Roman" w:hAnsi="Times New Roman"/>
          <w:sz w:val="22"/>
        </w:rPr>
      </w:pPr>
    </w:p>
    <w:p>
      <w:pPr>
        <w:jc w:val="center"/>
        <w:rPr>
          <w:b/>
          <w:caps/>
          <w:szCs w:val="24"/>
        </w:rPr>
      </w:pPr>
      <w:r>
        <w:rPr>
          <w:b/>
          <w:caps/>
          <w:szCs w:val="24"/>
        </w:rPr>
        <w:t>LIETUVOS RESPUBLIKOS ŪKIO MINISTRAS</w:t>
      </w:r>
    </w:p>
    <w:p>
      <w:pPr>
        <w:jc w:val="center"/>
        <w:rPr>
          <w:b/>
          <w:caps/>
          <w:szCs w:val="24"/>
        </w:rPr>
      </w:pPr>
    </w:p>
    <w:p>
      <w:pPr>
        <w:jc w:val="center"/>
        <w:rPr>
          <w:b/>
          <w:caps/>
          <w:szCs w:val="24"/>
        </w:rPr>
      </w:pPr>
      <w:r>
        <w:rPr>
          <w:b/>
          <w:caps/>
          <w:szCs w:val="24"/>
        </w:rPr>
        <w:t>įsakymas</w:t>
      </w:r>
    </w:p>
    <w:p>
      <w:pPr>
        <w:jc w:val="center"/>
        <w:rPr>
          <w:b/>
          <w:szCs w:val="24"/>
        </w:rPr>
      </w:pPr>
      <w:r>
        <w:rPr>
          <w:b/>
          <w:szCs w:val="24"/>
        </w:rPr>
        <w:t>DĖL SMULKIOJO AR VIDUTINIO VERSLO SUBJEKTO STATUSO DEKLARAVIMO TVARKOS APRAŠO IR SMULKIOJO AR VIDUTINIO VERSLO SUBJEKTO STATUSO DEKLARACIJOS FORMOS PATVIRTINIMO</w:t>
      </w:r>
    </w:p>
    <w:p>
      <w:pPr>
        <w:jc w:val="center"/>
        <w:rPr>
          <w:b/>
          <w:caps/>
          <w:szCs w:val="24"/>
        </w:rPr>
      </w:pPr>
    </w:p>
    <w:p>
      <w:pPr>
        <w:jc w:val="center"/>
        <w:rPr>
          <w:caps/>
          <w:szCs w:val="24"/>
        </w:rPr>
      </w:pPr>
      <w:r>
        <w:rPr>
          <w:szCs w:val="24"/>
        </w:rPr>
        <w:t>2008 m. kovo 26 d.Nr. 4-119</w:t>
      </w:r>
    </w:p>
    <w:p>
      <w:pPr>
        <w:jc w:val="center"/>
        <w:rPr>
          <w:caps/>
          <w:szCs w:val="24"/>
        </w:rPr>
      </w:pPr>
      <w:r>
        <w:rPr>
          <w:szCs w:val="24"/>
        </w:rPr>
        <w:t>Vilnius</w:t>
      </w:r>
    </w:p>
    <w:p>
      <w:pPr>
        <w:jc w:val="center"/>
        <w:rPr>
          <w:b/>
          <w:caps/>
          <w:szCs w:val="24"/>
        </w:rPr>
      </w:pPr>
    </w:p>
    <w:p>
      <w:pPr>
        <w:jc w:val="center"/>
        <w:rPr>
          <w:b/>
          <w:caps/>
          <w:szCs w:val="24"/>
        </w:rPr>
      </w:pPr>
    </w:p>
    <w:p>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pPr>
        <w:ind w:firstLine="851"/>
        <w:jc w:val="both"/>
        <w:rPr>
          <w:szCs w:val="24"/>
        </w:rPr>
      </w:pPr>
      <w:r>
        <w:rPr>
          <w:szCs w:val="24"/>
        </w:rPr>
        <w:t xml:space="preserve">t </w:t>
      </w:r>
      <w:r>
        <w:rPr>
          <w:spacing w:val="28"/>
          <w:szCs w:val="24"/>
        </w:rPr>
        <w:t>virtinu</w:t>
      </w:r>
      <w:r>
        <w:rPr>
          <w:szCs w:val="24"/>
        </w:rPr>
        <w:t xml:space="preserve"> pridedamus:</w:t>
      </w:r>
    </w:p>
    <w:p>
      <w:pPr>
        <w:ind w:firstLine="851"/>
        <w:jc w:val="both"/>
        <w:rPr>
          <w:szCs w:val="24"/>
        </w:rPr>
      </w:pPr>
      <w:r>
        <w:rPr>
          <w:szCs w:val="24"/>
        </w:rPr>
        <w:t>1</w:t>
      </w:r>
      <w:r>
        <w:rPr>
          <w:szCs w:val="24"/>
        </w:rPr>
        <w:t>. Smulkiojo ar vidutinio verslo subjekto statuso deklaravimo tvarkos aprašą;</w:t>
      </w:r>
    </w:p>
    <w:p>
      <w:pPr>
        <w:ind w:firstLine="851"/>
        <w:jc w:val="both"/>
      </w:pPr>
      <w:r>
        <w:rPr>
          <w:szCs w:val="24"/>
        </w:rPr>
        <w:t>2</w:t>
      </w:r>
      <w:r>
        <w:rPr>
          <w:szCs w:val="24"/>
        </w:rPr>
        <w:t>. Smulkiojo ar vidutinio verslo subjekto statuso deklaracijos formą F1.</w:t>
      </w:r>
    </w:p>
    <w:p>
      <w:pPr>
        <w:tabs>
          <w:tab w:val="right" w:pos="9639"/>
        </w:tabs>
      </w:pPr>
    </w:p>
    <w:p>
      <w:pPr>
        <w:tabs>
          <w:tab w:val="right" w:pos="9639"/>
        </w:tabs>
      </w:pPr>
    </w:p>
    <w:p>
      <w:pPr>
        <w:tabs>
          <w:tab w:val="right" w:pos="9639"/>
        </w:tabs>
      </w:pPr>
    </w:p>
    <w:p>
      <w:pPr>
        <w:tabs>
          <w:tab w:val="right" w:pos="9639"/>
        </w:tabs>
      </w:pPr>
      <w:r>
        <w:t>ŪKIO MINISTRAS</w:t>
        <w:tab/>
        <w:t>VYTAS NAVICKAS</w:t>
      </w:r>
    </w:p>
    <w:p/>
    <w:p>
      <w:pPr>
        <w:ind w:left="5387" w:firstLine="12"/>
      </w:pPr>
      <w:r>
        <w:br w:type="page"/>
      </w:r>
    </w:p>
    <w:p>
      <w:pPr>
        <w:ind w:left="5387" w:firstLine="12"/>
        <w:rPr>
          <w:szCs w:val="24"/>
        </w:rPr>
      </w:pPr>
      <w:r>
        <w:rPr>
          <w:szCs w:val="24"/>
        </w:rPr>
        <w:t>PATVIRTINTA</w:t>
      </w:r>
    </w:p>
    <w:p>
      <w:pPr>
        <w:ind w:left="5387" w:firstLine="12"/>
        <w:rPr>
          <w:szCs w:val="24"/>
        </w:rPr>
      </w:pPr>
      <w:r>
        <w:rPr>
          <w:szCs w:val="24"/>
        </w:rPr>
        <w:t>Lietuvos Respublikos ūkio ministro 2008 m. kovo 26 d. įsakymu Nr. 4-119</w:t>
      </w:r>
    </w:p>
    <w:p>
      <w:pPr>
        <w:ind w:left="5387" w:firstLine="12"/>
        <w:rPr>
          <w:szCs w:val="24"/>
        </w:rPr>
      </w:pPr>
      <w:r>
        <w:rPr>
          <w:szCs w:val="24"/>
        </w:rPr>
        <w:t>(Lietuvos Respublikos ūkio ministro</w:t>
      </w:r>
    </w:p>
    <w:p>
      <w:pPr>
        <w:ind w:left="5387" w:firstLine="12"/>
        <w:rPr>
          <w:szCs w:val="24"/>
        </w:rPr>
      </w:pPr>
      <w:r>
        <w:rPr>
          <w:szCs w:val="24"/>
        </w:rPr>
        <w:t xml:space="preserve">2017 m. balandžio 21 d. </w:t>
      </w:r>
    </w:p>
    <w:p>
      <w:pPr>
        <w:ind w:left="5387" w:firstLine="12"/>
        <w:rPr>
          <w:szCs w:val="24"/>
        </w:rPr>
      </w:pPr>
      <w:r>
        <w:rPr>
          <w:szCs w:val="24"/>
        </w:rPr>
        <w:t>įsakymo Nr. 4-250 redakcija)</w:t>
      </w:r>
    </w:p>
    <w:p>
      <w:pPr>
        <w:ind w:firstLine="5670"/>
        <w:jc w:val="both"/>
        <w:rPr>
          <w:szCs w:val="24"/>
        </w:rPr>
      </w:pPr>
    </w:p>
    <w:p>
      <w:pPr>
        <w:jc w:val="center"/>
        <w:rPr>
          <w:b/>
        </w:rPr>
      </w:pPr>
      <w:r>
        <w:rPr>
          <w:b/>
        </w:rPr>
        <w:t>SMULKIOJO AR VIDUTINIO VERSLO SUBJEKTO STATUSO DEKLARAVIMO TVARKOS APRAŠAS</w:t>
      </w:r>
    </w:p>
    <w:p>
      <w:pPr>
        <w:jc w:val="center"/>
        <w:rPr>
          <w:b/>
        </w:rPr>
      </w:pPr>
    </w:p>
    <w:p>
      <w:pPr>
        <w:jc w:val="center"/>
        <w:rPr>
          <w:b/>
        </w:rPr>
      </w:pPr>
      <w:r>
        <w:rPr>
          <w:b/>
        </w:rPr>
        <w:t>I</w:t>
      </w:r>
      <w:r>
        <w:rPr>
          <w:b/>
        </w:rPr>
        <w:t xml:space="preserve"> SKYRIUS</w:t>
      </w:r>
    </w:p>
    <w:p>
      <w:pPr>
        <w:jc w:val="center"/>
        <w:rPr>
          <w:b/>
        </w:rPr>
      </w:pPr>
      <w:r>
        <w:rPr>
          <w:b/>
        </w:rPr>
        <w:t>BENDROSIOS NUOSTATOS</w:t>
      </w:r>
    </w:p>
    <w:p>
      <w:pPr>
        <w:ind w:firstLine="720"/>
        <w:jc w:val="center"/>
        <w:rPr>
          <w:b/>
        </w:rPr>
      </w:pPr>
    </w:p>
    <w:p>
      <w:pPr>
        <w:spacing w:line="360" w:lineRule="auto"/>
        <w:ind w:firstLine="720"/>
        <w:jc w:val="both"/>
      </w:pPr>
      <w:r>
        <w:t>1</w:t>
      </w:r>
      <w:r>
        <w:t xml:space="preserve">.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pPr>
        <w:spacing w:line="360" w:lineRule="auto"/>
        <w:ind w:firstLine="720"/>
        <w:jc w:val="both"/>
        <w:rPr>
          <w:bCs/>
          <w:szCs w:val="24"/>
        </w:rPr>
      </w:pPr>
      <w:r>
        <w:rPr>
          <w:szCs w:val="24"/>
        </w:rPr>
        <w:t>2</w:t>
      </w:r>
      <w:r>
        <w:rPr>
          <w:szCs w:val="24"/>
        </w:rPr>
        <w:t xml:space="preserve">. </w:t>
      </w:r>
      <w:r>
        <w:rPr>
          <w:bCs/>
          <w:szCs w:val="24"/>
        </w:rPr>
        <w:t xml:space="preserve">Tvarkos aprašas yra parengtas vadovaujantis </w:t>
      </w:r>
      <w:r>
        <w:rPr>
          <w:szCs w:val="24"/>
        </w:rPr>
        <w:t>Lietuvos Respublikos smulkiojo ir vidutinio verslo plėtros įstatymu</w:t>
      </w:r>
      <w:r>
        <w:rPr>
          <w:bCs/>
          <w:szCs w:val="24"/>
        </w:rPr>
        <w:t>.</w:t>
      </w:r>
    </w:p>
    <w:p>
      <w:pPr>
        <w:spacing w:line="360" w:lineRule="auto"/>
        <w:ind w:firstLine="720"/>
        <w:jc w:val="both"/>
      </w:pPr>
      <w:r>
        <w:rPr>
          <w:szCs w:val="24"/>
        </w:rPr>
        <w:t>3</w:t>
      </w:r>
      <w:r>
        <w:rPr>
          <w:szCs w:val="24"/>
        </w:rPr>
        <w:t xml:space="preserve">. Tvarkos apraše </w:t>
      </w:r>
      <w:r>
        <w:t>vartojamos sąvokos:</w:t>
      </w:r>
    </w:p>
    <w:p>
      <w:pPr>
        <w:spacing w:line="360" w:lineRule="auto"/>
        <w:ind w:firstLine="720"/>
        <w:jc w:val="both"/>
      </w:pPr>
      <w:r>
        <w:t>3.1</w:t>
      </w:r>
      <w:r>
        <w:t>.</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pPr>
        <w:spacing w:line="360" w:lineRule="auto"/>
        <w:ind w:firstLine="720"/>
        <w:jc w:val="both"/>
      </w:pPr>
      <w:r>
        <w:t>3.2</w:t>
      </w:r>
      <w:r>
        <w:t xml:space="preserve">. </w:t>
      </w:r>
      <w:r>
        <w:rPr>
          <w:b/>
        </w:rPr>
        <w:t>Praėję metai</w:t>
      </w:r>
      <w:r>
        <w:t xml:space="preserve"> – metai, kurių </w:t>
      </w:r>
      <w:r>
        <w:rPr>
          <w:szCs w:val="24"/>
        </w:rPr>
        <w:t>patvirtintos paskutinės metinės finansinės ataskaitos, metinės konsoliduotosios finansinės ataskaitos arba kiti finansiniai dokumentai.</w:t>
      </w:r>
    </w:p>
    <w:p>
      <w:pPr>
        <w:spacing w:line="360" w:lineRule="auto"/>
        <w:ind w:firstLine="720"/>
        <w:jc w:val="both"/>
        <w:rPr>
          <w:szCs w:val="24"/>
        </w:rPr>
      </w:pPr>
      <w:r>
        <w:t>3.3</w:t>
      </w:r>
      <w:r>
        <w:t>.</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pPr>
        <w:spacing w:line="360" w:lineRule="auto"/>
        <w:ind w:firstLine="720"/>
        <w:jc w:val="both"/>
        <w:rPr>
          <w:szCs w:val="24"/>
        </w:rPr>
      </w:pPr>
      <w:r>
        <w:rPr>
          <w:szCs w:val="24"/>
        </w:rPr>
        <w:t>3.4</w:t>
      </w:r>
      <w:r>
        <w:rPr>
          <w:szCs w:val="24"/>
        </w:rPr>
        <w:t xml:space="preserve">.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pPr>
        <w:spacing w:line="360" w:lineRule="auto"/>
        <w:ind w:firstLine="720"/>
        <w:jc w:val="both"/>
        <w:rPr>
          <w:szCs w:val="24"/>
        </w:rPr>
      </w:pPr>
      <w:r>
        <w:rPr>
          <w:szCs w:val="24"/>
        </w:rPr>
        <w:t>3.5</w:t>
      </w:r>
      <w:r>
        <w:rPr>
          <w:szCs w:val="24"/>
        </w:rPr>
        <w:t xml:space="preserve">.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pPr>
        <w:spacing w:line="360" w:lineRule="auto"/>
        <w:ind w:firstLine="720"/>
        <w:jc w:val="both"/>
      </w:pPr>
      <w:r>
        <w:rPr>
          <w:szCs w:val="24"/>
        </w:rPr>
        <w:t>3.6</w:t>
      </w:r>
      <w:r>
        <w:rPr>
          <w:szCs w:val="24"/>
        </w:rPr>
        <w:t xml:space="preserve">. </w:t>
      </w:r>
      <w:r>
        <w:rPr>
          <w:b/>
        </w:rPr>
        <w:t>Verslo subjektas</w:t>
      </w:r>
      <w:r>
        <w:t xml:space="preserve"> – SVV subjekto statusą deklaruojanti įmonė arba SVV subjekto statusą deklaruojantis verslininkas.</w:t>
      </w:r>
    </w:p>
    <w:p>
      <w:pPr>
        <w:spacing w:line="360" w:lineRule="auto"/>
        <w:ind w:firstLine="720"/>
        <w:jc w:val="both"/>
        <w:rPr>
          <w:szCs w:val="24"/>
        </w:rPr>
      </w:pPr>
      <w:r>
        <w:t>4</w:t>
      </w:r>
      <w:r>
        <w:t xml:space="preserve">. Kitos Tvarkos apraše vartojamos sąvokos suprantamos taip, kaip jos apibrėžtos </w:t>
      </w:r>
      <w:r>
        <w:rPr>
          <w:szCs w:val="24"/>
        </w:rPr>
        <w:t>Lietuvos Respublikos smulkiojo ir vidutinio verslo plėtros įstatyme.</w:t>
      </w:r>
    </w:p>
    <w:p>
      <w:pPr>
        <w:keepNext/>
        <w:widowControl w:val="0"/>
        <w:spacing w:line="360" w:lineRule="auto"/>
        <w:ind w:firstLine="720"/>
        <w:jc w:val="both"/>
        <w:rPr>
          <w:szCs w:val="24"/>
        </w:rPr>
      </w:pPr>
      <w:r>
        <w:rPr>
          <w:szCs w:val="24"/>
        </w:rPr>
        <w:t>5</w:t>
      </w:r>
      <w:r>
        <w:rPr>
          <w:szCs w:val="24"/>
        </w:rPr>
        <w:t xml:space="preserve">. Savo, kaip SVV subjekto, statusą deklaruoja verslo subjektai, siekiantys gauti valstybės 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pPr>
        <w:spacing w:line="360" w:lineRule="auto"/>
        <w:ind w:firstLine="720"/>
        <w:jc w:val="both"/>
      </w:pPr>
      <w:r>
        <w:t>6</w:t>
      </w:r>
      <w:r>
        <w:t>.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pPr>
        <w:spacing w:line="360" w:lineRule="auto"/>
        <w:ind w:firstLine="720"/>
        <w:jc w:val="both"/>
      </w:pPr>
      <w:r>
        <w:t>7</w:t>
      </w:r>
      <w:r>
        <w:t>. Verslo subjektai, kurie pagal Lietuvos Respublikos smulkiojo ir vidutinio verslo plėtros įstatymą:</w:t>
      </w:r>
    </w:p>
    <w:p>
      <w:pPr>
        <w:spacing w:line="360" w:lineRule="auto"/>
        <w:ind w:firstLine="720"/>
        <w:jc w:val="both"/>
      </w:pPr>
      <w:r>
        <w:t>7.1</w:t>
      </w:r>
      <w:r>
        <w:t>. yra savarankiškos įmonės, pildo tik formą F1;</w:t>
      </w:r>
    </w:p>
    <w:p>
      <w:pPr>
        <w:spacing w:line="360" w:lineRule="auto"/>
        <w:ind w:firstLine="720"/>
        <w:jc w:val="both"/>
      </w:pPr>
      <w:r>
        <w:t>7.2</w:t>
      </w:r>
      <w:r>
        <w:t>. turi bent vieną partnerinę įmonę, bet neturi nė vienos susijusios įmonės, pildo formą F1, formą P1 ir formos P1 priedą;</w:t>
      </w:r>
    </w:p>
    <w:p>
      <w:pPr>
        <w:spacing w:line="360" w:lineRule="auto"/>
        <w:ind w:firstLine="720"/>
        <w:jc w:val="both"/>
      </w:pPr>
      <w:r>
        <w:t>7.3</w:t>
      </w:r>
      <w:r>
        <w:t>. neturi partnerinių įmonių, turi bent vieną susijusią įmonę, kuri neturi partnerinių įmonių, pildo formą F1, formą S1 ir formos S1 priedą;</w:t>
      </w:r>
    </w:p>
    <w:p>
      <w:pPr>
        <w:spacing w:line="360" w:lineRule="auto"/>
        <w:ind w:firstLine="720"/>
        <w:jc w:val="both"/>
      </w:pPr>
      <w:r>
        <w:t>7.4</w:t>
      </w:r>
      <w:r>
        <w:t>. turi bent vieną susijusią ir bent vieną partnerinę įmonę, pildo visas formas: formą F1, formą P1, formos P1 priedą, formą S1 ir formos S1 priedą.</w:t>
      </w:r>
    </w:p>
    <w:p>
      <w:pPr>
        <w:spacing w:line="360" w:lineRule="auto"/>
        <w:ind w:firstLine="720"/>
        <w:jc w:val="both"/>
      </w:pPr>
      <w:r>
        <w:t>8</w:t>
      </w:r>
      <w:r>
        <w:t xml:space="preserve">. Siūlytina Deklaraciją pildyti tokia tvarka: formos F1 1–8 langelius, formos P1 priedą, formą P1 (jei verslo subjektas turi partnerinių įmonių), formos S1 priedą, formą S1 (jei verslo subjektas turi susijusių įmonių) ir  formos F1 9–12 langelius.</w:t>
      </w:r>
    </w:p>
    <w:p>
      <w:pPr>
        <w:spacing w:line="360" w:lineRule="auto"/>
        <w:ind w:firstLine="720"/>
        <w:rPr>
          <w:szCs w:val="24"/>
          <w:lang w:eastAsia="lt-LT"/>
        </w:rPr>
      </w:pPr>
      <w:r>
        <w:rPr>
          <w:szCs w:val="24"/>
          <w:lang w:eastAsia="lt-LT"/>
        </w:rPr>
        <w:t>9</w:t>
      </w:r>
      <w:r>
        <w:rPr>
          <w:szCs w:val="24"/>
          <w:lang w:eastAsia="lt-LT"/>
        </w:rPr>
        <w:t>. Deklaracija turi būti pildoma laikantis tokių reikalavimų:</w:t>
      </w:r>
    </w:p>
    <w:p>
      <w:pPr>
        <w:spacing w:line="360" w:lineRule="auto"/>
        <w:ind w:firstLine="720"/>
        <w:jc w:val="both"/>
        <w:rPr>
          <w:szCs w:val="24"/>
          <w:lang w:eastAsia="lt-LT"/>
        </w:rPr>
      </w:pPr>
      <w:r>
        <w:rPr>
          <w:szCs w:val="24"/>
          <w:lang w:eastAsia="lt-LT"/>
        </w:rPr>
        <w:t>9.1</w:t>
      </w:r>
      <w:r>
        <w:rPr>
          <w:szCs w:val="24"/>
          <w:lang w:eastAsia="lt-LT"/>
        </w:rPr>
        <w:t>.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pPr>
        <w:spacing w:line="360" w:lineRule="auto"/>
        <w:ind w:firstLine="720"/>
        <w:jc w:val="both"/>
        <w:rPr>
          <w:rFonts w:ascii="Tahoma" w:hAnsi="Tahoma" w:cs="Tahoma"/>
          <w:szCs w:val="24"/>
          <w:lang w:eastAsia="lt-LT"/>
        </w:rPr>
      </w:pPr>
      <w:r>
        <w:rPr>
          <w:szCs w:val="24"/>
          <w:lang w:eastAsia="lt-LT"/>
        </w:rPr>
        <w:t>9.2</w:t>
      </w:r>
      <w:r>
        <w:rPr>
          <w:szCs w:val="24"/>
          <w:lang w:eastAsia="lt-LT"/>
        </w:rPr>
        <w:t>. Deklaracija gali būti pildoma ranka didžiosiomis spausdintinėmis raidėmis juodu arba tamsiai mėlynu rašikliu (rašalu) arba, jeigu tekstas spausdinamas, mažosiomis raidėmis (sakinys pradedamas didžiąja raide).</w:t>
      </w:r>
    </w:p>
    <w:p>
      <w:pPr>
        <w:spacing w:line="360" w:lineRule="auto"/>
        <w:ind w:firstLine="720"/>
        <w:jc w:val="both"/>
        <w:rPr>
          <w:szCs w:val="24"/>
        </w:rPr>
      </w:pPr>
      <w:r>
        <w:rPr>
          <w:szCs w:val="24"/>
        </w:rPr>
        <w:t>9.3</w:t>
      </w:r>
      <w:r>
        <w:rPr>
          <w:szCs w:val="24"/>
        </w:rPr>
        <w:t>. Deklaracijoje įrašomos sumos turi būti apvalinamos: 49 centai ir mažiau nuo sumos atmetami, o 50 centų ir daugiau laikomi euru.</w:t>
      </w:r>
    </w:p>
    <w:p>
      <w:pPr>
        <w:spacing w:line="360" w:lineRule="auto"/>
        <w:ind w:firstLine="720"/>
        <w:jc w:val="both"/>
        <w:rPr>
          <w:color w:val="FF0000"/>
          <w:szCs w:val="24"/>
          <w:lang w:eastAsia="lt-LT"/>
        </w:rPr>
      </w:pPr>
      <w:r>
        <w:rPr>
          <w:color w:val="000000"/>
          <w:szCs w:val="24"/>
          <w:lang w:eastAsia="lt-LT"/>
        </w:rPr>
        <w:t>10</w:t>
      </w:r>
      <w:r>
        <w:rPr>
          <w:color w:val="000000"/>
          <w:szCs w:val="24"/>
          <w:lang w:eastAsia="lt-LT"/>
        </w:rPr>
        <w:t xml:space="preserve">.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pPr>
        <w:spacing w:line="360" w:lineRule="auto"/>
        <w:ind w:firstLine="720"/>
        <w:jc w:val="both"/>
      </w:pPr>
      <w:r>
        <w:t>11</w:t>
      </w:r>
      <w:r>
        <w:t>.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pPr>
        <w:spacing w:line="360" w:lineRule="auto"/>
        <w:ind w:firstLine="720"/>
        <w:jc w:val="both"/>
      </w:pPr>
    </w:p>
    <w:p>
      <w:pPr>
        <w:jc w:val="center"/>
        <w:rPr>
          <w:b/>
        </w:rPr>
      </w:pPr>
      <w:r>
        <w:rPr>
          <w:b/>
        </w:rPr>
        <w:t>II</w:t>
      </w:r>
      <w:r>
        <w:rPr>
          <w:b/>
        </w:rPr>
        <w:t xml:space="preserve"> SKYRIUS</w:t>
      </w:r>
    </w:p>
    <w:p>
      <w:pPr>
        <w:jc w:val="center"/>
        <w:rPr>
          <w:b/>
        </w:rPr>
      </w:pPr>
      <w:r>
        <w:rPr>
          <w:b/>
        </w:rPr>
        <w:t>PIRMASIS</w:t>
      </w:r>
      <w:r>
        <w:rPr>
          <w:b/>
        </w:rPr>
        <w:t xml:space="preserve"> SKIRSNIS</w:t>
      </w:r>
    </w:p>
    <w:p>
      <w:pPr>
        <w:jc w:val="center"/>
        <w:rPr>
          <w:b/>
        </w:rPr>
      </w:pPr>
      <w:r>
        <w:rPr>
          <w:b/>
        </w:rPr>
        <w:t>FORMOS F1 PILDYMAS</w:t>
      </w:r>
    </w:p>
    <w:p>
      <w:pPr>
        <w:spacing w:line="360" w:lineRule="auto"/>
        <w:ind w:firstLine="720"/>
        <w:jc w:val="center"/>
      </w:pPr>
    </w:p>
    <w:p>
      <w:pPr>
        <w:tabs>
          <w:tab w:val="left" w:pos="1134"/>
        </w:tabs>
        <w:spacing w:line="360" w:lineRule="auto"/>
        <w:ind w:firstLine="720"/>
        <w:jc w:val="both"/>
      </w:pPr>
      <w:r>
        <w:t>12</w:t>
      </w:r>
      <w:r>
        <w:t>. Formą F1 pildo kiekviena statusą deklaruojanti įmonė ar statusą deklaruojantis verslininkas.</w:t>
      </w:r>
    </w:p>
    <w:p>
      <w:pPr>
        <w:spacing w:line="360" w:lineRule="auto"/>
        <w:ind w:firstLine="720"/>
        <w:jc w:val="both"/>
      </w:pPr>
      <w:r>
        <w:t>13</w:t>
      </w:r>
      <w:r>
        <w:t>. Forma F1 pildoma tokia tvarka:</w:t>
      </w:r>
    </w:p>
    <w:p>
      <w:pPr>
        <w:spacing w:line="360" w:lineRule="auto"/>
        <w:ind w:firstLine="720"/>
        <w:jc w:val="both"/>
      </w:pPr>
      <w:r>
        <w:t>13.1</w:t>
      </w:r>
      <w:r>
        <w:t>. Viršuje centre, po žodžiais „Smulkiojo ar vidutinio verslo subjekto statuso deklaracija“, įrašoma deklaracijos pildymo data (metai, mėnuo, diena) ir sudarymo vieta, kurios persikelia į formą P1, formos P1 priedą, formą S1 ir formos S1 priedą.</w:t>
      </w:r>
    </w:p>
    <w:p>
      <w:pPr>
        <w:spacing w:line="360" w:lineRule="auto"/>
        <w:ind w:firstLine="720"/>
        <w:jc w:val="both"/>
      </w:pPr>
      <w:r>
        <w:t>13.2</w:t>
      </w:r>
      <w:r>
        <w:t>. Kairiajame viršutiniame kampe ženklu „X“ pažymima, ar deklaracija yra pirminė, ar patikslinta, pažymėjimas persikelia į formą P1, formos P1 priedą, formą S1 ir formos S1 priedą.</w:t>
      </w:r>
    </w:p>
    <w:p>
      <w:pPr>
        <w:spacing w:line="360" w:lineRule="auto"/>
        <w:ind w:firstLine="720"/>
        <w:jc w:val="both"/>
      </w:pPr>
      <w:r>
        <w:t>13.3</w:t>
      </w:r>
      <w:r>
        <w:t>. 1 langelyje „Verslo subjekto pavadinimas“ įrašomas statusą deklaruojančios įmonės pavadinimas arba statusą deklaruojančio verslininko vardas ir pavardė.</w:t>
      </w:r>
    </w:p>
    <w:p>
      <w:pPr>
        <w:spacing w:line="360" w:lineRule="auto"/>
        <w:ind w:firstLine="720"/>
        <w:jc w:val="both"/>
      </w:pPr>
      <w:r>
        <w:t>13.4</w:t>
      </w:r>
      <w:r>
        <w:t>. 2 langelyje „Verslo subjekto buveinė“ įrašomas statusą deklaruojančios įmonės patalpų, kuriose yra jos buveinė, adresas arba statusą deklaruojančio verslininko nuolatinė gyvenamoji vieta.</w:t>
      </w:r>
    </w:p>
    <w:p>
      <w:pPr>
        <w:spacing w:line="360" w:lineRule="auto"/>
        <w:ind w:firstLine="720"/>
        <w:jc w:val="both"/>
        <w:rPr>
          <w:szCs w:val="24"/>
          <w:lang w:eastAsia="lt-LT"/>
        </w:rPr>
      </w:pPr>
      <w:r>
        <w:rPr>
          <w:szCs w:val="24"/>
          <w:lang w:eastAsia="lt-LT"/>
        </w:rPr>
        <w:t>13.5</w:t>
      </w:r>
      <w:r>
        <w:rPr>
          <w:szCs w:val="24"/>
          <w:lang w:eastAsia="lt-LT"/>
        </w:rPr>
        <w:t>. 3 langelyje „Verslo subjekto įsteigimo data“ įrašoma statusą deklaruojančios įmonės įsteigimo data (metai, mėnuo, diena) arba statusą deklaruojančio verslininko:</w:t>
      </w:r>
    </w:p>
    <w:p>
      <w:pPr>
        <w:spacing w:line="360" w:lineRule="auto"/>
        <w:ind w:firstLine="720"/>
        <w:jc w:val="both"/>
        <w:rPr>
          <w:szCs w:val="24"/>
          <w:lang w:eastAsia="lt-LT"/>
        </w:rPr>
      </w:pPr>
      <w:r>
        <w:rPr>
          <w:szCs w:val="24"/>
          <w:lang w:eastAsia="lt-LT"/>
        </w:rPr>
        <w:t>13.5.1</w:t>
      </w:r>
      <w:r>
        <w:rPr>
          <w:szCs w:val="24"/>
          <w:lang w:eastAsia="lt-LT"/>
        </w:rPr>
        <w:t>. verslo liudijime nurodyta verslo liudijimo galiojimo pradžios data (metai, mėnuo, diena);</w:t>
      </w:r>
    </w:p>
    <w:p>
      <w:pPr>
        <w:spacing w:line="360" w:lineRule="auto"/>
        <w:ind w:firstLine="720"/>
        <w:jc w:val="both"/>
        <w:rPr>
          <w:szCs w:val="24"/>
          <w:lang w:eastAsia="lt-LT"/>
        </w:rPr>
      </w:pPr>
      <w:r>
        <w:rPr>
          <w:szCs w:val="24"/>
          <w:lang w:eastAsia="lt-LT"/>
        </w:rPr>
        <w:t>13.5.2</w:t>
      </w:r>
      <w:r>
        <w:rPr>
          <w:szCs w:val="24"/>
          <w:lang w:eastAsia="lt-LT"/>
        </w:rPr>
        <w:t>. nuolatinio Lietuvos gyventojo individualios veiklos vykdymo pažymoje nurodyta veiklos pradžios data (metai, mėnuo, diena);</w:t>
      </w:r>
    </w:p>
    <w:p>
      <w:pPr>
        <w:spacing w:line="360" w:lineRule="auto"/>
        <w:ind w:firstLine="720"/>
        <w:jc w:val="both"/>
        <w:rPr>
          <w:rFonts w:ascii="Tahoma" w:hAnsi="Tahoma" w:cs="Tahoma"/>
          <w:szCs w:val="24"/>
          <w:lang w:eastAsia="lt-LT"/>
        </w:rPr>
      </w:pPr>
      <w:r>
        <w:rPr>
          <w:szCs w:val="24"/>
          <w:lang w:eastAsia="lt-LT"/>
        </w:rPr>
        <w:t>13.5.3</w:t>
      </w:r>
      <w:r>
        <w:rPr>
          <w:szCs w:val="24"/>
          <w:lang w:eastAsia="lt-LT"/>
        </w:rPr>
        <w:t>. nenuolatinio Lietuvos gyventojo nuolatinės bazės įregistravimo Lietuvoje pažymoje nurodyta individualios veiklos pradžios data (metai, mėnuo, diena).</w:t>
      </w:r>
    </w:p>
    <w:p>
      <w:pPr>
        <w:spacing w:line="360" w:lineRule="auto"/>
        <w:ind w:firstLine="720"/>
        <w:jc w:val="both"/>
      </w:pPr>
      <w:r>
        <w:t>13.6</w:t>
      </w:r>
      <w:r>
        <w:t xml:space="preserve">.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Jei statusą deklaruojanti įmonė ar statusą deklaruojantis verslininkas yra įregistruoti pridėtinės vertės mokesčio (toliau – PVM) mokėtojais, įrašomas PVM mokėtojo kodas.</w:t>
      </w:r>
    </w:p>
    <w:p>
      <w:pPr>
        <w:spacing w:line="360" w:lineRule="auto"/>
        <w:ind w:firstLine="720"/>
        <w:jc w:val="both"/>
      </w:pPr>
      <w:r>
        <w:t>13.7</w:t>
      </w:r>
      <w:r>
        <w:t>. 5 langelyje „Verslo subjekto vadovo vardas, pavardė ir pareigos“ įrašomas statusą deklaruojančios įmonės vadovo vardas, pavardė ir pareigos. Statusą deklaruojantis verslininkas šio langelio nepildo.</w:t>
      </w:r>
    </w:p>
    <w:p>
      <w:pPr>
        <w:spacing w:line="360" w:lineRule="auto"/>
        <w:ind w:firstLine="720"/>
        <w:jc w:val="both"/>
      </w:pPr>
      <w:r>
        <w:t>13.8</w:t>
      </w:r>
      <w:r>
        <w:t>. 6 langelyje „Verslo subjekto ryšių duomenys: elektroninis paštas ir telefonas“ įrašomi statusą deklaruojančios įmonės arba statusą deklaruojančio verslininko ryšių duomenys: elektroninis paštas ir telefonas.</w:t>
      </w:r>
    </w:p>
    <w:p>
      <w:pPr>
        <w:keepNext/>
        <w:widowControl w:val="0"/>
        <w:spacing w:line="360" w:lineRule="auto"/>
        <w:ind w:firstLine="720"/>
        <w:jc w:val="both"/>
      </w:pPr>
      <w:r>
        <w:t>13.9</w:t>
      </w:r>
      <w:r>
        <w:t>. 7 langelyje „Verslo subjekto tipas“ ženklu „X“ pažymimas verslo subjekto tipas:</w:t>
      </w:r>
    </w:p>
    <w:p>
      <w:pPr>
        <w:spacing w:line="360" w:lineRule="auto"/>
        <w:ind w:firstLine="720"/>
        <w:jc w:val="both"/>
        <w:rPr>
          <w:szCs w:val="24"/>
        </w:rPr>
      </w:pPr>
      <w:r>
        <w:t>13.9.1</w:t>
      </w:r>
      <w:r>
        <w:t xml:space="preserve">. ženklu „X“ pažymimas verslo subjekto tipas „savarankiška“, jei verslo subjektas neturi nei partnerinių, nei susijusių įmonių; </w:t>
      </w:r>
    </w:p>
    <w:p>
      <w:pPr>
        <w:spacing w:line="360" w:lineRule="auto"/>
        <w:ind w:firstLine="720"/>
        <w:jc w:val="both"/>
      </w:pPr>
      <w:r>
        <w:t>13.9.2</w:t>
      </w:r>
      <w:r>
        <w:t>. ženklu „X“ pažymimas verslo subjekto tipas „partnerinė“, jei verslo subjektas turi bent vieną partnerinę įmonę;</w:t>
      </w:r>
    </w:p>
    <w:p>
      <w:pPr>
        <w:spacing w:line="360" w:lineRule="auto"/>
        <w:ind w:firstLine="720"/>
        <w:jc w:val="both"/>
      </w:pPr>
      <w:r>
        <w:t>13.9.3</w:t>
      </w:r>
      <w:r>
        <w:t>. ženklu „X“ pažymimas verslo subjekto tipas „susijusi įmonė“, jei verslo subjektas turi bent vieną susijusią įmonę;</w:t>
      </w:r>
    </w:p>
    <w:p>
      <w:pPr>
        <w:spacing w:line="360" w:lineRule="auto"/>
        <w:ind w:firstLine="720"/>
        <w:jc w:val="both"/>
      </w:pPr>
      <w:r>
        <w:t>13.9.4</w:t>
      </w:r>
      <w:r>
        <w:t>. jei verslo subjektas turi bent vieną partnerinę įmonę ir bent vieną susijusią įmonę, ženklu „X“ pažymimas ir verslo subjekto tipas „partnerinė“, ir verslo subjekto tipas „susijusi“.</w:t>
      </w:r>
    </w:p>
    <w:p>
      <w:pPr>
        <w:tabs>
          <w:tab w:val="left" w:pos="459"/>
        </w:tabs>
        <w:spacing w:line="360" w:lineRule="auto"/>
        <w:ind w:firstLine="720"/>
        <w:jc w:val="both"/>
      </w:pPr>
      <w:r>
        <w:t>13.10</w:t>
      </w:r>
      <w:r>
        <w:t xml:space="preserve">.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br/>
        <w:t>kito (-ų) verslo subjekto (-ų) ir dėl to tapo didele įmone, šio verslo subjekto duomenys užpraeitais ir užužpraeitais metais nėra vertinami ir tokia įmonė laikoma didele.</w:t>
      </w:r>
    </w:p>
    <w:p>
      <w:pPr>
        <w:spacing w:line="360" w:lineRule="auto"/>
        <w:ind w:firstLine="720"/>
        <w:jc w:val="both"/>
      </w:pPr>
      <w:r>
        <w:t>13.11</w:t>
      </w:r>
      <w:r>
        <w:t>. 9 langelio „Duomenys,</w:t>
      </w:r>
      <w:r>
        <w:rPr>
          <w:b/>
        </w:rPr>
        <w:t xml:space="preserve"> </w:t>
      </w:r>
      <w:r>
        <w:t>pagal kuriuos nustatomas verslo subjekto statusas“:</w:t>
      </w:r>
    </w:p>
    <w:p>
      <w:pPr>
        <w:spacing w:line="360" w:lineRule="auto"/>
        <w:ind w:firstLine="720"/>
        <w:jc w:val="both"/>
        <w:rPr>
          <w:szCs w:val="24"/>
        </w:rPr>
      </w:pPr>
      <w:r>
        <w:t>13.11.1</w:t>
      </w:r>
      <w:r>
        <w:t>.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pPr>
        <w:spacing w:line="360" w:lineRule="auto"/>
        <w:ind w:firstLine="720"/>
        <w:jc w:val="both"/>
        <w:rPr>
          <w:szCs w:val="24"/>
        </w:rPr>
      </w:pPr>
      <w:r>
        <w:rPr>
          <w:szCs w:val="24"/>
        </w:rPr>
        <w:t>13.11.2</w:t>
      </w:r>
      <w:r>
        <w:rPr>
          <w:szCs w:val="24"/>
        </w:rPr>
        <w:t xml:space="preserve">.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pPr>
        <w:spacing w:line="360" w:lineRule="auto"/>
        <w:ind w:firstLine="720"/>
        <w:jc w:val="both"/>
      </w:pPr>
      <w:r>
        <w:rPr>
          <w:bCs/>
          <w:szCs w:val="24"/>
        </w:rPr>
        <w:t>13.11.3</w:t>
      </w:r>
      <w:r>
        <w:rPr>
          <w:bCs/>
          <w:szCs w:val="24"/>
        </w:rPr>
        <w:t xml:space="preserve">.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pPr>
        <w:keepNext/>
        <w:widowControl w:val="0"/>
        <w:spacing w:line="360" w:lineRule="auto"/>
        <w:ind w:firstLine="720"/>
        <w:jc w:val="both"/>
        <w:rPr>
          <w:bCs/>
          <w:szCs w:val="24"/>
        </w:rPr>
      </w:pPr>
      <w:r>
        <w:t>13.11.4</w:t>
      </w:r>
      <w:r>
        <w:t>.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usijusių įmonių duomenys iš 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pPr>
        <w:spacing w:line="360" w:lineRule="auto"/>
        <w:ind w:firstLine="720"/>
        <w:jc w:val="both"/>
      </w:pPr>
      <w:r>
        <w:rPr>
          <w:bCs/>
          <w:szCs w:val="24"/>
        </w:rPr>
        <w:t>13.11.5</w:t>
      </w:r>
      <w:r>
        <w:rPr>
          <w:bCs/>
          <w:szCs w:val="24"/>
        </w:rPr>
        <w:t xml:space="preserve">.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pPr>
        <w:spacing w:line="360" w:lineRule="auto"/>
        <w:ind w:firstLine="720"/>
        <w:jc w:val="both"/>
        <w:rPr>
          <w:szCs w:val="24"/>
        </w:rPr>
      </w:pPr>
      <w:r>
        <w:rPr>
          <w:szCs w:val="24"/>
        </w:rPr>
        <w:t>13.12</w:t>
      </w:r>
      <w:r>
        <w:rPr>
          <w:szCs w:val="24"/>
        </w:rPr>
        <w:t>. 10 langelio „Verslo subjekto statusas“:</w:t>
      </w:r>
    </w:p>
    <w:p>
      <w:pPr>
        <w:tabs>
          <w:tab w:val="left" w:pos="1560"/>
        </w:tabs>
        <w:spacing w:line="360" w:lineRule="auto"/>
        <w:ind w:firstLine="720"/>
        <w:jc w:val="both"/>
      </w:pPr>
      <w:r>
        <w:rPr>
          <w:szCs w:val="24"/>
        </w:rPr>
        <w:t>13.12.1</w:t>
      </w:r>
      <w:r>
        <w:rPr>
          <w:szCs w:val="24"/>
        </w:rPr>
        <w:t xml:space="preserve">. į </w:t>
      </w:r>
      <w:r>
        <w:rPr>
          <w:color w:val="000000"/>
          <w:szCs w:val="24"/>
        </w:rPr>
        <w:t>eilutės „Laikotarpis (metai)“ antrąją, trečiąją ir ketvirtąją skiltis persikelia metai, nurodyti šios formos 8 langelyje;</w:t>
      </w:r>
    </w:p>
    <w:p>
      <w:pPr>
        <w:tabs>
          <w:tab w:val="left" w:pos="1560"/>
        </w:tabs>
        <w:spacing w:line="360" w:lineRule="auto"/>
        <w:ind w:firstLine="720"/>
        <w:jc w:val="both"/>
        <w:rPr>
          <w:szCs w:val="24"/>
        </w:rPr>
      </w:pPr>
      <w:r>
        <w:rPr>
          <w:szCs w:val="24"/>
        </w:rPr>
        <w:t>13.12.2</w:t>
      </w:r>
      <w:r>
        <w:rPr>
          <w:szCs w:val="24"/>
        </w:rPr>
        <w:t>.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83"/>
        <w:gridCol w:w="2214"/>
        <w:gridCol w:w="2214"/>
        <w:gridCol w:w="2183"/>
      </w:tblGrid>
      <w:tr>
        <w:tc>
          <w:tcPr>
            <w:tcW w:w="935" w:type="dxa"/>
            <w:shd w:val="clear" w:color="auto" w:fill="auto"/>
          </w:tcPr>
          <w:p>
            <w:pPr>
              <w:spacing w:line="360" w:lineRule="auto"/>
            </w:pPr>
            <w:r>
              <w:t>Eil. Nr.</w:t>
            </w:r>
          </w:p>
        </w:tc>
        <w:tc>
          <w:tcPr>
            <w:tcW w:w="2083" w:type="dxa"/>
            <w:shd w:val="clear" w:color="auto" w:fill="auto"/>
          </w:tcPr>
          <w:p>
            <w:pPr>
              <w:jc w:val="center"/>
            </w:pPr>
            <w:r>
              <w:t>Užužpraeitų metų verslo subjekto statusas</w:t>
            </w:r>
          </w:p>
        </w:tc>
        <w:tc>
          <w:tcPr>
            <w:tcW w:w="2214" w:type="dxa"/>
            <w:shd w:val="clear" w:color="auto" w:fill="auto"/>
          </w:tcPr>
          <w:p>
            <w:pPr>
              <w:ind w:left="-15"/>
              <w:jc w:val="center"/>
            </w:pPr>
            <w:r>
              <w:t>Užpraeitų metų verslo subjekto statusas</w:t>
            </w:r>
          </w:p>
        </w:tc>
        <w:tc>
          <w:tcPr>
            <w:tcW w:w="2214" w:type="dxa"/>
            <w:shd w:val="clear" w:color="auto" w:fill="auto"/>
          </w:tcPr>
          <w:p>
            <w:pPr>
              <w:jc w:val="center"/>
            </w:pPr>
            <w:r>
              <w:t>Praėjusių metų verslo subjekto statusas</w:t>
            </w:r>
          </w:p>
        </w:tc>
        <w:tc>
          <w:tcPr>
            <w:tcW w:w="2183" w:type="dxa"/>
            <w:shd w:val="clear" w:color="auto" w:fill="auto"/>
          </w:tcPr>
          <w:p>
            <w:pPr>
              <w:jc w:val="center"/>
            </w:pPr>
            <w:r>
              <w:t>Verslo subjekto statusas Deklaracijos pateikimo metu</w:t>
            </w:r>
          </w:p>
        </w:tc>
      </w:tr>
      <w:tr>
        <w:tc>
          <w:tcPr>
            <w:tcW w:w="935" w:type="dxa"/>
            <w:shd w:val="clear" w:color="auto" w:fill="auto"/>
          </w:tcPr>
          <w:p>
            <w:pPr>
              <w:spacing w:line="360" w:lineRule="auto"/>
              <w:ind w:left="720" w:hanging="360"/>
            </w:pPr>
            <w:r>
              <w:rPr>
                <w:sz w:val="20"/>
              </w:rPr>
              <w:t>1.</w:t>
              <w:tab/>
            </w:r>
          </w:p>
        </w:tc>
        <w:tc>
          <w:tcPr>
            <w:tcW w:w="2083" w:type="dxa"/>
            <w:shd w:val="clear" w:color="auto" w:fill="auto"/>
          </w:tcPr>
          <w:p>
            <w:pPr>
              <w:spacing w:line="360" w:lineRule="auto"/>
              <w:ind w:firstLine="33"/>
              <w:rPr>
                <w:sz w:val="28"/>
                <w:vertAlign w:val="superscript"/>
              </w:rPr>
            </w:pPr>
            <w:r>
              <w:t>Ne SVV subjektas</w:t>
            </w:r>
          </w:p>
        </w:tc>
        <w:tc>
          <w:tcPr>
            <w:tcW w:w="2214"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SVV subjektas</w:t>
            </w:r>
          </w:p>
        </w:tc>
        <w:tc>
          <w:tcPr>
            <w:tcW w:w="2183" w:type="dxa"/>
            <w:shd w:val="clear" w:color="auto" w:fill="auto"/>
          </w:tcPr>
          <w:p>
            <w:pPr>
              <w:spacing w:line="360" w:lineRule="auto"/>
              <w:ind w:firstLine="33"/>
            </w:pPr>
            <w:r>
              <w:t>Ne SVV subjektas</w:t>
            </w:r>
          </w:p>
        </w:tc>
      </w:tr>
      <w:tr>
        <w:tc>
          <w:tcPr>
            <w:tcW w:w="935" w:type="dxa"/>
            <w:shd w:val="clear" w:color="auto" w:fill="auto"/>
          </w:tcPr>
          <w:p>
            <w:pPr>
              <w:spacing w:line="360" w:lineRule="auto"/>
              <w:ind w:left="720" w:hanging="360"/>
            </w:pPr>
            <w:r>
              <w:rPr>
                <w:sz w:val="20"/>
              </w:rPr>
              <w:t>2.</w:t>
              <w:tab/>
            </w:r>
          </w:p>
        </w:tc>
        <w:tc>
          <w:tcPr>
            <w:tcW w:w="2083"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SVV subjektas</w:t>
            </w:r>
          </w:p>
        </w:tc>
        <w:tc>
          <w:tcPr>
            <w:tcW w:w="2183" w:type="dxa"/>
            <w:shd w:val="clear" w:color="auto" w:fill="auto"/>
          </w:tcPr>
          <w:p>
            <w:pPr>
              <w:spacing w:line="360" w:lineRule="auto"/>
              <w:ind w:firstLine="33"/>
            </w:pPr>
            <w:r>
              <w:t>SVV subjektas</w:t>
            </w:r>
          </w:p>
        </w:tc>
      </w:tr>
      <w:tr>
        <w:tc>
          <w:tcPr>
            <w:tcW w:w="935" w:type="dxa"/>
            <w:shd w:val="clear" w:color="auto" w:fill="auto"/>
          </w:tcPr>
          <w:p>
            <w:pPr>
              <w:spacing w:line="360" w:lineRule="auto"/>
              <w:ind w:left="720" w:hanging="360"/>
            </w:pPr>
            <w:r>
              <w:rPr>
                <w:sz w:val="20"/>
              </w:rPr>
              <w:t>3.</w:t>
              <w:tab/>
            </w:r>
          </w:p>
        </w:tc>
        <w:tc>
          <w:tcPr>
            <w:tcW w:w="2083"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SVV subjektas</w:t>
            </w:r>
          </w:p>
        </w:tc>
        <w:tc>
          <w:tcPr>
            <w:tcW w:w="2183" w:type="dxa"/>
            <w:shd w:val="clear" w:color="auto" w:fill="auto"/>
          </w:tcPr>
          <w:p>
            <w:pPr>
              <w:spacing w:line="360" w:lineRule="auto"/>
              <w:ind w:firstLine="33"/>
            </w:pPr>
            <w:r>
              <w:t>SVV subjektas</w:t>
            </w:r>
          </w:p>
        </w:tc>
      </w:tr>
      <w:tr>
        <w:tc>
          <w:tcPr>
            <w:tcW w:w="935" w:type="dxa"/>
            <w:shd w:val="clear" w:color="auto" w:fill="auto"/>
          </w:tcPr>
          <w:p>
            <w:pPr>
              <w:spacing w:line="360" w:lineRule="auto"/>
              <w:ind w:left="720" w:hanging="360"/>
            </w:pPr>
            <w:r>
              <w:rPr>
                <w:sz w:val="20"/>
              </w:rPr>
              <w:t>4.</w:t>
              <w:tab/>
            </w:r>
          </w:p>
        </w:tc>
        <w:tc>
          <w:tcPr>
            <w:tcW w:w="2083"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SVV subjektas</w:t>
            </w:r>
          </w:p>
        </w:tc>
        <w:tc>
          <w:tcPr>
            <w:tcW w:w="2183" w:type="dxa"/>
            <w:shd w:val="clear" w:color="auto" w:fill="auto"/>
          </w:tcPr>
          <w:p>
            <w:pPr>
              <w:spacing w:line="360" w:lineRule="auto"/>
              <w:ind w:firstLine="33"/>
            </w:pPr>
            <w:r>
              <w:t>SVV subjektas</w:t>
            </w:r>
          </w:p>
        </w:tc>
      </w:tr>
      <w:tr>
        <w:tc>
          <w:tcPr>
            <w:tcW w:w="935" w:type="dxa"/>
            <w:shd w:val="clear" w:color="auto" w:fill="auto"/>
          </w:tcPr>
          <w:p>
            <w:pPr>
              <w:spacing w:line="360" w:lineRule="auto"/>
              <w:ind w:left="720" w:hanging="360"/>
            </w:pPr>
            <w:r>
              <w:rPr>
                <w:sz w:val="20"/>
              </w:rPr>
              <w:t>5.</w:t>
              <w:tab/>
            </w:r>
          </w:p>
        </w:tc>
        <w:tc>
          <w:tcPr>
            <w:tcW w:w="2083"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Ne SVV subjektas</w:t>
            </w:r>
          </w:p>
        </w:tc>
        <w:tc>
          <w:tcPr>
            <w:tcW w:w="2183" w:type="dxa"/>
            <w:shd w:val="clear" w:color="auto" w:fill="auto"/>
          </w:tcPr>
          <w:p>
            <w:pPr>
              <w:spacing w:line="360" w:lineRule="auto"/>
              <w:ind w:firstLine="33"/>
            </w:pPr>
            <w:r>
              <w:t>SVV subjektas</w:t>
            </w:r>
          </w:p>
        </w:tc>
      </w:tr>
      <w:tr>
        <w:tc>
          <w:tcPr>
            <w:tcW w:w="935" w:type="dxa"/>
            <w:shd w:val="clear" w:color="auto" w:fill="auto"/>
          </w:tcPr>
          <w:p>
            <w:pPr>
              <w:spacing w:line="360" w:lineRule="auto"/>
              <w:ind w:left="720" w:hanging="360"/>
            </w:pPr>
            <w:r>
              <w:rPr>
                <w:sz w:val="20"/>
              </w:rPr>
              <w:t>6.</w:t>
              <w:tab/>
            </w:r>
          </w:p>
        </w:tc>
        <w:tc>
          <w:tcPr>
            <w:tcW w:w="2083"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Ne SVV subjektas</w:t>
            </w:r>
          </w:p>
        </w:tc>
        <w:tc>
          <w:tcPr>
            <w:tcW w:w="2183" w:type="dxa"/>
            <w:shd w:val="clear" w:color="auto" w:fill="auto"/>
          </w:tcPr>
          <w:p>
            <w:pPr>
              <w:spacing w:line="360" w:lineRule="auto"/>
              <w:ind w:firstLine="33"/>
            </w:pPr>
            <w:r>
              <w:t>Ne SVV subjektas</w:t>
            </w:r>
          </w:p>
        </w:tc>
      </w:tr>
      <w:tr>
        <w:tc>
          <w:tcPr>
            <w:tcW w:w="935" w:type="dxa"/>
            <w:shd w:val="clear" w:color="auto" w:fill="auto"/>
          </w:tcPr>
          <w:p>
            <w:pPr>
              <w:spacing w:line="360" w:lineRule="auto"/>
              <w:ind w:left="720" w:hanging="360"/>
            </w:pPr>
            <w:r>
              <w:rPr>
                <w:sz w:val="20"/>
              </w:rPr>
              <w:t>7.</w:t>
              <w:tab/>
            </w:r>
          </w:p>
        </w:tc>
        <w:tc>
          <w:tcPr>
            <w:tcW w:w="2083"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SVV subjektas</w:t>
            </w:r>
          </w:p>
        </w:tc>
        <w:tc>
          <w:tcPr>
            <w:tcW w:w="2214" w:type="dxa"/>
            <w:shd w:val="clear" w:color="auto" w:fill="auto"/>
          </w:tcPr>
          <w:p>
            <w:pPr>
              <w:spacing w:line="360" w:lineRule="auto"/>
              <w:ind w:firstLine="33"/>
            </w:pPr>
            <w:r>
              <w:t>Ne SVV subjektas</w:t>
            </w:r>
          </w:p>
        </w:tc>
        <w:tc>
          <w:tcPr>
            <w:tcW w:w="2183" w:type="dxa"/>
            <w:shd w:val="clear" w:color="auto" w:fill="auto"/>
          </w:tcPr>
          <w:p>
            <w:pPr>
              <w:spacing w:line="360" w:lineRule="auto"/>
              <w:ind w:firstLine="33"/>
            </w:pPr>
            <w:r>
              <w:t>Ne SVV subjektas</w:t>
            </w:r>
          </w:p>
        </w:tc>
      </w:tr>
      <w:tr>
        <w:tc>
          <w:tcPr>
            <w:tcW w:w="935" w:type="dxa"/>
            <w:shd w:val="clear" w:color="auto" w:fill="auto"/>
          </w:tcPr>
          <w:p>
            <w:pPr>
              <w:spacing w:line="360" w:lineRule="auto"/>
              <w:ind w:left="720" w:hanging="360"/>
            </w:pPr>
            <w:r>
              <w:rPr>
                <w:sz w:val="20"/>
              </w:rPr>
              <w:t>8.</w:t>
              <w:tab/>
            </w:r>
          </w:p>
        </w:tc>
        <w:tc>
          <w:tcPr>
            <w:tcW w:w="2083"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Ne SVV subjektas</w:t>
            </w:r>
          </w:p>
        </w:tc>
        <w:tc>
          <w:tcPr>
            <w:tcW w:w="2214" w:type="dxa"/>
            <w:shd w:val="clear" w:color="auto" w:fill="auto"/>
          </w:tcPr>
          <w:p>
            <w:pPr>
              <w:spacing w:line="360" w:lineRule="auto"/>
              <w:ind w:firstLine="33"/>
            </w:pPr>
            <w:r>
              <w:t>Ne SVV subjektas</w:t>
            </w:r>
          </w:p>
        </w:tc>
        <w:tc>
          <w:tcPr>
            <w:tcW w:w="2183" w:type="dxa"/>
            <w:shd w:val="clear" w:color="auto" w:fill="auto"/>
          </w:tcPr>
          <w:p>
            <w:pPr>
              <w:spacing w:line="360" w:lineRule="auto"/>
              <w:ind w:firstLine="33"/>
            </w:pPr>
            <w:r>
              <w:t>Ne SVV subjektas</w:t>
            </w:r>
          </w:p>
        </w:tc>
      </w:tr>
    </w:tbl>
    <w:p>
      <w:pPr/>
    </w:p>
    <w:p>
      <w:pPr>
        <w:spacing w:line="360" w:lineRule="auto"/>
        <w:ind w:firstLine="720"/>
        <w:jc w:val="both"/>
        <w:rPr>
          <w:szCs w:val="24"/>
        </w:rPr>
      </w:pPr>
      <w:r>
        <w:rPr>
          <w:szCs w:val="24"/>
        </w:rPr>
        <w:t>13.13</w:t>
      </w:r>
      <w:r>
        <w:rPr>
          <w:szCs w:val="24"/>
        </w:rPr>
        <w:t xml:space="preserve">. Statusą deklaruojantis verslininkas 10 langelį pildo taip pat kaip ir statusą deklaruojanti įmonė. </w:t>
      </w:r>
    </w:p>
    <w:p>
      <w:pPr>
        <w:spacing w:line="360" w:lineRule="auto"/>
        <w:ind w:firstLine="720"/>
        <w:jc w:val="both"/>
      </w:pPr>
      <w:r>
        <w:t>13.14</w:t>
      </w:r>
      <w:r>
        <w:t>.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pPr>
        <w:spacing w:line="360" w:lineRule="auto"/>
        <w:ind w:firstLine="720"/>
        <w:jc w:val="both"/>
        <w:rPr>
          <w:bCs/>
        </w:rPr>
      </w:pPr>
      <w:r>
        <w:t>13.15</w:t>
      </w:r>
      <w:r>
        <w:t>.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pPr>
        <w:ind w:firstLine="720"/>
        <w:jc w:val="both"/>
        <w:rPr>
          <w:bCs/>
          <w:szCs w:val="24"/>
        </w:rPr>
      </w:pPr>
    </w:p>
    <w:p>
      <w:pPr>
        <w:jc w:val="center"/>
        <w:rPr>
          <w:b/>
        </w:rPr>
      </w:pPr>
      <w:r>
        <w:rPr>
          <w:b/>
        </w:rPr>
        <w:t>ANTRASIS</w:t>
      </w:r>
      <w:r>
        <w:rPr>
          <w:b/>
        </w:rPr>
        <w:t xml:space="preserve"> SKIRSNIS</w:t>
      </w:r>
    </w:p>
    <w:p>
      <w:pPr>
        <w:ind w:firstLine="124"/>
        <w:jc w:val="center"/>
        <w:rPr>
          <w:b/>
          <w:bCs/>
          <w:szCs w:val="24"/>
        </w:rPr>
      </w:pPr>
      <w:r>
        <w:rPr>
          <w:b/>
          <w:bCs/>
          <w:szCs w:val="24"/>
        </w:rPr>
        <w:t>FORMOS P1 DUOMENYS</w:t>
      </w:r>
    </w:p>
    <w:p>
      <w:pPr>
        <w:spacing w:line="276" w:lineRule="auto"/>
        <w:ind w:firstLine="720"/>
        <w:jc w:val="both"/>
      </w:pPr>
    </w:p>
    <w:p>
      <w:pPr>
        <w:spacing w:line="360" w:lineRule="auto"/>
        <w:ind w:firstLine="720"/>
        <w:jc w:val="both"/>
      </w:pPr>
      <w:r>
        <w:t>14</w:t>
      </w:r>
      <w:r>
        <w:t>. Į formą P1 duomenys iš formos P1 priedo persikelia tokia tvarka:</w:t>
      </w:r>
    </w:p>
    <w:p>
      <w:pPr>
        <w:spacing w:line="360" w:lineRule="auto"/>
        <w:ind w:firstLine="720"/>
        <w:jc w:val="both"/>
      </w:pPr>
      <w:r>
        <w:t>14.1</w:t>
      </w:r>
      <w:r>
        <w:t>. Į skiltį „</w:t>
      </w:r>
      <w:r>
        <w:rPr>
          <w:bCs/>
          <w:szCs w:val="24"/>
        </w:rPr>
        <w:t>Partnerinės įmonės (pavadinimas, įmonės kodas)“ persikelia duomenys iš formos P1 priedo 1 ir 4 langelių.</w:t>
      </w:r>
    </w:p>
    <w:p>
      <w:pPr>
        <w:spacing w:line="360" w:lineRule="auto"/>
        <w:ind w:firstLine="720"/>
        <w:jc w:val="both"/>
        <w:rPr>
          <w:b/>
          <w:bCs/>
          <w:szCs w:val="24"/>
        </w:rPr>
      </w:pPr>
      <w:r>
        <w:t>14.2</w:t>
      </w:r>
      <w:r>
        <w:t>.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pPr>
        <w:spacing w:line="360" w:lineRule="auto"/>
        <w:ind w:firstLine="720"/>
        <w:jc w:val="both"/>
      </w:pPr>
      <w:r>
        <w:t>14.3</w:t>
      </w:r>
      <w:r>
        <w:t>.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pPr>
        <w:spacing w:line="360" w:lineRule="auto"/>
        <w:jc w:val="both"/>
      </w:pPr>
    </w:p>
    <w:p>
      <w:pPr>
        <w:jc w:val="center"/>
        <w:rPr>
          <w:b/>
        </w:rPr>
      </w:pPr>
      <w:r>
        <w:rPr>
          <w:b/>
        </w:rPr>
        <w:t>TREČIASIS</w:t>
      </w:r>
      <w:r>
        <w:rPr>
          <w:b/>
        </w:rPr>
        <w:t xml:space="preserve"> SKIRSNIS </w:t>
      </w:r>
    </w:p>
    <w:p>
      <w:pPr>
        <w:jc w:val="center"/>
        <w:rPr>
          <w:b/>
          <w:bCs/>
          <w:szCs w:val="24"/>
        </w:rPr>
      </w:pPr>
      <w:r>
        <w:rPr>
          <w:b/>
          <w:bCs/>
          <w:szCs w:val="24"/>
        </w:rPr>
        <w:t>FORMOS P1 PRIEDO PILDYMAS</w:t>
      </w:r>
    </w:p>
    <w:p>
      <w:pPr>
        <w:spacing w:line="360" w:lineRule="auto"/>
        <w:ind w:firstLine="720"/>
        <w:jc w:val="center"/>
        <w:rPr>
          <w:bCs/>
          <w:szCs w:val="24"/>
        </w:rPr>
      </w:pPr>
    </w:p>
    <w:p>
      <w:pPr>
        <w:spacing w:line="360" w:lineRule="auto"/>
        <w:ind w:firstLine="720"/>
        <w:jc w:val="both"/>
        <w:rPr>
          <w:b/>
        </w:rPr>
      </w:pPr>
      <w:r>
        <w:rPr>
          <w:bCs/>
          <w:szCs w:val="24"/>
        </w:rPr>
        <w:t>15</w:t>
      </w:r>
      <w:r>
        <w:rPr>
          <w:bCs/>
          <w:szCs w:val="24"/>
        </w:rPr>
        <w:t xml:space="preserve">. Formos P1 priede surašomi reikalingi duomenys apie kiekvieną verslo subjekto partnerinę įmonę, partnerinės įmonės partnerinę įmonę, </w:t>
      </w:r>
      <w:r>
        <w:t>jei partnerinės įmonės kita partnerinė įmonė su statusą deklaruojančia įmone yra susijusios tiekimo ir vartojimo ryšiais (yra viena kitos produkcijos vartotojos (tiekėjos),</w:t>
      </w:r>
      <w:r>
        <w:rPr>
          <w:bCs/>
          <w:szCs w:val="24"/>
        </w:rPr>
        <w:t xml:space="preserve"> ir verslo subjekto susijusios įmonės partnerinę įmonę. Formos P1 priedas pildomas tokia tvarka:</w:t>
      </w:r>
    </w:p>
    <w:p>
      <w:pPr>
        <w:spacing w:line="360" w:lineRule="auto"/>
        <w:ind w:firstLine="720"/>
        <w:jc w:val="both"/>
      </w:pPr>
      <w:r>
        <w:rPr>
          <w:bCs/>
          <w:szCs w:val="24"/>
        </w:rPr>
        <w:t>15.1</w:t>
      </w:r>
      <w:r>
        <w:rPr>
          <w:bCs/>
          <w:szCs w:val="24"/>
        </w:rPr>
        <w:t>.</w:t>
      </w:r>
      <w:r>
        <w:t xml:space="preserve"> Kairiajame viršutiniame kampe ženklas „X“, žymintis, ar Deklaracija yra pirminė, ar patikslinta,  persikelia iš formos F1.</w:t>
      </w:r>
    </w:p>
    <w:p>
      <w:pPr>
        <w:spacing w:line="360" w:lineRule="auto"/>
        <w:ind w:firstLine="720"/>
        <w:jc w:val="both"/>
      </w:pPr>
      <w:r>
        <w:t>15.2</w:t>
      </w:r>
      <w:r>
        <w:t>. 1 langelyje „Įmonės pavadinimas“ įrašomas partnerinės įmonės pavadinimas.</w:t>
      </w:r>
    </w:p>
    <w:p>
      <w:pPr>
        <w:tabs>
          <w:tab w:val="left" w:pos="1276"/>
        </w:tabs>
        <w:spacing w:line="360" w:lineRule="auto"/>
        <w:ind w:firstLine="720"/>
        <w:jc w:val="both"/>
      </w:pPr>
      <w:r>
        <w:t>15.3</w:t>
      </w:r>
      <w:r>
        <w:t>. 2 langelyje „Įmonės buveinė“ įrašomas partnerinės įmonės patalpų, kuriose yra partnerinės įmonės buveinė, adresas.</w:t>
      </w:r>
    </w:p>
    <w:p>
      <w:pPr>
        <w:spacing w:line="360" w:lineRule="auto"/>
        <w:ind w:firstLine="720"/>
        <w:jc w:val="both"/>
      </w:pPr>
      <w:r>
        <w:t>15.4</w:t>
      </w:r>
      <w:r>
        <w:t>. 3 langelyje „Įmonės įsteigimo data“ įrašoma partnerinės įmonės įsteigimo data (metai, mėnuo, diena).</w:t>
      </w:r>
    </w:p>
    <w:p>
      <w:pPr>
        <w:spacing w:line="360" w:lineRule="auto"/>
        <w:ind w:firstLine="720"/>
        <w:jc w:val="both"/>
      </w:pPr>
      <w:r>
        <w:t>15.5</w:t>
      </w:r>
      <w:r>
        <w:t>. 4 langelyje „Įmonės kodas“ įrašomas partnerinės įmonės kodas.</w:t>
      </w:r>
    </w:p>
    <w:p>
      <w:pPr>
        <w:spacing w:line="360" w:lineRule="auto"/>
        <w:ind w:firstLine="720"/>
        <w:jc w:val="both"/>
      </w:pPr>
      <w:r>
        <w:t>15.6</w:t>
      </w:r>
      <w:r>
        <w:t>. 5 langelyje „Įmonės vadovo vardas, pavardė ir pareigos“ įrašomas partnerinės įmonės vadovo vardas, pavardė ir pareigos.</w:t>
      </w:r>
    </w:p>
    <w:p>
      <w:pPr>
        <w:spacing w:line="360" w:lineRule="auto"/>
        <w:ind w:firstLine="720"/>
        <w:jc w:val="both"/>
      </w:pPr>
      <w:r>
        <w:t>15.7</w:t>
      </w:r>
      <w:r>
        <w:t>. 6 langelyje „Įmonės ryšių duomenys: elektroninis paštas ir telefonas“ įrašomi partnerinės įmonės ryšių duomenys: elektroninis paštas ir telefonas.</w:t>
      </w:r>
    </w:p>
    <w:p>
      <w:pPr>
        <w:spacing w:line="360" w:lineRule="auto"/>
        <w:ind w:firstLine="720"/>
        <w:jc w:val="both"/>
      </w:pPr>
      <w:r>
        <w:t>15.8</w:t>
      </w:r>
      <w:r>
        <w:t>. 7 langelio „Partnerinės įmonės duomenys D</w:t>
      </w:r>
      <w:r>
        <w:rPr>
          <w:vertAlign w:val="subscript"/>
        </w:rPr>
        <w:t>Pn</w:t>
      </w:r>
      <w:r>
        <w:t>“ eilutės „P</w:t>
      </w:r>
      <w:r>
        <w:rPr>
          <w:vertAlign w:val="subscript"/>
        </w:rPr>
        <w:t>n</w:t>
      </w:r>
      <w:r>
        <w:t>“:</w:t>
      </w:r>
    </w:p>
    <w:p>
      <w:pPr>
        <w:spacing w:line="360" w:lineRule="auto"/>
        <w:ind w:firstLine="720"/>
        <w:jc w:val="both"/>
      </w:pPr>
      <w:r>
        <w:t>15.8.1</w:t>
      </w:r>
      <w:r>
        <w:t xml:space="preserve">.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pPr>
        <w:spacing w:line="360" w:lineRule="auto"/>
        <w:ind w:firstLine="720"/>
        <w:jc w:val="both"/>
      </w:pPr>
      <w:r>
        <w:t>15.8.2</w:t>
      </w:r>
      <w:r>
        <w:t>.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pPr>
        <w:spacing w:line="360" w:lineRule="auto"/>
        <w:ind w:firstLine="720"/>
        <w:jc w:val="both"/>
      </w:pPr>
      <w:r>
        <w:t>15.8.3</w:t>
      </w:r>
      <w:r>
        <w:t>.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pPr>
        <w:spacing w:line="360" w:lineRule="auto"/>
        <w:ind w:firstLine="720"/>
        <w:jc w:val="both"/>
      </w:pPr>
      <w:r>
        <w:t>15.9</w:t>
      </w:r>
      <w:r>
        <w:t>.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pPr>
        <w:spacing w:line="360" w:lineRule="auto"/>
        <w:ind w:firstLine="720"/>
        <w:jc w:val="both"/>
      </w:pPr>
      <w:r>
        <w:t>15.10</w:t>
      </w:r>
      <w:r>
        <w:t>.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pPr>
        <w:spacing w:line="360" w:lineRule="auto"/>
        <w:ind w:firstLine="720"/>
        <w:jc w:val="both"/>
      </w:pPr>
      <w:r>
        <w:t>15.10.1</w:t>
      </w:r>
      <w:r>
        <w:t>.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pPr>
        <w:spacing w:line="360" w:lineRule="auto"/>
        <w:ind w:firstLine="720"/>
        <w:jc w:val="both"/>
      </w:pPr>
      <w:r>
        <w:t>15.10.2</w:t>
      </w:r>
      <w:r>
        <w:t>.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pPr>
        <w:spacing w:line="360" w:lineRule="auto"/>
        <w:ind w:firstLine="720"/>
        <w:jc w:val="both"/>
      </w:pPr>
      <w:r>
        <w:t>15.10.3</w:t>
      </w:r>
      <w:r>
        <w:t>.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pPr>
        <w:keepNext/>
        <w:widowControl w:val="0"/>
        <w:spacing w:line="360" w:lineRule="auto"/>
        <w:ind w:firstLine="720"/>
        <w:jc w:val="both"/>
      </w:pPr>
      <w:r>
        <w:t>15.11</w:t>
      </w:r>
      <w:r>
        <w:t>.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pPr>
        <w:spacing w:line="360" w:lineRule="auto"/>
        <w:ind w:firstLine="720"/>
        <w:jc w:val="both"/>
        <w:rPr>
          <w:bCs/>
          <w:szCs w:val="24"/>
        </w:rPr>
      </w:pPr>
      <w:r>
        <w:rPr>
          <w:bCs/>
          <w:szCs w:val="24"/>
        </w:rPr>
        <w:t>15.12</w:t>
      </w:r>
      <w:r>
        <w:rPr>
          <w:bCs/>
          <w:szCs w:val="24"/>
        </w:rPr>
        <w:t xml:space="preserve">.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pPr>
        <w:spacing w:line="360" w:lineRule="auto"/>
        <w:ind w:firstLine="720"/>
        <w:jc w:val="both"/>
        <w:rPr>
          <w:bCs/>
          <w:szCs w:val="24"/>
        </w:rPr>
      </w:pPr>
      <w:r>
        <w:rPr>
          <w:bCs/>
          <w:szCs w:val="24"/>
        </w:rPr>
        <w:t>15.13</w:t>
      </w:r>
      <w:r>
        <w:rPr>
          <w:bCs/>
          <w:szCs w:val="24"/>
        </w:rPr>
        <w:t xml:space="preserve">. 8 langelio „Su partnerinėmis įmonėmis susijusių įmonių, kurių duomenys įtraukti į partnerinės įmonės </w:t>
      </w:r>
      <w:r>
        <w:t>metines konsoliduotąsias finansines ataskaitas</w:t>
      </w:r>
      <w:r>
        <w:rPr>
          <w:bCs/>
          <w:szCs w:val="24"/>
        </w:rPr>
        <w:t>, identifikavimas“ eilučių:</w:t>
      </w:r>
    </w:p>
    <w:p>
      <w:pPr>
        <w:spacing w:line="360" w:lineRule="auto"/>
        <w:ind w:firstLine="720"/>
        <w:jc w:val="both"/>
        <w:rPr>
          <w:bCs/>
          <w:szCs w:val="24"/>
        </w:rPr>
      </w:pPr>
      <w:r>
        <w:rPr>
          <w:bCs/>
          <w:szCs w:val="24"/>
        </w:rPr>
        <w:t>15.13.1</w:t>
      </w:r>
      <w:r>
        <w:rPr>
          <w:bCs/>
          <w:szCs w:val="24"/>
        </w:rPr>
        <w:t xml:space="preserve">. skiltyje „Susijusios įmonės pavadinimas“ įrašomas susijusios įmonės, kurios duomenys buvo įtraukti į partnerinės įmonės </w:t>
      </w:r>
      <w:r>
        <w:t>metines konsoliduotąsias finansines ataskaitas</w:t>
      </w:r>
      <w:r>
        <w:rPr>
          <w:bCs/>
          <w:szCs w:val="24"/>
        </w:rPr>
        <w:t>, pavadinimas;</w:t>
      </w:r>
    </w:p>
    <w:p>
      <w:pPr>
        <w:spacing w:line="360" w:lineRule="auto"/>
        <w:ind w:firstLine="720"/>
        <w:jc w:val="both"/>
        <w:rPr>
          <w:bCs/>
          <w:szCs w:val="24"/>
        </w:rPr>
      </w:pPr>
      <w:r>
        <w:rPr>
          <w:bCs/>
          <w:szCs w:val="24"/>
        </w:rPr>
        <w:t>15.13.2</w:t>
      </w:r>
      <w:r>
        <w:rPr>
          <w:bCs/>
          <w:szCs w:val="24"/>
        </w:rPr>
        <w:t xml:space="preserve">. skiltyje „Susijusios įmonės buveinė“ įrašomas susijusios įmonės, kurios duomenys buvo įtraukti į partnerinės įmonės </w:t>
      </w:r>
      <w:r>
        <w:t>metines konsoliduotąsias finansines ataskaitas</w:t>
      </w:r>
      <w:r>
        <w:rPr>
          <w:bCs/>
          <w:szCs w:val="24"/>
        </w:rPr>
        <w:t>, patalpų, kuriose yra jos buveinė, adresas;</w:t>
      </w:r>
    </w:p>
    <w:p>
      <w:pPr>
        <w:spacing w:line="360" w:lineRule="auto"/>
        <w:ind w:firstLine="720"/>
        <w:jc w:val="both"/>
        <w:rPr>
          <w:bCs/>
          <w:szCs w:val="24"/>
        </w:rPr>
      </w:pPr>
      <w:r>
        <w:rPr>
          <w:bCs/>
          <w:szCs w:val="24"/>
        </w:rPr>
        <w:t>15.13.3</w:t>
      </w:r>
      <w:r>
        <w:rPr>
          <w:bCs/>
          <w:szCs w:val="24"/>
        </w:rPr>
        <w:t xml:space="preserve">. skiltyje „Susijusios įmonės kodas“ įrašomas susijusios įmonės, kurios duomenys buvo įtraukti į partnerinės įmonės </w:t>
      </w:r>
      <w:r>
        <w:t>metines konsoliduotąsias finansines ataskaitas</w:t>
      </w:r>
      <w:r>
        <w:rPr>
          <w:bCs/>
          <w:szCs w:val="24"/>
        </w:rPr>
        <w:t>, kodas;</w:t>
      </w:r>
    </w:p>
    <w:p>
      <w:pPr>
        <w:spacing w:line="360" w:lineRule="auto"/>
        <w:ind w:firstLine="720"/>
        <w:jc w:val="both"/>
      </w:pPr>
      <w:r>
        <w:rPr>
          <w:bCs/>
          <w:szCs w:val="24"/>
        </w:rPr>
        <w:t>15.13.4</w:t>
      </w:r>
      <w:r>
        <w:rPr>
          <w:bCs/>
          <w:szCs w:val="24"/>
        </w:rPr>
        <w:t>.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pPr>
        <w:spacing w:line="360" w:lineRule="auto"/>
        <w:ind w:firstLine="720"/>
        <w:jc w:val="both"/>
        <w:rPr>
          <w:bCs/>
          <w:szCs w:val="24"/>
        </w:rPr>
      </w:pPr>
      <w:r>
        <w:t>15.14</w:t>
      </w:r>
      <w:r>
        <w:t xml:space="preserve">.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partnerinė įmonė turi susijusių įmonių, kurių duomenys nėra įtraukti į partnerinės įmonės </w:t>
      </w:r>
      <w:r>
        <w:t>metines konsoliduotąsias finansines ataskaitas</w:t>
      </w:r>
      <w:r>
        <w:rPr>
          <w:bCs/>
          <w:szCs w:val="24"/>
        </w:rPr>
        <w:t>.</w:t>
      </w:r>
    </w:p>
    <w:p>
      <w:pPr>
        <w:spacing w:line="360" w:lineRule="auto"/>
        <w:ind w:firstLine="720"/>
        <w:jc w:val="both"/>
        <w:rPr>
          <w:bCs/>
          <w:szCs w:val="24"/>
        </w:rPr>
      </w:pPr>
      <w:r>
        <w:t>15.15</w:t>
      </w:r>
      <w:r>
        <w:t xml:space="preserve">.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pPr>
        <w:spacing w:line="360" w:lineRule="auto"/>
        <w:ind w:firstLine="720"/>
        <w:jc w:val="both"/>
        <w:rPr>
          <w:bCs/>
          <w:szCs w:val="24"/>
        </w:rPr>
      </w:pPr>
      <w:r>
        <w:rPr>
          <w:bCs/>
          <w:szCs w:val="24"/>
        </w:rPr>
        <w:t>15.15.1</w:t>
      </w:r>
      <w:r>
        <w:rPr>
          <w:bCs/>
          <w:szCs w:val="24"/>
        </w:rPr>
        <w:t xml:space="preserve">. skiltyje „Susijusios įmonės pavadinimas“ įrašomas susijusios įmonės, kurios duomenys nebuvo įtraukti į partnerinės įmonės </w:t>
      </w:r>
      <w:r>
        <w:t>metines konsoliduotąsias finansines ataskaitas</w:t>
      </w:r>
      <w:r>
        <w:rPr>
          <w:bCs/>
          <w:szCs w:val="24"/>
        </w:rPr>
        <w:t>, pavadinimas;</w:t>
      </w:r>
    </w:p>
    <w:p>
      <w:pPr>
        <w:spacing w:line="360" w:lineRule="auto"/>
        <w:ind w:firstLine="720"/>
        <w:jc w:val="both"/>
        <w:rPr>
          <w:bCs/>
          <w:szCs w:val="24"/>
        </w:rPr>
      </w:pPr>
      <w:r>
        <w:rPr>
          <w:bCs/>
          <w:szCs w:val="24"/>
        </w:rPr>
        <w:t>15.15.2</w:t>
      </w:r>
      <w:r>
        <w:rPr>
          <w:bCs/>
          <w:szCs w:val="24"/>
        </w:rPr>
        <w:t xml:space="preserve">.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pPr>
        <w:spacing w:line="360" w:lineRule="auto"/>
        <w:ind w:firstLine="720"/>
        <w:jc w:val="both"/>
        <w:rPr>
          <w:bCs/>
          <w:szCs w:val="24"/>
        </w:rPr>
      </w:pPr>
      <w:r>
        <w:rPr>
          <w:bCs/>
          <w:szCs w:val="24"/>
        </w:rPr>
        <w:t>15.15.3</w:t>
      </w:r>
      <w:r>
        <w:rPr>
          <w:bCs/>
          <w:szCs w:val="24"/>
        </w:rPr>
        <w:t xml:space="preserve">. skiltyje „Susijusios įmonės kodas“ įrašomas susijusios įmonės, kurios duomenys nebuvo įtraukti į partnerinės įmonės </w:t>
      </w:r>
      <w:r>
        <w:t>metines konsoliduotąsias finansines ataskaitas</w:t>
      </w:r>
      <w:r>
        <w:rPr>
          <w:bCs/>
          <w:szCs w:val="24"/>
        </w:rPr>
        <w:t>, kodas;</w:t>
      </w:r>
    </w:p>
    <w:p>
      <w:pPr>
        <w:spacing w:line="360" w:lineRule="auto"/>
        <w:ind w:firstLine="720"/>
        <w:jc w:val="both"/>
      </w:pPr>
      <w:r>
        <w:rPr>
          <w:bCs/>
          <w:szCs w:val="24"/>
        </w:rPr>
        <w:t>15.15.4</w:t>
      </w:r>
      <w:r>
        <w:rPr>
          <w:bCs/>
          <w:szCs w:val="24"/>
        </w:rPr>
        <w:t>.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pPr>
        <w:spacing w:line="360" w:lineRule="auto"/>
        <w:ind w:firstLine="720"/>
        <w:jc w:val="both"/>
      </w:pPr>
      <w:r>
        <w:t>15.16</w:t>
      </w:r>
      <w:r>
        <w:t>. 10 langelyje „Informacija apie įmonę kaip investuotoją“:</w:t>
      </w:r>
    </w:p>
    <w:p>
      <w:pPr>
        <w:spacing w:line="360" w:lineRule="auto"/>
        <w:ind w:firstLine="720"/>
        <w:jc w:val="both"/>
      </w:pPr>
      <w:r>
        <w:t>15.16.1</w:t>
      </w:r>
      <w:r>
        <w:t>.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pPr>
        <w:spacing w:line="360" w:lineRule="auto"/>
        <w:ind w:firstLine="720"/>
        <w:jc w:val="both"/>
      </w:pPr>
      <w:r>
        <w:t>15.16.2</w:t>
      </w:r>
      <w:r>
        <w:t>.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pPr>
        <w:spacing w:line="360" w:lineRule="auto"/>
        <w:ind w:firstLine="720"/>
        <w:jc w:val="both"/>
        <w:rPr>
          <w:bCs/>
          <w:szCs w:val="24"/>
        </w:rPr>
      </w:pPr>
      <w:r>
        <w:t>15.17</w:t>
      </w:r>
      <w:r>
        <w:t>. 11</w:t>
      </w:r>
      <w:r>
        <w:rPr>
          <w:bCs/>
          <w:szCs w:val="24"/>
        </w:rPr>
        <w:t xml:space="preserve"> langelio „Koeficiento k</w:t>
      </w:r>
      <w:r>
        <w:rPr>
          <w:bCs/>
          <w:szCs w:val="24"/>
          <w:vertAlign w:val="subscript"/>
        </w:rPr>
        <w:t xml:space="preserve">n </w:t>
      </w:r>
      <w:r>
        <w:rPr>
          <w:bCs/>
          <w:szCs w:val="24"/>
        </w:rPr>
        <w:t xml:space="preserve">nustatymas“: </w:t>
      </w:r>
    </w:p>
    <w:p>
      <w:pPr>
        <w:spacing w:line="360" w:lineRule="auto"/>
        <w:ind w:firstLine="720"/>
        <w:jc w:val="both"/>
        <w:rPr>
          <w:szCs w:val="24"/>
        </w:rPr>
      </w:pPr>
      <w:r>
        <w:rPr>
          <w:bCs/>
          <w:szCs w:val="24"/>
        </w:rPr>
        <w:t>15.17.1</w:t>
      </w:r>
      <w:r>
        <w:rPr>
          <w:bCs/>
          <w:szCs w:val="24"/>
        </w:rPr>
        <w:t>.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pPr>
        <w:spacing w:line="360" w:lineRule="auto"/>
        <w:ind w:firstLine="720"/>
        <w:jc w:val="both"/>
      </w:pPr>
      <w:r>
        <w:rPr>
          <w:szCs w:val="24"/>
        </w:rPr>
        <w:t>15.17.2</w:t>
      </w:r>
      <w:r>
        <w:rPr>
          <w:szCs w:val="24"/>
        </w:rPr>
        <w:t xml:space="preserve">.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pPr>
        <w:spacing w:line="360" w:lineRule="auto"/>
        <w:ind w:firstLine="720"/>
        <w:jc w:val="both"/>
        <w:rPr>
          <w:szCs w:val="24"/>
        </w:rPr>
      </w:pPr>
      <w:r>
        <w:t>15.17.3</w:t>
      </w:r>
      <w:r>
        <w:t xml:space="preserve">.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pPr>
        <w:spacing w:line="360" w:lineRule="auto"/>
        <w:ind w:firstLine="720"/>
        <w:jc w:val="both"/>
        <w:rPr>
          <w:szCs w:val="24"/>
        </w:rPr>
      </w:pPr>
      <w:r>
        <w:rPr>
          <w:szCs w:val="24"/>
        </w:rPr>
        <w:t>15.17.4</w:t>
      </w:r>
      <w:r>
        <w:rPr>
          <w:szCs w:val="24"/>
        </w:rPr>
        <w:t xml:space="preserve">.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pPr>
        <w:spacing w:line="360" w:lineRule="auto"/>
        <w:ind w:firstLine="720"/>
        <w:jc w:val="both"/>
        <w:rPr>
          <w:szCs w:val="24"/>
        </w:rPr>
      </w:pPr>
      <w:r>
        <w:rPr>
          <w:szCs w:val="24"/>
        </w:rPr>
        <w:t>15.17.5</w:t>
      </w:r>
      <w:r>
        <w:rPr>
          <w:szCs w:val="24"/>
        </w:rPr>
        <w:t>.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pPr>
        <w:spacing w:line="360" w:lineRule="auto"/>
        <w:ind w:firstLine="720"/>
        <w:jc w:val="both"/>
      </w:pPr>
      <w:r>
        <w:rPr>
          <w:szCs w:val="24"/>
        </w:rPr>
        <w:t>15.17.5.1</w:t>
      </w:r>
      <w:r>
        <w:rPr>
          <w:szCs w:val="24"/>
        </w:rPr>
        <w:t xml:space="preserve">.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pPr>
        <w:spacing w:line="360" w:lineRule="auto"/>
        <w:ind w:firstLine="720"/>
        <w:jc w:val="both"/>
        <w:rPr>
          <w:szCs w:val="24"/>
        </w:rPr>
      </w:pPr>
      <w:r>
        <w:t>15.17.5.2</w:t>
      </w:r>
      <w:r>
        <w:t xml:space="preserve">.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pPr>
        <w:spacing w:line="360" w:lineRule="auto"/>
        <w:ind w:firstLine="720"/>
        <w:jc w:val="both"/>
        <w:rPr>
          <w:szCs w:val="24"/>
        </w:rPr>
      </w:pPr>
      <w:r>
        <w:rPr>
          <w:bCs/>
          <w:szCs w:val="24"/>
        </w:rPr>
        <w:t>15.18</w:t>
      </w:r>
      <w:r>
        <w:rPr>
          <w:bCs/>
          <w:szCs w:val="24"/>
        </w:rPr>
        <w:t>.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pPr>
        <w:spacing w:line="360" w:lineRule="auto"/>
        <w:ind w:firstLine="720"/>
        <w:jc w:val="both"/>
      </w:pPr>
      <w:r>
        <w:rPr>
          <w:szCs w:val="24"/>
        </w:rPr>
        <w:t>15.18.1</w:t>
      </w:r>
      <w:r>
        <w:rPr>
          <w:szCs w:val="24"/>
        </w:rPr>
        <w:t>. skiltyje</w:t>
      </w:r>
      <w:r>
        <w:rPr>
          <w:b/>
          <w:szCs w:val="24"/>
        </w:rPr>
        <w:t xml:space="preserve"> </w:t>
      </w:r>
      <w:r>
        <w:rPr>
          <w:szCs w:val="24"/>
        </w:rPr>
        <w:t>„V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 xml:space="preserve">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pPr>
        <w:spacing w:line="360" w:lineRule="auto"/>
        <w:ind w:firstLine="720"/>
        <w:jc w:val="both"/>
      </w:pPr>
      <w:r>
        <w:t>15.18.2</w:t>
      </w:r>
      <w:r>
        <w:t xml:space="preserve">. </w:t>
      </w:r>
      <w:r>
        <w:rPr>
          <w:szCs w:val="24"/>
        </w:rPr>
        <w:t>skiltyje „Metinės</w:t>
      </w:r>
      <w:r>
        <w:rPr>
          <w:b/>
          <w:szCs w:val="24"/>
        </w:rPr>
        <w:t xml:space="preserve"> </w:t>
      </w:r>
      <w:r>
        <w:rPr>
          <w:szCs w:val="24"/>
        </w:rPr>
        <w:t>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pPr>
        <w:spacing w:line="360" w:lineRule="auto"/>
        <w:ind w:firstLine="720"/>
        <w:jc w:val="both"/>
      </w:pPr>
      <w:r>
        <w:t>15.18.3</w:t>
      </w:r>
      <w:r>
        <w:t>.</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rPr>
          <w:szCs w:val="24"/>
        </w:rPr>
        <w:t xml:space="preserve"> </w:t>
      </w:r>
      <w:r>
        <w:t>praėjusiais, užpraeitais ir užužpraeitais metais</w:t>
      </w:r>
      <w:r>
        <w:rPr>
          <w:szCs w:val="24"/>
          <w:vertAlign w:val="subscript"/>
        </w:rPr>
        <w:t xml:space="preserve"> </w:t>
      </w:r>
      <w:r>
        <w:rPr>
          <w:szCs w:val="24"/>
        </w:rPr>
        <w:t>ir 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pPr>
        <w:rPr>
          <w:b/>
        </w:rPr>
      </w:pPr>
    </w:p>
    <w:p>
      <w:pPr>
        <w:jc w:val="center"/>
        <w:rPr>
          <w:b/>
        </w:rPr>
      </w:pPr>
      <w:r>
        <w:rPr>
          <w:b/>
        </w:rPr>
        <w:t>KETVIRTASIS</w:t>
      </w:r>
      <w:r>
        <w:rPr>
          <w:b/>
        </w:rPr>
        <w:t xml:space="preserve"> SKIRSNIS</w:t>
      </w:r>
    </w:p>
    <w:p>
      <w:pPr>
        <w:ind w:firstLine="62"/>
        <w:jc w:val="center"/>
        <w:rPr>
          <w:b/>
        </w:rPr>
      </w:pPr>
      <w:r>
        <w:rPr>
          <w:b/>
          <w:bCs/>
          <w:szCs w:val="24"/>
        </w:rPr>
        <w:t xml:space="preserve">FORMOS S1 </w:t>
      </w:r>
      <w:r>
        <w:rPr>
          <w:b/>
        </w:rPr>
        <w:t>PILDYMAS</w:t>
      </w:r>
    </w:p>
    <w:p>
      <w:pPr>
        <w:spacing w:line="360" w:lineRule="auto"/>
        <w:ind w:firstLine="720"/>
        <w:jc w:val="both"/>
        <w:rPr>
          <w:b/>
        </w:rPr>
      </w:pPr>
    </w:p>
    <w:p>
      <w:pPr>
        <w:spacing w:line="360" w:lineRule="auto"/>
        <w:ind w:firstLine="720"/>
        <w:jc w:val="both"/>
        <w:rPr>
          <w:bCs/>
          <w:szCs w:val="24"/>
        </w:rPr>
      </w:pPr>
      <w:r>
        <w:rPr>
          <w:bCs/>
          <w:szCs w:val="24"/>
        </w:rPr>
        <w:t>16</w:t>
      </w:r>
      <w:r>
        <w:rPr>
          <w:bCs/>
          <w:szCs w:val="24"/>
        </w:rPr>
        <w:t>. Formą S1 verslo subjektas pildo, jei jis turi bent vieną susijusią įmonę. Forma S1 pildoma tokia tvarka:</w:t>
      </w:r>
    </w:p>
    <w:p>
      <w:pPr>
        <w:spacing w:line="360" w:lineRule="auto"/>
        <w:ind w:firstLine="720"/>
        <w:jc w:val="both"/>
      </w:pPr>
      <w:r>
        <w:rPr>
          <w:bCs/>
          <w:szCs w:val="24"/>
        </w:rPr>
        <w:t>16.1</w:t>
      </w:r>
      <w:r>
        <w:rPr>
          <w:bCs/>
          <w:szCs w:val="24"/>
        </w:rPr>
        <w:t>.</w:t>
      </w:r>
      <w:r>
        <w:t xml:space="preserve"> Kairiajame viršutiniame kampe ženklas „X“, žymintis, ar Deklaracija yra pirminė, ar patikslinta,  persikelia iš formos F1:</w:t>
      </w:r>
    </w:p>
    <w:p>
      <w:pPr>
        <w:spacing w:line="360" w:lineRule="auto"/>
        <w:ind w:firstLine="720"/>
        <w:jc w:val="both"/>
      </w:pPr>
      <w:r>
        <w:t>16.2</w:t>
      </w:r>
      <w:r>
        <w:t xml:space="preserve">. 1 langelyje „Verslo subjekto </w:t>
      </w:r>
      <w:r>
        <w:rPr>
          <w:bCs/>
          <w:szCs w:val="24"/>
        </w:rPr>
        <w:t>metinių finansinių ataskaitų sudarymo būdas“</w:t>
      </w:r>
      <w:r>
        <w:rPr>
          <w:b/>
          <w:bCs/>
          <w:szCs w:val="24"/>
        </w:rPr>
        <w:t xml:space="preserve"> </w:t>
      </w:r>
      <w:r>
        <w:t>ženklu „X“ pažymimas vienas iš dviejų atvejų:</w:t>
      </w:r>
    </w:p>
    <w:p>
      <w:pPr>
        <w:spacing w:line="360" w:lineRule="auto"/>
        <w:ind w:firstLine="720"/>
        <w:jc w:val="both"/>
        <w:rPr>
          <w:bCs/>
          <w:szCs w:val="24"/>
        </w:rPr>
      </w:pPr>
      <w:r>
        <w:t>16.2.1</w:t>
      </w:r>
      <w:r>
        <w:t>.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pPr>
        <w:spacing w:line="360" w:lineRule="auto"/>
        <w:ind w:firstLine="720"/>
        <w:jc w:val="both"/>
      </w:pPr>
      <w:r>
        <w:rPr>
          <w:bCs/>
          <w:szCs w:val="24"/>
        </w:rPr>
        <w:t>16.2.2</w:t>
      </w:r>
      <w:r>
        <w:rPr>
          <w:bCs/>
          <w:szCs w:val="24"/>
        </w:rPr>
        <w:t xml:space="preserve">.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pPr>
        <w:spacing w:line="360" w:lineRule="auto"/>
        <w:ind w:firstLine="720"/>
        <w:jc w:val="both"/>
      </w:pPr>
      <w:r>
        <w:t>16.3</w:t>
      </w:r>
      <w:r>
        <w:t>.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pPr>
        <w:spacing w:line="360" w:lineRule="auto"/>
        <w:ind w:firstLine="720"/>
        <w:jc w:val="both"/>
      </w:pPr>
      <w:r>
        <w:t>16.4</w:t>
      </w:r>
      <w:r>
        <w:t>.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pPr>
        <w:spacing w:line="360" w:lineRule="auto"/>
        <w:ind w:firstLine="720"/>
        <w:jc w:val="both"/>
      </w:pPr>
      <w:r>
        <w:t>16.4.1</w:t>
      </w:r>
      <w:r>
        <w:t>. skiltyse „Vidutinis metinis darbuotojų skaičius“ įrašomas vidutinis metinis darbuotojų skaičius praėjusiais, užpraeitais ir užužpraeitais metais;</w:t>
      </w:r>
    </w:p>
    <w:p>
      <w:pPr>
        <w:spacing w:line="360" w:lineRule="auto"/>
        <w:ind w:firstLine="720"/>
        <w:jc w:val="both"/>
      </w:pPr>
      <w:r>
        <w:t>16.4.2</w:t>
      </w:r>
      <w:r>
        <w:t>. skiltyse „Metinės pajamos (Eur)“ įrašomos metinėse konsoliduotosiose finansinėse ataskaitose nurodytos metinės pajamos (Eur) praėjusiais, užpraeitais ir užužpraeitais metais;</w:t>
      </w:r>
    </w:p>
    <w:p>
      <w:pPr>
        <w:spacing w:line="360" w:lineRule="auto"/>
        <w:ind w:firstLine="720"/>
        <w:jc w:val="both"/>
      </w:pPr>
      <w:r>
        <w:t>16.4.3</w:t>
      </w:r>
      <w:r>
        <w:t>. skiltyse „Balanse nurodyto turto vertė (Eur)“ įrašoma metinėse konsoliduotosiose finansinėse ataskaitose nurodyta turto vertė (Eur) praėjusiais, užpraeitais ir užužpraeitais metais.</w:t>
      </w:r>
    </w:p>
    <w:p>
      <w:pPr>
        <w:spacing w:line="360" w:lineRule="auto"/>
        <w:ind w:firstLine="720"/>
        <w:jc w:val="both"/>
      </w:pPr>
      <w:r>
        <w:t>16.5</w:t>
      </w:r>
      <w:r>
        <w:t>. 3 langelyje „Susijusių įmonių, kurių duomenys įtraukti į metines konsoliduotąsias finansines ataskaitas, identifikavimas“:</w:t>
      </w:r>
    </w:p>
    <w:p>
      <w:pPr>
        <w:spacing w:line="360" w:lineRule="auto"/>
        <w:ind w:firstLine="720"/>
        <w:jc w:val="both"/>
      </w:pPr>
      <w:r>
        <w:t>16.5.1</w:t>
      </w:r>
      <w:r>
        <w:t>. skiltyje „Susijusiosios įmonės pavadinimas“ įrašomas susijusios įmonės, kurios duomenys įraukti į metines konsoliduotąsias finansines ataskaitas, pavadinimas ir ženklu „X“ pažymimi metai, kuriais susijusios įmonės duomenys buvo įtraukti į metines konsoliduotąsias finansines ataskaitas;</w:t>
      </w:r>
    </w:p>
    <w:p>
      <w:pPr>
        <w:spacing w:line="360" w:lineRule="auto"/>
        <w:ind w:firstLine="720"/>
        <w:jc w:val="both"/>
        <w:rPr>
          <w:bCs/>
          <w:szCs w:val="24"/>
        </w:rPr>
      </w:pPr>
      <w:r>
        <w:t>16.5.2</w:t>
      </w:r>
      <w:r>
        <w:t>. skiltyje „</w:t>
      </w:r>
      <w:r>
        <w:rPr>
          <w:bCs/>
          <w:szCs w:val="24"/>
        </w:rPr>
        <w:t>Susijusios įmonės buveinė“ įrašomas patalpų, kuriose yra susijusios įmonės buveinė, adresas;</w:t>
      </w:r>
    </w:p>
    <w:p>
      <w:pPr>
        <w:spacing w:line="360" w:lineRule="auto"/>
        <w:ind w:firstLine="720"/>
        <w:jc w:val="both"/>
        <w:rPr>
          <w:bCs/>
          <w:szCs w:val="24"/>
        </w:rPr>
      </w:pPr>
      <w:r>
        <w:rPr>
          <w:bCs/>
          <w:szCs w:val="24"/>
        </w:rPr>
        <w:t>16.5.3</w:t>
      </w:r>
      <w:r>
        <w:rPr>
          <w:bCs/>
          <w:szCs w:val="24"/>
        </w:rPr>
        <w:t>. skiltyje „Susijusios įmonės kodas“ įrašomas susijusios įmonės kodas;</w:t>
      </w:r>
    </w:p>
    <w:p>
      <w:pPr>
        <w:spacing w:line="360" w:lineRule="auto"/>
        <w:ind w:firstLine="720"/>
        <w:jc w:val="both"/>
      </w:pPr>
      <w:r>
        <w:t>16.5.4</w:t>
      </w:r>
      <w:r>
        <w:t>. skiltyje „Susijusios įmonės vadovo vardas, pavardė ir pareigos“ įrašomas susijusios įmonės vadovo vardas, pavardė ir pareigos.</w:t>
      </w:r>
    </w:p>
    <w:p>
      <w:pPr>
        <w:spacing w:line="360" w:lineRule="auto"/>
        <w:ind w:firstLine="720"/>
        <w:jc w:val="both"/>
      </w:pPr>
      <w:r>
        <w:t>16.6</w:t>
      </w:r>
      <w:r>
        <w:t>.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 xml:space="preserve">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pPr>
        <w:spacing w:line="360" w:lineRule="auto"/>
        <w:ind w:firstLine="720"/>
        <w:jc w:val="both"/>
      </w:pPr>
      <w:r>
        <w:t>16.7</w:t>
      </w:r>
      <w:r>
        <w:t>.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pPr>
        <w:spacing w:line="360" w:lineRule="auto"/>
        <w:ind w:firstLine="720"/>
        <w:jc w:val="both"/>
      </w:pPr>
      <w:r>
        <w:t>16.8</w:t>
      </w:r>
      <w:r>
        <w:t>. 4 langelyje „</w:t>
      </w:r>
      <w:r>
        <w:rPr>
          <w:bCs/>
          <w:szCs w:val="24"/>
        </w:rPr>
        <w:t xml:space="preserve">Susijusių įmonių, kurių duomenys neįtraukti į </w:t>
      </w:r>
      <w:r>
        <w:t>metines konsoliduotąsias finansines ataskaitas</w:t>
      </w:r>
      <w:r>
        <w:rPr>
          <w:bCs/>
          <w:szCs w:val="24"/>
        </w:rPr>
        <w:t>, duomenys“</w:t>
      </w:r>
      <w:r>
        <w:t xml:space="preserve">: </w:t>
      </w:r>
    </w:p>
    <w:p>
      <w:pPr>
        <w:spacing w:line="360" w:lineRule="auto"/>
        <w:ind w:firstLine="720"/>
        <w:jc w:val="both"/>
      </w:pPr>
      <w:r>
        <w:t>16.8.1</w:t>
      </w:r>
      <w:r>
        <w:t xml:space="preserve">.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pPr>
        <w:spacing w:line="360" w:lineRule="auto"/>
        <w:ind w:firstLine="720"/>
        <w:jc w:val="both"/>
        <w:rPr>
          <w:b/>
          <w:bCs/>
          <w:szCs w:val="24"/>
        </w:rPr>
      </w:pPr>
      <w:r>
        <w:t>16.8.2</w:t>
      </w:r>
      <w:r>
        <w:t>.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pPr>
        <w:spacing w:line="360" w:lineRule="auto"/>
        <w:ind w:firstLine="720"/>
        <w:jc w:val="both"/>
      </w:pPr>
      <w:r>
        <w:t>16.9</w:t>
      </w:r>
      <w:r>
        <w:t>.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pPr/>
    </w:p>
    <w:p>
      <w:pPr>
        <w:ind w:firstLine="720"/>
        <w:jc w:val="center"/>
        <w:rPr>
          <w:b/>
          <w:szCs w:val="24"/>
        </w:rPr>
      </w:pPr>
      <w:r>
        <w:rPr>
          <w:b/>
          <w:szCs w:val="24"/>
        </w:rPr>
        <w:t>PENKTASIS</w:t>
      </w:r>
      <w:r>
        <w:rPr>
          <w:b/>
          <w:szCs w:val="24"/>
        </w:rPr>
        <w:t xml:space="preserve"> SKIRSNIS</w:t>
      </w:r>
    </w:p>
    <w:p>
      <w:pPr>
        <w:ind w:firstLine="62"/>
        <w:jc w:val="center"/>
        <w:rPr>
          <w:b/>
          <w:szCs w:val="24"/>
        </w:rPr>
      </w:pPr>
      <w:r>
        <w:rPr>
          <w:b/>
          <w:szCs w:val="24"/>
        </w:rPr>
        <w:t>FORMOS S1 PRIEDO PILDYMAS</w:t>
      </w:r>
    </w:p>
    <w:p>
      <w:pPr>
        <w:spacing w:line="360" w:lineRule="auto"/>
        <w:ind w:firstLine="720"/>
        <w:jc w:val="center"/>
        <w:rPr>
          <w:szCs w:val="24"/>
        </w:rPr>
      </w:pPr>
    </w:p>
    <w:p>
      <w:pPr>
        <w:spacing w:line="360" w:lineRule="auto"/>
        <w:ind w:firstLine="720"/>
        <w:jc w:val="both"/>
        <w:rPr>
          <w:bCs/>
          <w:szCs w:val="24"/>
        </w:rPr>
      </w:pPr>
      <w:r>
        <w:rPr>
          <w:szCs w:val="24"/>
        </w:rPr>
        <w:t>17</w:t>
      </w:r>
      <w:r>
        <w:rPr>
          <w:szCs w:val="24"/>
        </w:rPr>
        <w:t xml:space="preserve">.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pPr>
        <w:spacing w:line="360" w:lineRule="auto"/>
        <w:ind w:firstLine="720"/>
        <w:jc w:val="both"/>
      </w:pPr>
      <w:r>
        <w:rPr>
          <w:bCs/>
          <w:szCs w:val="24"/>
        </w:rPr>
        <w:t>17.1</w:t>
      </w:r>
      <w:r>
        <w:rPr>
          <w:bCs/>
          <w:szCs w:val="24"/>
        </w:rPr>
        <w:t>.</w:t>
      </w:r>
      <w:r>
        <w:t xml:space="preserve"> Kairiajame viršutiniame kampe ženklas „X“, žymintis, ar Deklaracija yra pirminė, ar patikslinta,  persikelia iš formos F1.</w:t>
      </w:r>
    </w:p>
    <w:p>
      <w:pPr>
        <w:spacing w:line="360" w:lineRule="auto"/>
        <w:ind w:firstLine="720"/>
        <w:jc w:val="both"/>
      </w:pPr>
      <w:r>
        <w:t>17.2</w:t>
      </w:r>
      <w:r>
        <w:t>. 1 langelyje „Įmonės pavadinimas“ įrašomas susijusios įmonės pavadinimas.</w:t>
      </w:r>
    </w:p>
    <w:p>
      <w:pPr>
        <w:spacing w:line="360" w:lineRule="auto"/>
        <w:ind w:firstLine="720"/>
        <w:jc w:val="both"/>
      </w:pPr>
      <w:r>
        <w:t>17.3</w:t>
      </w:r>
      <w:r>
        <w:t>. 2 langelyje „Įmonės buveinės adresas“ įrašomas patalpų, kuriose yra susijusios įmonės buveinė, adresas.</w:t>
      </w:r>
    </w:p>
    <w:p>
      <w:pPr>
        <w:spacing w:line="360" w:lineRule="auto"/>
        <w:ind w:firstLine="720"/>
        <w:jc w:val="both"/>
      </w:pPr>
      <w:r>
        <w:t>17.4</w:t>
      </w:r>
      <w:r>
        <w:t>. 3 langelyje „Įmonės įsteigimo data“ įrašoma susijusios įmonės įsteigimo data (metai, mėnuo, diena).</w:t>
      </w:r>
    </w:p>
    <w:p>
      <w:pPr>
        <w:spacing w:line="360" w:lineRule="auto"/>
        <w:ind w:firstLine="720"/>
        <w:jc w:val="both"/>
      </w:pPr>
      <w:r>
        <w:t>17.5</w:t>
      </w:r>
      <w:r>
        <w:t>. 4 langelyje „Įmonės kodas“ įrašomas susijusios įmonės kodas.</w:t>
      </w:r>
    </w:p>
    <w:p>
      <w:pPr>
        <w:spacing w:line="360" w:lineRule="auto"/>
        <w:ind w:firstLine="720"/>
        <w:jc w:val="both"/>
      </w:pPr>
      <w:r>
        <w:t>17.6</w:t>
      </w:r>
      <w:r>
        <w:t>. 5 langelyje „Įmonės vadovo vardas, pavardė ir pareigos“ įrašomas susijusios įmonės vadovo vardas, pavardė ir pareigos.</w:t>
      </w:r>
    </w:p>
    <w:p>
      <w:pPr>
        <w:spacing w:line="360" w:lineRule="auto"/>
        <w:ind w:firstLine="720"/>
        <w:jc w:val="both"/>
      </w:pPr>
      <w:r>
        <w:t>17.7</w:t>
      </w:r>
      <w:r>
        <w:t>. 6 langelyje „Įmonės ryšių duomenys: elektroninis paštas ir telefonas“ įrašomi susijusios įmonės ryšių duomenys: elektroninis paštas ir telefonas.</w:t>
      </w:r>
    </w:p>
    <w:p>
      <w:pPr>
        <w:spacing w:line="360" w:lineRule="auto"/>
        <w:ind w:firstLine="720"/>
        <w:jc w:val="both"/>
      </w:pPr>
      <w:r>
        <w:t>17.8</w:t>
      </w:r>
      <w:r>
        <w:t>.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pPr>
        <w:spacing w:line="360" w:lineRule="auto"/>
        <w:ind w:firstLine="720"/>
        <w:jc w:val="both"/>
      </w:pPr>
      <w:r>
        <w:t>17.8.1</w:t>
      </w:r>
      <w:r>
        <w:t>. skiltyse „Vidutinis metinis darbuotojų skaičius“ įrašomas susijusios įmonės vidutinis metinis darbuotojų skaičius praėjusiais, užpraeitais ir užužpraeitais metais;</w:t>
      </w:r>
    </w:p>
    <w:p>
      <w:pPr>
        <w:spacing w:line="360" w:lineRule="auto"/>
        <w:ind w:firstLine="720"/>
        <w:jc w:val="both"/>
      </w:pPr>
      <w:r>
        <w:t>17.8.2</w:t>
      </w:r>
      <w:r>
        <w:t>. skiltyse „Metinės pajamos (Eur)“ įrašomos susijusios įmonės metinės pajamos (Eur) praėjusiais, užpraeitais ir užužpraeitais metais;</w:t>
      </w:r>
    </w:p>
    <w:p>
      <w:pPr>
        <w:spacing w:line="360" w:lineRule="auto"/>
        <w:ind w:firstLine="720"/>
        <w:jc w:val="both"/>
      </w:pPr>
      <w:r>
        <w:t>17.8.3</w:t>
      </w:r>
      <w:r>
        <w:t xml:space="preserve">. skiltyse „Balanse nurodyto turto vertė (Eur)“ įrašoma susijusios įmonės balanse nurodyto turto vertė (Eur) praėjusiais, užpraeitais ir užužpraeitais metais. </w:t>
      </w:r>
    </w:p>
    <w:p>
      <w:pPr>
        <w:ind w:firstLine="720"/>
        <w:jc w:val="both"/>
        <w:rPr>
          <w:bCs/>
          <w:szCs w:val="24"/>
        </w:rPr>
      </w:pPr>
    </w:p>
    <w:p>
      <w:pPr>
        <w:jc w:val="center"/>
        <w:rPr>
          <w:b/>
          <w:bCs/>
          <w:szCs w:val="24"/>
        </w:rPr>
      </w:pPr>
      <w:r>
        <w:rPr>
          <w:b/>
          <w:bCs/>
          <w:szCs w:val="24"/>
        </w:rPr>
        <w:t>III</w:t>
      </w:r>
      <w:r>
        <w:rPr>
          <w:b/>
          <w:bCs/>
          <w:szCs w:val="24"/>
        </w:rPr>
        <w:t xml:space="preserve"> SKYRIUS</w:t>
      </w:r>
    </w:p>
    <w:p>
      <w:pPr>
        <w:ind w:firstLine="62"/>
        <w:jc w:val="center"/>
        <w:rPr>
          <w:b/>
          <w:bCs/>
          <w:szCs w:val="24"/>
        </w:rPr>
      </w:pPr>
      <w:r>
        <w:rPr>
          <w:b/>
          <w:bCs/>
          <w:szCs w:val="24"/>
        </w:rPr>
        <w:t>DEKLARACIJOS PATEIKIMAS IR TIKSLINIMAS</w:t>
      </w:r>
    </w:p>
    <w:p>
      <w:pPr>
        <w:spacing w:line="360" w:lineRule="auto"/>
        <w:ind w:firstLine="720"/>
        <w:jc w:val="center"/>
        <w:rPr>
          <w:b/>
          <w:bCs/>
          <w:szCs w:val="24"/>
        </w:rPr>
      </w:pPr>
    </w:p>
    <w:p>
      <w:pPr>
        <w:spacing w:line="360" w:lineRule="auto"/>
        <w:ind w:firstLine="720"/>
        <w:jc w:val="both"/>
        <w:rPr>
          <w:szCs w:val="24"/>
          <w:lang w:eastAsia="lt-LT"/>
        </w:rPr>
      </w:pPr>
      <w:r>
        <w:rPr>
          <w:szCs w:val="24"/>
          <w:lang w:eastAsia="lt-LT"/>
        </w:rPr>
        <w:t>18</w:t>
      </w:r>
      <w:r>
        <w:rPr>
          <w:szCs w:val="24"/>
          <w:lang w:eastAsia="lt-LT"/>
        </w:rPr>
        <w:t>.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pPr>
        <w:spacing w:line="360" w:lineRule="auto"/>
        <w:ind w:firstLine="720"/>
        <w:jc w:val="both"/>
        <w:rPr>
          <w:szCs w:val="24"/>
          <w:lang w:eastAsia="lt-LT"/>
        </w:rPr>
      </w:pPr>
      <w:r>
        <w:rPr>
          <w:szCs w:val="24"/>
          <w:lang w:eastAsia="lt-LT"/>
        </w:rPr>
        <w:t>19</w:t>
      </w:r>
      <w:r>
        <w:rPr>
          <w:szCs w:val="24"/>
          <w:lang w:eastAsia="lt-LT"/>
        </w:rPr>
        <w:t>.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pPr>
        <w:spacing w:line="360" w:lineRule="auto"/>
        <w:ind w:firstLine="720"/>
        <w:jc w:val="both"/>
        <w:rPr>
          <w:rFonts w:ascii="Tahoma" w:hAnsi="Tahoma" w:cs="Tahoma"/>
          <w:szCs w:val="24"/>
          <w:lang w:eastAsia="lt-LT"/>
        </w:rPr>
      </w:pPr>
      <w:r>
        <w:rPr>
          <w:szCs w:val="24"/>
          <w:lang w:eastAsia="lt-LT"/>
        </w:rPr>
        <w:t>20</w:t>
      </w:r>
      <w:r>
        <w:rPr>
          <w:szCs w:val="24"/>
          <w:lang w:eastAsia="lt-LT"/>
        </w:rPr>
        <w:t xml:space="preserve">. Pateikta patikslinta Deklaracija turi būti užpildyta pagal Tvarkos apraše nustatytą tvarką. Patikslintoje deklaracijoje pateikiami visi (t. y. ne vien tik tikslinamieji) Deklaracijoje nurodytini duomenys. </w:t>
      </w:r>
    </w:p>
    <w:p>
      <w:pPr>
        <w:spacing w:line="360" w:lineRule="auto"/>
        <w:ind w:firstLine="720"/>
        <w:jc w:val="both"/>
        <w:rPr>
          <w:bCs/>
          <w:szCs w:val="24"/>
        </w:rPr>
      </w:pPr>
      <w:r>
        <w:rPr>
          <w:bCs/>
          <w:szCs w:val="24"/>
        </w:rPr>
        <w:t>21</w:t>
      </w:r>
      <w:r>
        <w:rPr>
          <w:bCs/>
          <w:szCs w:val="24"/>
        </w:rPr>
        <w:t xml:space="preserve">.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pPr>
        <w:spacing w:line="360" w:lineRule="auto"/>
        <w:jc w:val="center"/>
      </w:pPr>
      <w:r>
        <w:rPr>
          <w:bCs/>
          <w:szCs w:val="24"/>
        </w:rP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642fa0810311e4bc68a1493830b8b9">
        <w:r w:rsidRPr="00532B9F">
          <w:rPr>
            <w:rFonts w:ascii="Times New Roman" w:eastAsia="MS Mincho" w:hAnsi="Times New Roman"/>
            <w:sz w:val="20"/>
            <w:i/>
            <w:iCs/>
            <w:color w:val="0000FF" w:themeColor="hyperlink"/>
            <w:u w:val="single"/>
          </w:rPr>
          <w:t>4-891</w:t>
        </w:r>
      </w:fldSimple>
      <w:r>
        <w:rPr>
          <w:rFonts w:ascii="Times New Roman" w:eastAsia="MS Mincho" w:hAnsi="Times New Roman"/>
          <w:sz w:val="20"/>
          <w:i/>
          <w:iCs/>
        </w:rPr>
        <w:t>,
2014-12-10,
paskelbta TAR 2014-12-11, i. k. 2014-19464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dc7da0268211e78397ae072f58c508">
        <w:r w:rsidRPr="00532B9F">
          <w:rPr>
            <w:rFonts w:ascii="Times New Roman" w:eastAsia="MS Mincho" w:hAnsi="Times New Roman"/>
            <w:sz w:val="20"/>
            <w:i/>
            <w:iCs/>
            <w:color w:val="0000FF" w:themeColor="hyperlink"/>
            <w:u w:val="single"/>
          </w:rPr>
          <w:t>4-250</w:t>
        </w:r>
      </w:fldSimple>
      <w:r>
        <w:rPr>
          <w:rFonts w:ascii="Times New Roman" w:eastAsia="MS Mincho" w:hAnsi="Times New Roman"/>
          <w:sz w:val="20"/>
          <w:i/>
          <w:iCs/>
        </w:rPr>
        <w:t>,
2017-04-21,
paskelbta TAR 2017-04-21, i. k. 2017-06764            </w:t>
      </w:r>
    </w:p>
    <w:p/>
    <w:p>
      <w:pPr>
        <w:rPr>
          <w:bCs/>
          <w:szCs w:val="24"/>
        </w:rPr>
      </w:pPr>
      <w:r>
        <w:rPr>
          <w:bCs/>
          <w:szCs w:val="24"/>
        </w:rPr>
        <w:br w:type="page"/>
      </w:r>
    </w:p>
    <w:p>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pPr>
        <w:ind w:left="-3" w:firstLine="5670"/>
        <w:rPr>
          <w:sz w:val="22"/>
          <w:szCs w:val="22"/>
          <w:lang w:eastAsia="lt-LT"/>
        </w:rPr>
      </w:pPr>
      <w:r>
        <w:rPr>
          <w:sz w:val="22"/>
          <w:szCs w:val="22"/>
          <w:lang w:eastAsia="lt-LT"/>
        </w:rPr>
        <w:t xml:space="preserve">įsakymo Nr. 4-250    redakcija)</w:t>
      </w:r>
    </w:p>
    <w:p>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8"/>
        <w:gridCol w:w="632"/>
        <w:gridCol w:w="278"/>
        <w:gridCol w:w="1113"/>
        <w:gridCol w:w="354"/>
        <w:gridCol w:w="1445"/>
        <w:gridCol w:w="867"/>
        <w:gridCol w:w="383"/>
        <w:gridCol w:w="634"/>
        <w:gridCol w:w="447"/>
        <w:gridCol w:w="360"/>
        <w:gridCol w:w="681"/>
        <w:gridCol w:w="216"/>
        <w:gridCol w:w="216"/>
        <w:gridCol w:w="216"/>
        <w:gridCol w:w="216"/>
        <w:gridCol w:w="216"/>
        <w:gridCol w:w="216"/>
        <w:gridCol w:w="347"/>
        <w:gridCol w:w="14"/>
        <w:gridCol w:w="216"/>
        <w:gridCol w:w="50"/>
      </w:tblGrid>
      <w:tr>
        <w:trPr>
          <w:trHeight w:val="570"/>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b/>
                <w:sz w:val="20"/>
                <w:lang w:eastAsia="lt-LT"/>
              </w:rPr>
            </w:pPr>
          </w:p>
        </w:tc>
        <w:tc>
          <w:tcPr>
            <w:tcW w:w="130" w:type="pct"/>
            <w:tcBorders>
              <w:top w:val="nil"/>
              <w:left w:val="nil"/>
              <w:bottom w:val="nil"/>
              <w:right w:val="nil"/>
            </w:tcBorders>
            <w:shd w:val="clear" w:color="auto" w:fill="auto"/>
            <w:noWrap/>
            <w:vAlign w:val="bottom"/>
            <w:hideMark/>
          </w:tcPr>
          <w:p>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pPr>
              <w:ind w:left="-1698" w:right="-1372"/>
              <w:jc w:val="center"/>
              <w:rPr>
                <w:b/>
                <w:szCs w:val="24"/>
                <w:lang w:eastAsia="lt-LT"/>
              </w:rPr>
            </w:pPr>
            <w:r>
              <w:rPr>
                <w:b/>
                <w:szCs w:val="24"/>
                <w:lang w:eastAsia="lt-LT"/>
              </w:rPr>
              <w:t>(Smulkiojo ar vidutinio verslo subjekto statuso deklaracijos forma F1)</w:t>
            </w:r>
          </w:p>
          <w:p>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pPr>
              <w:rPr>
                <w:szCs w:val="24"/>
                <w:lang w:eastAsia="lt-LT"/>
              </w:rPr>
            </w:pPr>
          </w:p>
        </w:tc>
        <w:tc>
          <w:tcPr>
            <w:tcW w:w="434" w:type="pct"/>
            <w:gridSpan w:val="2"/>
            <w:tcBorders>
              <w:top w:val="nil"/>
              <w:left w:val="nil"/>
              <w:bottom w:val="nil"/>
              <w:right w:val="nil"/>
            </w:tcBorders>
            <w:shd w:val="clear" w:color="auto" w:fill="auto"/>
            <w:noWrap/>
            <w:vAlign w:val="bottom"/>
            <w:hideMark/>
          </w:tcPr>
          <w:p>
            <w:pPr>
              <w:rPr>
                <w:sz w:val="20"/>
                <w:lang w:eastAsia="lt-LT"/>
              </w:rPr>
            </w:pPr>
          </w:p>
        </w:tc>
      </w:tr>
      <w:tr>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pPr>
              <w:ind w:left="599" w:right="319"/>
              <w:jc w:val="center"/>
              <w:rPr>
                <w:b/>
                <w:bCs/>
                <w:szCs w:val="24"/>
                <w:lang w:eastAsia="lt-LT"/>
              </w:rPr>
            </w:pPr>
            <w:r>
              <w:rPr>
                <w:b/>
                <w:bCs/>
                <w:szCs w:val="24"/>
                <w:lang w:eastAsia="lt-LT"/>
              </w:rPr>
              <w:t>SMULKIOJO AR VIDUTINIO VERSLO SUBJEKTO STATUSO DEKLARACIJOS</w:t>
            </w:r>
          </w:p>
        </w:tc>
      </w:tr>
      <w:tr>
        <w:trPr>
          <w:gridAfter w:val="3"/>
          <w:wAfter w:w="441" w:type="pct"/>
          <w:trHeight w:val="270"/>
          <w:jc w:val="center"/>
        </w:trPr>
        <w:tc>
          <w:tcPr>
            <w:tcW w:w="353" w:type="pct"/>
            <w:tcBorders>
              <w:top w:val="nil"/>
              <w:left w:val="nil"/>
              <w:bottom w:val="nil"/>
              <w:right w:val="nil"/>
            </w:tcBorders>
            <w:shd w:val="clear" w:color="auto" w:fill="auto"/>
            <w:noWrap/>
            <w:vAlign w:val="bottom"/>
            <w:hideMark/>
          </w:tcPr>
          <w:p>
            <w:pPr>
              <w:jc w:val="center"/>
              <w:rPr>
                <w:b/>
                <w:bCs/>
                <w:szCs w:val="24"/>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jc w:val="center"/>
              <w:rPr>
                <w:sz w:val="20"/>
                <w:lang w:eastAsia="lt-LT"/>
              </w:rPr>
            </w:pPr>
          </w:p>
        </w:tc>
        <w:tc>
          <w:tcPr>
            <w:tcW w:w="167" w:type="pct"/>
            <w:tcBorders>
              <w:top w:val="nil"/>
              <w:left w:val="nil"/>
              <w:bottom w:val="nil"/>
              <w:right w:val="nil"/>
            </w:tcBorders>
            <w:shd w:val="clear" w:color="auto" w:fill="auto"/>
            <w:noWrap/>
            <w:vAlign w:val="bottom"/>
            <w:hideMark/>
          </w:tcPr>
          <w:p>
            <w:pPr>
              <w:jc w:val="center"/>
              <w:rPr>
                <w:sz w:val="20"/>
                <w:lang w:eastAsia="lt-LT"/>
              </w:rPr>
            </w:pPr>
          </w:p>
        </w:tc>
        <w:tc>
          <w:tcPr>
            <w:tcW w:w="697" w:type="pct"/>
            <w:tcBorders>
              <w:top w:val="nil"/>
              <w:left w:val="nil"/>
              <w:bottom w:val="nil"/>
              <w:right w:val="nil"/>
            </w:tcBorders>
            <w:shd w:val="clear" w:color="auto" w:fill="auto"/>
            <w:noWrap/>
            <w:vAlign w:val="bottom"/>
            <w:hideMark/>
          </w:tcPr>
          <w:p>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pPr>
              <w:jc w:val="center"/>
              <w:rPr>
                <w:b/>
                <w:bCs/>
                <w:szCs w:val="24"/>
                <w:lang w:eastAsia="lt-LT"/>
              </w:rPr>
            </w:pPr>
          </w:p>
        </w:tc>
        <w:tc>
          <w:tcPr>
            <w:tcW w:w="181" w:type="pct"/>
            <w:tcBorders>
              <w:top w:val="nil"/>
              <w:left w:val="nil"/>
              <w:bottom w:val="nil"/>
              <w:right w:val="nil"/>
            </w:tcBorders>
            <w:shd w:val="clear" w:color="auto" w:fill="auto"/>
            <w:noWrap/>
            <w:vAlign w:val="bottom"/>
            <w:hideMark/>
          </w:tcPr>
          <w:p>
            <w:pP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315"/>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240"/>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300"/>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225"/>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330"/>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67" w:type="pct"/>
            <w:tcBorders>
              <w:top w:val="nil"/>
              <w:left w:val="nil"/>
              <w:bottom w:val="nil"/>
              <w:right w:val="nil"/>
            </w:tcBorders>
            <w:shd w:val="clear" w:color="auto" w:fill="auto"/>
            <w:noWrap/>
            <w:vAlign w:val="bottom"/>
            <w:hideMark/>
          </w:tcPr>
          <w:p>
            <w:pPr>
              <w:rPr>
                <w:sz w:val="20"/>
                <w:lang w:eastAsia="lt-LT"/>
              </w:rPr>
            </w:pPr>
          </w:p>
        </w:tc>
        <w:tc>
          <w:tcPr>
            <w:tcW w:w="697" w:type="pct"/>
            <w:tcBorders>
              <w:top w:val="nil"/>
              <w:left w:val="nil"/>
              <w:bottom w:val="nil"/>
              <w:right w:val="nil"/>
            </w:tcBorders>
            <w:shd w:val="clear" w:color="auto" w:fill="auto"/>
            <w:noWrap/>
            <w:vAlign w:val="bottom"/>
            <w:hideMark/>
          </w:tcPr>
          <w:p>
            <w:pPr>
              <w:rPr>
                <w:sz w:val="20"/>
                <w:lang w:eastAsia="lt-LT"/>
              </w:rPr>
            </w:pPr>
          </w:p>
        </w:tc>
        <w:tc>
          <w:tcPr>
            <w:tcW w:w="416" w:type="pct"/>
            <w:tcBorders>
              <w:top w:val="nil"/>
              <w:left w:val="nil"/>
              <w:bottom w:val="nil"/>
              <w:right w:val="nil"/>
            </w:tcBorders>
            <w:shd w:val="clear" w:color="auto" w:fill="auto"/>
            <w:noWrap/>
            <w:vAlign w:val="bottom"/>
            <w:hideMark/>
          </w:tcPr>
          <w:p>
            <w:pPr>
              <w:jc w:val="center"/>
              <w:rPr>
                <w:sz w:val="20"/>
                <w:lang w:eastAsia="lt-LT"/>
              </w:rPr>
            </w:pPr>
          </w:p>
        </w:tc>
        <w:tc>
          <w:tcPr>
            <w:tcW w:w="181" w:type="pct"/>
            <w:tcBorders>
              <w:top w:val="nil"/>
              <w:left w:val="nil"/>
              <w:bottom w:val="nil"/>
              <w:right w:val="nil"/>
            </w:tcBorders>
            <w:shd w:val="clear" w:color="auto" w:fill="auto"/>
            <w:noWrap/>
            <w:vAlign w:val="bottom"/>
            <w:hideMark/>
          </w:tcPr>
          <w:p>
            <w:pP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pPr>
              <w:jc w:val="center"/>
              <w:rPr>
                <w:sz w:val="20"/>
                <w:lang w:eastAsia="lt-LT"/>
              </w:rPr>
            </w:pPr>
          </w:p>
        </w:tc>
        <w:tc>
          <w:tcPr>
            <w:tcW w:w="167" w:type="pct"/>
            <w:tcBorders>
              <w:top w:val="nil"/>
              <w:left w:val="nil"/>
              <w:bottom w:val="nil"/>
              <w:right w:val="nil"/>
            </w:tcBorders>
            <w:shd w:val="clear" w:color="auto" w:fill="auto"/>
            <w:noWrap/>
            <w:vAlign w:val="bottom"/>
            <w:hideMark/>
          </w:tcPr>
          <w:p>
            <w:pPr>
              <w:rPr>
                <w:sz w:val="20"/>
                <w:lang w:eastAsia="lt-LT"/>
              </w:rPr>
            </w:pPr>
          </w:p>
        </w:tc>
        <w:tc>
          <w:tcPr>
            <w:tcW w:w="697" w:type="pct"/>
            <w:tcBorders>
              <w:top w:val="nil"/>
              <w:left w:val="nil"/>
              <w:bottom w:val="nil"/>
              <w:right w:val="nil"/>
            </w:tcBorders>
            <w:shd w:val="clear" w:color="auto" w:fill="auto"/>
            <w:noWrap/>
            <w:vAlign w:val="bottom"/>
            <w:hideMark/>
          </w:tcPr>
          <w:p>
            <w:pPr>
              <w:rPr>
                <w:sz w:val="20"/>
                <w:lang w:eastAsia="lt-LT"/>
              </w:rPr>
            </w:pPr>
          </w:p>
        </w:tc>
        <w:tc>
          <w:tcPr>
            <w:tcW w:w="416" w:type="pct"/>
            <w:tcBorders>
              <w:top w:val="nil"/>
              <w:left w:val="nil"/>
              <w:bottom w:val="nil"/>
              <w:right w:val="nil"/>
            </w:tcBorders>
            <w:shd w:val="clear" w:color="auto" w:fill="auto"/>
            <w:noWrap/>
            <w:vAlign w:val="bottom"/>
            <w:hideMark/>
          </w:tcPr>
          <w:p>
            <w:pPr>
              <w:rPr>
                <w:sz w:val="20"/>
                <w:lang w:eastAsia="lt-LT"/>
              </w:rPr>
            </w:pPr>
          </w:p>
        </w:tc>
        <w:tc>
          <w:tcPr>
            <w:tcW w:w="181" w:type="pct"/>
            <w:tcBorders>
              <w:top w:val="nil"/>
              <w:left w:val="nil"/>
              <w:bottom w:val="nil"/>
              <w:right w:val="nil"/>
            </w:tcBorders>
            <w:shd w:val="clear" w:color="auto" w:fill="auto"/>
            <w:noWrap/>
            <w:vAlign w:val="bottom"/>
            <w:hideMark/>
          </w:tcPr>
          <w:p>
            <w:pP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pPr>
              <w:jc w:val="center"/>
              <w:rPr>
                <w:sz w:val="20"/>
                <w:lang w:eastAsia="lt-LT"/>
              </w:rPr>
            </w:pPr>
          </w:p>
        </w:tc>
        <w:tc>
          <w:tcPr>
            <w:tcW w:w="167" w:type="pct"/>
            <w:tcBorders>
              <w:top w:val="nil"/>
              <w:left w:val="nil"/>
              <w:bottom w:val="nil"/>
              <w:right w:val="nil"/>
            </w:tcBorders>
            <w:shd w:val="clear" w:color="auto" w:fill="auto"/>
            <w:noWrap/>
            <w:vAlign w:val="bottom"/>
            <w:hideMark/>
          </w:tcPr>
          <w:p>
            <w:pPr>
              <w:rPr>
                <w:sz w:val="20"/>
                <w:lang w:eastAsia="lt-LT"/>
              </w:rPr>
            </w:pPr>
          </w:p>
        </w:tc>
        <w:tc>
          <w:tcPr>
            <w:tcW w:w="697" w:type="pct"/>
            <w:tcBorders>
              <w:top w:val="nil"/>
              <w:left w:val="nil"/>
              <w:bottom w:val="nil"/>
              <w:right w:val="nil"/>
            </w:tcBorders>
            <w:shd w:val="clear" w:color="auto" w:fill="auto"/>
            <w:noWrap/>
            <w:vAlign w:val="bottom"/>
            <w:hideMark/>
          </w:tcPr>
          <w:p>
            <w:pPr>
              <w:rPr>
                <w:sz w:val="20"/>
                <w:lang w:eastAsia="lt-LT"/>
              </w:rPr>
            </w:pPr>
          </w:p>
        </w:tc>
        <w:tc>
          <w:tcPr>
            <w:tcW w:w="416" w:type="pct"/>
            <w:tcBorders>
              <w:top w:val="nil"/>
              <w:left w:val="nil"/>
              <w:bottom w:val="nil"/>
              <w:right w:val="nil"/>
            </w:tcBorders>
            <w:shd w:val="clear" w:color="auto" w:fill="auto"/>
            <w:noWrap/>
            <w:vAlign w:val="bottom"/>
            <w:hideMark/>
          </w:tcPr>
          <w:p>
            <w:pPr>
              <w:rPr>
                <w:sz w:val="20"/>
                <w:lang w:eastAsia="lt-LT"/>
              </w:rPr>
            </w:pPr>
          </w:p>
        </w:tc>
        <w:tc>
          <w:tcPr>
            <w:tcW w:w="181" w:type="pct"/>
            <w:tcBorders>
              <w:top w:val="nil"/>
              <w:left w:val="nil"/>
              <w:bottom w:val="nil"/>
              <w:right w:val="nil"/>
            </w:tcBorders>
            <w:shd w:val="clear" w:color="auto" w:fill="auto"/>
            <w:noWrap/>
            <w:vAlign w:val="bottom"/>
            <w:hideMark/>
          </w:tcPr>
          <w:p>
            <w:pP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3"/>
          <w:wAfter w:w="441" w:type="pct"/>
          <w:trHeight w:val="135"/>
          <w:jc w:val="center"/>
        </w:trPr>
        <w:tc>
          <w:tcPr>
            <w:tcW w:w="353"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jc w:val="cente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536" w:type="pct"/>
            <w:tcBorders>
              <w:top w:val="nil"/>
              <w:left w:val="nil"/>
              <w:bottom w:val="nil"/>
              <w:right w:val="nil"/>
            </w:tcBorders>
            <w:shd w:val="clear" w:color="auto" w:fill="auto"/>
            <w:noWrap/>
            <w:vAlign w:val="bottom"/>
            <w:hideMark/>
          </w:tcPr>
          <w:p>
            <w:pPr>
              <w:rPr>
                <w:sz w:val="20"/>
                <w:lang w:eastAsia="lt-LT"/>
              </w:rPr>
            </w:pPr>
          </w:p>
        </w:tc>
        <w:tc>
          <w:tcPr>
            <w:tcW w:w="167" w:type="pct"/>
            <w:tcBorders>
              <w:top w:val="nil"/>
              <w:left w:val="nil"/>
              <w:bottom w:val="nil"/>
              <w:right w:val="nil"/>
            </w:tcBorders>
            <w:shd w:val="clear" w:color="auto" w:fill="auto"/>
            <w:noWrap/>
            <w:vAlign w:val="bottom"/>
            <w:hideMark/>
          </w:tcPr>
          <w:p>
            <w:pPr>
              <w:rPr>
                <w:sz w:val="20"/>
                <w:lang w:eastAsia="lt-LT"/>
              </w:rPr>
            </w:pPr>
          </w:p>
        </w:tc>
        <w:tc>
          <w:tcPr>
            <w:tcW w:w="697" w:type="pct"/>
            <w:tcBorders>
              <w:top w:val="nil"/>
              <w:left w:val="nil"/>
              <w:bottom w:val="nil"/>
              <w:right w:val="nil"/>
            </w:tcBorders>
            <w:shd w:val="clear" w:color="auto" w:fill="auto"/>
            <w:noWrap/>
            <w:vAlign w:val="bottom"/>
            <w:hideMark/>
          </w:tcPr>
          <w:p>
            <w:pPr>
              <w:rPr>
                <w:sz w:val="20"/>
                <w:lang w:eastAsia="lt-LT"/>
              </w:rPr>
            </w:pPr>
          </w:p>
        </w:tc>
        <w:tc>
          <w:tcPr>
            <w:tcW w:w="416" w:type="pct"/>
            <w:tcBorders>
              <w:top w:val="nil"/>
              <w:left w:val="nil"/>
              <w:bottom w:val="nil"/>
              <w:right w:val="nil"/>
            </w:tcBorders>
            <w:shd w:val="clear" w:color="auto" w:fill="auto"/>
            <w:noWrap/>
            <w:vAlign w:val="bottom"/>
            <w:hideMark/>
          </w:tcPr>
          <w:p>
            <w:pPr>
              <w:rPr>
                <w:sz w:val="20"/>
                <w:lang w:eastAsia="lt-LT"/>
              </w:rPr>
            </w:pPr>
          </w:p>
        </w:tc>
        <w:tc>
          <w:tcPr>
            <w:tcW w:w="181" w:type="pct"/>
            <w:tcBorders>
              <w:top w:val="nil"/>
              <w:left w:val="nil"/>
              <w:bottom w:val="nil"/>
              <w:right w:val="nil"/>
            </w:tcBorders>
            <w:shd w:val="clear" w:color="auto" w:fill="auto"/>
            <w:noWrap/>
            <w:vAlign w:val="bottom"/>
            <w:hideMark/>
          </w:tcPr>
          <w:p>
            <w:pPr>
              <w:rPr>
                <w:sz w:val="20"/>
                <w:lang w:eastAsia="lt-LT"/>
              </w:rPr>
            </w:pPr>
          </w:p>
        </w:tc>
        <w:tc>
          <w:tcPr>
            <w:tcW w:w="303" w:type="pct"/>
            <w:tcBorders>
              <w:top w:val="nil"/>
              <w:left w:val="nil"/>
              <w:bottom w:val="nil"/>
              <w:right w:val="nil"/>
            </w:tcBorders>
            <w:shd w:val="clear" w:color="auto" w:fill="auto"/>
            <w:noWrap/>
            <w:vAlign w:val="bottom"/>
            <w:hideMark/>
          </w:tcPr>
          <w:p>
            <w:pPr>
              <w:rPr>
                <w:sz w:val="20"/>
                <w:lang w:eastAsia="lt-LT"/>
              </w:rPr>
            </w:pPr>
          </w:p>
        </w:tc>
        <w:tc>
          <w:tcPr>
            <w:tcW w:w="213" w:type="pct"/>
            <w:tcBorders>
              <w:top w:val="nil"/>
              <w:left w:val="nil"/>
              <w:bottom w:val="nil"/>
              <w:right w:val="nil"/>
            </w:tcBorders>
            <w:shd w:val="clear" w:color="auto" w:fill="auto"/>
            <w:noWrap/>
            <w:vAlign w:val="bottom"/>
            <w:hideMark/>
          </w:tcPr>
          <w:p>
            <w:pPr>
              <w:rPr>
                <w:sz w:val="20"/>
                <w:lang w:eastAsia="lt-LT"/>
              </w:rPr>
            </w:pPr>
          </w:p>
        </w:tc>
        <w:tc>
          <w:tcPr>
            <w:tcW w:w="170" w:type="pct"/>
            <w:tcBorders>
              <w:top w:val="nil"/>
              <w:left w:val="nil"/>
              <w:bottom w:val="nil"/>
              <w:right w:val="nil"/>
            </w:tcBorders>
            <w:shd w:val="clear" w:color="auto" w:fill="auto"/>
            <w:noWrap/>
            <w:vAlign w:val="bottom"/>
            <w:hideMark/>
          </w:tcPr>
          <w:p>
            <w:pPr>
              <w:rPr>
                <w:sz w:val="20"/>
                <w:lang w:eastAsia="lt-LT"/>
              </w:rPr>
            </w:pPr>
          </w:p>
        </w:tc>
        <w:tc>
          <w:tcPr>
            <w:tcW w:w="326" w:type="pct"/>
            <w:tcBorders>
              <w:top w:val="nil"/>
              <w:left w:val="nil"/>
              <w:bottom w:val="nil"/>
              <w:right w:val="nil"/>
            </w:tcBorders>
            <w:shd w:val="clear" w:color="auto" w:fill="auto"/>
            <w:noWrap/>
            <w:vAlign w:val="bottom"/>
            <w:hideMark/>
          </w:tcPr>
          <w:p>
            <w:pPr>
              <w:rPr>
                <w:sz w:val="20"/>
                <w:lang w:eastAsia="lt-LT"/>
              </w:rPr>
            </w:pPr>
          </w:p>
        </w:tc>
        <w:tc>
          <w:tcPr>
            <w:tcW w:w="108" w:type="pct"/>
            <w:gridSpan w:val="3"/>
            <w:tcBorders>
              <w:top w:val="nil"/>
              <w:left w:val="nil"/>
              <w:bottom w:val="nil"/>
              <w:right w:val="nil"/>
            </w:tcBorders>
            <w:shd w:val="clear" w:color="auto" w:fill="auto"/>
            <w:noWrap/>
            <w:vAlign w:val="bottom"/>
            <w:hideMark/>
          </w:tcPr>
          <w:p>
            <w:pPr>
              <w:rPr>
                <w:sz w:val="20"/>
                <w:lang w:eastAsia="lt-LT"/>
              </w:rPr>
            </w:pPr>
          </w:p>
        </w:tc>
        <w:tc>
          <w:tcPr>
            <w:tcW w:w="227" w:type="pct"/>
            <w:gridSpan w:val="2"/>
            <w:tcBorders>
              <w:top w:val="nil"/>
              <w:left w:val="nil"/>
              <w:bottom w:val="nil"/>
              <w:right w:val="nil"/>
            </w:tcBorders>
            <w:shd w:val="clear" w:color="auto" w:fill="auto"/>
            <w:noWrap/>
            <w:vAlign w:val="bottom"/>
            <w:hideMark/>
          </w:tcPr>
          <w:p>
            <w:pPr>
              <w:rPr>
                <w:sz w:val="20"/>
                <w:lang w:eastAsia="lt-LT"/>
              </w:rPr>
            </w:pPr>
          </w:p>
        </w:tc>
        <w:tc>
          <w:tcPr>
            <w:tcW w:w="430" w:type="pct"/>
            <w:gridSpan w:val="2"/>
            <w:tcBorders>
              <w:top w:val="nil"/>
              <w:left w:val="nil"/>
              <w:bottom w:val="nil"/>
              <w:right w:val="nil"/>
            </w:tcBorders>
            <w:shd w:val="clear" w:color="auto" w:fill="auto"/>
            <w:noWrap/>
            <w:vAlign w:val="bottom"/>
            <w:hideMark/>
          </w:tcPr>
          <w:p>
            <w:pPr>
              <w:rPr>
                <w:sz w:val="20"/>
                <w:lang w:eastAsia="lt-LT"/>
              </w:rPr>
            </w:pPr>
          </w:p>
        </w:tc>
      </w:tr>
      <w:tr>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 xml:space="preserve">Verslo subjekto pavadinimas </w:t>
            </w:r>
          </w:p>
        </w:tc>
      </w:tr>
      <w:tr>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buveinė</w:t>
            </w:r>
          </w:p>
        </w:tc>
      </w:tr>
      <w:tr>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įsteigimo data</w:t>
            </w:r>
          </w:p>
        </w:tc>
      </w:tr>
      <w:tr>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kodas / PVM mokėtojo kodas</w:t>
            </w:r>
          </w:p>
        </w:tc>
      </w:tr>
      <w:tr>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vadovo vardas, pavardė ir pareigos</w:t>
            </w:r>
          </w:p>
        </w:tc>
      </w:tr>
      <w:tr>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ryšių duomenys: elektroninis paštas ir telefonas</w:t>
            </w:r>
          </w:p>
        </w:tc>
      </w:tr>
      <w:tr>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Verslo subjekto tipas</w:t>
            </w:r>
          </w:p>
        </w:tc>
      </w:tr>
      <w:tr>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pPr>
              <w:ind w:firstLine="53"/>
              <w:jc w:val="center"/>
              <w:rPr>
                <w:sz w:val="20"/>
                <w:lang w:eastAsia="lt-LT"/>
              </w:rPr>
            </w:pPr>
          </w:p>
        </w:tc>
      </w:tr>
      <w:tr>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pPr>
              <w:ind w:firstLine="53"/>
              <w:jc w:val="center"/>
              <w:rPr>
                <w:sz w:val="20"/>
                <w:lang w:eastAsia="lt-LT"/>
              </w:rPr>
            </w:pPr>
          </w:p>
        </w:tc>
      </w:tr>
      <w:tr>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pPr>
              <w:ind w:firstLine="53"/>
              <w:jc w:val="center"/>
              <w:rPr>
                <w:sz w:val="20"/>
                <w:lang w:eastAsia="lt-LT"/>
              </w:rPr>
            </w:pPr>
          </w:p>
        </w:tc>
      </w:tr>
      <w:tr>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pPr>
              <w:jc w:val="center"/>
              <w:rPr>
                <w:b/>
                <w:bCs/>
                <w:sz w:val="22"/>
                <w:szCs w:val="22"/>
                <w:lang w:eastAsia="lt-LT"/>
              </w:rPr>
            </w:pPr>
            <w:r>
              <w:rPr>
                <w:b/>
                <w:bCs/>
                <w:sz w:val="22"/>
                <w:szCs w:val="22"/>
                <w:lang w:eastAsia="lt-LT"/>
              </w:rPr>
              <w:t xml:space="preserve">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pPr>
              <w:jc w:val="center"/>
              <w:rPr>
                <w:szCs w:val="24"/>
                <w:lang w:eastAsia="lt-LT"/>
              </w:rPr>
            </w:pPr>
            <w:r>
              <w:rPr>
                <w:szCs w:val="24"/>
                <w:lang w:eastAsia="lt-LT"/>
              </w:rPr>
              <w:t>Prieš užpraeitus metus buvę metai (užužpraeiti metai)</w:t>
            </w:r>
          </w:p>
        </w:tc>
      </w:tr>
      <w:tr>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pPr>
              <w:ind w:firstLine="62"/>
              <w:jc w:val="center"/>
              <w:rPr>
                <w:szCs w:val="24"/>
                <w:lang w:eastAsia="lt-LT"/>
              </w:rPr>
            </w:pPr>
          </w:p>
        </w:tc>
      </w:tr>
      <w:tr>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Duomenys, pagal kuriuos nustatomas verslo subjekto statusas</w:t>
            </w:r>
          </w:p>
        </w:tc>
      </w:tr>
      <w:tr>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 xml:space="preserve">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 xml:space="preserve">Balanse nurodyto turto vertė        (Eur)</w:t>
            </w:r>
          </w:p>
        </w:tc>
      </w:tr>
      <w:tr>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pPr>
              <w:ind w:firstLine="62"/>
              <w:jc w:val="center"/>
              <w:rPr>
                <w:szCs w:val="24"/>
                <w:lang w:eastAsia="lt-LT"/>
              </w:rPr>
            </w:pPr>
          </w:p>
        </w:tc>
      </w:tr>
      <w:tr>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r>
              <w:rPr>
                <w:sz w:val="22"/>
                <w:szCs w:val="22"/>
                <w:lang w:eastAsia="lt-LT"/>
              </w:rPr>
              <w:t xml:space="preserve">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pPr>
              <w:jc w:val="center"/>
              <w:rPr>
                <w:szCs w:val="24"/>
                <w:lang w:eastAsia="lt-LT"/>
              </w:rPr>
            </w:pPr>
            <w:r>
              <w:rPr>
                <w:szCs w:val="24"/>
                <w:lang w:eastAsia="lt-LT"/>
              </w:rPr>
              <w:t>0,00</w:t>
            </w:r>
          </w:p>
        </w:tc>
      </w:tr>
      <w:tr>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statusas</w:t>
            </w:r>
          </w:p>
        </w:tc>
      </w:tr>
      <w:tr>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pPr>
              <w:ind w:firstLine="62"/>
              <w:jc w:val="center"/>
              <w:rPr>
                <w:szCs w:val="24"/>
                <w:lang w:eastAsia="lt-LT"/>
              </w:rPr>
            </w:pPr>
          </w:p>
        </w:tc>
      </w:tr>
      <w:tr>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pPr>
              <w:ind w:firstLine="62"/>
              <w:jc w:val="center"/>
              <w:rPr>
                <w:szCs w:val="24"/>
                <w:lang w:eastAsia="lt-LT"/>
              </w:rPr>
            </w:pPr>
          </w:p>
        </w:tc>
      </w:tr>
      <w:tr>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pPr>
              <w:ind w:firstLine="62"/>
              <w:jc w:val="center"/>
              <w:rPr>
                <w:szCs w:val="24"/>
                <w:lang w:eastAsia="lt-LT"/>
              </w:rPr>
            </w:pPr>
          </w:p>
        </w:tc>
      </w:tr>
      <w:tr>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pPr>
              <w:ind w:firstLine="62"/>
              <w:jc w:val="center"/>
              <w:rPr>
                <w:szCs w:val="24"/>
                <w:lang w:eastAsia="lt-LT"/>
              </w:rPr>
            </w:pPr>
          </w:p>
        </w:tc>
      </w:tr>
      <w:tr>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pPr>
              <w:ind w:firstLine="62"/>
              <w:jc w:val="center"/>
              <w:rPr>
                <w:szCs w:val="24"/>
                <w:lang w:eastAsia="lt-LT"/>
              </w:rPr>
            </w:pPr>
          </w:p>
        </w:tc>
      </w:tr>
      <w:tr>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Verslo subjekto vadovo vardas ir pavardė</w:t>
            </w:r>
          </w:p>
        </w:tc>
      </w:tr>
      <w:tr>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pPr>
              <w:ind w:firstLine="62"/>
              <w:rPr>
                <w:szCs w:val="24"/>
                <w:lang w:eastAsia="lt-LT"/>
              </w:rPr>
            </w:pPr>
          </w:p>
        </w:tc>
      </w:tr>
      <w:tr>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pPr>
              <w:ind w:firstLineChars="100" w:firstLine="240"/>
              <w:rPr>
                <w:szCs w:val="24"/>
                <w:lang w:eastAsia="lt-LT"/>
              </w:rPr>
            </w:pPr>
            <w:r>
              <w:rPr>
                <w:szCs w:val="24"/>
                <w:lang w:eastAsia="lt-LT"/>
              </w:rPr>
              <w:t>Patvirtinu, kad Deklaracijoje ir jos prieduose pateikti duomenys yra tikslūs ir teisingi.</w:t>
            </w:r>
          </w:p>
        </w:tc>
      </w:tr>
      <w:tr>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pPr>
              <w:ind w:firstLine="62"/>
              <w:rPr>
                <w:szCs w:val="24"/>
                <w:lang w:eastAsia="lt-LT"/>
              </w:rPr>
            </w:pPr>
          </w:p>
        </w:tc>
      </w:tr>
      <w:tr>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pPr>
              <w:ind w:firstLine="62"/>
              <w:rPr>
                <w:szCs w:val="24"/>
                <w:lang w:eastAsia="lt-LT"/>
              </w:rPr>
            </w:pPr>
          </w:p>
        </w:tc>
      </w:tr>
      <w:tr>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Pridedamos formos</w:t>
            </w:r>
          </w:p>
        </w:tc>
      </w:tr>
      <w:tr>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Formos pavadinimas</w:t>
            </w:r>
          </w:p>
        </w:tc>
      </w:tr>
      <w:tr>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6FFE9E01A6F">
        <w:r w:rsidRPr="00532B9F">
          <w:rPr>
            <w:rFonts w:ascii="Times New Roman" w:eastAsia="MS Mincho" w:hAnsi="Times New Roman"/>
            <w:sz w:val="20"/>
            <w:i/>
            <w:iCs/>
            <w:color w:val="0000FF" w:themeColor="hyperlink"/>
            <w:u w:val="single"/>
          </w:rPr>
          <w:t>4-169</w:t>
        </w:r>
      </w:fldSimple>
      <w:r>
        <w:rPr>
          <w:rFonts w:ascii="Times New Roman" w:eastAsia="MS Mincho" w:hAnsi="Times New Roman"/>
          <w:sz w:val="20"/>
          <w:i/>
          <w:iCs/>
        </w:rPr>
        <w:t>,
2008-04-29,
Žin., 2008, Nr.
51-1908 (2008-04-30), i. k. 1082020ISAK0004-169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FCF371DE60">
        <w:r w:rsidRPr="00532B9F">
          <w:rPr>
            <w:rFonts w:ascii="Times New Roman" w:eastAsia="MS Mincho" w:hAnsi="Times New Roman"/>
            <w:sz w:val="20"/>
            <w:i/>
            <w:iCs/>
            <w:color w:val="0000FF" w:themeColor="hyperlink"/>
            <w:u w:val="single"/>
          </w:rPr>
          <w:t>4-339</w:t>
        </w:r>
      </w:fldSimple>
      <w:r>
        <w:rPr>
          <w:rFonts w:ascii="Times New Roman" w:eastAsia="MS Mincho" w:hAnsi="Times New Roman"/>
          <w:sz w:val="20"/>
          <w:i/>
          <w:iCs/>
        </w:rPr>
        <w:t>,
2010-04-30,
Žin., 2010, Nr.
51-2534 (2010-05-04), i. k. 1102020ISAK0004-339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642fa0810311e4bc68a1493830b8b9">
        <w:r w:rsidRPr="00532B9F">
          <w:rPr>
            <w:rFonts w:ascii="Times New Roman" w:eastAsia="MS Mincho" w:hAnsi="Times New Roman"/>
            <w:sz w:val="20"/>
            <w:i/>
            <w:iCs/>
            <w:color w:val="0000FF" w:themeColor="hyperlink"/>
            <w:u w:val="single"/>
          </w:rPr>
          <w:t>4-891</w:t>
        </w:r>
      </w:fldSimple>
      <w:r>
        <w:rPr>
          <w:rFonts w:ascii="Times New Roman" w:eastAsia="MS Mincho" w:hAnsi="Times New Roman"/>
          <w:sz w:val="20"/>
          <w:i/>
          <w:iCs/>
        </w:rPr>
        <w:t>,
2014-12-10,
paskelbta TAR 2014-12-11, i. k. 2014-19464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5cdb04e6811e6b72ff16034f7f796">
        <w:r w:rsidRPr="00532B9F">
          <w:rPr>
            <w:rFonts w:ascii="Times New Roman" w:eastAsia="MS Mincho" w:hAnsi="Times New Roman"/>
            <w:sz w:val="20"/>
            <w:i/>
            <w:iCs/>
            <w:color w:val="0000FF" w:themeColor="hyperlink"/>
            <w:u w:val="single"/>
          </w:rPr>
          <w:t>4-481</w:t>
        </w:r>
      </w:fldSimple>
      <w:r>
        <w:rPr>
          <w:rFonts w:ascii="Times New Roman" w:eastAsia="MS Mincho" w:hAnsi="Times New Roman"/>
          <w:sz w:val="20"/>
          <w:i/>
          <w:iCs/>
        </w:rPr>
        <w:t>,
2016-07-20,
paskelbta TAR 2016-07-20, i. k. 2016-20828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dc7da0268211e78397ae072f58c508">
        <w:r w:rsidRPr="00532B9F">
          <w:rPr>
            <w:rFonts w:ascii="Times New Roman" w:eastAsia="MS Mincho" w:hAnsi="Times New Roman"/>
            <w:sz w:val="20"/>
            <w:i/>
            <w:iCs/>
            <w:color w:val="0000FF" w:themeColor="hyperlink"/>
            <w:u w:val="single"/>
          </w:rPr>
          <w:t>4-250</w:t>
        </w:r>
      </w:fldSimple>
      <w:r>
        <w:rPr>
          <w:rFonts w:ascii="Times New Roman" w:eastAsia="MS Mincho" w:hAnsi="Times New Roman"/>
          <w:sz w:val="20"/>
          <w:i/>
          <w:iCs/>
        </w:rPr>
        <w:t>,
2017-04-21,
paskelbta TAR 2017-04-21, i. k. 2017-06764            </w:t>
      </w:r>
    </w:p>
    <w:p/>
    <w:p>
      <w:pPr/>
      <w:r>
        <w:rPr>
          <w:bCs/>
          <w:szCs w:val="24"/>
        </w:rPr>
        <w:br w:type="page"/>
      </w:r>
    </w:p>
    <w:p>
      <w:pPr>
        <w:ind w:firstLine="6804"/>
        <w:rPr>
          <w:bCs/>
          <w:sz w:val="22"/>
          <w:szCs w:val="22"/>
          <w:lang w:eastAsia="lt-LT"/>
        </w:rPr>
      </w:pPr>
      <w:r>
        <w:rPr>
          <w:bCs/>
          <w:sz w:val="22"/>
          <w:szCs w:val="22"/>
          <w:lang w:eastAsia="lt-LT"/>
        </w:rPr>
        <w:t xml:space="preserve">Smulkiojo ar vidutinio verslo </w:t>
      </w:r>
    </w:p>
    <w:p>
      <w:pPr>
        <w:ind w:firstLine="6804"/>
        <w:rPr>
          <w:bCs/>
          <w:sz w:val="22"/>
          <w:szCs w:val="22"/>
          <w:lang w:eastAsia="lt-LT"/>
        </w:rPr>
      </w:pPr>
      <w:r>
        <w:rPr>
          <w:bCs/>
          <w:sz w:val="22"/>
          <w:szCs w:val="22"/>
          <w:lang w:eastAsia="lt-LT"/>
        </w:rPr>
        <w:t xml:space="preserve">subjekto statuso deklaracijos </w:t>
      </w:r>
    </w:p>
    <w:p>
      <w:pPr>
        <w:ind w:firstLine="6804"/>
        <w:rPr>
          <w:bCs/>
          <w:sz w:val="22"/>
          <w:szCs w:val="22"/>
          <w:lang w:eastAsia="lt-LT"/>
        </w:rPr>
      </w:pPr>
      <w:r>
        <w:rPr>
          <w:bCs/>
          <w:sz w:val="22"/>
          <w:szCs w:val="22"/>
          <w:lang w:eastAsia="lt-LT"/>
        </w:rPr>
        <w:t>formos F1</w:t>
      </w:r>
    </w:p>
    <w:p>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trPr>
          <w:gridAfter w:val="3"/>
          <w:wAfter w:w="4394" w:type="dxa"/>
          <w:trHeight w:val="300"/>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rPr>
                <w:sz w:val="20"/>
                <w:lang w:eastAsia="lt-LT"/>
              </w:rPr>
            </w:pPr>
          </w:p>
        </w:tc>
        <w:tc>
          <w:tcPr>
            <w:tcW w:w="1800" w:type="dxa"/>
            <w:tcBorders>
              <w:top w:val="nil"/>
              <w:left w:val="nil"/>
              <w:bottom w:val="nil"/>
              <w:right w:val="nil"/>
            </w:tcBorders>
            <w:shd w:val="clear" w:color="auto" w:fill="auto"/>
            <w:noWrap/>
            <w:vAlign w:val="bottom"/>
            <w:hideMark/>
          </w:tcPr>
          <w:p>
            <w:pPr>
              <w:rPr>
                <w:sz w:val="20"/>
                <w:lang w:eastAsia="lt-LT"/>
              </w:rPr>
            </w:pPr>
          </w:p>
        </w:tc>
        <w:tc>
          <w:tcPr>
            <w:tcW w:w="606" w:type="dxa"/>
            <w:tcBorders>
              <w:top w:val="nil"/>
              <w:left w:val="nil"/>
              <w:bottom w:val="nil"/>
              <w:right w:val="nil"/>
            </w:tcBorders>
            <w:shd w:val="clear" w:color="auto" w:fill="auto"/>
            <w:noWrap/>
            <w:vAlign w:val="bottom"/>
            <w:hideMark/>
          </w:tcPr>
          <w:p>
            <w:pPr>
              <w:rPr>
                <w:sz w:val="20"/>
                <w:lang w:eastAsia="lt-LT"/>
              </w:rPr>
            </w:pPr>
          </w:p>
        </w:tc>
        <w:tc>
          <w:tcPr>
            <w:tcW w:w="567" w:type="dxa"/>
            <w:tcBorders>
              <w:top w:val="nil"/>
              <w:left w:val="nil"/>
              <w:bottom w:val="nil"/>
              <w:right w:val="nil"/>
            </w:tcBorders>
            <w:shd w:val="clear" w:color="auto" w:fill="auto"/>
            <w:noWrap/>
            <w:vAlign w:val="bottom"/>
            <w:hideMark/>
          </w:tcPr>
          <w:p>
            <w:pPr>
              <w:rPr>
                <w:sz w:val="20"/>
                <w:lang w:eastAsia="lt-LT"/>
              </w:rPr>
            </w:pPr>
          </w:p>
        </w:tc>
      </w:tr>
      <w:tr>
        <w:trPr>
          <w:trHeight w:val="345"/>
        </w:trPr>
        <w:tc>
          <w:tcPr>
            <w:tcW w:w="1072" w:type="dxa"/>
            <w:tcBorders>
              <w:top w:val="nil"/>
              <w:left w:val="nil"/>
              <w:bottom w:val="nil"/>
              <w:right w:val="nil"/>
            </w:tcBorders>
            <w:shd w:val="clear" w:color="auto" w:fill="auto"/>
            <w:noWrap/>
            <w:hideMark/>
          </w:tcPr>
          <w:p>
            <w:pPr>
              <w:jc w:val="both"/>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pPr>
              <w:jc w:val="center"/>
              <w:rPr>
                <w:b/>
                <w:sz w:val="22"/>
                <w:szCs w:val="22"/>
                <w:lang w:eastAsia="lt-LT"/>
              </w:rPr>
            </w:pPr>
            <w:r>
              <w:rPr>
                <w:b/>
                <w:sz w:val="22"/>
                <w:szCs w:val="22"/>
                <w:lang w:eastAsia="lt-LT"/>
              </w:rPr>
              <w:t>PARTNERINĖS ĮMONĖS</w:t>
            </w:r>
          </w:p>
          <w:p>
            <w:pPr>
              <w:jc w:val="center"/>
              <w:rPr>
                <w:b/>
                <w:sz w:val="22"/>
                <w:szCs w:val="22"/>
                <w:lang w:eastAsia="lt-LT"/>
              </w:rPr>
            </w:pPr>
          </w:p>
          <w:p>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pPr>
              <w:jc w:val="center"/>
              <w:rPr>
                <w:szCs w:val="24"/>
                <w:lang w:eastAsia="lt-LT"/>
              </w:rPr>
            </w:pPr>
          </w:p>
        </w:tc>
      </w:tr>
      <w:tr>
        <w:trPr>
          <w:trHeight w:val="315"/>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rPr>
                <w:sz w:val="20"/>
                <w:lang w:eastAsia="lt-LT"/>
              </w:rPr>
            </w:pPr>
          </w:p>
        </w:tc>
        <w:tc>
          <w:tcPr>
            <w:tcW w:w="5950" w:type="dxa"/>
            <w:gridSpan w:val="5"/>
            <w:tcBorders>
              <w:top w:val="nil"/>
              <w:left w:val="nil"/>
              <w:bottom w:val="nil"/>
              <w:right w:val="nil"/>
            </w:tcBorders>
            <w:shd w:val="clear" w:color="auto" w:fill="auto"/>
            <w:noWrap/>
            <w:vAlign w:val="bottom"/>
            <w:hideMark/>
          </w:tcPr>
          <w:p>
            <w:pPr>
              <w:jc w:val="center"/>
              <w:rPr>
                <w:b/>
                <w:bCs/>
                <w:sz w:val="22"/>
                <w:szCs w:val="22"/>
                <w:lang w:eastAsia="lt-LT"/>
              </w:rPr>
            </w:pPr>
            <w:r>
              <w:rPr>
                <w:b/>
                <w:bCs/>
                <w:sz w:val="22"/>
                <w:szCs w:val="22"/>
                <w:lang w:eastAsia="lt-LT"/>
              </w:rPr>
              <w:t xml:space="preserve">PARTNERINIŲ ĮMONIŲ DUOMENYS  P1  </w:t>
            </w:r>
          </w:p>
          <w:p>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pPr>
              <w:jc w:val="center"/>
              <w:rPr>
                <w:b/>
                <w:bCs/>
                <w:szCs w:val="24"/>
                <w:lang w:eastAsia="lt-LT"/>
              </w:rPr>
            </w:pPr>
          </w:p>
        </w:tc>
      </w:tr>
      <w:tr>
        <w:trPr>
          <w:trHeight w:val="315"/>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rPr>
                <w:sz w:val="20"/>
                <w:lang w:eastAsia="lt-LT"/>
              </w:rPr>
            </w:pPr>
          </w:p>
        </w:tc>
        <w:tc>
          <w:tcPr>
            <w:tcW w:w="1800" w:type="dxa"/>
            <w:tcBorders>
              <w:top w:val="nil"/>
              <w:left w:val="nil"/>
              <w:bottom w:val="nil"/>
              <w:right w:val="nil"/>
            </w:tcBorders>
            <w:shd w:val="clear" w:color="auto" w:fill="auto"/>
            <w:noWrap/>
            <w:vAlign w:val="bottom"/>
            <w:hideMark/>
          </w:tcPr>
          <w:p>
            <w:pPr>
              <w:rPr>
                <w:sz w:val="20"/>
                <w:lang w:eastAsia="lt-LT"/>
              </w:rPr>
            </w:pPr>
          </w:p>
        </w:tc>
        <w:tc>
          <w:tcPr>
            <w:tcW w:w="2874" w:type="dxa"/>
            <w:gridSpan w:val="3"/>
            <w:tcBorders>
              <w:top w:val="nil"/>
              <w:left w:val="nil"/>
              <w:bottom w:val="nil"/>
              <w:right w:val="nil"/>
            </w:tcBorders>
            <w:shd w:val="clear" w:color="auto" w:fill="auto"/>
            <w:noWrap/>
            <w:vAlign w:val="bottom"/>
            <w:hideMark/>
          </w:tcPr>
          <w:p>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240"/>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rPr>
                <w:sz w:val="20"/>
                <w:lang w:eastAsia="lt-LT"/>
              </w:rPr>
            </w:pPr>
          </w:p>
        </w:tc>
        <w:tc>
          <w:tcPr>
            <w:tcW w:w="1800" w:type="dxa"/>
            <w:tcBorders>
              <w:top w:val="nil"/>
              <w:left w:val="nil"/>
              <w:bottom w:val="nil"/>
              <w:right w:val="nil"/>
            </w:tcBorders>
            <w:shd w:val="clear" w:color="auto" w:fill="auto"/>
            <w:noWrap/>
            <w:vAlign w:val="bottom"/>
            <w:hideMark/>
          </w:tcPr>
          <w:p>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pPr>
              <w:jc w:val="center"/>
              <w:rPr>
                <w:sz w:val="20"/>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315"/>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rPr>
                <w:sz w:val="20"/>
                <w:lang w:eastAsia="lt-LT"/>
              </w:rPr>
            </w:pPr>
          </w:p>
        </w:tc>
        <w:tc>
          <w:tcPr>
            <w:tcW w:w="1800" w:type="dxa"/>
            <w:tcBorders>
              <w:top w:val="nil"/>
              <w:left w:val="nil"/>
              <w:bottom w:val="nil"/>
              <w:right w:val="nil"/>
            </w:tcBorders>
            <w:shd w:val="clear" w:color="auto" w:fill="auto"/>
            <w:noWrap/>
            <w:vAlign w:val="bottom"/>
            <w:hideMark/>
          </w:tcPr>
          <w:p>
            <w:pPr>
              <w:rPr>
                <w:sz w:val="20"/>
                <w:lang w:eastAsia="lt-LT"/>
              </w:rPr>
            </w:pPr>
          </w:p>
        </w:tc>
        <w:tc>
          <w:tcPr>
            <w:tcW w:w="2874" w:type="dxa"/>
            <w:gridSpan w:val="3"/>
            <w:tcBorders>
              <w:top w:val="nil"/>
              <w:left w:val="nil"/>
              <w:bottom w:val="nil"/>
              <w:right w:val="nil"/>
            </w:tcBorders>
            <w:shd w:val="clear" w:color="auto" w:fill="auto"/>
            <w:noWrap/>
            <w:vAlign w:val="bottom"/>
            <w:hideMark/>
          </w:tcPr>
          <w:p>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pPr>
              <w:jc w:val="center"/>
              <w:rPr>
                <w:szCs w:val="24"/>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240"/>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jc w:val="center"/>
              <w:rPr>
                <w:sz w:val="20"/>
                <w:lang w:eastAsia="lt-LT"/>
              </w:rPr>
            </w:pPr>
          </w:p>
        </w:tc>
        <w:tc>
          <w:tcPr>
            <w:tcW w:w="1800" w:type="dxa"/>
            <w:tcBorders>
              <w:top w:val="nil"/>
              <w:left w:val="nil"/>
              <w:bottom w:val="nil"/>
              <w:right w:val="nil"/>
            </w:tcBorders>
            <w:shd w:val="clear" w:color="auto" w:fill="auto"/>
            <w:noWrap/>
            <w:vAlign w:val="bottom"/>
            <w:hideMark/>
          </w:tcPr>
          <w:p>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pPr>
              <w:jc w:val="center"/>
              <w:rPr>
                <w:sz w:val="20"/>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285"/>
        </w:trPr>
        <w:tc>
          <w:tcPr>
            <w:tcW w:w="1824" w:type="dxa"/>
            <w:gridSpan w:val="2"/>
            <w:tcBorders>
              <w:top w:val="nil"/>
              <w:left w:val="nil"/>
              <w:bottom w:val="nil"/>
              <w:right w:val="nil"/>
            </w:tcBorders>
            <w:shd w:val="clear" w:color="auto" w:fill="auto"/>
            <w:noWrap/>
            <w:vAlign w:val="bottom"/>
            <w:hideMark/>
          </w:tcPr>
          <w:p>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pPr>
              <w:rPr>
                <w:sz w:val="22"/>
                <w:szCs w:val="22"/>
                <w:lang w:eastAsia="lt-LT"/>
              </w:rPr>
            </w:pPr>
          </w:p>
        </w:tc>
        <w:tc>
          <w:tcPr>
            <w:tcW w:w="606" w:type="dxa"/>
            <w:tcBorders>
              <w:top w:val="nil"/>
              <w:left w:val="nil"/>
              <w:bottom w:val="nil"/>
              <w:right w:val="nil"/>
            </w:tcBorders>
            <w:shd w:val="clear" w:color="auto" w:fill="auto"/>
            <w:noWrap/>
            <w:vAlign w:val="bottom"/>
            <w:hideMark/>
          </w:tcPr>
          <w:p>
            <w:pPr>
              <w:rPr>
                <w:sz w:val="20"/>
                <w:lang w:eastAsia="lt-LT"/>
              </w:rPr>
            </w:pPr>
          </w:p>
        </w:tc>
        <w:tc>
          <w:tcPr>
            <w:tcW w:w="567" w:type="dxa"/>
            <w:tcBorders>
              <w:top w:val="nil"/>
              <w:left w:val="nil"/>
              <w:bottom w:val="nil"/>
              <w:right w:val="nil"/>
            </w:tcBorders>
            <w:shd w:val="clear" w:color="auto" w:fill="auto"/>
            <w:noWrap/>
            <w:vAlign w:val="bottom"/>
            <w:hideMark/>
          </w:tcPr>
          <w:p>
            <w:pPr>
              <w:rPr>
                <w:sz w:val="20"/>
                <w:lang w:eastAsia="lt-LT"/>
              </w:rPr>
            </w:pPr>
          </w:p>
        </w:tc>
        <w:tc>
          <w:tcPr>
            <w:tcW w:w="1701" w:type="dxa"/>
            <w:tcBorders>
              <w:top w:val="nil"/>
              <w:left w:val="nil"/>
              <w:bottom w:val="nil"/>
              <w:right w:val="nil"/>
            </w:tcBorders>
            <w:shd w:val="clear" w:color="auto" w:fill="auto"/>
            <w:noWrap/>
            <w:vAlign w:val="bottom"/>
            <w:hideMark/>
          </w:tcPr>
          <w:p>
            <w:pPr>
              <w:rPr>
                <w:sz w:val="22"/>
                <w:szCs w:val="22"/>
                <w:lang w:eastAsia="lt-LT"/>
              </w:rPr>
            </w:pPr>
          </w:p>
        </w:tc>
        <w:tc>
          <w:tcPr>
            <w:tcW w:w="1276" w:type="dxa"/>
            <w:tcBorders>
              <w:top w:val="nil"/>
              <w:left w:val="nil"/>
              <w:bottom w:val="nil"/>
              <w:right w:val="nil"/>
            </w:tcBorders>
            <w:shd w:val="clear" w:color="auto" w:fill="auto"/>
            <w:noWrap/>
            <w:vAlign w:val="bottom"/>
            <w:hideMark/>
          </w:tcPr>
          <w:p>
            <w:pPr>
              <w:rPr>
                <w:sz w:val="20"/>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300"/>
        </w:trPr>
        <w:tc>
          <w:tcPr>
            <w:tcW w:w="1824" w:type="dxa"/>
            <w:gridSpan w:val="2"/>
            <w:tcBorders>
              <w:top w:val="nil"/>
              <w:left w:val="nil"/>
              <w:bottom w:val="nil"/>
              <w:right w:val="nil"/>
            </w:tcBorders>
            <w:shd w:val="clear" w:color="auto" w:fill="auto"/>
            <w:noWrap/>
            <w:vAlign w:val="bottom"/>
            <w:hideMark/>
          </w:tcPr>
          <w:p>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pPr>
              <w:rPr>
                <w:sz w:val="20"/>
                <w:lang w:eastAsia="lt-LT"/>
              </w:rPr>
            </w:pPr>
          </w:p>
        </w:tc>
        <w:tc>
          <w:tcPr>
            <w:tcW w:w="567" w:type="dxa"/>
            <w:tcBorders>
              <w:top w:val="nil"/>
              <w:left w:val="nil"/>
              <w:bottom w:val="nil"/>
              <w:right w:val="nil"/>
            </w:tcBorders>
            <w:shd w:val="clear" w:color="auto" w:fill="auto"/>
            <w:noWrap/>
            <w:vAlign w:val="bottom"/>
            <w:hideMark/>
          </w:tcPr>
          <w:p>
            <w:pPr>
              <w:rPr>
                <w:sz w:val="20"/>
                <w:lang w:eastAsia="lt-LT"/>
              </w:rPr>
            </w:pPr>
          </w:p>
        </w:tc>
        <w:tc>
          <w:tcPr>
            <w:tcW w:w="1701" w:type="dxa"/>
            <w:tcBorders>
              <w:top w:val="nil"/>
              <w:left w:val="nil"/>
              <w:bottom w:val="nil"/>
              <w:right w:val="nil"/>
            </w:tcBorders>
            <w:shd w:val="clear" w:color="auto" w:fill="auto"/>
            <w:noWrap/>
            <w:vAlign w:val="bottom"/>
            <w:hideMark/>
          </w:tcPr>
          <w:p>
            <w:pPr>
              <w:rPr>
                <w:sz w:val="20"/>
                <w:lang w:eastAsia="lt-LT"/>
              </w:rPr>
            </w:pPr>
          </w:p>
        </w:tc>
        <w:tc>
          <w:tcPr>
            <w:tcW w:w="1276" w:type="dxa"/>
            <w:tcBorders>
              <w:top w:val="nil"/>
              <w:left w:val="nil"/>
              <w:bottom w:val="nil"/>
              <w:right w:val="nil"/>
            </w:tcBorders>
            <w:shd w:val="clear" w:color="auto" w:fill="auto"/>
            <w:noWrap/>
            <w:vAlign w:val="bottom"/>
            <w:hideMark/>
          </w:tcPr>
          <w:p>
            <w:pPr>
              <w:rPr>
                <w:sz w:val="20"/>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150"/>
        </w:trPr>
        <w:tc>
          <w:tcPr>
            <w:tcW w:w="1072" w:type="dxa"/>
            <w:tcBorders>
              <w:top w:val="nil"/>
              <w:left w:val="nil"/>
              <w:bottom w:val="nil"/>
              <w:right w:val="nil"/>
            </w:tcBorders>
            <w:shd w:val="clear" w:color="auto" w:fill="auto"/>
            <w:noWrap/>
            <w:hideMark/>
          </w:tcPr>
          <w:p>
            <w:pPr>
              <w:rPr>
                <w:sz w:val="20"/>
                <w:lang w:eastAsia="lt-LT"/>
              </w:rPr>
            </w:pPr>
          </w:p>
        </w:tc>
        <w:tc>
          <w:tcPr>
            <w:tcW w:w="752" w:type="dxa"/>
            <w:tcBorders>
              <w:top w:val="nil"/>
              <w:left w:val="nil"/>
              <w:bottom w:val="nil"/>
              <w:right w:val="nil"/>
            </w:tcBorders>
            <w:shd w:val="clear" w:color="auto" w:fill="auto"/>
            <w:noWrap/>
            <w:vAlign w:val="bottom"/>
            <w:hideMark/>
          </w:tcPr>
          <w:p>
            <w:pPr>
              <w:rPr>
                <w:sz w:val="20"/>
                <w:lang w:eastAsia="lt-LT"/>
              </w:rPr>
            </w:pPr>
          </w:p>
        </w:tc>
        <w:tc>
          <w:tcPr>
            <w:tcW w:w="340" w:type="dxa"/>
            <w:tcBorders>
              <w:top w:val="nil"/>
              <w:left w:val="nil"/>
              <w:bottom w:val="nil"/>
              <w:right w:val="nil"/>
            </w:tcBorders>
            <w:shd w:val="clear" w:color="auto" w:fill="auto"/>
            <w:noWrap/>
            <w:vAlign w:val="bottom"/>
            <w:hideMark/>
          </w:tcPr>
          <w:p>
            <w:pPr>
              <w:jc w:val="both"/>
              <w:rPr>
                <w:sz w:val="20"/>
                <w:lang w:eastAsia="lt-LT"/>
              </w:rPr>
            </w:pPr>
          </w:p>
        </w:tc>
        <w:tc>
          <w:tcPr>
            <w:tcW w:w="1800" w:type="dxa"/>
            <w:tcBorders>
              <w:top w:val="nil"/>
              <w:left w:val="nil"/>
              <w:bottom w:val="nil"/>
              <w:right w:val="nil"/>
            </w:tcBorders>
            <w:shd w:val="clear" w:color="auto" w:fill="auto"/>
            <w:noWrap/>
            <w:vAlign w:val="bottom"/>
            <w:hideMark/>
          </w:tcPr>
          <w:p>
            <w:pPr>
              <w:jc w:val="both"/>
              <w:rPr>
                <w:sz w:val="20"/>
                <w:lang w:eastAsia="lt-LT"/>
              </w:rPr>
            </w:pPr>
          </w:p>
        </w:tc>
        <w:tc>
          <w:tcPr>
            <w:tcW w:w="606" w:type="dxa"/>
            <w:tcBorders>
              <w:top w:val="nil"/>
              <w:left w:val="nil"/>
              <w:bottom w:val="nil"/>
              <w:right w:val="nil"/>
            </w:tcBorders>
            <w:shd w:val="clear" w:color="auto" w:fill="auto"/>
            <w:noWrap/>
            <w:vAlign w:val="bottom"/>
            <w:hideMark/>
          </w:tcPr>
          <w:p>
            <w:pPr>
              <w:rPr>
                <w:sz w:val="20"/>
                <w:lang w:eastAsia="lt-LT"/>
              </w:rPr>
            </w:pPr>
          </w:p>
        </w:tc>
        <w:tc>
          <w:tcPr>
            <w:tcW w:w="567" w:type="dxa"/>
            <w:tcBorders>
              <w:top w:val="nil"/>
              <w:left w:val="nil"/>
              <w:bottom w:val="nil"/>
              <w:right w:val="nil"/>
            </w:tcBorders>
            <w:shd w:val="clear" w:color="auto" w:fill="auto"/>
            <w:noWrap/>
            <w:vAlign w:val="bottom"/>
            <w:hideMark/>
          </w:tcPr>
          <w:p>
            <w:pPr>
              <w:rPr>
                <w:sz w:val="20"/>
                <w:lang w:eastAsia="lt-LT"/>
              </w:rPr>
            </w:pPr>
          </w:p>
        </w:tc>
        <w:tc>
          <w:tcPr>
            <w:tcW w:w="1701" w:type="dxa"/>
            <w:tcBorders>
              <w:top w:val="nil"/>
              <w:left w:val="nil"/>
              <w:bottom w:val="nil"/>
              <w:right w:val="nil"/>
            </w:tcBorders>
            <w:shd w:val="clear" w:color="auto" w:fill="auto"/>
            <w:noWrap/>
            <w:vAlign w:val="bottom"/>
            <w:hideMark/>
          </w:tcPr>
          <w:p>
            <w:pPr>
              <w:rPr>
                <w:sz w:val="20"/>
                <w:lang w:eastAsia="lt-LT"/>
              </w:rPr>
            </w:pPr>
          </w:p>
        </w:tc>
        <w:tc>
          <w:tcPr>
            <w:tcW w:w="1276" w:type="dxa"/>
            <w:tcBorders>
              <w:top w:val="nil"/>
              <w:left w:val="nil"/>
              <w:bottom w:val="nil"/>
              <w:right w:val="nil"/>
            </w:tcBorders>
            <w:shd w:val="clear" w:color="auto" w:fill="auto"/>
            <w:noWrap/>
            <w:vAlign w:val="bottom"/>
            <w:hideMark/>
          </w:tcPr>
          <w:p>
            <w:pPr>
              <w:rPr>
                <w:sz w:val="20"/>
                <w:lang w:eastAsia="lt-LT"/>
              </w:rPr>
            </w:pPr>
          </w:p>
        </w:tc>
        <w:tc>
          <w:tcPr>
            <w:tcW w:w="1417" w:type="dxa"/>
            <w:tcBorders>
              <w:top w:val="nil"/>
              <w:left w:val="nil"/>
              <w:bottom w:val="nil"/>
              <w:right w:val="nil"/>
            </w:tcBorders>
            <w:shd w:val="clear" w:color="auto" w:fill="auto"/>
            <w:noWrap/>
            <w:vAlign w:val="bottom"/>
            <w:hideMark/>
          </w:tcPr>
          <w:p>
            <w:pPr>
              <w:rPr>
                <w:sz w:val="20"/>
                <w:lang w:eastAsia="lt-LT"/>
              </w:rPr>
            </w:pPr>
          </w:p>
        </w:tc>
      </w:tr>
      <w:tr>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 xml:space="preserve">Metinės pajamos  (Eur)</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 xml:space="preserve">Balanse nurodyto turto vertė  (Eur)</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1072" w:type="dxa"/>
            <w:vMerge/>
            <w:tcBorders>
              <w:top w:val="nil"/>
              <w:left w:val="single" w:sz="4" w:space="0" w:color="auto"/>
              <w:bottom w:val="single" w:sz="4" w:space="0" w:color="000000"/>
              <w:right w:val="single" w:sz="4" w:space="0" w:color="auto"/>
            </w:tcBorders>
            <w:vAlign w:val="center"/>
            <w:hideMark/>
          </w:tcPr>
          <w:p>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r>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pPr>
              <w:jc w:val="center"/>
              <w:rPr>
                <w:sz w:val="22"/>
                <w:szCs w:val="22"/>
                <w:lang w:eastAsia="lt-LT"/>
              </w:rPr>
            </w:pPr>
            <w:r>
              <w:rPr>
                <w:sz w:val="22"/>
                <w:szCs w:val="22"/>
                <w:lang w:eastAsia="lt-LT"/>
              </w:rPr>
              <w:t>0,00</w:t>
            </w:r>
          </w:p>
        </w:tc>
      </w:tr>
    </w:tbl>
    <w:p>
      <w:pPr>
        <w:jc w:val="both"/>
        <w:rPr>
          <w:bCs/>
          <w:szCs w:val="24"/>
        </w:rPr>
      </w:pPr>
    </w:p>
    <w:p>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trPr>
          <w:gridAfter w:val="1"/>
          <w:wAfter w:w="211" w:type="pct"/>
          <w:trHeight w:val="330"/>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rPr>
                <w:sz w:val="20"/>
                <w:lang w:eastAsia="lt-LT"/>
              </w:rPr>
            </w:pPr>
          </w:p>
        </w:tc>
        <w:tc>
          <w:tcPr>
            <w:tcW w:w="2149" w:type="pct"/>
            <w:gridSpan w:val="7"/>
            <w:tcBorders>
              <w:top w:val="nil"/>
              <w:left w:val="nil"/>
              <w:bottom w:val="nil"/>
              <w:right w:val="nil"/>
            </w:tcBorders>
            <w:shd w:val="clear" w:color="auto" w:fill="auto"/>
            <w:noWrap/>
            <w:vAlign w:val="bottom"/>
            <w:hideMark/>
          </w:tcPr>
          <w:p>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pPr>
              <w:jc w:val="center"/>
              <w:rPr>
                <w:szCs w:val="24"/>
                <w:lang w:eastAsia="lt-LT"/>
              </w:rPr>
            </w:pPr>
          </w:p>
        </w:tc>
      </w:tr>
      <w:tr>
        <w:trPr>
          <w:gridAfter w:val="1"/>
          <w:wAfter w:w="211" w:type="pct"/>
          <w:trHeight w:val="31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pPr>
              <w:ind w:left="357" w:right="97"/>
              <w:jc w:val="center"/>
              <w:rPr>
                <w:b/>
                <w:bCs/>
                <w:szCs w:val="24"/>
                <w:lang w:eastAsia="lt-LT"/>
              </w:rPr>
            </w:pPr>
            <w:r>
              <w:rPr>
                <w:b/>
                <w:bCs/>
                <w:szCs w:val="24"/>
                <w:lang w:eastAsia="lt-LT"/>
              </w:rPr>
              <w:t>PARTNERINĖS ĮMONĖS APRAŠYMAS</w:t>
            </w:r>
          </w:p>
          <w:p>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pPr>
              <w:jc w:val="center"/>
              <w:rPr>
                <w:sz w:val="20"/>
                <w:lang w:eastAsia="lt-LT"/>
              </w:rPr>
            </w:pPr>
          </w:p>
        </w:tc>
      </w:tr>
      <w:tr>
        <w:trPr>
          <w:trHeight w:val="31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pPr>
              <w:jc w:val="center"/>
              <w:rPr>
                <w:szCs w:val="24"/>
                <w:lang w:eastAsia="lt-LT"/>
              </w:rPr>
            </w:pPr>
          </w:p>
        </w:tc>
        <w:tc>
          <w:tcPr>
            <w:tcW w:w="121" w:type="pct"/>
            <w:tcBorders>
              <w:top w:val="nil"/>
              <w:left w:val="nil"/>
              <w:bottom w:val="nil"/>
              <w:right w:val="nil"/>
            </w:tcBorders>
            <w:shd w:val="clear" w:color="auto" w:fill="auto"/>
            <w:noWrap/>
            <w:vAlign w:val="bottom"/>
            <w:hideMark/>
          </w:tcPr>
          <w:p>
            <w:pPr>
              <w:jc w:val="center"/>
              <w:rPr>
                <w:sz w:val="20"/>
                <w:lang w:eastAsia="lt-LT"/>
              </w:rPr>
            </w:pPr>
          </w:p>
        </w:tc>
        <w:tc>
          <w:tcPr>
            <w:tcW w:w="281" w:type="pct"/>
            <w:tcBorders>
              <w:top w:val="nil"/>
              <w:left w:val="nil"/>
              <w:bottom w:val="nil"/>
              <w:right w:val="nil"/>
            </w:tcBorders>
            <w:shd w:val="clear" w:color="auto" w:fill="auto"/>
            <w:noWrap/>
            <w:vAlign w:val="bottom"/>
            <w:hideMark/>
          </w:tcPr>
          <w:p>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pPr>
              <w:jc w:val="center"/>
              <w:rPr>
                <w:sz w:val="20"/>
                <w:lang w:eastAsia="lt-LT"/>
              </w:rPr>
            </w:pPr>
          </w:p>
        </w:tc>
        <w:tc>
          <w:tcPr>
            <w:tcW w:w="200" w:type="pct"/>
            <w:tcBorders>
              <w:top w:val="nil"/>
              <w:left w:val="nil"/>
              <w:bottom w:val="nil"/>
              <w:right w:val="nil"/>
            </w:tcBorders>
            <w:shd w:val="clear" w:color="auto" w:fill="auto"/>
            <w:noWrap/>
            <w:vAlign w:val="bottom"/>
            <w:hideMark/>
          </w:tcPr>
          <w:p>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pPr>
              <w:jc w:val="center"/>
              <w:rPr>
                <w:sz w:val="20"/>
                <w:lang w:eastAsia="lt-LT"/>
              </w:rPr>
            </w:pPr>
          </w:p>
        </w:tc>
      </w:tr>
      <w:tr>
        <w:trPr>
          <w:trHeight w:val="22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pPr>
              <w:jc w:val="center"/>
              <w:rPr>
                <w:sz w:val="20"/>
                <w:lang w:eastAsia="lt-LT"/>
              </w:rPr>
            </w:pPr>
          </w:p>
        </w:tc>
        <w:tc>
          <w:tcPr>
            <w:tcW w:w="121" w:type="pct"/>
            <w:tcBorders>
              <w:top w:val="nil"/>
              <w:left w:val="nil"/>
              <w:bottom w:val="nil"/>
              <w:right w:val="nil"/>
            </w:tcBorders>
            <w:shd w:val="clear" w:color="auto" w:fill="auto"/>
            <w:noWrap/>
            <w:vAlign w:val="bottom"/>
            <w:hideMark/>
          </w:tcPr>
          <w:p>
            <w:pPr>
              <w:jc w:val="center"/>
              <w:rPr>
                <w:sz w:val="20"/>
                <w:lang w:eastAsia="lt-LT"/>
              </w:rPr>
            </w:pPr>
          </w:p>
        </w:tc>
        <w:tc>
          <w:tcPr>
            <w:tcW w:w="281" w:type="pct"/>
            <w:tcBorders>
              <w:top w:val="nil"/>
              <w:left w:val="nil"/>
              <w:bottom w:val="nil"/>
              <w:right w:val="nil"/>
            </w:tcBorders>
            <w:shd w:val="clear" w:color="auto" w:fill="auto"/>
            <w:noWrap/>
            <w:vAlign w:val="bottom"/>
            <w:hideMark/>
          </w:tcPr>
          <w:p>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pPr>
              <w:jc w:val="center"/>
              <w:rPr>
                <w:sz w:val="20"/>
                <w:lang w:eastAsia="lt-LT"/>
              </w:rPr>
            </w:pPr>
          </w:p>
        </w:tc>
        <w:tc>
          <w:tcPr>
            <w:tcW w:w="200" w:type="pct"/>
            <w:tcBorders>
              <w:top w:val="nil"/>
              <w:left w:val="nil"/>
              <w:bottom w:val="nil"/>
              <w:right w:val="nil"/>
            </w:tcBorders>
            <w:shd w:val="clear" w:color="auto" w:fill="auto"/>
            <w:noWrap/>
            <w:vAlign w:val="bottom"/>
            <w:hideMark/>
          </w:tcPr>
          <w:p>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pPr>
              <w:jc w:val="center"/>
              <w:rPr>
                <w:sz w:val="20"/>
                <w:lang w:eastAsia="lt-LT"/>
              </w:rPr>
            </w:pPr>
          </w:p>
        </w:tc>
      </w:tr>
      <w:tr>
        <w:trPr>
          <w:trHeight w:val="31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pPr>
              <w:jc w:val="center"/>
              <w:rPr>
                <w:szCs w:val="24"/>
                <w:lang w:eastAsia="lt-LT"/>
              </w:rPr>
            </w:pPr>
          </w:p>
        </w:tc>
        <w:tc>
          <w:tcPr>
            <w:tcW w:w="121" w:type="pct"/>
            <w:tcBorders>
              <w:top w:val="nil"/>
              <w:left w:val="nil"/>
              <w:bottom w:val="nil"/>
              <w:right w:val="nil"/>
            </w:tcBorders>
            <w:shd w:val="clear" w:color="auto" w:fill="auto"/>
            <w:noWrap/>
            <w:vAlign w:val="bottom"/>
            <w:hideMark/>
          </w:tcPr>
          <w:p>
            <w:pPr>
              <w:jc w:val="center"/>
              <w:rPr>
                <w:sz w:val="20"/>
                <w:lang w:eastAsia="lt-LT"/>
              </w:rPr>
            </w:pPr>
          </w:p>
        </w:tc>
        <w:tc>
          <w:tcPr>
            <w:tcW w:w="281" w:type="pct"/>
            <w:tcBorders>
              <w:top w:val="nil"/>
              <w:left w:val="nil"/>
              <w:bottom w:val="nil"/>
              <w:right w:val="nil"/>
            </w:tcBorders>
            <w:shd w:val="clear" w:color="auto" w:fill="auto"/>
            <w:noWrap/>
            <w:vAlign w:val="bottom"/>
            <w:hideMark/>
          </w:tcPr>
          <w:p>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pPr>
              <w:jc w:val="center"/>
              <w:rPr>
                <w:sz w:val="20"/>
                <w:lang w:eastAsia="lt-LT"/>
              </w:rPr>
            </w:pPr>
          </w:p>
        </w:tc>
        <w:tc>
          <w:tcPr>
            <w:tcW w:w="200" w:type="pct"/>
            <w:tcBorders>
              <w:top w:val="nil"/>
              <w:left w:val="nil"/>
              <w:bottom w:val="nil"/>
              <w:right w:val="nil"/>
            </w:tcBorders>
            <w:shd w:val="clear" w:color="auto" w:fill="auto"/>
            <w:noWrap/>
            <w:vAlign w:val="bottom"/>
            <w:hideMark/>
          </w:tcPr>
          <w:p>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pPr>
              <w:jc w:val="center"/>
              <w:rPr>
                <w:sz w:val="20"/>
                <w:lang w:eastAsia="lt-LT"/>
              </w:rPr>
            </w:pPr>
          </w:p>
        </w:tc>
      </w:tr>
      <w:tr>
        <w:trPr>
          <w:trHeight w:val="25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rPr>
                <w:sz w:val="20"/>
                <w:lang w:eastAsia="lt-LT"/>
              </w:rPr>
            </w:pPr>
          </w:p>
        </w:tc>
        <w:tc>
          <w:tcPr>
            <w:tcW w:w="1617" w:type="pct"/>
            <w:gridSpan w:val="4"/>
            <w:tcBorders>
              <w:top w:val="nil"/>
              <w:left w:val="nil"/>
              <w:bottom w:val="nil"/>
              <w:right w:val="nil"/>
            </w:tcBorders>
            <w:shd w:val="clear" w:color="auto" w:fill="auto"/>
            <w:noWrap/>
            <w:vAlign w:val="bottom"/>
            <w:hideMark/>
          </w:tcPr>
          <w:p>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pPr>
              <w:jc w:val="center"/>
              <w:rPr>
                <w:sz w:val="20"/>
                <w:lang w:eastAsia="lt-LT"/>
              </w:rPr>
            </w:pPr>
          </w:p>
        </w:tc>
        <w:tc>
          <w:tcPr>
            <w:tcW w:w="121" w:type="pct"/>
            <w:tcBorders>
              <w:top w:val="nil"/>
              <w:left w:val="nil"/>
              <w:bottom w:val="nil"/>
              <w:right w:val="nil"/>
            </w:tcBorders>
            <w:shd w:val="clear" w:color="auto" w:fill="auto"/>
            <w:noWrap/>
            <w:vAlign w:val="bottom"/>
            <w:hideMark/>
          </w:tcPr>
          <w:p>
            <w:pPr>
              <w:rPr>
                <w:sz w:val="20"/>
                <w:lang w:eastAsia="lt-LT"/>
              </w:rPr>
            </w:pPr>
          </w:p>
        </w:tc>
        <w:tc>
          <w:tcPr>
            <w:tcW w:w="281" w:type="pct"/>
            <w:tcBorders>
              <w:top w:val="nil"/>
              <w:left w:val="nil"/>
              <w:bottom w:val="nil"/>
              <w:right w:val="nil"/>
            </w:tcBorders>
            <w:shd w:val="clear" w:color="auto" w:fill="auto"/>
            <w:noWrap/>
            <w:vAlign w:val="bottom"/>
            <w:hideMark/>
          </w:tcPr>
          <w:p>
            <w:pPr>
              <w:rPr>
                <w:sz w:val="20"/>
                <w:lang w:eastAsia="lt-LT"/>
              </w:rPr>
            </w:pPr>
          </w:p>
        </w:tc>
        <w:tc>
          <w:tcPr>
            <w:tcW w:w="322" w:type="pct"/>
            <w:gridSpan w:val="2"/>
            <w:tcBorders>
              <w:top w:val="nil"/>
              <w:left w:val="nil"/>
              <w:bottom w:val="nil"/>
              <w:right w:val="nil"/>
            </w:tcBorders>
            <w:shd w:val="clear" w:color="auto" w:fill="auto"/>
            <w:noWrap/>
            <w:vAlign w:val="bottom"/>
            <w:hideMark/>
          </w:tcPr>
          <w:p>
            <w:pPr>
              <w:rPr>
                <w:sz w:val="20"/>
                <w:lang w:eastAsia="lt-LT"/>
              </w:rPr>
            </w:pPr>
          </w:p>
        </w:tc>
        <w:tc>
          <w:tcPr>
            <w:tcW w:w="130" w:type="pct"/>
            <w:gridSpan w:val="2"/>
            <w:tcBorders>
              <w:top w:val="nil"/>
              <w:left w:val="nil"/>
              <w:bottom w:val="nil"/>
              <w:right w:val="nil"/>
            </w:tcBorders>
            <w:shd w:val="clear" w:color="auto" w:fill="auto"/>
            <w:noWrap/>
            <w:vAlign w:val="bottom"/>
            <w:hideMark/>
          </w:tcPr>
          <w:p>
            <w:pPr>
              <w:rPr>
                <w:sz w:val="20"/>
                <w:lang w:eastAsia="lt-LT"/>
              </w:rPr>
            </w:pPr>
          </w:p>
        </w:tc>
        <w:tc>
          <w:tcPr>
            <w:tcW w:w="200" w:type="pct"/>
            <w:tcBorders>
              <w:top w:val="nil"/>
              <w:left w:val="nil"/>
              <w:bottom w:val="nil"/>
              <w:right w:val="nil"/>
            </w:tcBorders>
            <w:shd w:val="clear" w:color="auto" w:fill="auto"/>
            <w:noWrap/>
            <w:vAlign w:val="bottom"/>
            <w:hideMark/>
          </w:tcPr>
          <w:p>
            <w:pPr>
              <w:rPr>
                <w:sz w:val="20"/>
                <w:lang w:eastAsia="lt-LT"/>
              </w:rPr>
            </w:pPr>
          </w:p>
        </w:tc>
        <w:tc>
          <w:tcPr>
            <w:tcW w:w="399" w:type="pct"/>
            <w:gridSpan w:val="2"/>
            <w:tcBorders>
              <w:top w:val="nil"/>
              <w:left w:val="nil"/>
              <w:bottom w:val="nil"/>
              <w:right w:val="nil"/>
            </w:tcBorders>
            <w:shd w:val="clear" w:color="auto" w:fill="auto"/>
            <w:noWrap/>
            <w:vAlign w:val="bottom"/>
            <w:hideMark/>
          </w:tcPr>
          <w:p>
            <w:pPr>
              <w:rPr>
                <w:sz w:val="20"/>
                <w:lang w:eastAsia="lt-LT"/>
              </w:rPr>
            </w:pPr>
          </w:p>
        </w:tc>
      </w:tr>
      <w:tr>
        <w:trPr>
          <w:trHeight w:val="330"/>
          <w:jc w:val="center"/>
        </w:trPr>
        <w:tc>
          <w:tcPr>
            <w:tcW w:w="781" w:type="pct"/>
            <w:gridSpan w:val="2"/>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ind w:firstLine="62"/>
              <w:rPr>
                <w:szCs w:val="24"/>
                <w:lang w:eastAsia="lt-LT"/>
              </w:rPr>
            </w:pPr>
          </w:p>
        </w:tc>
        <w:tc>
          <w:tcPr>
            <w:tcW w:w="799" w:type="pct"/>
            <w:tcBorders>
              <w:top w:val="nil"/>
              <w:left w:val="nil"/>
              <w:bottom w:val="nil"/>
              <w:right w:val="nil"/>
            </w:tcBorders>
            <w:shd w:val="clear" w:color="auto" w:fill="auto"/>
            <w:noWrap/>
            <w:vAlign w:val="bottom"/>
            <w:hideMark/>
          </w:tcPr>
          <w:p>
            <w:pPr>
              <w:rPr>
                <w:szCs w:val="24"/>
                <w:lang w:eastAsia="lt-LT"/>
              </w:rPr>
            </w:pPr>
          </w:p>
        </w:tc>
        <w:tc>
          <w:tcPr>
            <w:tcW w:w="482" w:type="pct"/>
            <w:tcBorders>
              <w:top w:val="nil"/>
              <w:left w:val="nil"/>
              <w:bottom w:val="nil"/>
              <w:right w:val="nil"/>
            </w:tcBorders>
            <w:shd w:val="clear" w:color="auto" w:fill="auto"/>
            <w:noWrap/>
            <w:vAlign w:val="bottom"/>
            <w:hideMark/>
          </w:tcPr>
          <w:p>
            <w:pPr>
              <w:rPr>
                <w:sz w:val="20"/>
                <w:lang w:eastAsia="lt-LT"/>
              </w:rPr>
            </w:pPr>
          </w:p>
        </w:tc>
        <w:tc>
          <w:tcPr>
            <w:tcW w:w="227" w:type="pct"/>
            <w:tcBorders>
              <w:top w:val="nil"/>
              <w:left w:val="nil"/>
              <w:bottom w:val="nil"/>
              <w:right w:val="nil"/>
            </w:tcBorders>
            <w:shd w:val="clear" w:color="auto" w:fill="auto"/>
            <w:noWrap/>
            <w:vAlign w:val="bottom"/>
            <w:hideMark/>
          </w:tcPr>
          <w:p>
            <w:pPr>
              <w:rPr>
                <w:sz w:val="20"/>
                <w:lang w:eastAsia="lt-LT"/>
              </w:rPr>
            </w:pPr>
          </w:p>
        </w:tc>
        <w:tc>
          <w:tcPr>
            <w:tcW w:w="606"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121" w:type="pct"/>
            <w:tcBorders>
              <w:top w:val="nil"/>
              <w:left w:val="nil"/>
              <w:bottom w:val="nil"/>
              <w:right w:val="nil"/>
            </w:tcBorders>
            <w:shd w:val="clear" w:color="auto" w:fill="auto"/>
            <w:noWrap/>
            <w:vAlign w:val="bottom"/>
            <w:hideMark/>
          </w:tcPr>
          <w:p>
            <w:pPr>
              <w:rPr>
                <w:sz w:val="20"/>
                <w:lang w:eastAsia="lt-LT"/>
              </w:rPr>
            </w:pPr>
          </w:p>
        </w:tc>
        <w:tc>
          <w:tcPr>
            <w:tcW w:w="281" w:type="pct"/>
            <w:tcBorders>
              <w:top w:val="nil"/>
              <w:left w:val="nil"/>
              <w:bottom w:val="nil"/>
              <w:right w:val="nil"/>
            </w:tcBorders>
            <w:shd w:val="clear" w:color="auto" w:fill="auto"/>
            <w:noWrap/>
            <w:vAlign w:val="bottom"/>
            <w:hideMark/>
          </w:tcPr>
          <w:p>
            <w:pPr>
              <w:rPr>
                <w:sz w:val="20"/>
                <w:lang w:eastAsia="lt-LT"/>
              </w:rPr>
            </w:pPr>
          </w:p>
        </w:tc>
        <w:tc>
          <w:tcPr>
            <w:tcW w:w="322" w:type="pct"/>
            <w:gridSpan w:val="2"/>
            <w:tcBorders>
              <w:top w:val="nil"/>
              <w:left w:val="nil"/>
              <w:bottom w:val="nil"/>
              <w:right w:val="nil"/>
            </w:tcBorders>
            <w:shd w:val="clear" w:color="auto" w:fill="auto"/>
            <w:noWrap/>
            <w:vAlign w:val="bottom"/>
            <w:hideMark/>
          </w:tcPr>
          <w:p>
            <w:pPr>
              <w:rPr>
                <w:sz w:val="20"/>
                <w:lang w:eastAsia="lt-LT"/>
              </w:rPr>
            </w:pPr>
          </w:p>
        </w:tc>
        <w:tc>
          <w:tcPr>
            <w:tcW w:w="130" w:type="pct"/>
            <w:gridSpan w:val="2"/>
            <w:tcBorders>
              <w:top w:val="nil"/>
              <w:left w:val="nil"/>
              <w:bottom w:val="nil"/>
              <w:right w:val="nil"/>
            </w:tcBorders>
            <w:shd w:val="clear" w:color="auto" w:fill="auto"/>
            <w:noWrap/>
            <w:vAlign w:val="bottom"/>
            <w:hideMark/>
          </w:tcPr>
          <w:p>
            <w:pPr>
              <w:rPr>
                <w:sz w:val="20"/>
                <w:lang w:eastAsia="lt-LT"/>
              </w:rPr>
            </w:pPr>
          </w:p>
        </w:tc>
        <w:tc>
          <w:tcPr>
            <w:tcW w:w="200" w:type="pct"/>
            <w:tcBorders>
              <w:top w:val="nil"/>
              <w:left w:val="nil"/>
              <w:bottom w:val="nil"/>
              <w:right w:val="nil"/>
            </w:tcBorders>
            <w:shd w:val="clear" w:color="auto" w:fill="auto"/>
            <w:noWrap/>
            <w:vAlign w:val="bottom"/>
            <w:hideMark/>
          </w:tcPr>
          <w:p>
            <w:pPr>
              <w:rPr>
                <w:sz w:val="20"/>
                <w:lang w:eastAsia="lt-LT"/>
              </w:rPr>
            </w:pPr>
          </w:p>
        </w:tc>
        <w:tc>
          <w:tcPr>
            <w:tcW w:w="399" w:type="pct"/>
            <w:gridSpan w:val="2"/>
            <w:tcBorders>
              <w:top w:val="nil"/>
              <w:left w:val="nil"/>
              <w:bottom w:val="nil"/>
              <w:right w:val="nil"/>
            </w:tcBorders>
            <w:shd w:val="clear" w:color="auto" w:fill="auto"/>
            <w:noWrap/>
            <w:vAlign w:val="bottom"/>
            <w:hideMark/>
          </w:tcPr>
          <w:p>
            <w:pPr>
              <w:rPr>
                <w:sz w:val="20"/>
                <w:lang w:eastAsia="lt-LT"/>
              </w:rPr>
            </w:pPr>
          </w:p>
        </w:tc>
      </w:tr>
      <w:tr>
        <w:trPr>
          <w:trHeight w:val="345"/>
          <w:jc w:val="center"/>
        </w:trPr>
        <w:tc>
          <w:tcPr>
            <w:tcW w:w="781" w:type="pct"/>
            <w:gridSpan w:val="2"/>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pPr>
              <w:ind w:firstLine="62"/>
              <w:rPr>
                <w:szCs w:val="24"/>
                <w:lang w:eastAsia="lt-LT"/>
              </w:rPr>
            </w:pPr>
          </w:p>
        </w:tc>
        <w:tc>
          <w:tcPr>
            <w:tcW w:w="799" w:type="pct"/>
            <w:tcBorders>
              <w:top w:val="nil"/>
              <w:left w:val="nil"/>
              <w:bottom w:val="nil"/>
              <w:right w:val="nil"/>
            </w:tcBorders>
            <w:shd w:val="clear" w:color="auto" w:fill="auto"/>
            <w:noWrap/>
            <w:vAlign w:val="bottom"/>
            <w:hideMark/>
          </w:tcPr>
          <w:p>
            <w:pPr>
              <w:rPr>
                <w:szCs w:val="24"/>
                <w:lang w:eastAsia="lt-LT"/>
              </w:rPr>
            </w:pPr>
          </w:p>
        </w:tc>
        <w:tc>
          <w:tcPr>
            <w:tcW w:w="482" w:type="pct"/>
            <w:tcBorders>
              <w:top w:val="nil"/>
              <w:left w:val="nil"/>
              <w:bottom w:val="nil"/>
              <w:right w:val="nil"/>
            </w:tcBorders>
            <w:shd w:val="clear" w:color="auto" w:fill="auto"/>
            <w:noWrap/>
            <w:vAlign w:val="bottom"/>
            <w:hideMark/>
          </w:tcPr>
          <w:p>
            <w:pPr>
              <w:rPr>
                <w:sz w:val="20"/>
                <w:lang w:eastAsia="lt-LT"/>
              </w:rPr>
            </w:pPr>
          </w:p>
        </w:tc>
        <w:tc>
          <w:tcPr>
            <w:tcW w:w="227" w:type="pct"/>
            <w:tcBorders>
              <w:top w:val="nil"/>
              <w:left w:val="nil"/>
              <w:bottom w:val="nil"/>
              <w:right w:val="nil"/>
            </w:tcBorders>
            <w:shd w:val="clear" w:color="auto" w:fill="auto"/>
            <w:noWrap/>
            <w:vAlign w:val="bottom"/>
            <w:hideMark/>
          </w:tcPr>
          <w:p>
            <w:pPr>
              <w:rPr>
                <w:sz w:val="20"/>
                <w:lang w:eastAsia="lt-LT"/>
              </w:rPr>
            </w:pPr>
          </w:p>
        </w:tc>
        <w:tc>
          <w:tcPr>
            <w:tcW w:w="606"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121" w:type="pct"/>
            <w:tcBorders>
              <w:top w:val="nil"/>
              <w:left w:val="nil"/>
              <w:bottom w:val="nil"/>
              <w:right w:val="nil"/>
            </w:tcBorders>
            <w:shd w:val="clear" w:color="auto" w:fill="auto"/>
            <w:noWrap/>
            <w:vAlign w:val="bottom"/>
            <w:hideMark/>
          </w:tcPr>
          <w:p>
            <w:pPr>
              <w:rPr>
                <w:sz w:val="20"/>
                <w:lang w:eastAsia="lt-LT"/>
              </w:rPr>
            </w:pPr>
          </w:p>
        </w:tc>
        <w:tc>
          <w:tcPr>
            <w:tcW w:w="281" w:type="pct"/>
            <w:tcBorders>
              <w:top w:val="nil"/>
              <w:left w:val="nil"/>
              <w:bottom w:val="nil"/>
              <w:right w:val="nil"/>
            </w:tcBorders>
            <w:shd w:val="clear" w:color="auto" w:fill="auto"/>
            <w:noWrap/>
            <w:vAlign w:val="bottom"/>
            <w:hideMark/>
          </w:tcPr>
          <w:p>
            <w:pPr>
              <w:rPr>
                <w:sz w:val="20"/>
                <w:lang w:eastAsia="lt-LT"/>
              </w:rPr>
            </w:pPr>
          </w:p>
        </w:tc>
        <w:tc>
          <w:tcPr>
            <w:tcW w:w="322" w:type="pct"/>
            <w:gridSpan w:val="2"/>
            <w:tcBorders>
              <w:top w:val="nil"/>
              <w:left w:val="nil"/>
              <w:bottom w:val="nil"/>
              <w:right w:val="nil"/>
            </w:tcBorders>
            <w:shd w:val="clear" w:color="auto" w:fill="auto"/>
            <w:noWrap/>
            <w:vAlign w:val="bottom"/>
            <w:hideMark/>
          </w:tcPr>
          <w:p>
            <w:pPr>
              <w:rPr>
                <w:sz w:val="20"/>
                <w:lang w:eastAsia="lt-LT"/>
              </w:rPr>
            </w:pPr>
          </w:p>
        </w:tc>
        <w:tc>
          <w:tcPr>
            <w:tcW w:w="130" w:type="pct"/>
            <w:gridSpan w:val="2"/>
            <w:tcBorders>
              <w:top w:val="nil"/>
              <w:left w:val="nil"/>
              <w:bottom w:val="nil"/>
              <w:right w:val="nil"/>
            </w:tcBorders>
            <w:shd w:val="clear" w:color="auto" w:fill="auto"/>
            <w:noWrap/>
            <w:vAlign w:val="bottom"/>
            <w:hideMark/>
          </w:tcPr>
          <w:p>
            <w:pPr>
              <w:rPr>
                <w:sz w:val="20"/>
                <w:lang w:eastAsia="lt-LT"/>
              </w:rPr>
            </w:pPr>
          </w:p>
        </w:tc>
        <w:tc>
          <w:tcPr>
            <w:tcW w:w="200" w:type="pct"/>
            <w:tcBorders>
              <w:top w:val="nil"/>
              <w:left w:val="nil"/>
              <w:bottom w:val="nil"/>
              <w:right w:val="nil"/>
            </w:tcBorders>
            <w:shd w:val="clear" w:color="auto" w:fill="auto"/>
            <w:noWrap/>
            <w:vAlign w:val="bottom"/>
            <w:hideMark/>
          </w:tcPr>
          <w:p>
            <w:pPr>
              <w:rPr>
                <w:sz w:val="20"/>
                <w:lang w:eastAsia="lt-LT"/>
              </w:rPr>
            </w:pPr>
          </w:p>
        </w:tc>
        <w:tc>
          <w:tcPr>
            <w:tcW w:w="399" w:type="pct"/>
            <w:gridSpan w:val="2"/>
            <w:tcBorders>
              <w:top w:val="nil"/>
              <w:left w:val="nil"/>
              <w:bottom w:val="nil"/>
              <w:right w:val="nil"/>
            </w:tcBorders>
            <w:shd w:val="clear" w:color="auto" w:fill="auto"/>
            <w:noWrap/>
            <w:vAlign w:val="bottom"/>
            <w:hideMark/>
          </w:tcPr>
          <w:p>
            <w:pPr>
              <w:rPr>
                <w:sz w:val="20"/>
                <w:lang w:eastAsia="lt-LT"/>
              </w:rPr>
            </w:pPr>
          </w:p>
        </w:tc>
      </w:tr>
      <w:tr>
        <w:trPr>
          <w:trHeight w:val="105"/>
          <w:jc w:val="center"/>
        </w:trPr>
        <w:tc>
          <w:tcPr>
            <w:tcW w:w="328" w:type="pct"/>
            <w:tcBorders>
              <w:top w:val="nil"/>
              <w:left w:val="nil"/>
              <w:bottom w:val="nil"/>
              <w:right w:val="nil"/>
            </w:tcBorders>
            <w:shd w:val="clear" w:color="auto" w:fill="auto"/>
            <w:noWrap/>
            <w:vAlign w:val="bottom"/>
            <w:hideMark/>
          </w:tcPr>
          <w:p>
            <w:pPr>
              <w:rPr>
                <w:sz w:val="20"/>
                <w:lang w:eastAsia="lt-LT"/>
              </w:rPr>
            </w:pPr>
          </w:p>
        </w:tc>
        <w:tc>
          <w:tcPr>
            <w:tcW w:w="453" w:type="pct"/>
            <w:tcBorders>
              <w:top w:val="nil"/>
              <w:left w:val="nil"/>
              <w:bottom w:val="nil"/>
              <w:right w:val="nil"/>
            </w:tcBorders>
            <w:shd w:val="clear" w:color="auto" w:fill="auto"/>
            <w:noWrap/>
            <w:vAlign w:val="bottom"/>
            <w:hideMark/>
          </w:tcPr>
          <w:p>
            <w:pPr>
              <w:jc w:val="center"/>
              <w:rPr>
                <w:sz w:val="20"/>
                <w:lang w:eastAsia="lt-LT"/>
              </w:rPr>
            </w:pPr>
          </w:p>
        </w:tc>
        <w:tc>
          <w:tcPr>
            <w:tcW w:w="220" w:type="pct"/>
            <w:tcBorders>
              <w:top w:val="nil"/>
              <w:left w:val="nil"/>
              <w:bottom w:val="nil"/>
              <w:right w:val="nil"/>
            </w:tcBorders>
            <w:shd w:val="clear" w:color="auto" w:fill="auto"/>
            <w:noWrap/>
            <w:vAlign w:val="bottom"/>
            <w:hideMark/>
          </w:tcPr>
          <w:p>
            <w:pPr>
              <w:rPr>
                <w:sz w:val="20"/>
                <w:lang w:eastAsia="lt-LT"/>
              </w:rPr>
            </w:pPr>
          </w:p>
        </w:tc>
        <w:tc>
          <w:tcPr>
            <w:tcW w:w="799" w:type="pct"/>
            <w:tcBorders>
              <w:top w:val="nil"/>
              <w:left w:val="nil"/>
              <w:bottom w:val="nil"/>
              <w:right w:val="nil"/>
            </w:tcBorders>
            <w:shd w:val="clear" w:color="auto" w:fill="auto"/>
            <w:noWrap/>
            <w:vAlign w:val="bottom"/>
            <w:hideMark/>
          </w:tcPr>
          <w:p>
            <w:pPr>
              <w:rPr>
                <w:sz w:val="20"/>
                <w:lang w:eastAsia="lt-LT"/>
              </w:rPr>
            </w:pPr>
          </w:p>
        </w:tc>
        <w:tc>
          <w:tcPr>
            <w:tcW w:w="482" w:type="pct"/>
            <w:tcBorders>
              <w:top w:val="nil"/>
              <w:left w:val="nil"/>
              <w:bottom w:val="nil"/>
              <w:right w:val="nil"/>
            </w:tcBorders>
            <w:shd w:val="clear" w:color="auto" w:fill="auto"/>
            <w:noWrap/>
            <w:vAlign w:val="bottom"/>
            <w:hideMark/>
          </w:tcPr>
          <w:p>
            <w:pPr>
              <w:rPr>
                <w:sz w:val="20"/>
                <w:lang w:eastAsia="lt-LT"/>
              </w:rPr>
            </w:pPr>
          </w:p>
        </w:tc>
        <w:tc>
          <w:tcPr>
            <w:tcW w:w="227" w:type="pct"/>
            <w:tcBorders>
              <w:top w:val="nil"/>
              <w:left w:val="nil"/>
              <w:bottom w:val="nil"/>
              <w:right w:val="nil"/>
            </w:tcBorders>
            <w:shd w:val="clear" w:color="auto" w:fill="auto"/>
            <w:noWrap/>
            <w:vAlign w:val="bottom"/>
            <w:hideMark/>
          </w:tcPr>
          <w:p>
            <w:pPr>
              <w:rPr>
                <w:sz w:val="20"/>
                <w:lang w:eastAsia="lt-LT"/>
              </w:rPr>
            </w:pPr>
          </w:p>
        </w:tc>
        <w:tc>
          <w:tcPr>
            <w:tcW w:w="606" w:type="pct"/>
            <w:tcBorders>
              <w:top w:val="nil"/>
              <w:left w:val="nil"/>
              <w:bottom w:val="nil"/>
              <w:right w:val="nil"/>
            </w:tcBorders>
            <w:shd w:val="clear" w:color="auto" w:fill="auto"/>
            <w:noWrap/>
            <w:vAlign w:val="bottom"/>
            <w:hideMark/>
          </w:tcPr>
          <w:p>
            <w:pPr>
              <w:rPr>
                <w:sz w:val="20"/>
                <w:lang w:eastAsia="lt-LT"/>
              </w:rPr>
            </w:pPr>
          </w:p>
        </w:tc>
        <w:tc>
          <w:tcPr>
            <w:tcW w:w="302" w:type="pct"/>
            <w:tcBorders>
              <w:top w:val="nil"/>
              <w:left w:val="nil"/>
              <w:bottom w:val="nil"/>
              <w:right w:val="nil"/>
            </w:tcBorders>
            <w:shd w:val="clear" w:color="auto" w:fill="auto"/>
            <w:noWrap/>
            <w:vAlign w:val="bottom"/>
            <w:hideMark/>
          </w:tcPr>
          <w:p>
            <w:pPr>
              <w:rPr>
                <w:sz w:val="20"/>
                <w:lang w:eastAsia="lt-LT"/>
              </w:rPr>
            </w:pPr>
          </w:p>
        </w:tc>
        <w:tc>
          <w:tcPr>
            <w:tcW w:w="130" w:type="pct"/>
            <w:tcBorders>
              <w:top w:val="nil"/>
              <w:left w:val="nil"/>
              <w:bottom w:val="nil"/>
              <w:right w:val="nil"/>
            </w:tcBorders>
            <w:shd w:val="clear" w:color="auto" w:fill="auto"/>
            <w:noWrap/>
            <w:vAlign w:val="bottom"/>
            <w:hideMark/>
          </w:tcPr>
          <w:p>
            <w:pPr>
              <w:rPr>
                <w:sz w:val="20"/>
                <w:lang w:eastAsia="lt-LT"/>
              </w:rPr>
            </w:pPr>
          </w:p>
        </w:tc>
        <w:tc>
          <w:tcPr>
            <w:tcW w:w="121" w:type="pct"/>
            <w:tcBorders>
              <w:top w:val="nil"/>
              <w:left w:val="nil"/>
              <w:bottom w:val="nil"/>
              <w:right w:val="nil"/>
            </w:tcBorders>
            <w:shd w:val="clear" w:color="auto" w:fill="auto"/>
            <w:noWrap/>
            <w:vAlign w:val="bottom"/>
            <w:hideMark/>
          </w:tcPr>
          <w:p>
            <w:pPr>
              <w:rPr>
                <w:sz w:val="20"/>
                <w:lang w:eastAsia="lt-LT"/>
              </w:rPr>
            </w:pPr>
          </w:p>
        </w:tc>
        <w:tc>
          <w:tcPr>
            <w:tcW w:w="281" w:type="pct"/>
            <w:tcBorders>
              <w:top w:val="nil"/>
              <w:left w:val="nil"/>
              <w:bottom w:val="nil"/>
              <w:right w:val="nil"/>
            </w:tcBorders>
            <w:shd w:val="clear" w:color="auto" w:fill="auto"/>
            <w:noWrap/>
            <w:vAlign w:val="bottom"/>
            <w:hideMark/>
          </w:tcPr>
          <w:p>
            <w:pPr>
              <w:rPr>
                <w:sz w:val="20"/>
                <w:lang w:eastAsia="lt-LT"/>
              </w:rPr>
            </w:pPr>
          </w:p>
        </w:tc>
        <w:tc>
          <w:tcPr>
            <w:tcW w:w="322" w:type="pct"/>
            <w:gridSpan w:val="2"/>
            <w:tcBorders>
              <w:top w:val="nil"/>
              <w:left w:val="nil"/>
              <w:bottom w:val="nil"/>
              <w:right w:val="nil"/>
            </w:tcBorders>
            <w:shd w:val="clear" w:color="auto" w:fill="auto"/>
            <w:noWrap/>
            <w:vAlign w:val="bottom"/>
            <w:hideMark/>
          </w:tcPr>
          <w:p>
            <w:pPr>
              <w:rPr>
                <w:sz w:val="20"/>
                <w:lang w:eastAsia="lt-LT"/>
              </w:rPr>
            </w:pPr>
          </w:p>
        </w:tc>
        <w:tc>
          <w:tcPr>
            <w:tcW w:w="130" w:type="pct"/>
            <w:gridSpan w:val="2"/>
            <w:tcBorders>
              <w:top w:val="nil"/>
              <w:left w:val="nil"/>
              <w:bottom w:val="nil"/>
              <w:right w:val="nil"/>
            </w:tcBorders>
            <w:shd w:val="clear" w:color="auto" w:fill="auto"/>
            <w:noWrap/>
            <w:vAlign w:val="bottom"/>
            <w:hideMark/>
          </w:tcPr>
          <w:p>
            <w:pPr>
              <w:rPr>
                <w:sz w:val="20"/>
                <w:lang w:eastAsia="lt-LT"/>
              </w:rPr>
            </w:pPr>
          </w:p>
        </w:tc>
        <w:tc>
          <w:tcPr>
            <w:tcW w:w="200" w:type="pct"/>
            <w:tcBorders>
              <w:top w:val="nil"/>
              <w:left w:val="nil"/>
              <w:bottom w:val="nil"/>
              <w:right w:val="nil"/>
            </w:tcBorders>
            <w:shd w:val="clear" w:color="auto" w:fill="auto"/>
            <w:noWrap/>
            <w:vAlign w:val="bottom"/>
            <w:hideMark/>
          </w:tcPr>
          <w:p>
            <w:pPr>
              <w:rPr>
                <w:sz w:val="20"/>
                <w:lang w:eastAsia="lt-LT"/>
              </w:rPr>
            </w:pPr>
          </w:p>
        </w:tc>
        <w:tc>
          <w:tcPr>
            <w:tcW w:w="399" w:type="pct"/>
            <w:gridSpan w:val="2"/>
            <w:tcBorders>
              <w:top w:val="nil"/>
              <w:left w:val="nil"/>
              <w:bottom w:val="nil"/>
              <w:right w:val="nil"/>
            </w:tcBorders>
            <w:shd w:val="clear" w:color="auto" w:fill="auto"/>
            <w:noWrap/>
            <w:vAlign w:val="bottom"/>
            <w:hideMark/>
          </w:tcPr>
          <w:p>
            <w:pPr>
              <w:rPr>
                <w:sz w:val="20"/>
                <w:lang w:eastAsia="lt-LT"/>
              </w:rPr>
            </w:pPr>
          </w:p>
        </w:tc>
      </w:tr>
      <w:tr>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Įmonės pavadinimas</w:t>
            </w:r>
          </w:p>
        </w:tc>
      </w:tr>
      <w:tr>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Įmonės buveinė</w:t>
            </w:r>
          </w:p>
        </w:tc>
      </w:tr>
      <w:tr>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Įmonės įsteigimo data</w:t>
            </w:r>
          </w:p>
        </w:tc>
      </w:tr>
      <w:tr>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 xml:space="preserve">Įmonės kodas </w:t>
            </w:r>
          </w:p>
        </w:tc>
      </w:tr>
      <w:tr>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pPr>
              <w:ind w:firstLine="62"/>
              <w:rPr>
                <w:szCs w:val="24"/>
                <w:lang w:eastAsia="lt-LT"/>
              </w:rPr>
            </w:pPr>
          </w:p>
        </w:tc>
      </w:tr>
      <w:tr>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Įmonės vadovo vardas, pavardė ir pareigos</w:t>
            </w:r>
          </w:p>
        </w:tc>
      </w:tr>
      <w:tr>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Įmonės ryšių duomenys: elektroninis paštas ir telefonas</w:t>
            </w:r>
          </w:p>
        </w:tc>
      </w:tr>
      <w:tr>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pPr>
              <w:ind w:firstLine="62"/>
              <w:rPr>
                <w:szCs w:val="24"/>
                <w:lang w:eastAsia="lt-LT"/>
              </w:rPr>
            </w:pPr>
          </w:p>
        </w:tc>
      </w:tr>
      <w:tr>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 xml:space="preserve">Balanse nurodyto turto vertė   (Eur)</w:t>
            </w:r>
          </w:p>
        </w:tc>
      </w:tr>
      <w:tr>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r>
      <w:tr>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pPr>
              <w:ind w:firstLine="62"/>
              <w:jc w:val="center"/>
              <w:rPr>
                <w:szCs w:val="24"/>
                <w:lang w:eastAsia="lt-LT"/>
              </w:rPr>
            </w:pPr>
          </w:p>
        </w:tc>
      </w:tr>
      <w:tr>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jc w:val="center"/>
              <w:rPr>
                <w:szCs w:val="24"/>
                <w:lang w:eastAsia="lt-LT"/>
              </w:rPr>
            </w:pPr>
            <w:r>
              <w:rPr>
                <w:szCs w:val="24"/>
                <w:lang w:eastAsia="lt-LT"/>
              </w:rPr>
              <w:t xml:space="preserve">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pPr>
              <w:ind w:firstLine="62"/>
              <w:jc w:val="center"/>
              <w:rPr>
                <w:szCs w:val="24"/>
                <w:lang w:eastAsia="lt-LT"/>
              </w:rPr>
            </w:pPr>
          </w:p>
        </w:tc>
      </w:tr>
      <w:tr>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r>
      <w:tr>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r>
      <w:tr>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pPr>
              <w:jc w:val="center"/>
              <w:rPr>
                <w:sz w:val="20"/>
                <w:lang w:eastAsia="lt-LT"/>
              </w:rPr>
            </w:pPr>
            <w:r>
              <w:rPr>
                <w:sz w:val="20"/>
                <w:lang w:eastAsia="lt-LT"/>
              </w:rPr>
              <w:t>Susijusios įmonės vadovo vardas, pavardė ir pareigos</w:t>
            </w: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pPr>
              <w:ind w:firstLine="62"/>
              <w:jc w:val="cente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pPr>
              <w:rPr>
                <w:szCs w:val="24"/>
                <w:lang w:eastAsia="lt-LT"/>
              </w:rPr>
            </w:pPr>
          </w:p>
        </w:tc>
        <w:tc>
          <w:tcPr>
            <w:tcW w:w="482" w:type="pct"/>
            <w:tcBorders>
              <w:top w:val="nil"/>
              <w:left w:val="nil"/>
              <w:bottom w:val="nil"/>
              <w:right w:val="single" w:sz="4" w:space="0" w:color="auto"/>
            </w:tcBorders>
            <w:shd w:val="clear" w:color="000000" w:fill="FFFFFF"/>
            <w:hideMark/>
          </w:tcPr>
          <w:p>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pPr>
              <w:rPr>
                <w:szCs w:val="24"/>
                <w:lang w:eastAsia="lt-LT"/>
              </w:rPr>
            </w:pPr>
          </w:p>
        </w:tc>
        <w:tc>
          <w:tcPr>
            <w:tcW w:w="724" w:type="pct"/>
            <w:gridSpan w:val="4"/>
            <w:vMerge/>
            <w:tcBorders>
              <w:top w:val="nil"/>
              <w:left w:val="nil"/>
              <w:bottom w:val="nil"/>
              <w:right w:val="single" w:sz="4" w:space="0" w:color="auto"/>
            </w:tcBorders>
            <w:vAlign w:val="center"/>
            <w:hideMark/>
          </w:tcPr>
          <w:p>
            <w:pPr>
              <w:rPr>
                <w:szCs w:val="24"/>
                <w:lang w:eastAsia="lt-LT"/>
              </w:rPr>
            </w:pPr>
          </w:p>
        </w:tc>
        <w:tc>
          <w:tcPr>
            <w:tcW w:w="517" w:type="pct"/>
            <w:gridSpan w:val="4"/>
            <w:vMerge/>
            <w:tcBorders>
              <w:top w:val="nil"/>
              <w:left w:val="nil"/>
              <w:bottom w:val="nil"/>
              <w:right w:val="single" w:sz="4" w:space="0" w:color="auto"/>
            </w:tcBorders>
            <w:vAlign w:val="center"/>
            <w:hideMark/>
          </w:tcPr>
          <w:p>
            <w:pPr>
              <w:rPr>
                <w:szCs w:val="24"/>
                <w:lang w:eastAsia="lt-LT"/>
              </w:rPr>
            </w:pPr>
          </w:p>
        </w:tc>
      </w:tr>
      <w:tr>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pPr>
              <w:rPr>
                <w:b/>
                <w:bCs/>
                <w:szCs w:val="24"/>
                <w:lang w:eastAsia="lt-LT"/>
              </w:rPr>
            </w:pPr>
          </w:p>
        </w:tc>
      </w:tr>
      <w:tr>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Susijusios įmonės vadovo vardas, pavardė ir pareigos</w:t>
            </w:r>
          </w:p>
        </w:tc>
      </w:tr>
      <w:tr>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pPr>
              <w:ind w:firstLine="62"/>
              <w:rPr>
                <w:szCs w:val="24"/>
                <w:lang w:eastAsia="lt-LT"/>
              </w:rPr>
            </w:pPr>
          </w:p>
        </w:tc>
      </w:tr>
      <w:tr>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pPr>
              <w:ind w:firstLineChars="100" w:firstLine="241"/>
              <w:rPr>
                <w:b/>
                <w:bCs/>
                <w:szCs w:val="24"/>
                <w:lang w:eastAsia="lt-LT"/>
              </w:rPr>
            </w:pPr>
            <w:r>
              <w:rPr>
                <w:b/>
                <w:bCs/>
                <w:szCs w:val="24"/>
                <w:lang w:eastAsia="lt-LT"/>
              </w:rPr>
              <w:t xml:space="preserve">Informacija apie įmonę kaip investuotoją </w:t>
            </w:r>
          </w:p>
        </w:tc>
      </w:tr>
      <w:tr>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pPr>
              <w:rPr>
                <w:b/>
                <w:bCs/>
                <w:szCs w:val="24"/>
                <w:lang w:eastAsia="lt-LT"/>
              </w:rPr>
            </w:pPr>
            <w:r>
              <w:rPr>
                <w:b/>
                <w:bCs/>
                <w:szCs w:val="24"/>
                <w:lang w:eastAsia="lt-LT"/>
              </w:rPr>
              <w:t>(metai)</w:t>
            </w:r>
          </w:p>
        </w:tc>
      </w:tr>
      <w:tr>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pPr>
              <w:jc w:val="center"/>
              <w:rPr>
                <w:szCs w:val="24"/>
                <w:lang w:eastAsia="lt-LT"/>
              </w:rPr>
            </w:pPr>
            <w:r>
              <w:rPr>
                <w:szCs w:val="24"/>
                <w:lang w:eastAsia="lt-LT"/>
              </w:rPr>
              <w:t xml:space="preserve">Informacija apie investuotoją </w:t>
            </w:r>
          </w:p>
        </w:tc>
      </w:tr>
      <w:tr>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pPr>
              <w:rPr>
                <w:b/>
                <w:bCs/>
                <w:szCs w:val="24"/>
                <w:lang w:eastAsia="lt-LT"/>
              </w:rPr>
            </w:pPr>
            <w:r>
              <w:rPr>
                <w:b/>
                <w:bCs/>
                <w:szCs w:val="24"/>
                <w:lang w:eastAsia="lt-LT"/>
              </w:rPr>
              <w:t>(metai)</w:t>
            </w:r>
          </w:p>
        </w:tc>
      </w:tr>
      <w:tr>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pPr>
              <w:jc w:val="center"/>
              <w:rPr>
                <w:szCs w:val="24"/>
                <w:lang w:eastAsia="lt-LT"/>
              </w:rPr>
            </w:pPr>
            <w:r>
              <w:rPr>
                <w:szCs w:val="24"/>
                <w:lang w:eastAsia="lt-LT"/>
              </w:rPr>
              <w:t xml:space="preserve">Informacija apie investuotoją </w:t>
            </w:r>
          </w:p>
        </w:tc>
      </w:tr>
      <w:tr>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pPr>
              <w:rPr>
                <w:szCs w:val="24"/>
                <w:lang w:eastAsia="lt-LT"/>
              </w:rPr>
            </w:pPr>
          </w:p>
        </w:tc>
      </w:tr>
      <w:tr>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pPr>
              <w:rPr>
                <w:szCs w:val="24"/>
                <w:lang w:eastAsia="lt-LT"/>
              </w:rPr>
            </w:pPr>
          </w:p>
        </w:tc>
      </w:tr>
      <w:tr>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pPr>
              <w:rPr>
                <w:szCs w:val="24"/>
                <w:lang w:eastAsia="lt-LT"/>
              </w:rPr>
            </w:pPr>
          </w:p>
        </w:tc>
      </w:tr>
      <w:tr>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pPr>
              <w:rPr>
                <w:b/>
                <w:bCs/>
                <w:szCs w:val="24"/>
                <w:lang w:eastAsia="lt-LT"/>
              </w:rPr>
            </w:pPr>
            <w:r>
              <w:rPr>
                <w:b/>
                <w:bCs/>
                <w:szCs w:val="24"/>
                <w:lang w:eastAsia="lt-LT"/>
              </w:rPr>
              <w:t>(metai)</w:t>
            </w:r>
          </w:p>
        </w:tc>
      </w:tr>
      <w:tr>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pPr>
              <w:jc w:val="center"/>
              <w:rPr>
                <w:szCs w:val="24"/>
                <w:lang w:eastAsia="lt-LT"/>
              </w:rPr>
            </w:pPr>
            <w:r>
              <w:rPr>
                <w:szCs w:val="24"/>
                <w:lang w:eastAsia="lt-LT"/>
              </w:rPr>
              <w:t xml:space="preserve">Informacija apie investuotoją </w:t>
            </w:r>
          </w:p>
        </w:tc>
      </w:tr>
      <w:tr>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pPr>
              <w:ind w:firstLine="62"/>
              <w:rPr>
                <w:szCs w:val="24"/>
                <w:lang w:eastAsia="lt-LT"/>
              </w:rPr>
            </w:pPr>
          </w:p>
        </w:tc>
      </w:tr>
      <w:tr>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pPr>
              <w:rPr>
                <w:szCs w:val="24"/>
                <w:lang w:eastAsia="lt-LT"/>
              </w:rPr>
            </w:pPr>
          </w:p>
        </w:tc>
      </w:tr>
      <w:tr>
        <w:trPr>
          <w:gridAfter w:val="1"/>
          <w:wAfter w:w="211" w:type="pct"/>
          <w:trHeight w:val="480"/>
          <w:jc w:val="center"/>
        </w:trPr>
        <w:tc>
          <w:tcPr>
            <w:tcW w:w="328" w:type="pct"/>
            <w:tcBorders>
              <w:top w:val="nil"/>
              <w:left w:val="single" w:sz="4" w:space="0" w:color="auto"/>
              <w:bottom w:val="nil"/>
              <w:right w:val="nil"/>
            </w:tcBorders>
            <w:shd w:val="clear" w:color="auto" w:fill="auto"/>
            <w:hideMark/>
          </w:tcPr>
          <w:p>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pPr>
              <w:ind w:firstLine="62"/>
              <w:jc w:val="center"/>
              <w:rPr>
                <w:szCs w:val="24"/>
                <w:lang w:eastAsia="lt-LT"/>
              </w:rPr>
            </w:pPr>
          </w:p>
        </w:tc>
      </w:tr>
      <w:tr>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pPr>
              <w:rPr>
                <w:szCs w:val="24"/>
                <w:lang w:eastAsia="lt-LT"/>
              </w:rPr>
            </w:pPr>
          </w:p>
        </w:tc>
        <w:tc>
          <w:tcPr>
            <w:tcW w:w="191" w:type="pct"/>
            <w:gridSpan w:val="2"/>
            <w:tcBorders>
              <w:top w:val="nil"/>
              <w:left w:val="nil"/>
              <w:bottom w:val="nil"/>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pPr>
              <w:ind w:firstLine="62"/>
              <w:jc w:val="center"/>
              <w:rPr>
                <w:szCs w:val="24"/>
                <w:lang w:eastAsia="lt-LT"/>
              </w:rPr>
            </w:pPr>
          </w:p>
        </w:tc>
      </w:tr>
      <w:tr>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pPr>
              <w:jc w:val="center"/>
              <w:rPr>
                <w:szCs w:val="24"/>
                <w:lang w:eastAsia="lt-LT"/>
              </w:rPr>
            </w:pPr>
            <w:r>
              <w:rPr>
                <w:szCs w:val="24"/>
                <w:lang w:eastAsia="lt-LT"/>
              </w:rPr>
              <w:t>0,000</w:t>
            </w:r>
          </w:p>
        </w:tc>
      </w:tr>
      <w:tr>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pPr>
              <w:jc w:val="center"/>
              <w:rPr>
                <w:szCs w:val="24"/>
                <w:lang w:eastAsia="lt-LT"/>
              </w:rPr>
            </w:pPr>
            <w:r>
              <w:rPr>
                <w:szCs w:val="24"/>
                <w:lang w:eastAsia="lt-LT"/>
              </w:rPr>
              <w:t>0,000</w:t>
            </w:r>
          </w:p>
        </w:tc>
      </w:tr>
      <w:tr>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pPr>
              <w:jc w:val="center"/>
              <w:rPr>
                <w:szCs w:val="24"/>
                <w:lang w:eastAsia="lt-LT"/>
              </w:rPr>
            </w:pPr>
            <w:r>
              <w:rPr>
                <w:szCs w:val="24"/>
                <w:lang w:eastAsia="lt-LT"/>
              </w:rPr>
              <w:t>0,000</w:t>
            </w:r>
          </w:p>
        </w:tc>
      </w:tr>
      <w:tr>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pPr>
              <w:jc w:val="center"/>
              <w:rPr>
                <w:b/>
                <w:bCs/>
                <w:szCs w:val="24"/>
                <w:lang w:eastAsia="lt-LT"/>
              </w:rPr>
            </w:pPr>
            <w:r>
              <w:rPr>
                <w:b/>
                <w:bCs/>
                <w:szCs w:val="24"/>
                <w:lang w:eastAsia="lt-LT"/>
              </w:rPr>
              <w:t>(metai)</w:t>
            </w:r>
          </w:p>
        </w:tc>
      </w:tr>
      <w:tr>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Balanse nurodyto turto vertė (Eur)</w:t>
            </w:r>
          </w:p>
        </w:tc>
      </w:tr>
      <w:tr>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pPr>
              <w:jc w:val="center"/>
              <w:rPr>
                <w:szCs w:val="24"/>
                <w:lang w:eastAsia="lt-LT"/>
              </w:rPr>
            </w:pPr>
            <w:r>
              <w:rPr>
                <w:szCs w:val="24"/>
                <w:lang w:eastAsia="lt-LT"/>
              </w:rPr>
              <w:t>0,00</w:t>
            </w:r>
          </w:p>
        </w:tc>
      </w:tr>
      <w:tr>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pPr>
              <w:jc w:val="center"/>
              <w:rPr>
                <w:b/>
                <w:bCs/>
                <w:szCs w:val="24"/>
                <w:lang w:eastAsia="lt-LT"/>
              </w:rPr>
            </w:pPr>
            <w:r>
              <w:rPr>
                <w:b/>
                <w:bCs/>
                <w:szCs w:val="24"/>
                <w:lang w:eastAsia="lt-LT"/>
              </w:rPr>
              <w:t>(metai)</w:t>
            </w:r>
          </w:p>
        </w:tc>
      </w:tr>
      <w:tr>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Balanse nurodyto turto vertė (Eur)</w:t>
            </w:r>
          </w:p>
        </w:tc>
      </w:tr>
      <w:tr>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pPr>
              <w:jc w:val="center"/>
              <w:rPr>
                <w:szCs w:val="24"/>
                <w:lang w:eastAsia="lt-LT"/>
              </w:rPr>
            </w:pPr>
            <w:r>
              <w:rPr>
                <w:szCs w:val="24"/>
                <w:lang w:eastAsia="lt-LT"/>
              </w:rPr>
              <w:t>0,00</w:t>
            </w:r>
          </w:p>
        </w:tc>
      </w:tr>
      <w:tr>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pPr>
              <w:jc w:val="center"/>
              <w:rPr>
                <w:b/>
                <w:bCs/>
                <w:szCs w:val="24"/>
                <w:lang w:eastAsia="lt-LT"/>
              </w:rPr>
            </w:pPr>
            <w:r>
              <w:rPr>
                <w:b/>
                <w:bCs/>
                <w:szCs w:val="24"/>
                <w:lang w:eastAsia="lt-LT"/>
              </w:rPr>
              <w:t>(metai)</w:t>
            </w:r>
          </w:p>
        </w:tc>
      </w:tr>
      <w:tr>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Balanse nurodyto turto vertė (Eur)</w:t>
            </w:r>
          </w:p>
        </w:tc>
      </w:tr>
      <w:tr>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pPr>
              <w:jc w:val="center"/>
              <w:rPr>
                <w:szCs w:val="24"/>
                <w:lang w:eastAsia="lt-LT"/>
              </w:rPr>
            </w:pPr>
            <w:r>
              <w:rPr>
                <w:szCs w:val="24"/>
                <w:lang w:eastAsia="lt-LT"/>
              </w:rPr>
              <w:t>0,00</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642fa0810311e4bc68a1493830b8b9">
        <w:r w:rsidRPr="00532B9F">
          <w:rPr>
            <w:rFonts w:ascii="Times New Roman" w:eastAsia="MS Mincho" w:hAnsi="Times New Roman"/>
            <w:sz w:val="20"/>
            <w:i/>
            <w:iCs/>
            <w:color w:val="0000FF" w:themeColor="hyperlink"/>
            <w:u w:val="single"/>
          </w:rPr>
          <w:t>4-891</w:t>
        </w:r>
      </w:fldSimple>
      <w:r>
        <w:rPr>
          <w:rFonts w:ascii="Times New Roman" w:eastAsia="MS Mincho" w:hAnsi="Times New Roman"/>
          <w:sz w:val="20"/>
          <w:i/>
          <w:iCs/>
        </w:rPr>
        <w:t>,
2014-12-10,
paskelbta TAR 2014-12-11, i. k. 2014-19464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dc7da0268211e78397ae072f58c508">
        <w:r w:rsidRPr="00532B9F">
          <w:rPr>
            <w:rFonts w:ascii="Times New Roman" w:eastAsia="MS Mincho" w:hAnsi="Times New Roman"/>
            <w:sz w:val="20"/>
            <w:i/>
            <w:iCs/>
            <w:color w:val="0000FF" w:themeColor="hyperlink"/>
            <w:u w:val="single"/>
          </w:rPr>
          <w:t>4-250</w:t>
        </w:r>
      </w:fldSimple>
      <w:r>
        <w:rPr>
          <w:rFonts w:ascii="Times New Roman" w:eastAsia="MS Mincho" w:hAnsi="Times New Roman"/>
          <w:sz w:val="20"/>
          <w:i/>
          <w:iCs/>
        </w:rPr>
        <w:t>,
2017-04-21,
paskelbta TAR 2017-04-21, i. k. 2017-06764            </w:t>
      </w:r>
    </w:p>
    <w:p/>
    <w:p>
      <w:pPr>
        <w:tabs>
          <w:tab w:val="center" w:pos="4153"/>
          <w:tab w:val="right" w:pos="8306"/>
        </w:tabs>
        <w:ind w:firstLine="720"/>
        <w:jc w:val="both"/>
      </w:pPr>
      <w:r>
        <w:rPr>
          <w:bCs/>
          <w:szCs w:val="24"/>
        </w:rPr>
        <w:br w:type="page"/>
      </w:r>
    </w:p>
    <w:p>
      <w:pPr>
        <w:tabs>
          <w:tab w:val="left" w:pos="4141"/>
        </w:tabs>
        <w:ind w:left="1132" w:firstLine="4538"/>
        <w:rPr>
          <w:szCs w:val="24"/>
          <w:lang w:eastAsia="lt-LT"/>
        </w:rPr>
      </w:pPr>
      <w:r>
        <w:rPr>
          <w:szCs w:val="24"/>
          <w:lang w:eastAsia="lt-LT"/>
        </w:rPr>
        <w:t xml:space="preserve">Smulkiojo ar vidutinio verslo subjekto </w:t>
      </w:r>
    </w:p>
    <w:p>
      <w:pPr>
        <w:tabs>
          <w:tab w:val="left" w:pos="4141"/>
        </w:tabs>
        <w:ind w:left="1132" w:firstLine="4538"/>
        <w:rPr>
          <w:szCs w:val="24"/>
          <w:lang w:eastAsia="lt-LT"/>
        </w:rPr>
      </w:pPr>
      <w:r>
        <w:rPr>
          <w:szCs w:val="24"/>
          <w:lang w:eastAsia="lt-LT"/>
        </w:rPr>
        <w:t xml:space="preserve">statuso deklaracijos formos F1 </w:t>
      </w:r>
    </w:p>
    <w:p>
      <w:pPr>
        <w:tabs>
          <w:tab w:val="left" w:pos="4141"/>
        </w:tabs>
        <w:ind w:left="1132" w:firstLine="4538"/>
        <w:rPr>
          <w:szCs w:val="24"/>
          <w:lang w:eastAsia="lt-LT"/>
        </w:rPr>
      </w:pPr>
      <w:r>
        <w:rPr>
          <w:szCs w:val="24"/>
          <w:lang w:eastAsia="lt-LT"/>
        </w:rPr>
        <w:t>2 priedas</w:t>
      </w:r>
    </w:p>
    <w:p>
      <w:pPr>
        <w:tabs>
          <w:tab w:val="left" w:pos="4141"/>
        </w:tabs>
        <w:ind w:left="1132"/>
        <w:rPr>
          <w:sz w:val="22"/>
          <w:szCs w:val="22"/>
          <w:lang w:eastAsia="lt-LT"/>
        </w:rPr>
      </w:pPr>
    </w:p>
    <w:p>
      <w:pPr>
        <w:rPr>
          <w:sz w:val="22"/>
          <w:szCs w:val="22"/>
          <w:lang w:eastAsia="lt-LT"/>
        </w:rPr>
      </w:pPr>
      <w:r>
        <w:rPr>
          <w:sz w:val="22"/>
          <w:szCs w:val="22"/>
          <w:lang w:eastAsia="lt-LT"/>
        </w:rPr>
        <w:tab/>
      </w:r>
    </w:p>
    <w:p>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trPr>
          <w:trHeight w:val="315"/>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rPr>
                <w:sz w:val="20"/>
                <w:lang w:eastAsia="lt-LT"/>
              </w:rPr>
            </w:pPr>
          </w:p>
        </w:tc>
        <w:tc>
          <w:tcPr>
            <w:tcW w:w="640" w:type="dxa"/>
            <w:tcBorders>
              <w:top w:val="nil"/>
              <w:left w:val="nil"/>
              <w:bottom w:val="nil"/>
              <w:right w:val="nil"/>
            </w:tcBorders>
            <w:shd w:val="clear" w:color="auto" w:fill="auto"/>
            <w:noWrap/>
            <w:vAlign w:val="bottom"/>
            <w:hideMark/>
          </w:tcPr>
          <w:p>
            <w:pPr>
              <w:rPr>
                <w:sz w:val="20"/>
                <w:lang w:eastAsia="lt-LT"/>
              </w:rPr>
            </w:pPr>
          </w:p>
        </w:tc>
        <w:tc>
          <w:tcPr>
            <w:tcW w:w="600" w:type="dxa"/>
            <w:tcBorders>
              <w:top w:val="nil"/>
              <w:left w:val="nil"/>
              <w:bottom w:val="nil"/>
              <w:right w:val="nil"/>
            </w:tcBorders>
            <w:shd w:val="clear" w:color="auto" w:fill="auto"/>
            <w:noWrap/>
            <w:vAlign w:val="bottom"/>
            <w:hideMark/>
          </w:tcPr>
          <w:p>
            <w:pPr>
              <w:rPr>
                <w:sz w:val="20"/>
                <w:lang w:eastAsia="lt-LT"/>
              </w:rPr>
            </w:pPr>
          </w:p>
        </w:tc>
        <w:tc>
          <w:tcPr>
            <w:tcW w:w="6987" w:type="dxa"/>
            <w:gridSpan w:val="7"/>
            <w:tcBorders>
              <w:top w:val="nil"/>
              <w:left w:val="nil"/>
              <w:bottom w:val="nil"/>
              <w:right w:val="nil"/>
            </w:tcBorders>
            <w:shd w:val="clear" w:color="auto" w:fill="auto"/>
            <w:noWrap/>
            <w:vAlign w:val="bottom"/>
            <w:hideMark/>
          </w:tcPr>
          <w:p>
            <w:pPr>
              <w:tabs>
                <w:tab w:val="left" w:pos="1481"/>
              </w:tabs>
              <w:ind w:firstLine="682"/>
              <w:jc w:val="both"/>
              <w:rPr>
                <w:b/>
                <w:bCs/>
                <w:szCs w:val="24"/>
                <w:lang w:eastAsia="lt-LT"/>
              </w:rPr>
            </w:pPr>
            <w:r>
              <w:rPr>
                <w:b/>
                <w:bCs/>
                <w:szCs w:val="24"/>
                <w:lang w:eastAsia="lt-LT"/>
              </w:rPr>
              <w:t>SUSIJUSIOS ĮMONĖS</w:t>
            </w:r>
          </w:p>
          <w:p>
            <w:pPr>
              <w:tabs>
                <w:tab w:val="left" w:pos="1481"/>
              </w:tabs>
              <w:jc w:val="both"/>
              <w:rPr>
                <w:b/>
                <w:bCs/>
                <w:szCs w:val="24"/>
                <w:lang w:eastAsia="lt-LT"/>
              </w:rPr>
            </w:pPr>
          </w:p>
          <w:p>
            <w:pPr>
              <w:tabs>
                <w:tab w:val="left" w:pos="1481"/>
              </w:tabs>
              <w:ind w:firstLine="1240"/>
              <w:jc w:val="both"/>
              <w:rPr>
                <w:b/>
                <w:bCs/>
                <w:szCs w:val="24"/>
                <w:lang w:eastAsia="lt-LT"/>
              </w:rPr>
            </w:pPr>
            <w:r>
              <w:rPr>
                <w:b/>
                <w:bCs/>
                <w:szCs w:val="24"/>
                <w:lang w:eastAsia="lt-LT"/>
              </w:rPr>
              <w:t>I SKYRIUS</w:t>
            </w:r>
          </w:p>
          <w:p>
            <w:pPr>
              <w:tabs>
                <w:tab w:val="left" w:pos="1481"/>
              </w:tabs>
              <w:jc w:val="both"/>
              <w:rPr>
                <w:b/>
                <w:bCs/>
                <w:szCs w:val="24"/>
                <w:lang w:eastAsia="lt-LT"/>
              </w:rPr>
            </w:pPr>
            <w:r>
              <w:rPr>
                <w:b/>
                <w:bCs/>
                <w:szCs w:val="24"/>
                <w:lang w:eastAsia="lt-LT"/>
              </w:rPr>
              <w:t xml:space="preserve">SUSIJUSIŲ ĮMONIŲ DUOMENYS S1 </w:t>
            </w:r>
          </w:p>
          <w:p>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pPr>
              <w:jc w:val="center"/>
              <w:rPr>
                <w:b/>
                <w:bCs/>
                <w:szCs w:val="24"/>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315"/>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rPr>
                <w:sz w:val="20"/>
                <w:lang w:eastAsia="lt-LT"/>
              </w:rPr>
            </w:pPr>
          </w:p>
        </w:tc>
        <w:tc>
          <w:tcPr>
            <w:tcW w:w="640" w:type="dxa"/>
            <w:tcBorders>
              <w:top w:val="nil"/>
              <w:left w:val="nil"/>
              <w:bottom w:val="nil"/>
              <w:right w:val="nil"/>
            </w:tcBorders>
            <w:shd w:val="clear" w:color="auto" w:fill="auto"/>
            <w:noWrap/>
            <w:vAlign w:val="bottom"/>
            <w:hideMark/>
          </w:tcPr>
          <w:p>
            <w:pPr>
              <w:rPr>
                <w:sz w:val="20"/>
                <w:lang w:eastAsia="lt-LT"/>
              </w:rPr>
            </w:pPr>
          </w:p>
        </w:tc>
        <w:tc>
          <w:tcPr>
            <w:tcW w:w="600" w:type="dxa"/>
            <w:tcBorders>
              <w:top w:val="nil"/>
              <w:left w:val="nil"/>
              <w:bottom w:val="nil"/>
              <w:right w:val="nil"/>
            </w:tcBorders>
            <w:shd w:val="clear" w:color="auto" w:fill="auto"/>
            <w:noWrap/>
            <w:vAlign w:val="bottom"/>
            <w:hideMark/>
          </w:tcPr>
          <w:p>
            <w:pPr>
              <w:rPr>
                <w:sz w:val="20"/>
                <w:lang w:eastAsia="lt-LT"/>
              </w:rPr>
            </w:pPr>
          </w:p>
        </w:tc>
        <w:tc>
          <w:tcPr>
            <w:tcW w:w="457" w:type="dxa"/>
            <w:tcBorders>
              <w:top w:val="nil"/>
              <w:left w:val="nil"/>
              <w:bottom w:val="nil"/>
              <w:right w:val="nil"/>
            </w:tcBorders>
            <w:shd w:val="clear" w:color="auto" w:fill="auto"/>
            <w:noWrap/>
            <w:vAlign w:val="bottom"/>
            <w:hideMark/>
          </w:tcPr>
          <w:p>
            <w:pPr>
              <w:rPr>
                <w:sz w:val="20"/>
                <w:lang w:eastAsia="lt-LT"/>
              </w:rPr>
            </w:pPr>
          </w:p>
        </w:tc>
        <w:tc>
          <w:tcPr>
            <w:tcW w:w="241" w:type="dxa"/>
            <w:tcBorders>
              <w:top w:val="nil"/>
              <w:left w:val="nil"/>
              <w:bottom w:val="nil"/>
              <w:right w:val="nil"/>
            </w:tcBorders>
            <w:shd w:val="clear" w:color="auto" w:fill="auto"/>
            <w:noWrap/>
            <w:vAlign w:val="bottom"/>
            <w:hideMark/>
          </w:tcPr>
          <w:p>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pPr>
              <w:jc w:val="center"/>
              <w:rPr>
                <w:szCs w:val="24"/>
                <w:lang w:eastAsia="lt-LT"/>
              </w:rPr>
            </w:pPr>
          </w:p>
        </w:tc>
        <w:tc>
          <w:tcPr>
            <w:tcW w:w="1975" w:type="dxa"/>
            <w:tcBorders>
              <w:top w:val="nil"/>
              <w:left w:val="nil"/>
              <w:bottom w:val="nil"/>
              <w:right w:val="nil"/>
            </w:tcBorders>
            <w:shd w:val="clear" w:color="auto" w:fill="auto"/>
            <w:noWrap/>
            <w:vAlign w:val="bottom"/>
            <w:hideMark/>
          </w:tcPr>
          <w:p>
            <w:pPr>
              <w:jc w:val="center"/>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225"/>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rPr>
                <w:sz w:val="20"/>
                <w:lang w:eastAsia="lt-LT"/>
              </w:rPr>
            </w:pPr>
          </w:p>
        </w:tc>
        <w:tc>
          <w:tcPr>
            <w:tcW w:w="640" w:type="dxa"/>
            <w:tcBorders>
              <w:top w:val="nil"/>
              <w:left w:val="nil"/>
              <w:bottom w:val="nil"/>
              <w:right w:val="nil"/>
            </w:tcBorders>
            <w:shd w:val="clear" w:color="auto" w:fill="auto"/>
            <w:noWrap/>
            <w:vAlign w:val="bottom"/>
            <w:hideMark/>
          </w:tcPr>
          <w:p>
            <w:pPr>
              <w:rPr>
                <w:sz w:val="20"/>
                <w:lang w:eastAsia="lt-LT"/>
              </w:rPr>
            </w:pPr>
          </w:p>
        </w:tc>
        <w:tc>
          <w:tcPr>
            <w:tcW w:w="600" w:type="dxa"/>
            <w:tcBorders>
              <w:top w:val="nil"/>
              <w:left w:val="nil"/>
              <w:bottom w:val="nil"/>
              <w:right w:val="nil"/>
            </w:tcBorders>
            <w:shd w:val="clear" w:color="auto" w:fill="auto"/>
            <w:noWrap/>
            <w:vAlign w:val="bottom"/>
            <w:hideMark/>
          </w:tcPr>
          <w:p>
            <w:pPr>
              <w:rPr>
                <w:sz w:val="20"/>
                <w:lang w:eastAsia="lt-LT"/>
              </w:rPr>
            </w:pPr>
          </w:p>
        </w:tc>
        <w:tc>
          <w:tcPr>
            <w:tcW w:w="457" w:type="dxa"/>
            <w:tcBorders>
              <w:top w:val="nil"/>
              <w:left w:val="nil"/>
              <w:bottom w:val="nil"/>
              <w:right w:val="nil"/>
            </w:tcBorders>
            <w:shd w:val="clear" w:color="auto" w:fill="auto"/>
            <w:noWrap/>
            <w:vAlign w:val="bottom"/>
            <w:hideMark/>
          </w:tcPr>
          <w:p>
            <w:pPr>
              <w:rPr>
                <w:sz w:val="20"/>
                <w:lang w:eastAsia="lt-LT"/>
              </w:rPr>
            </w:pPr>
          </w:p>
        </w:tc>
        <w:tc>
          <w:tcPr>
            <w:tcW w:w="241" w:type="dxa"/>
            <w:tcBorders>
              <w:top w:val="nil"/>
              <w:left w:val="nil"/>
              <w:bottom w:val="nil"/>
              <w:right w:val="nil"/>
            </w:tcBorders>
            <w:shd w:val="clear" w:color="auto" w:fill="auto"/>
            <w:noWrap/>
            <w:vAlign w:val="bottom"/>
            <w:hideMark/>
          </w:tcPr>
          <w:p>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pPr>
              <w:jc w:val="center"/>
              <w:rPr>
                <w:sz w:val="20"/>
                <w:lang w:eastAsia="lt-LT"/>
              </w:rPr>
            </w:pPr>
          </w:p>
        </w:tc>
        <w:tc>
          <w:tcPr>
            <w:tcW w:w="1975" w:type="dxa"/>
            <w:tcBorders>
              <w:top w:val="nil"/>
              <w:left w:val="nil"/>
              <w:bottom w:val="nil"/>
              <w:right w:val="nil"/>
            </w:tcBorders>
            <w:shd w:val="clear" w:color="auto" w:fill="auto"/>
            <w:noWrap/>
            <w:vAlign w:val="bottom"/>
            <w:hideMark/>
          </w:tcPr>
          <w:p>
            <w:pPr>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315"/>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rPr>
                <w:sz w:val="20"/>
                <w:lang w:eastAsia="lt-LT"/>
              </w:rPr>
            </w:pPr>
          </w:p>
        </w:tc>
        <w:tc>
          <w:tcPr>
            <w:tcW w:w="640" w:type="dxa"/>
            <w:tcBorders>
              <w:top w:val="nil"/>
              <w:left w:val="nil"/>
              <w:bottom w:val="nil"/>
              <w:right w:val="nil"/>
            </w:tcBorders>
            <w:shd w:val="clear" w:color="auto" w:fill="auto"/>
            <w:noWrap/>
            <w:vAlign w:val="bottom"/>
            <w:hideMark/>
          </w:tcPr>
          <w:p>
            <w:pPr>
              <w:rPr>
                <w:sz w:val="20"/>
                <w:lang w:eastAsia="lt-LT"/>
              </w:rPr>
            </w:pPr>
          </w:p>
        </w:tc>
        <w:tc>
          <w:tcPr>
            <w:tcW w:w="600" w:type="dxa"/>
            <w:tcBorders>
              <w:top w:val="nil"/>
              <w:left w:val="nil"/>
              <w:bottom w:val="nil"/>
              <w:right w:val="nil"/>
            </w:tcBorders>
            <w:shd w:val="clear" w:color="auto" w:fill="auto"/>
            <w:noWrap/>
            <w:vAlign w:val="bottom"/>
            <w:hideMark/>
          </w:tcPr>
          <w:p>
            <w:pPr>
              <w:rPr>
                <w:sz w:val="20"/>
                <w:lang w:eastAsia="lt-LT"/>
              </w:rPr>
            </w:pPr>
          </w:p>
        </w:tc>
        <w:tc>
          <w:tcPr>
            <w:tcW w:w="457" w:type="dxa"/>
            <w:tcBorders>
              <w:top w:val="nil"/>
              <w:left w:val="nil"/>
              <w:bottom w:val="nil"/>
              <w:right w:val="nil"/>
            </w:tcBorders>
            <w:shd w:val="clear" w:color="auto" w:fill="auto"/>
            <w:noWrap/>
            <w:vAlign w:val="bottom"/>
            <w:hideMark/>
          </w:tcPr>
          <w:p>
            <w:pPr>
              <w:rPr>
                <w:sz w:val="20"/>
                <w:lang w:eastAsia="lt-LT"/>
              </w:rPr>
            </w:pPr>
          </w:p>
        </w:tc>
        <w:tc>
          <w:tcPr>
            <w:tcW w:w="241" w:type="dxa"/>
            <w:tcBorders>
              <w:top w:val="nil"/>
              <w:left w:val="nil"/>
              <w:bottom w:val="nil"/>
              <w:right w:val="nil"/>
            </w:tcBorders>
            <w:shd w:val="clear" w:color="auto" w:fill="auto"/>
            <w:noWrap/>
            <w:vAlign w:val="bottom"/>
            <w:hideMark/>
          </w:tcPr>
          <w:p>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pPr>
              <w:jc w:val="center"/>
              <w:rPr>
                <w:szCs w:val="24"/>
                <w:lang w:eastAsia="lt-LT"/>
              </w:rPr>
            </w:pPr>
          </w:p>
        </w:tc>
        <w:tc>
          <w:tcPr>
            <w:tcW w:w="1975" w:type="dxa"/>
            <w:tcBorders>
              <w:top w:val="nil"/>
              <w:left w:val="nil"/>
              <w:bottom w:val="nil"/>
              <w:right w:val="nil"/>
            </w:tcBorders>
            <w:shd w:val="clear" w:color="auto" w:fill="auto"/>
            <w:noWrap/>
            <w:vAlign w:val="bottom"/>
            <w:hideMark/>
          </w:tcPr>
          <w:p>
            <w:pPr>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240"/>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rPr>
                <w:sz w:val="20"/>
                <w:lang w:eastAsia="lt-LT"/>
              </w:rPr>
            </w:pPr>
          </w:p>
        </w:tc>
        <w:tc>
          <w:tcPr>
            <w:tcW w:w="640" w:type="dxa"/>
            <w:tcBorders>
              <w:top w:val="nil"/>
              <w:left w:val="nil"/>
              <w:bottom w:val="nil"/>
              <w:right w:val="nil"/>
            </w:tcBorders>
            <w:shd w:val="clear" w:color="auto" w:fill="auto"/>
            <w:noWrap/>
            <w:vAlign w:val="bottom"/>
            <w:hideMark/>
          </w:tcPr>
          <w:p>
            <w:pPr>
              <w:rPr>
                <w:sz w:val="20"/>
                <w:lang w:eastAsia="lt-LT"/>
              </w:rPr>
            </w:pPr>
          </w:p>
        </w:tc>
        <w:tc>
          <w:tcPr>
            <w:tcW w:w="600" w:type="dxa"/>
            <w:tcBorders>
              <w:top w:val="nil"/>
              <w:left w:val="nil"/>
              <w:bottom w:val="nil"/>
              <w:right w:val="nil"/>
            </w:tcBorders>
            <w:shd w:val="clear" w:color="auto" w:fill="auto"/>
            <w:noWrap/>
            <w:vAlign w:val="bottom"/>
            <w:hideMark/>
          </w:tcPr>
          <w:p>
            <w:pPr>
              <w:rPr>
                <w:sz w:val="20"/>
                <w:lang w:eastAsia="lt-LT"/>
              </w:rPr>
            </w:pPr>
          </w:p>
        </w:tc>
        <w:tc>
          <w:tcPr>
            <w:tcW w:w="457" w:type="dxa"/>
            <w:tcBorders>
              <w:top w:val="nil"/>
              <w:left w:val="nil"/>
              <w:bottom w:val="nil"/>
              <w:right w:val="nil"/>
            </w:tcBorders>
            <w:shd w:val="clear" w:color="auto" w:fill="auto"/>
            <w:noWrap/>
            <w:vAlign w:val="bottom"/>
            <w:hideMark/>
          </w:tcPr>
          <w:p>
            <w:pPr>
              <w:rPr>
                <w:sz w:val="20"/>
                <w:lang w:eastAsia="lt-LT"/>
              </w:rPr>
            </w:pPr>
          </w:p>
        </w:tc>
        <w:tc>
          <w:tcPr>
            <w:tcW w:w="241" w:type="dxa"/>
            <w:tcBorders>
              <w:top w:val="nil"/>
              <w:left w:val="nil"/>
              <w:bottom w:val="nil"/>
              <w:right w:val="nil"/>
            </w:tcBorders>
            <w:shd w:val="clear" w:color="auto" w:fill="auto"/>
            <w:noWrap/>
            <w:vAlign w:val="bottom"/>
            <w:hideMark/>
          </w:tcPr>
          <w:p>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pPr>
              <w:jc w:val="center"/>
              <w:rPr>
                <w:sz w:val="20"/>
                <w:lang w:eastAsia="lt-LT"/>
              </w:rPr>
            </w:pPr>
          </w:p>
        </w:tc>
        <w:tc>
          <w:tcPr>
            <w:tcW w:w="1975" w:type="dxa"/>
            <w:tcBorders>
              <w:top w:val="nil"/>
              <w:left w:val="nil"/>
              <w:bottom w:val="nil"/>
              <w:right w:val="nil"/>
            </w:tcBorders>
            <w:shd w:val="clear" w:color="auto" w:fill="auto"/>
            <w:noWrap/>
            <w:vAlign w:val="bottom"/>
            <w:hideMark/>
          </w:tcPr>
          <w:p>
            <w:pPr>
              <w:ind w:right="83"/>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165"/>
        </w:trPr>
        <w:tc>
          <w:tcPr>
            <w:tcW w:w="638" w:type="dxa"/>
            <w:tcBorders>
              <w:top w:val="nil"/>
              <w:left w:val="nil"/>
              <w:bottom w:val="nil"/>
              <w:right w:val="nil"/>
            </w:tcBorders>
            <w:shd w:val="clear" w:color="auto" w:fill="auto"/>
            <w:noWrap/>
            <w:vAlign w:val="bottom"/>
            <w:hideMark/>
          </w:tcPr>
          <w:p>
            <w:pPr>
              <w:rPr>
                <w:sz w:val="20"/>
                <w:lang w:eastAsia="lt-LT"/>
              </w:rPr>
            </w:pPr>
          </w:p>
        </w:tc>
        <w:tc>
          <w:tcPr>
            <w:tcW w:w="638" w:type="dxa"/>
            <w:tcBorders>
              <w:top w:val="nil"/>
              <w:left w:val="nil"/>
              <w:bottom w:val="nil"/>
              <w:right w:val="nil"/>
            </w:tcBorders>
            <w:shd w:val="clear" w:color="auto" w:fill="auto"/>
            <w:noWrap/>
            <w:vAlign w:val="bottom"/>
            <w:hideMark/>
          </w:tcPr>
          <w:p>
            <w:pPr>
              <w:jc w:val="both"/>
              <w:rPr>
                <w:sz w:val="20"/>
                <w:lang w:eastAsia="lt-LT"/>
              </w:rPr>
            </w:pPr>
          </w:p>
        </w:tc>
        <w:tc>
          <w:tcPr>
            <w:tcW w:w="640" w:type="dxa"/>
            <w:tcBorders>
              <w:top w:val="nil"/>
              <w:left w:val="nil"/>
              <w:bottom w:val="nil"/>
              <w:right w:val="nil"/>
            </w:tcBorders>
            <w:shd w:val="clear" w:color="auto" w:fill="auto"/>
            <w:noWrap/>
            <w:vAlign w:val="bottom"/>
            <w:hideMark/>
          </w:tcPr>
          <w:p>
            <w:pPr>
              <w:jc w:val="both"/>
              <w:rPr>
                <w:sz w:val="20"/>
                <w:lang w:eastAsia="lt-LT"/>
              </w:rPr>
            </w:pPr>
          </w:p>
        </w:tc>
        <w:tc>
          <w:tcPr>
            <w:tcW w:w="600" w:type="dxa"/>
            <w:tcBorders>
              <w:top w:val="nil"/>
              <w:left w:val="nil"/>
              <w:bottom w:val="nil"/>
              <w:right w:val="nil"/>
            </w:tcBorders>
            <w:shd w:val="clear" w:color="auto" w:fill="auto"/>
            <w:noWrap/>
            <w:vAlign w:val="bottom"/>
            <w:hideMark/>
          </w:tcPr>
          <w:p>
            <w:pPr>
              <w:jc w:val="both"/>
              <w:rPr>
                <w:sz w:val="20"/>
                <w:lang w:eastAsia="lt-LT"/>
              </w:rPr>
            </w:pPr>
          </w:p>
        </w:tc>
        <w:tc>
          <w:tcPr>
            <w:tcW w:w="457" w:type="dxa"/>
            <w:tcBorders>
              <w:top w:val="nil"/>
              <w:left w:val="nil"/>
              <w:bottom w:val="nil"/>
              <w:right w:val="nil"/>
            </w:tcBorders>
            <w:shd w:val="clear" w:color="auto" w:fill="auto"/>
            <w:noWrap/>
            <w:vAlign w:val="bottom"/>
            <w:hideMark/>
          </w:tcPr>
          <w:p>
            <w:pPr>
              <w:jc w:val="both"/>
              <w:rPr>
                <w:sz w:val="20"/>
                <w:lang w:eastAsia="lt-LT"/>
              </w:rPr>
            </w:pPr>
          </w:p>
        </w:tc>
        <w:tc>
          <w:tcPr>
            <w:tcW w:w="241" w:type="dxa"/>
            <w:tcBorders>
              <w:top w:val="nil"/>
              <w:left w:val="nil"/>
              <w:bottom w:val="nil"/>
              <w:right w:val="nil"/>
            </w:tcBorders>
            <w:shd w:val="clear" w:color="auto" w:fill="auto"/>
            <w:noWrap/>
            <w:vAlign w:val="bottom"/>
            <w:hideMark/>
          </w:tcPr>
          <w:p>
            <w:pPr>
              <w:rPr>
                <w:sz w:val="20"/>
                <w:lang w:eastAsia="lt-LT"/>
              </w:rPr>
            </w:pPr>
          </w:p>
        </w:tc>
        <w:tc>
          <w:tcPr>
            <w:tcW w:w="1239" w:type="dxa"/>
            <w:tcBorders>
              <w:top w:val="nil"/>
              <w:left w:val="nil"/>
              <w:bottom w:val="nil"/>
              <w:right w:val="nil"/>
            </w:tcBorders>
            <w:shd w:val="clear" w:color="auto" w:fill="auto"/>
            <w:noWrap/>
            <w:vAlign w:val="bottom"/>
            <w:hideMark/>
          </w:tcPr>
          <w:p>
            <w:pPr>
              <w:rPr>
                <w:sz w:val="20"/>
                <w:lang w:eastAsia="lt-LT"/>
              </w:rPr>
            </w:pPr>
          </w:p>
        </w:tc>
        <w:tc>
          <w:tcPr>
            <w:tcW w:w="1792" w:type="dxa"/>
            <w:tcBorders>
              <w:top w:val="nil"/>
              <w:left w:val="nil"/>
              <w:bottom w:val="nil"/>
              <w:right w:val="nil"/>
            </w:tcBorders>
            <w:shd w:val="clear" w:color="auto" w:fill="auto"/>
            <w:noWrap/>
            <w:vAlign w:val="bottom"/>
            <w:hideMark/>
          </w:tcPr>
          <w:p>
            <w:pPr>
              <w:rPr>
                <w:sz w:val="20"/>
                <w:lang w:eastAsia="lt-LT"/>
              </w:rPr>
            </w:pPr>
          </w:p>
        </w:tc>
        <w:tc>
          <w:tcPr>
            <w:tcW w:w="393" w:type="dxa"/>
            <w:tcBorders>
              <w:top w:val="nil"/>
              <w:left w:val="nil"/>
              <w:bottom w:val="nil"/>
              <w:right w:val="nil"/>
            </w:tcBorders>
            <w:shd w:val="clear" w:color="auto" w:fill="auto"/>
            <w:noWrap/>
            <w:vAlign w:val="bottom"/>
            <w:hideMark/>
          </w:tcPr>
          <w:p>
            <w:pPr>
              <w:rPr>
                <w:sz w:val="20"/>
                <w:lang w:eastAsia="lt-LT"/>
              </w:rPr>
            </w:pPr>
          </w:p>
        </w:tc>
        <w:tc>
          <w:tcPr>
            <w:tcW w:w="1975" w:type="dxa"/>
            <w:tcBorders>
              <w:top w:val="nil"/>
              <w:left w:val="nil"/>
              <w:bottom w:val="nil"/>
              <w:right w:val="nil"/>
            </w:tcBorders>
            <w:shd w:val="clear" w:color="auto" w:fill="auto"/>
            <w:noWrap/>
            <w:vAlign w:val="bottom"/>
            <w:hideMark/>
          </w:tcPr>
          <w:p>
            <w:pPr>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375"/>
        </w:trPr>
        <w:tc>
          <w:tcPr>
            <w:tcW w:w="2516" w:type="dxa"/>
            <w:gridSpan w:val="4"/>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pPr>
              <w:jc w:val="center"/>
              <w:rPr>
                <w:szCs w:val="24"/>
                <w:lang w:eastAsia="lt-LT"/>
              </w:rPr>
            </w:pPr>
          </w:p>
        </w:tc>
        <w:tc>
          <w:tcPr>
            <w:tcW w:w="1239" w:type="dxa"/>
            <w:tcBorders>
              <w:top w:val="nil"/>
              <w:left w:val="nil"/>
              <w:bottom w:val="nil"/>
              <w:right w:val="nil"/>
            </w:tcBorders>
            <w:shd w:val="clear" w:color="auto" w:fill="auto"/>
            <w:noWrap/>
            <w:vAlign w:val="bottom"/>
            <w:hideMark/>
          </w:tcPr>
          <w:p>
            <w:pPr>
              <w:rPr>
                <w:sz w:val="20"/>
                <w:lang w:eastAsia="lt-LT"/>
              </w:rPr>
            </w:pPr>
          </w:p>
        </w:tc>
        <w:tc>
          <w:tcPr>
            <w:tcW w:w="1792" w:type="dxa"/>
            <w:tcBorders>
              <w:top w:val="nil"/>
              <w:left w:val="nil"/>
              <w:bottom w:val="nil"/>
              <w:right w:val="nil"/>
            </w:tcBorders>
            <w:shd w:val="clear" w:color="auto" w:fill="auto"/>
            <w:noWrap/>
            <w:vAlign w:val="bottom"/>
            <w:hideMark/>
          </w:tcPr>
          <w:p>
            <w:pPr>
              <w:rPr>
                <w:sz w:val="20"/>
                <w:lang w:eastAsia="lt-LT"/>
              </w:rPr>
            </w:pPr>
          </w:p>
        </w:tc>
        <w:tc>
          <w:tcPr>
            <w:tcW w:w="393" w:type="dxa"/>
            <w:tcBorders>
              <w:top w:val="nil"/>
              <w:left w:val="nil"/>
              <w:bottom w:val="nil"/>
              <w:right w:val="nil"/>
            </w:tcBorders>
            <w:shd w:val="clear" w:color="auto" w:fill="auto"/>
            <w:noWrap/>
            <w:vAlign w:val="bottom"/>
            <w:hideMark/>
          </w:tcPr>
          <w:p>
            <w:pPr>
              <w:rPr>
                <w:sz w:val="20"/>
                <w:lang w:eastAsia="lt-LT"/>
              </w:rPr>
            </w:pPr>
          </w:p>
        </w:tc>
        <w:tc>
          <w:tcPr>
            <w:tcW w:w="1975" w:type="dxa"/>
            <w:tcBorders>
              <w:top w:val="nil"/>
              <w:left w:val="nil"/>
              <w:bottom w:val="nil"/>
              <w:right w:val="nil"/>
            </w:tcBorders>
            <w:shd w:val="clear" w:color="auto" w:fill="auto"/>
            <w:noWrap/>
            <w:vAlign w:val="bottom"/>
            <w:hideMark/>
          </w:tcPr>
          <w:p>
            <w:pPr>
              <w:rPr>
                <w:sz w:val="20"/>
                <w:lang w:eastAsia="lt-LT"/>
              </w:rPr>
            </w:pPr>
          </w:p>
        </w:tc>
        <w:tc>
          <w:tcPr>
            <w:tcW w:w="890" w:type="dxa"/>
            <w:tcBorders>
              <w:top w:val="nil"/>
              <w:left w:val="nil"/>
              <w:bottom w:val="nil"/>
              <w:right w:val="nil"/>
            </w:tcBorders>
            <w:shd w:val="clear" w:color="auto" w:fill="auto"/>
            <w:noWrap/>
            <w:vAlign w:val="bottom"/>
            <w:hideMark/>
          </w:tcPr>
          <w:p>
            <w:pPr>
              <w:rPr>
                <w:sz w:val="20"/>
                <w:lang w:eastAsia="lt-LT"/>
              </w:rPr>
            </w:pPr>
          </w:p>
        </w:tc>
        <w:tc>
          <w:tcPr>
            <w:tcW w:w="425" w:type="dxa"/>
            <w:tcBorders>
              <w:top w:val="nil"/>
              <w:left w:val="nil"/>
              <w:bottom w:val="nil"/>
              <w:right w:val="nil"/>
            </w:tcBorders>
            <w:shd w:val="clear" w:color="auto" w:fill="auto"/>
            <w:noWrap/>
            <w:vAlign w:val="bottom"/>
            <w:hideMark/>
          </w:tcPr>
          <w:p>
            <w:pPr>
              <w:rPr>
                <w:sz w:val="20"/>
                <w:lang w:eastAsia="lt-LT"/>
              </w:rPr>
            </w:pPr>
          </w:p>
        </w:tc>
        <w:tc>
          <w:tcPr>
            <w:tcW w:w="243" w:type="dxa"/>
            <w:tcBorders>
              <w:top w:val="nil"/>
              <w:left w:val="nil"/>
              <w:bottom w:val="nil"/>
              <w:right w:val="nil"/>
            </w:tcBorders>
            <w:shd w:val="clear" w:color="auto" w:fill="auto"/>
            <w:noWrap/>
            <w:vAlign w:val="bottom"/>
            <w:hideMark/>
          </w:tcPr>
          <w:p>
            <w:pPr>
              <w:rPr>
                <w:sz w:val="20"/>
                <w:lang w:eastAsia="lt-LT"/>
              </w:rPr>
            </w:pPr>
          </w:p>
        </w:tc>
      </w:tr>
      <w:tr>
        <w:trPr>
          <w:trHeight w:val="360"/>
        </w:trPr>
        <w:tc>
          <w:tcPr>
            <w:tcW w:w="2516" w:type="dxa"/>
            <w:gridSpan w:val="4"/>
            <w:tcBorders>
              <w:top w:val="nil"/>
              <w:left w:val="nil"/>
              <w:bottom w:val="nil"/>
              <w:right w:val="nil"/>
            </w:tcBorders>
            <w:shd w:val="clear" w:color="auto" w:fill="auto"/>
            <w:noWrap/>
            <w:vAlign w:val="bottom"/>
            <w:hideMark/>
          </w:tcPr>
          <w:p>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pPr>
              <w:rPr>
                <w:sz w:val="22"/>
                <w:szCs w:val="22"/>
                <w:lang w:eastAsia="lt-LT"/>
              </w:rPr>
            </w:pPr>
          </w:p>
        </w:tc>
        <w:tc>
          <w:tcPr>
            <w:tcW w:w="1792" w:type="dxa"/>
            <w:tcBorders>
              <w:top w:val="nil"/>
              <w:left w:val="nil"/>
              <w:bottom w:val="nil"/>
              <w:right w:val="nil"/>
            </w:tcBorders>
            <w:shd w:val="clear" w:color="auto" w:fill="auto"/>
            <w:noWrap/>
            <w:vAlign w:val="bottom"/>
            <w:hideMark/>
          </w:tcPr>
          <w:p>
            <w:pPr>
              <w:rPr>
                <w:sz w:val="22"/>
                <w:szCs w:val="22"/>
                <w:lang w:eastAsia="lt-LT"/>
              </w:rPr>
            </w:pPr>
          </w:p>
        </w:tc>
        <w:tc>
          <w:tcPr>
            <w:tcW w:w="393" w:type="dxa"/>
            <w:tcBorders>
              <w:top w:val="nil"/>
              <w:left w:val="nil"/>
              <w:bottom w:val="nil"/>
              <w:right w:val="nil"/>
            </w:tcBorders>
            <w:shd w:val="clear" w:color="auto" w:fill="auto"/>
            <w:noWrap/>
            <w:vAlign w:val="bottom"/>
            <w:hideMark/>
          </w:tcPr>
          <w:p>
            <w:pPr>
              <w:rPr>
                <w:sz w:val="22"/>
                <w:szCs w:val="22"/>
                <w:lang w:eastAsia="lt-LT"/>
              </w:rPr>
            </w:pPr>
          </w:p>
        </w:tc>
        <w:tc>
          <w:tcPr>
            <w:tcW w:w="1975" w:type="dxa"/>
            <w:tcBorders>
              <w:top w:val="nil"/>
              <w:left w:val="nil"/>
              <w:bottom w:val="nil"/>
              <w:right w:val="nil"/>
            </w:tcBorders>
            <w:shd w:val="clear" w:color="auto" w:fill="auto"/>
            <w:noWrap/>
            <w:vAlign w:val="bottom"/>
            <w:hideMark/>
          </w:tcPr>
          <w:p>
            <w:pPr>
              <w:rPr>
                <w:sz w:val="22"/>
                <w:szCs w:val="22"/>
                <w:lang w:eastAsia="lt-LT"/>
              </w:rPr>
            </w:pPr>
          </w:p>
        </w:tc>
        <w:tc>
          <w:tcPr>
            <w:tcW w:w="890" w:type="dxa"/>
            <w:tcBorders>
              <w:top w:val="nil"/>
              <w:left w:val="nil"/>
              <w:bottom w:val="nil"/>
              <w:right w:val="nil"/>
            </w:tcBorders>
            <w:shd w:val="clear" w:color="auto" w:fill="auto"/>
            <w:noWrap/>
            <w:vAlign w:val="bottom"/>
            <w:hideMark/>
          </w:tcPr>
          <w:p>
            <w:pPr>
              <w:rPr>
                <w:sz w:val="22"/>
                <w:szCs w:val="22"/>
                <w:lang w:eastAsia="lt-LT"/>
              </w:rPr>
            </w:pPr>
          </w:p>
        </w:tc>
        <w:tc>
          <w:tcPr>
            <w:tcW w:w="425" w:type="dxa"/>
            <w:tcBorders>
              <w:top w:val="nil"/>
              <w:left w:val="nil"/>
              <w:bottom w:val="nil"/>
              <w:right w:val="nil"/>
            </w:tcBorders>
            <w:shd w:val="clear" w:color="auto" w:fill="auto"/>
            <w:noWrap/>
            <w:vAlign w:val="bottom"/>
            <w:hideMark/>
          </w:tcPr>
          <w:p>
            <w:pPr>
              <w:rPr>
                <w:sz w:val="22"/>
                <w:szCs w:val="22"/>
                <w:lang w:eastAsia="lt-LT"/>
              </w:rPr>
            </w:pPr>
          </w:p>
        </w:tc>
        <w:tc>
          <w:tcPr>
            <w:tcW w:w="243" w:type="dxa"/>
            <w:tcBorders>
              <w:top w:val="nil"/>
              <w:left w:val="nil"/>
              <w:bottom w:val="nil"/>
              <w:right w:val="nil"/>
            </w:tcBorders>
            <w:shd w:val="clear" w:color="auto" w:fill="auto"/>
            <w:noWrap/>
            <w:vAlign w:val="bottom"/>
            <w:hideMark/>
          </w:tcPr>
          <w:p>
            <w:pPr>
              <w:rPr>
                <w:sz w:val="22"/>
                <w:szCs w:val="22"/>
                <w:lang w:eastAsia="lt-LT"/>
              </w:rPr>
            </w:pPr>
          </w:p>
        </w:tc>
      </w:tr>
      <w:tr>
        <w:trPr>
          <w:trHeight w:val="180"/>
        </w:trPr>
        <w:tc>
          <w:tcPr>
            <w:tcW w:w="638" w:type="dxa"/>
            <w:tcBorders>
              <w:top w:val="nil"/>
              <w:left w:val="nil"/>
              <w:bottom w:val="single" w:sz="4" w:space="0" w:color="auto"/>
              <w:right w:val="nil"/>
            </w:tcBorders>
            <w:shd w:val="clear" w:color="auto" w:fill="auto"/>
            <w:noWrap/>
            <w:vAlign w:val="bottom"/>
            <w:hideMark/>
          </w:tcPr>
          <w:p>
            <w:pPr>
              <w:rPr>
                <w:sz w:val="22"/>
                <w:szCs w:val="22"/>
                <w:lang w:eastAsia="lt-LT"/>
              </w:rPr>
            </w:pPr>
          </w:p>
        </w:tc>
        <w:tc>
          <w:tcPr>
            <w:tcW w:w="638" w:type="dxa"/>
            <w:tcBorders>
              <w:top w:val="nil"/>
              <w:left w:val="nil"/>
              <w:bottom w:val="nil"/>
              <w:right w:val="nil"/>
            </w:tcBorders>
            <w:shd w:val="clear" w:color="auto" w:fill="auto"/>
            <w:noWrap/>
            <w:vAlign w:val="bottom"/>
            <w:hideMark/>
          </w:tcPr>
          <w:p>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pPr>
              <w:rPr>
                <w:sz w:val="22"/>
                <w:szCs w:val="22"/>
                <w:lang w:eastAsia="lt-LT"/>
              </w:rPr>
            </w:pPr>
          </w:p>
        </w:tc>
        <w:tc>
          <w:tcPr>
            <w:tcW w:w="1239" w:type="dxa"/>
            <w:tcBorders>
              <w:top w:val="nil"/>
              <w:left w:val="nil"/>
              <w:bottom w:val="nil"/>
              <w:right w:val="nil"/>
            </w:tcBorders>
            <w:shd w:val="clear" w:color="auto" w:fill="auto"/>
            <w:noWrap/>
            <w:vAlign w:val="bottom"/>
            <w:hideMark/>
          </w:tcPr>
          <w:p>
            <w:pPr>
              <w:rPr>
                <w:sz w:val="22"/>
                <w:szCs w:val="22"/>
                <w:lang w:eastAsia="lt-LT"/>
              </w:rPr>
            </w:pPr>
          </w:p>
        </w:tc>
        <w:tc>
          <w:tcPr>
            <w:tcW w:w="1792" w:type="dxa"/>
            <w:tcBorders>
              <w:top w:val="nil"/>
              <w:left w:val="nil"/>
              <w:bottom w:val="nil"/>
              <w:right w:val="nil"/>
            </w:tcBorders>
            <w:shd w:val="clear" w:color="auto" w:fill="auto"/>
            <w:noWrap/>
            <w:vAlign w:val="bottom"/>
            <w:hideMark/>
          </w:tcPr>
          <w:p>
            <w:pPr>
              <w:rPr>
                <w:sz w:val="22"/>
                <w:szCs w:val="22"/>
                <w:lang w:eastAsia="lt-LT"/>
              </w:rPr>
            </w:pPr>
          </w:p>
        </w:tc>
        <w:tc>
          <w:tcPr>
            <w:tcW w:w="393" w:type="dxa"/>
            <w:tcBorders>
              <w:top w:val="nil"/>
              <w:left w:val="nil"/>
              <w:bottom w:val="nil"/>
              <w:right w:val="nil"/>
            </w:tcBorders>
            <w:shd w:val="clear" w:color="auto" w:fill="auto"/>
            <w:noWrap/>
            <w:vAlign w:val="bottom"/>
            <w:hideMark/>
          </w:tcPr>
          <w:p>
            <w:pPr>
              <w:rPr>
                <w:sz w:val="22"/>
                <w:szCs w:val="22"/>
                <w:lang w:eastAsia="lt-LT"/>
              </w:rPr>
            </w:pPr>
          </w:p>
        </w:tc>
        <w:tc>
          <w:tcPr>
            <w:tcW w:w="1975" w:type="dxa"/>
            <w:tcBorders>
              <w:top w:val="nil"/>
              <w:left w:val="nil"/>
              <w:bottom w:val="nil"/>
              <w:right w:val="nil"/>
            </w:tcBorders>
            <w:shd w:val="clear" w:color="auto" w:fill="auto"/>
            <w:noWrap/>
            <w:vAlign w:val="bottom"/>
            <w:hideMark/>
          </w:tcPr>
          <w:p>
            <w:pPr>
              <w:rPr>
                <w:sz w:val="22"/>
                <w:szCs w:val="22"/>
                <w:lang w:eastAsia="lt-LT"/>
              </w:rPr>
            </w:pPr>
          </w:p>
        </w:tc>
        <w:tc>
          <w:tcPr>
            <w:tcW w:w="890" w:type="dxa"/>
            <w:tcBorders>
              <w:top w:val="nil"/>
              <w:left w:val="nil"/>
              <w:bottom w:val="nil"/>
              <w:right w:val="nil"/>
            </w:tcBorders>
            <w:shd w:val="clear" w:color="auto" w:fill="auto"/>
            <w:noWrap/>
            <w:vAlign w:val="bottom"/>
            <w:hideMark/>
          </w:tcPr>
          <w:p>
            <w:pPr>
              <w:rPr>
                <w:sz w:val="22"/>
                <w:szCs w:val="22"/>
                <w:lang w:eastAsia="lt-LT"/>
              </w:rPr>
            </w:pPr>
          </w:p>
        </w:tc>
        <w:tc>
          <w:tcPr>
            <w:tcW w:w="425" w:type="dxa"/>
            <w:tcBorders>
              <w:top w:val="nil"/>
              <w:left w:val="nil"/>
              <w:bottom w:val="nil"/>
              <w:right w:val="nil"/>
            </w:tcBorders>
            <w:shd w:val="clear" w:color="auto" w:fill="auto"/>
            <w:noWrap/>
            <w:vAlign w:val="bottom"/>
            <w:hideMark/>
          </w:tcPr>
          <w:p>
            <w:pPr>
              <w:rPr>
                <w:sz w:val="22"/>
                <w:szCs w:val="22"/>
                <w:lang w:eastAsia="lt-LT"/>
              </w:rPr>
            </w:pPr>
          </w:p>
        </w:tc>
        <w:tc>
          <w:tcPr>
            <w:tcW w:w="243" w:type="dxa"/>
            <w:tcBorders>
              <w:top w:val="nil"/>
              <w:left w:val="nil"/>
              <w:bottom w:val="nil"/>
              <w:right w:val="nil"/>
            </w:tcBorders>
            <w:shd w:val="clear" w:color="auto" w:fill="auto"/>
            <w:noWrap/>
            <w:vAlign w:val="bottom"/>
            <w:hideMark/>
          </w:tcPr>
          <w:p>
            <w:pPr>
              <w:rPr>
                <w:sz w:val="22"/>
                <w:szCs w:val="22"/>
                <w:lang w:eastAsia="lt-LT"/>
              </w:rPr>
            </w:pPr>
          </w:p>
        </w:tc>
      </w:tr>
      <w:tr>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pPr>
              <w:ind w:firstLineChars="100" w:firstLine="221"/>
              <w:rPr>
                <w:b/>
                <w:bCs/>
                <w:sz w:val="22"/>
                <w:szCs w:val="22"/>
                <w:lang w:eastAsia="lt-LT"/>
              </w:rPr>
            </w:pPr>
            <w:r>
              <w:rPr>
                <w:b/>
                <w:bCs/>
                <w:sz w:val="22"/>
                <w:szCs w:val="22"/>
                <w:lang w:eastAsia="lt-LT"/>
              </w:rPr>
              <w:t>Verslo subjekto metinių finansinių ataskaitų sudarymo būdas</w:t>
            </w:r>
          </w:p>
        </w:tc>
      </w:tr>
      <w:tr>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pPr>
              <w:ind w:firstLine="57"/>
              <w:jc w:val="center"/>
              <w:rPr>
                <w:sz w:val="22"/>
                <w:szCs w:val="22"/>
                <w:lang w:eastAsia="lt-LT"/>
              </w:rPr>
            </w:pPr>
          </w:p>
        </w:tc>
      </w:tr>
      <w:tr>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pPr>
              <w:rPr>
                <w:sz w:val="22"/>
                <w:szCs w:val="22"/>
                <w:lang w:eastAsia="lt-LT"/>
              </w:rPr>
            </w:pPr>
          </w:p>
        </w:tc>
        <w:tc>
          <w:tcPr>
            <w:tcW w:w="890" w:type="dxa"/>
            <w:tcBorders>
              <w:top w:val="nil"/>
              <w:left w:val="nil"/>
              <w:bottom w:val="single" w:sz="4" w:space="0" w:color="auto"/>
              <w:right w:val="nil"/>
            </w:tcBorders>
            <w:shd w:val="clear" w:color="auto" w:fill="auto"/>
            <w:hideMark/>
          </w:tcPr>
          <w:p>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pPr>
              <w:jc w:val="both"/>
              <w:rPr>
                <w:sz w:val="22"/>
                <w:szCs w:val="22"/>
                <w:lang w:eastAsia="lt-LT"/>
              </w:rPr>
            </w:pPr>
          </w:p>
        </w:tc>
      </w:tr>
      <w:tr>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pPr>
              <w:ind w:firstLine="57"/>
              <w:jc w:val="center"/>
              <w:rPr>
                <w:sz w:val="22"/>
                <w:szCs w:val="22"/>
                <w:lang w:eastAsia="lt-LT"/>
              </w:rPr>
            </w:pPr>
          </w:p>
        </w:tc>
      </w:tr>
      <w:tr>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pPr>
              <w:rPr>
                <w:sz w:val="22"/>
                <w:szCs w:val="22"/>
                <w:lang w:eastAsia="lt-LT"/>
              </w:rPr>
            </w:pPr>
          </w:p>
        </w:tc>
        <w:tc>
          <w:tcPr>
            <w:tcW w:w="890" w:type="dxa"/>
            <w:tcBorders>
              <w:top w:val="nil"/>
              <w:left w:val="nil"/>
              <w:bottom w:val="single" w:sz="4" w:space="0" w:color="auto"/>
              <w:right w:val="nil"/>
            </w:tcBorders>
            <w:shd w:val="clear" w:color="auto" w:fill="auto"/>
            <w:hideMark/>
          </w:tcPr>
          <w:p>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pPr>
              <w:ind w:firstLine="57"/>
              <w:jc w:val="both"/>
              <w:rPr>
                <w:sz w:val="22"/>
                <w:szCs w:val="22"/>
                <w:lang w:eastAsia="lt-LT"/>
              </w:rPr>
            </w:pPr>
          </w:p>
        </w:tc>
      </w:tr>
      <w:tr>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pPr>
              <w:ind w:firstLineChars="100" w:firstLine="221"/>
              <w:rPr>
                <w:b/>
                <w:bCs/>
                <w:sz w:val="22"/>
                <w:szCs w:val="22"/>
                <w:lang w:eastAsia="lt-LT"/>
              </w:rPr>
            </w:pPr>
            <w:r>
              <w:rPr>
                <w:b/>
                <w:bCs/>
                <w:sz w:val="22"/>
                <w:szCs w:val="22"/>
                <w:lang w:eastAsia="lt-LT"/>
              </w:rPr>
              <w:t xml:space="preserve">Metinių konsoliduotųjų finansinių ataskaitų  duomenys D</w:t>
            </w:r>
            <w:r>
              <w:rPr>
                <w:b/>
                <w:bCs/>
                <w:sz w:val="22"/>
                <w:szCs w:val="22"/>
                <w:vertAlign w:val="subscript"/>
                <w:lang w:eastAsia="lt-LT"/>
              </w:rPr>
              <w:t>A</w:t>
            </w:r>
          </w:p>
        </w:tc>
      </w:tr>
      <w:tr>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pPr>
              <w:jc w:val="center"/>
              <w:rPr>
                <w:b/>
                <w:bCs/>
                <w:sz w:val="22"/>
                <w:szCs w:val="22"/>
                <w:lang w:eastAsia="lt-LT"/>
              </w:rPr>
            </w:pPr>
            <w:r>
              <w:rPr>
                <w:b/>
                <w:bCs/>
                <w:sz w:val="22"/>
                <w:szCs w:val="22"/>
                <w:lang w:eastAsia="lt-LT"/>
              </w:rPr>
              <w:t>(metai)</w:t>
            </w:r>
          </w:p>
        </w:tc>
      </w:tr>
      <w:tr>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 xml:space="preserve">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Balanse nurodyto turto vertė (Eur)</w:t>
            </w:r>
          </w:p>
        </w:tc>
      </w:tr>
      <w:tr>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r>
      <w:tr>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pPr>
              <w:jc w:val="center"/>
              <w:rPr>
                <w:b/>
                <w:bCs/>
                <w:sz w:val="22"/>
                <w:szCs w:val="22"/>
                <w:lang w:eastAsia="lt-LT"/>
              </w:rPr>
            </w:pPr>
            <w:r>
              <w:rPr>
                <w:b/>
                <w:bCs/>
                <w:sz w:val="22"/>
                <w:szCs w:val="22"/>
                <w:lang w:eastAsia="lt-LT"/>
              </w:rPr>
              <w:t>(metai)</w:t>
            </w:r>
          </w:p>
        </w:tc>
      </w:tr>
      <w:tr>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 xml:space="preserve">Balanse nurodyto turto vertė  (Eur)</w:t>
            </w:r>
          </w:p>
        </w:tc>
      </w:tr>
      <w:tr>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r>
      <w:tr>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pPr>
              <w:jc w:val="center"/>
              <w:rPr>
                <w:b/>
                <w:bCs/>
                <w:sz w:val="22"/>
                <w:szCs w:val="22"/>
                <w:lang w:eastAsia="lt-LT"/>
              </w:rPr>
            </w:pPr>
            <w:r>
              <w:rPr>
                <w:b/>
                <w:bCs/>
                <w:sz w:val="22"/>
                <w:szCs w:val="22"/>
                <w:lang w:eastAsia="lt-LT"/>
              </w:rPr>
              <w:t>(metai)</w:t>
            </w:r>
          </w:p>
        </w:tc>
      </w:tr>
      <w:tr>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Balanse nurodyto turto vertė (Eur)</w:t>
            </w:r>
          </w:p>
        </w:tc>
      </w:tr>
      <w:tr>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pPr>
              <w:ind w:firstLine="57"/>
              <w:jc w:val="center"/>
              <w:rPr>
                <w:sz w:val="22"/>
                <w:szCs w:val="22"/>
                <w:lang w:eastAsia="lt-LT"/>
              </w:rPr>
            </w:pPr>
          </w:p>
        </w:tc>
      </w:tr>
      <w:tr>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pPr>
              <w:jc w:val="center"/>
              <w:rPr>
                <w:sz w:val="22"/>
                <w:szCs w:val="22"/>
                <w:lang w:eastAsia="lt-LT"/>
              </w:rPr>
            </w:pPr>
            <w:r>
              <w:rPr>
                <w:sz w:val="22"/>
                <w:szCs w:val="22"/>
                <w:lang w:eastAsia="lt-LT"/>
              </w:rPr>
              <w:t>Susijusios įmonės vadovo vardas, pavardė ir pareigos</w:t>
            </w: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pPr>
              <w:ind w:firstLine="57"/>
              <w:jc w:val="center"/>
              <w:rPr>
                <w:sz w:val="22"/>
                <w:szCs w:val="22"/>
                <w:lang w:eastAsia="lt-LT"/>
              </w:rPr>
            </w:pPr>
          </w:p>
        </w:tc>
      </w:tr>
      <w:tr>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pPr>
              <w:rPr>
                <w:sz w:val="22"/>
                <w:szCs w:val="22"/>
                <w:lang w:eastAsia="lt-LT"/>
              </w:rPr>
            </w:pPr>
          </w:p>
        </w:tc>
      </w:tr>
      <w:tr>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D</w:t>
            </w:r>
            <w:r>
              <w:rPr>
                <w:sz w:val="22"/>
                <w:szCs w:val="22"/>
                <w:vertAlign w:val="subscript"/>
                <w:lang w:eastAsia="lt-LT"/>
              </w:rPr>
              <w:t>Sn</w:t>
            </w:r>
          </w:p>
        </w:tc>
      </w:tr>
      <w:tr>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 xml:space="preserve">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 xml:space="preserve">Balanse nurodyto turto vertė  (Eur)</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r>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pPr>
              <w:jc w:val="center"/>
              <w:rPr>
                <w:sz w:val="22"/>
                <w:szCs w:val="22"/>
                <w:lang w:eastAsia="lt-LT"/>
              </w:rPr>
            </w:pPr>
            <w:r>
              <w:rPr>
                <w:sz w:val="22"/>
                <w:szCs w:val="22"/>
                <w:lang w:eastAsia="lt-LT"/>
              </w:rPr>
              <w:t>0,00</w:t>
            </w:r>
          </w:p>
        </w:tc>
      </w:tr>
    </w:tbl>
    <w:p>
      <w:pPr>
        <w:jc w:val="both"/>
        <w:rPr>
          <w:bCs/>
          <w:sz w:val="22"/>
          <w:szCs w:val="22"/>
        </w:rPr>
      </w:pPr>
    </w:p>
    <w:p>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trPr>
          <w:trHeight w:val="315"/>
        </w:trPr>
        <w:tc>
          <w:tcPr>
            <w:tcW w:w="660" w:type="dxa"/>
            <w:tcBorders>
              <w:top w:val="nil"/>
              <w:left w:val="nil"/>
              <w:bottom w:val="nil"/>
              <w:right w:val="nil"/>
            </w:tcBorders>
            <w:shd w:val="clear" w:color="auto" w:fill="auto"/>
            <w:noWrap/>
            <w:vAlign w:val="bottom"/>
            <w:hideMark/>
          </w:tcPr>
          <w:p>
            <w:pPr>
              <w:jc w:val="center"/>
              <w:rPr>
                <w:sz w:val="20"/>
                <w:lang w:eastAsia="lt-LT"/>
              </w:rPr>
            </w:pPr>
          </w:p>
        </w:tc>
        <w:tc>
          <w:tcPr>
            <w:tcW w:w="2160" w:type="dxa"/>
            <w:tcBorders>
              <w:top w:val="nil"/>
              <w:left w:val="nil"/>
              <w:bottom w:val="nil"/>
              <w:right w:val="nil"/>
            </w:tcBorders>
            <w:shd w:val="clear" w:color="auto" w:fill="auto"/>
            <w:noWrap/>
            <w:vAlign w:val="bottom"/>
            <w:hideMark/>
          </w:tcPr>
          <w:p>
            <w:pPr>
              <w:jc w:val="center"/>
              <w:rPr>
                <w:sz w:val="20"/>
                <w:lang w:eastAsia="lt-LT"/>
              </w:rPr>
            </w:pPr>
          </w:p>
        </w:tc>
        <w:tc>
          <w:tcPr>
            <w:tcW w:w="400" w:type="dxa"/>
            <w:tcBorders>
              <w:top w:val="nil"/>
              <w:left w:val="nil"/>
              <w:bottom w:val="nil"/>
              <w:right w:val="nil"/>
            </w:tcBorders>
            <w:shd w:val="clear" w:color="auto" w:fill="auto"/>
            <w:noWrap/>
            <w:vAlign w:val="bottom"/>
            <w:hideMark/>
          </w:tcPr>
          <w:p>
            <w:pPr>
              <w:jc w:val="center"/>
              <w:rPr>
                <w:sz w:val="20"/>
                <w:lang w:eastAsia="lt-LT"/>
              </w:rPr>
            </w:pPr>
          </w:p>
        </w:tc>
        <w:tc>
          <w:tcPr>
            <w:tcW w:w="2480" w:type="dxa"/>
            <w:tcBorders>
              <w:top w:val="nil"/>
              <w:left w:val="nil"/>
              <w:bottom w:val="nil"/>
              <w:right w:val="nil"/>
            </w:tcBorders>
            <w:shd w:val="clear" w:color="auto" w:fill="auto"/>
            <w:noWrap/>
            <w:vAlign w:val="bottom"/>
            <w:hideMark/>
          </w:tcPr>
          <w:p>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pPr>
              <w:jc w:val="center"/>
              <w:rPr>
                <w:sz w:val="20"/>
                <w:lang w:eastAsia="lt-LT"/>
              </w:rPr>
            </w:pPr>
          </w:p>
        </w:tc>
      </w:tr>
      <w:tr>
        <w:trPr>
          <w:trHeight w:val="315"/>
        </w:trPr>
        <w:tc>
          <w:tcPr>
            <w:tcW w:w="660" w:type="dxa"/>
            <w:tcBorders>
              <w:top w:val="nil"/>
              <w:left w:val="nil"/>
              <w:bottom w:val="nil"/>
              <w:right w:val="nil"/>
            </w:tcBorders>
            <w:shd w:val="clear" w:color="auto" w:fill="auto"/>
            <w:noWrap/>
            <w:vAlign w:val="bottom"/>
            <w:hideMark/>
          </w:tcPr>
          <w:p>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pPr>
              <w:jc w:val="center"/>
              <w:rPr>
                <w:b/>
                <w:bCs/>
                <w:szCs w:val="24"/>
                <w:lang w:eastAsia="lt-LT"/>
              </w:rPr>
            </w:pPr>
            <w:r>
              <w:rPr>
                <w:b/>
                <w:bCs/>
                <w:szCs w:val="24"/>
                <w:lang w:eastAsia="lt-LT"/>
              </w:rPr>
              <w:t>SUSIJUSIOS ĮMONĖS APRAŠYMAS</w:t>
            </w:r>
          </w:p>
          <w:p>
            <w:pPr>
              <w:ind w:firstLine="3162"/>
              <w:jc w:val="both"/>
              <w:rPr>
                <w:b/>
                <w:bCs/>
                <w:szCs w:val="24"/>
                <w:lang w:eastAsia="lt-LT"/>
              </w:rPr>
            </w:pPr>
            <w:r>
              <w:rPr>
                <w:b/>
                <w:bCs/>
                <w:szCs w:val="24"/>
                <w:lang w:eastAsia="lt-LT"/>
              </w:rPr>
              <w:t>(formos S1 priedas)</w:t>
            </w:r>
          </w:p>
        </w:tc>
      </w:tr>
      <w:tr>
        <w:trPr>
          <w:trHeight w:val="315"/>
        </w:trPr>
        <w:tc>
          <w:tcPr>
            <w:tcW w:w="660" w:type="dxa"/>
            <w:tcBorders>
              <w:top w:val="nil"/>
              <w:left w:val="nil"/>
              <w:bottom w:val="nil"/>
              <w:right w:val="nil"/>
            </w:tcBorders>
            <w:shd w:val="clear" w:color="auto" w:fill="auto"/>
            <w:noWrap/>
            <w:vAlign w:val="bottom"/>
            <w:hideMark/>
          </w:tcPr>
          <w:p>
            <w:pPr>
              <w:jc w:val="center"/>
              <w:rPr>
                <w:b/>
                <w:bCs/>
                <w:szCs w:val="24"/>
                <w:lang w:eastAsia="lt-LT"/>
              </w:rPr>
            </w:pPr>
          </w:p>
        </w:tc>
        <w:tc>
          <w:tcPr>
            <w:tcW w:w="2160" w:type="dxa"/>
            <w:tcBorders>
              <w:top w:val="nil"/>
              <w:left w:val="nil"/>
              <w:bottom w:val="nil"/>
              <w:right w:val="nil"/>
            </w:tcBorders>
            <w:shd w:val="clear" w:color="auto" w:fill="auto"/>
            <w:noWrap/>
            <w:vAlign w:val="bottom"/>
            <w:hideMark/>
          </w:tcPr>
          <w:p>
            <w:pPr>
              <w:rPr>
                <w:sz w:val="20"/>
                <w:lang w:eastAsia="lt-LT"/>
              </w:rPr>
            </w:pPr>
          </w:p>
        </w:tc>
        <w:tc>
          <w:tcPr>
            <w:tcW w:w="400" w:type="dxa"/>
            <w:tcBorders>
              <w:top w:val="nil"/>
              <w:left w:val="nil"/>
              <w:bottom w:val="nil"/>
              <w:right w:val="nil"/>
            </w:tcBorders>
            <w:shd w:val="clear" w:color="auto" w:fill="auto"/>
            <w:noWrap/>
            <w:vAlign w:val="bottom"/>
            <w:hideMark/>
          </w:tcPr>
          <w:p>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pPr>
              <w:jc w:val="center"/>
              <w:rPr>
                <w:szCs w:val="24"/>
                <w:lang w:eastAsia="lt-LT"/>
              </w:rPr>
            </w:pPr>
          </w:p>
        </w:tc>
      </w:tr>
      <w:tr>
        <w:trPr>
          <w:trHeight w:val="225"/>
        </w:trPr>
        <w:tc>
          <w:tcPr>
            <w:tcW w:w="660" w:type="dxa"/>
            <w:tcBorders>
              <w:top w:val="nil"/>
              <w:left w:val="nil"/>
              <w:bottom w:val="nil"/>
              <w:right w:val="nil"/>
            </w:tcBorders>
            <w:shd w:val="clear" w:color="auto" w:fill="auto"/>
            <w:noWrap/>
            <w:vAlign w:val="bottom"/>
            <w:hideMark/>
          </w:tcPr>
          <w:p>
            <w:pPr>
              <w:rPr>
                <w:sz w:val="20"/>
                <w:lang w:eastAsia="lt-LT"/>
              </w:rPr>
            </w:pPr>
          </w:p>
        </w:tc>
        <w:tc>
          <w:tcPr>
            <w:tcW w:w="2160" w:type="dxa"/>
            <w:tcBorders>
              <w:top w:val="nil"/>
              <w:left w:val="nil"/>
              <w:bottom w:val="nil"/>
              <w:right w:val="nil"/>
            </w:tcBorders>
            <w:shd w:val="clear" w:color="auto" w:fill="auto"/>
            <w:noWrap/>
            <w:vAlign w:val="bottom"/>
            <w:hideMark/>
          </w:tcPr>
          <w:p>
            <w:pPr>
              <w:rPr>
                <w:sz w:val="20"/>
                <w:lang w:eastAsia="lt-LT"/>
              </w:rPr>
            </w:pPr>
          </w:p>
        </w:tc>
        <w:tc>
          <w:tcPr>
            <w:tcW w:w="400" w:type="dxa"/>
            <w:tcBorders>
              <w:top w:val="nil"/>
              <w:left w:val="nil"/>
              <w:bottom w:val="nil"/>
              <w:right w:val="nil"/>
            </w:tcBorders>
            <w:shd w:val="clear" w:color="auto" w:fill="auto"/>
            <w:noWrap/>
            <w:vAlign w:val="bottom"/>
            <w:hideMark/>
          </w:tcPr>
          <w:p>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pPr>
              <w:jc w:val="center"/>
              <w:rPr>
                <w:sz w:val="20"/>
                <w:lang w:eastAsia="lt-LT"/>
              </w:rPr>
            </w:pPr>
          </w:p>
        </w:tc>
      </w:tr>
      <w:tr>
        <w:trPr>
          <w:trHeight w:val="315"/>
        </w:trPr>
        <w:tc>
          <w:tcPr>
            <w:tcW w:w="660" w:type="dxa"/>
            <w:tcBorders>
              <w:top w:val="nil"/>
              <w:left w:val="nil"/>
              <w:bottom w:val="nil"/>
              <w:right w:val="nil"/>
            </w:tcBorders>
            <w:shd w:val="clear" w:color="auto" w:fill="auto"/>
            <w:noWrap/>
            <w:vAlign w:val="bottom"/>
            <w:hideMark/>
          </w:tcPr>
          <w:p>
            <w:pPr>
              <w:rPr>
                <w:sz w:val="20"/>
                <w:lang w:eastAsia="lt-LT"/>
              </w:rPr>
            </w:pPr>
          </w:p>
        </w:tc>
        <w:tc>
          <w:tcPr>
            <w:tcW w:w="2160" w:type="dxa"/>
            <w:tcBorders>
              <w:top w:val="nil"/>
              <w:left w:val="nil"/>
              <w:bottom w:val="nil"/>
              <w:right w:val="nil"/>
            </w:tcBorders>
            <w:shd w:val="clear" w:color="auto" w:fill="auto"/>
            <w:noWrap/>
            <w:vAlign w:val="bottom"/>
            <w:hideMark/>
          </w:tcPr>
          <w:p>
            <w:pPr>
              <w:rPr>
                <w:sz w:val="20"/>
                <w:lang w:eastAsia="lt-LT"/>
              </w:rPr>
            </w:pPr>
          </w:p>
        </w:tc>
        <w:tc>
          <w:tcPr>
            <w:tcW w:w="400" w:type="dxa"/>
            <w:tcBorders>
              <w:top w:val="nil"/>
              <w:left w:val="nil"/>
              <w:bottom w:val="nil"/>
              <w:right w:val="nil"/>
            </w:tcBorders>
            <w:shd w:val="clear" w:color="auto" w:fill="auto"/>
            <w:noWrap/>
            <w:vAlign w:val="bottom"/>
            <w:hideMark/>
          </w:tcPr>
          <w:p>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pPr>
              <w:jc w:val="center"/>
              <w:rPr>
                <w:szCs w:val="24"/>
                <w:lang w:eastAsia="lt-LT"/>
              </w:rPr>
            </w:pPr>
          </w:p>
        </w:tc>
      </w:tr>
      <w:tr>
        <w:trPr>
          <w:trHeight w:val="225"/>
        </w:trPr>
        <w:tc>
          <w:tcPr>
            <w:tcW w:w="660" w:type="dxa"/>
            <w:tcBorders>
              <w:top w:val="nil"/>
              <w:left w:val="nil"/>
              <w:bottom w:val="nil"/>
              <w:right w:val="nil"/>
            </w:tcBorders>
            <w:shd w:val="clear" w:color="auto" w:fill="auto"/>
            <w:noWrap/>
            <w:vAlign w:val="bottom"/>
            <w:hideMark/>
          </w:tcPr>
          <w:p>
            <w:pPr>
              <w:rPr>
                <w:sz w:val="20"/>
                <w:lang w:eastAsia="lt-LT"/>
              </w:rPr>
            </w:pPr>
          </w:p>
        </w:tc>
        <w:tc>
          <w:tcPr>
            <w:tcW w:w="2160" w:type="dxa"/>
            <w:tcBorders>
              <w:top w:val="nil"/>
              <w:left w:val="nil"/>
              <w:bottom w:val="nil"/>
              <w:right w:val="nil"/>
            </w:tcBorders>
            <w:shd w:val="clear" w:color="auto" w:fill="auto"/>
            <w:noWrap/>
            <w:vAlign w:val="bottom"/>
            <w:hideMark/>
          </w:tcPr>
          <w:p>
            <w:pPr>
              <w:jc w:val="center"/>
              <w:rPr>
                <w:sz w:val="20"/>
                <w:lang w:eastAsia="lt-LT"/>
              </w:rPr>
            </w:pPr>
          </w:p>
        </w:tc>
        <w:tc>
          <w:tcPr>
            <w:tcW w:w="400" w:type="dxa"/>
            <w:tcBorders>
              <w:top w:val="nil"/>
              <w:left w:val="nil"/>
              <w:bottom w:val="nil"/>
              <w:right w:val="nil"/>
            </w:tcBorders>
            <w:shd w:val="clear" w:color="auto" w:fill="auto"/>
            <w:noWrap/>
            <w:vAlign w:val="bottom"/>
            <w:hideMark/>
          </w:tcPr>
          <w:p>
            <w:pPr>
              <w:rPr>
                <w:sz w:val="20"/>
                <w:lang w:eastAsia="lt-LT"/>
              </w:rPr>
            </w:pPr>
          </w:p>
        </w:tc>
        <w:tc>
          <w:tcPr>
            <w:tcW w:w="3000" w:type="dxa"/>
            <w:gridSpan w:val="2"/>
            <w:tcBorders>
              <w:top w:val="nil"/>
              <w:left w:val="nil"/>
              <w:bottom w:val="nil"/>
              <w:right w:val="nil"/>
            </w:tcBorders>
            <w:shd w:val="clear" w:color="auto" w:fill="auto"/>
            <w:noWrap/>
            <w:vAlign w:val="bottom"/>
            <w:hideMark/>
          </w:tcPr>
          <w:p>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pPr>
              <w:jc w:val="center"/>
              <w:rPr>
                <w:sz w:val="20"/>
                <w:lang w:eastAsia="lt-LT"/>
              </w:rPr>
            </w:pPr>
          </w:p>
        </w:tc>
      </w:tr>
      <w:tr>
        <w:trPr>
          <w:trHeight w:val="330"/>
        </w:trPr>
        <w:tc>
          <w:tcPr>
            <w:tcW w:w="2820" w:type="dxa"/>
            <w:gridSpan w:val="2"/>
            <w:tcBorders>
              <w:top w:val="nil"/>
              <w:left w:val="nil"/>
              <w:bottom w:val="nil"/>
              <w:right w:val="nil"/>
            </w:tcBorders>
            <w:shd w:val="clear" w:color="auto" w:fill="auto"/>
            <w:noWrap/>
            <w:vAlign w:val="bottom"/>
            <w:hideMark/>
          </w:tcPr>
          <w:p>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pPr>
              <w:jc w:val="center"/>
              <w:rPr>
                <w:szCs w:val="24"/>
                <w:lang w:eastAsia="lt-LT"/>
              </w:rPr>
            </w:pPr>
          </w:p>
        </w:tc>
        <w:tc>
          <w:tcPr>
            <w:tcW w:w="520" w:type="dxa"/>
            <w:tcBorders>
              <w:top w:val="nil"/>
              <w:left w:val="nil"/>
              <w:bottom w:val="nil"/>
              <w:right w:val="nil"/>
            </w:tcBorders>
            <w:shd w:val="clear" w:color="auto" w:fill="auto"/>
            <w:noWrap/>
            <w:vAlign w:val="bottom"/>
            <w:hideMark/>
          </w:tcPr>
          <w:p>
            <w:pPr>
              <w:rPr>
                <w:sz w:val="20"/>
                <w:lang w:eastAsia="lt-LT"/>
              </w:rPr>
            </w:pPr>
          </w:p>
        </w:tc>
        <w:tc>
          <w:tcPr>
            <w:tcW w:w="3311" w:type="dxa"/>
            <w:tcBorders>
              <w:top w:val="nil"/>
              <w:left w:val="nil"/>
              <w:bottom w:val="nil"/>
              <w:right w:val="nil"/>
            </w:tcBorders>
            <w:shd w:val="clear" w:color="auto" w:fill="auto"/>
            <w:noWrap/>
            <w:vAlign w:val="bottom"/>
            <w:hideMark/>
          </w:tcPr>
          <w:p>
            <w:pPr>
              <w:rPr>
                <w:sz w:val="20"/>
                <w:lang w:eastAsia="lt-LT"/>
              </w:rPr>
            </w:pPr>
          </w:p>
        </w:tc>
      </w:tr>
      <w:tr>
        <w:trPr>
          <w:trHeight w:val="330"/>
        </w:trPr>
        <w:tc>
          <w:tcPr>
            <w:tcW w:w="2820" w:type="dxa"/>
            <w:gridSpan w:val="2"/>
            <w:tcBorders>
              <w:top w:val="nil"/>
              <w:left w:val="nil"/>
              <w:bottom w:val="nil"/>
              <w:right w:val="nil"/>
            </w:tcBorders>
            <w:shd w:val="clear" w:color="auto" w:fill="auto"/>
            <w:vAlign w:val="bottom"/>
            <w:hideMark/>
          </w:tcPr>
          <w:p>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pPr>
              <w:ind w:firstLine="62"/>
              <w:rPr>
                <w:szCs w:val="24"/>
                <w:lang w:eastAsia="lt-LT"/>
              </w:rPr>
            </w:pPr>
          </w:p>
        </w:tc>
        <w:tc>
          <w:tcPr>
            <w:tcW w:w="2480" w:type="dxa"/>
            <w:tcBorders>
              <w:top w:val="nil"/>
              <w:left w:val="nil"/>
              <w:bottom w:val="nil"/>
              <w:right w:val="nil"/>
            </w:tcBorders>
            <w:shd w:val="clear" w:color="auto" w:fill="auto"/>
            <w:noWrap/>
            <w:vAlign w:val="bottom"/>
            <w:hideMark/>
          </w:tcPr>
          <w:p>
            <w:pPr>
              <w:rPr>
                <w:szCs w:val="24"/>
                <w:lang w:eastAsia="lt-LT"/>
              </w:rPr>
            </w:pPr>
          </w:p>
        </w:tc>
        <w:tc>
          <w:tcPr>
            <w:tcW w:w="520" w:type="dxa"/>
            <w:tcBorders>
              <w:top w:val="nil"/>
              <w:left w:val="nil"/>
              <w:bottom w:val="nil"/>
              <w:right w:val="nil"/>
            </w:tcBorders>
            <w:shd w:val="clear" w:color="auto" w:fill="auto"/>
            <w:noWrap/>
            <w:vAlign w:val="bottom"/>
            <w:hideMark/>
          </w:tcPr>
          <w:p>
            <w:pPr>
              <w:rPr>
                <w:sz w:val="20"/>
                <w:lang w:eastAsia="lt-LT"/>
              </w:rPr>
            </w:pPr>
          </w:p>
        </w:tc>
        <w:tc>
          <w:tcPr>
            <w:tcW w:w="3311" w:type="dxa"/>
            <w:tcBorders>
              <w:top w:val="nil"/>
              <w:left w:val="nil"/>
              <w:bottom w:val="nil"/>
              <w:right w:val="nil"/>
            </w:tcBorders>
            <w:shd w:val="clear" w:color="auto" w:fill="auto"/>
            <w:noWrap/>
            <w:vAlign w:val="bottom"/>
            <w:hideMark/>
          </w:tcPr>
          <w:p>
            <w:pPr>
              <w:rPr>
                <w:sz w:val="20"/>
                <w:lang w:eastAsia="lt-LT"/>
              </w:rPr>
            </w:pPr>
          </w:p>
        </w:tc>
      </w:tr>
      <w:tr>
        <w:trPr>
          <w:trHeight w:val="315"/>
        </w:trPr>
        <w:tc>
          <w:tcPr>
            <w:tcW w:w="660" w:type="dxa"/>
            <w:tcBorders>
              <w:top w:val="nil"/>
              <w:left w:val="nil"/>
              <w:bottom w:val="nil"/>
              <w:right w:val="nil"/>
            </w:tcBorders>
            <w:shd w:val="clear" w:color="auto" w:fill="auto"/>
            <w:noWrap/>
            <w:vAlign w:val="bottom"/>
            <w:hideMark/>
          </w:tcPr>
          <w:p>
            <w:pPr>
              <w:rPr>
                <w:sz w:val="20"/>
                <w:lang w:eastAsia="lt-LT"/>
              </w:rPr>
            </w:pPr>
          </w:p>
        </w:tc>
        <w:tc>
          <w:tcPr>
            <w:tcW w:w="2160" w:type="dxa"/>
            <w:tcBorders>
              <w:top w:val="nil"/>
              <w:left w:val="nil"/>
              <w:bottom w:val="nil"/>
              <w:right w:val="nil"/>
            </w:tcBorders>
            <w:shd w:val="clear" w:color="auto" w:fill="auto"/>
            <w:noWrap/>
            <w:vAlign w:val="bottom"/>
            <w:hideMark/>
          </w:tcPr>
          <w:p>
            <w:pPr>
              <w:jc w:val="center"/>
              <w:rPr>
                <w:sz w:val="20"/>
                <w:lang w:eastAsia="lt-LT"/>
              </w:rPr>
            </w:pPr>
          </w:p>
        </w:tc>
        <w:tc>
          <w:tcPr>
            <w:tcW w:w="400" w:type="dxa"/>
            <w:tcBorders>
              <w:top w:val="nil"/>
              <w:left w:val="nil"/>
              <w:bottom w:val="nil"/>
              <w:right w:val="nil"/>
            </w:tcBorders>
            <w:shd w:val="clear" w:color="auto" w:fill="auto"/>
            <w:noWrap/>
            <w:vAlign w:val="bottom"/>
            <w:hideMark/>
          </w:tcPr>
          <w:p>
            <w:pPr>
              <w:rPr>
                <w:sz w:val="20"/>
                <w:lang w:eastAsia="lt-LT"/>
              </w:rPr>
            </w:pPr>
          </w:p>
        </w:tc>
        <w:tc>
          <w:tcPr>
            <w:tcW w:w="2480" w:type="dxa"/>
            <w:tcBorders>
              <w:top w:val="nil"/>
              <w:left w:val="nil"/>
              <w:bottom w:val="nil"/>
              <w:right w:val="nil"/>
            </w:tcBorders>
            <w:shd w:val="clear" w:color="auto" w:fill="auto"/>
            <w:noWrap/>
            <w:vAlign w:val="bottom"/>
            <w:hideMark/>
          </w:tcPr>
          <w:p>
            <w:pPr>
              <w:rPr>
                <w:sz w:val="20"/>
                <w:lang w:eastAsia="lt-LT"/>
              </w:rPr>
            </w:pPr>
          </w:p>
        </w:tc>
        <w:tc>
          <w:tcPr>
            <w:tcW w:w="520" w:type="dxa"/>
            <w:tcBorders>
              <w:top w:val="nil"/>
              <w:left w:val="nil"/>
              <w:bottom w:val="nil"/>
              <w:right w:val="nil"/>
            </w:tcBorders>
            <w:shd w:val="clear" w:color="auto" w:fill="auto"/>
            <w:noWrap/>
            <w:vAlign w:val="bottom"/>
            <w:hideMark/>
          </w:tcPr>
          <w:p>
            <w:pPr>
              <w:rPr>
                <w:sz w:val="20"/>
                <w:lang w:eastAsia="lt-LT"/>
              </w:rPr>
            </w:pPr>
          </w:p>
        </w:tc>
        <w:tc>
          <w:tcPr>
            <w:tcW w:w="3311" w:type="dxa"/>
            <w:tcBorders>
              <w:top w:val="nil"/>
              <w:left w:val="nil"/>
              <w:bottom w:val="nil"/>
              <w:right w:val="nil"/>
            </w:tcBorders>
            <w:shd w:val="clear" w:color="auto" w:fill="auto"/>
            <w:noWrap/>
            <w:vAlign w:val="bottom"/>
            <w:hideMark/>
          </w:tcPr>
          <w:p>
            <w:pPr>
              <w:rPr>
                <w:sz w:val="20"/>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pPr>
              <w:ind w:firstLineChars="100" w:firstLine="241"/>
              <w:rPr>
                <w:b/>
                <w:bCs/>
                <w:szCs w:val="24"/>
                <w:lang w:eastAsia="lt-LT"/>
              </w:rPr>
            </w:pPr>
            <w:r>
              <w:rPr>
                <w:b/>
                <w:bCs/>
                <w:szCs w:val="24"/>
                <w:lang w:eastAsia="lt-LT"/>
              </w:rPr>
              <w:t xml:space="preserve">Įmonės pavadinimas </w:t>
            </w:r>
          </w:p>
        </w:tc>
      </w:tr>
      <w:tr>
        <w:trPr>
          <w:trHeight w:val="360"/>
        </w:trPr>
        <w:tc>
          <w:tcPr>
            <w:tcW w:w="9531" w:type="dxa"/>
            <w:gridSpan w:val="6"/>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Įmonės buveinė</w:t>
            </w:r>
          </w:p>
        </w:tc>
      </w:tr>
      <w:tr>
        <w:trPr>
          <w:trHeight w:val="360"/>
        </w:trPr>
        <w:tc>
          <w:tcPr>
            <w:tcW w:w="9531" w:type="dxa"/>
            <w:gridSpan w:val="6"/>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Įmonės įsteigimo data</w:t>
            </w:r>
          </w:p>
        </w:tc>
      </w:tr>
      <w:tr>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pPr>
              <w:ind w:firstLine="62"/>
              <w:rPr>
                <w:szCs w:val="24"/>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Įmonės kodas</w:t>
            </w:r>
          </w:p>
        </w:tc>
      </w:tr>
      <w:tr>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pPr>
              <w:ind w:firstLine="62"/>
              <w:rPr>
                <w:szCs w:val="24"/>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Įmonės vadovo vardas, pavardė ir pareigos</w:t>
            </w:r>
          </w:p>
        </w:tc>
      </w:tr>
      <w:tr>
        <w:trPr>
          <w:trHeight w:val="360"/>
        </w:trPr>
        <w:tc>
          <w:tcPr>
            <w:tcW w:w="9531" w:type="dxa"/>
            <w:gridSpan w:val="6"/>
            <w:tcBorders>
              <w:top w:val="nil"/>
              <w:left w:val="single" w:sz="4" w:space="0" w:color="auto"/>
              <w:bottom w:val="nil"/>
              <w:right w:val="single" w:sz="4" w:space="0" w:color="000000"/>
            </w:tcBorders>
            <w:shd w:val="clear" w:color="000000" w:fill="CCFFCC"/>
            <w:hideMark/>
          </w:tcPr>
          <w:p>
            <w:pPr>
              <w:ind w:firstLine="62"/>
              <w:rPr>
                <w:szCs w:val="24"/>
                <w:lang w:eastAsia="lt-LT"/>
              </w:rPr>
            </w:pPr>
          </w:p>
        </w:tc>
      </w:tr>
      <w:tr>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pPr>
              <w:ind w:firstLineChars="100" w:firstLine="241"/>
              <w:rPr>
                <w:b/>
                <w:bCs/>
                <w:szCs w:val="24"/>
                <w:lang w:eastAsia="lt-LT"/>
              </w:rPr>
            </w:pPr>
            <w:r>
              <w:rPr>
                <w:b/>
                <w:bCs/>
                <w:szCs w:val="24"/>
                <w:lang w:eastAsia="lt-LT"/>
              </w:rPr>
              <w:t>Įmonės ryšių duomenys: elektroninis paštas ir telefonas</w:t>
            </w:r>
          </w:p>
        </w:tc>
      </w:tr>
      <w:tr>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pPr>
              <w:ind w:firstLine="62"/>
              <w:rPr>
                <w:szCs w:val="24"/>
                <w:lang w:eastAsia="lt-LT"/>
              </w:rPr>
            </w:pPr>
          </w:p>
        </w:tc>
      </w:tr>
      <w:tr>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trPr>
          <w:trHeight w:val="345"/>
        </w:trPr>
        <w:tc>
          <w:tcPr>
            <w:tcW w:w="660" w:type="dxa"/>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pPr>
              <w:rPr>
                <w:b/>
                <w:bCs/>
                <w:szCs w:val="24"/>
                <w:lang w:eastAsia="lt-LT"/>
              </w:rPr>
            </w:pPr>
            <w:r>
              <w:rPr>
                <w:b/>
                <w:bCs/>
                <w:szCs w:val="24"/>
                <w:lang w:eastAsia="lt-LT"/>
              </w:rPr>
              <w:t>(metai)</w:t>
            </w:r>
          </w:p>
        </w:tc>
      </w:tr>
      <w:tr>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Metinės pajamos  (Eur)</w:t>
            </w:r>
          </w:p>
        </w:tc>
        <w:tc>
          <w:tcPr>
            <w:tcW w:w="3311" w:type="dxa"/>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Balanse nurodyto turto vertė  (Eur)</w:t>
            </w:r>
          </w:p>
        </w:tc>
      </w:tr>
      <w:tr>
        <w:trPr>
          <w:trHeight w:val="435"/>
        </w:trPr>
        <w:tc>
          <w:tcPr>
            <w:tcW w:w="660" w:type="dxa"/>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r>
      <w:tr>
        <w:trPr>
          <w:trHeight w:val="345"/>
        </w:trPr>
        <w:tc>
          <w:tcPr>
            <w:tcW w:w="660" w:type="dxa"/>
            <w:tcBorders>
              <w:top w:val="nil"/>
              <w:left w:val="single" w:sz="4" w:space="0" w:color="auto"/>
              <w:bottom w:val="single" w:sz="4" w:space="0" w:color="auto"/>
              <w:right w:val="single" w:sz="4" w:space="0" w:color="auto"/>
            </w:tcBorders>
            <w:shd w:val="clear" w:color="auto" w:fill="auto"/>
            <w:hideMark/>
          </w:tcPr>
          <w:p>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pPr>
              <w:rPr>
                <w:b/>
                <w:bCs/>
                <w:szCs w:val="24"/>
                <w:lang w:eastAsia="lt-LT"/>
              </w:rPr>
            </w:pPr>
            <w:r>
              <w:rPr>
                <w:b/>
                <w:bCs/>
                <w:szCs w:val="24"/>
                <w:lang w:eastAsia="lt-LT"/>
              </w:rPr>
              <w:t>(metai)</w:t>
            </w:r>
          </w:p>
        </w:tc>
      </w:tr>
      <w:tr>
        <w:trPr>
          <w:trHeight w:val="630"/>
        </w:trPr>
        <w:tc>
          <w:tcPr>
            <w:tcW w:w="660" w:type="dxa"/>
            <w:vMerge w:val="restart"/>
            <w:tcBorders>
              <w:top w:val="nil"/>
              <w:left w:val="single" w:sz="4" w:space="0" w:color="auto"/>
              <w:bottom w:val="nil"/>
              <w:right w:val="single" w:sz="4" w:space="0" w:color="auto"/>
            </w:tcBorders>
            <w:shd w:val="clear" w:color="auto" w:fill="auto"/>
            <w:hideMark/>
          </w:tcPr>
          <w:p>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Metinės pajamos  (Eur)</w:t>
            </w:r>
          </w:p>
        </w:tc>
        <w:tc>
          <w:tcPr>
            <w:tcW w:w="3311" w:type="dxa"/>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Balanse nurodyto turto vertė  (Eur)</w:t>
            </w:r>
          </w:p>
        </w:tc>
      </w:tr>
      <w:tr>
        <w:trPr>
          <w:trHeight w:val="435"/>
        </w:trPr>
        <w:tc>
          <w:tcPr>
            <w:tcW w:w="660" w:type="dxa"/>
            <w:vMerge/>
            <w:tcBorders>
              <w:top w:val="nil"/>
              <w:left w:val="single" w:sz="4" w:space="0" w:color="auto"/>
              <w:bottom w:val="nil"/>
              <w:right w:val="single" w:sz="4" w:space="0" w:color="auto"/>
            </w:tcBorders>
            <w:vAlign w:val="center"/>
            <w:hideMark/>
          </w:tcPr>
          <w:p>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pPr>
              <w:ind w:firstLine="62"/>
              <w:jc w:val="center"/>
              <w:rPr>
                <w:szCs w:val="24"/>
                <w:lang w:eastAsia="lt-LT"/>
              </w:rPr>
            </w:pPr>
          </w:p>
        </w:tc>
      </w:tr>
      <w:tr>
        <w:trPr>
          <w:trHeight w:val="345"/>
        </w:trPr>
        <w:tc>
          <w:tcPr>
            <w:tcW w:w="660" w:type="dxa"/>
            <w:tcBorders>
              <w:top w:val="single" w:sz="4" w:space="0" w:color="auto"/>
              <w:left w:val="single" w:sz="4" w:space="0" w:color="auto"/>
              <w:bottom w:val="single" w:sz="4" w:space="0" w:color="auto"/>
              <w:right w:val="nil"/>
            </w:tcBorders>
            <w:shd w:val="clear" w:color="auto" w:fill="auto"/>
            <w:hideMark/>
          </w:tcPr>
          <w:p>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pPr>
              <w:rPr>
                <w:b/>
                <w:bCs/>
                <w:szCs w:val="24"/>
                <w:lang w:eastAsia="lt-LT"/>
              </w:rPr>
            </w:pPr>
            <w:r>
              <w:rPr>
                <w:b/>
                <w:bCs/>
                <w:szCs w:val="24"/>
                <w:lang w:eastAsia="lt-LT"/>
              </w:rPr>
              <w:t>(metai)</w:t>
            </w:r>
          </w:p>
        </w:tc>
      </w:tr>
      <w:tr>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Metinės pajamos  (Eur)</w:t>
            </w:r>
          </w:p>
        </w:tc>
        <w:tc>
          <w:tcPr>
            <w:tcW w:w="3311" w:type="dxa"/>
            <w:tcBorders>
              <w:top w:val="nil"/>
              <w:left w:val="nil"/>
              <w:bottom w:val="single" w:sz="4" w:space="0" w:color="auto"/>
              <w:right w:val="single" w:sz="4" w:space="0" w:color="auto"/>
            </w:tcBorders>
            <w:shd w:val="clear" w:color="auto" w:fill="auto"/>
            <w:hideMark/>
          </w:tcPr>
          <w:p>
            <w:pPr>
              <w:jc w:val="center"/>
              <w:rPr>
                <w:szCs w:val="24"/>
                <w:lang w:eastAsia="lt-LT"/>
              </w:rPr>
            </w:pPr>
            <w:r>
              <w:rPr>
                <w:szCs w:val="24"/>
                <w:lang w:eastAsia="lt-LT"/>
              </w:rPr>
              <w:t xml:space="preserve">Balanse nurodyto turto vertė  (Eur)</w:t>
            </w:r>
          </w:p>
        </w:tc>
      </w:tr>
      <w:tr>
        <w:trPr>
          <w:trHeight w:val="435"/>
        </w:trPr>
        <w:tc>
          <w:tcPr>
            <w:tcW w:w="660" w:type="dxa"/>
            <w:vMerge/>
            <w:tcBorders>
              <w:top w:val="nil"/>
              <w:left w:val="single" w:sz="4" w:space="0" w:color="auto"/>
              <w:bottom w:val="single" w:sz="4" w:space="0" w:color="000000"/>
              <w:right w:val="single" w:sz="4" w:space="0" w:color="auto"/>
            </w:tcBorders>
            <w:vAlign w:val="center"/>
            <w:hideMark/>
          </w:tcPr>
          <w:p>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pPr>
              <w:ind w:firstLine="62"/>
              <w:jc w:val="center"/>
              <w:rPr>
                <w:szCs w:val="24"/>
                <w:lang w:eastAsia="lt-LT"/>
              </w:rPr>
            </w:pP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642fa0810311e4bc68a1493830b8b9">
        <w:r w:rsidRPr="00532B9F">
          <w:rPr>
            <w:rFonts w:ascii="Times New Roman" w:eastAsia="MS Mincho" w:hAnsi="Times New Roman"/>
            <w:sz w:val="20"/>
            <w:i/>
            <w:iCs/>
            <w:color w:val="0000FF" w:themeColor="hyperlink"/>
            <w:u w:val="single"/>
          </w:rPr>
          <w:t>4-891</w:t>
        </w:r>
      </w:fldSimple>
      <w:r>
        <w:rPr>
          <w:rFonts w:ascii="Times New Roman" w:eastAsia="MS Mincho" w:hAnsi="Times New Roman"/>
          <w:sz w:val="20"/>
          <w:i/>
          <w:iCs/>
        </w:rPr>
        <w:t>,
2014-12-10,
paskelbta TAR 2014-12-11, i. k. 2014-19464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dc7da0268211e78397ae072f58c508">
        <w:r w:rsidRPr="00532B9F">
          <w:rPr>
            <w:rFonts w:ascii="Times New Roman" w:eastAsia="MS Mincho" w:hAnsi="Times New Roman"/>
            <w:sz w:val="20"/>
            <w:i/>
            <w:iCs/>
            <w:color w:val="0000FF" w:themeColor="hyperlink"/>
            <w:u w:val="single"/>
          </w:rPr>
          <w:t>4-250</w:t>
        </w:r>
      </w:fldSimple>
      <w:r>
        <w:rPr>
          <w:rFonts w:ascii="Times New Roman" w:eastAsia="MS Mincho" w:hAnsi="Times New Roman"/>
          <w:sz w:val="20"/>
          <w:i/>
          <w:iCs/>
        </w:rPr>
        <w:t>,
2017-04-21,
paskelbta TAR 2017-04-21, i. k. 2017-06764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6FFE9E01A6F">
        <w:r w:rsidRPr="00532B9F">
          <w:rPr>
            <w:rFonts w:ascii="Times New Roman" w:eastAsia="MS Mincho" w:hAnsi="Times New Roman"/>
            <w:sz w:val="20"/>
            <w:iCs/>
            <w:color w:val="0000FF" w:themeColor="hyperlink"/>
            <w:u w:val="single"/>
          </w:rPr>
          <w:t>4-169</w:t>
        </w:r>
      </w:fldSimple>
      <w:r>
        <w:rPr>
          <w:rFonts w:ascii="Times New Roman" w:eastAsia="MS Mincho" w:hAnsi="Times New Roman"/>
          <w:sz w:val="20"/>
          <w:iCs/>
        </w:rPr>
        <w:t>,
2008-04-29,
Žin., 2008, Nr.
51-1908 (2008-04-30), i. k. 1082020ISAK0004-169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FCF371DE60">
        <w:r w:rsidRPr="00532B9F">
          <w:rPr>
            <w:rFonts w:ascii="Times New Roman" w:eastAsia="MS Mincho" w:hAnsi="Times New Roman"/>
            <w:sz w:val="20"/>
            <w:iCs/>
            <w:color w:val="0000FF" w:themeColor="hyperlink"/>
            <w:u w:val="single"/>
          </w:rPr>
          <w:t>4-339</w:t>
        </w:r>
      </w:fldSimple>
      <w:r>
        <w:rPr>
          <w:rFonts w:ascii="Times New Roman" w:eastAsia="MS Mincho" w:hAnsi="Times New Roman"/>
          <w:sz w:val="20"/>
          <w:iCs/>
        </w:rPr>
        <w:t>,
2010-04-30,
Žin., 2010, Nr.
51-2534 (2010-05-04), i. k. 1102020ISAK0004-339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2642fa0810311e4bc68a1493830b8b9">
        <w:r w:rsidRPr="00532B9F">
          <w:rPr>
            <w:rFonts w:ascii="Times New Roman" w:eastAsia="MS Mincho" w:hAnsi="Times New Roman"/>
            <w:sz w:val="20"/>
            <w:iCs/>
            <w:color w:val="0000FF" w:themeColor="hyperlink"/>
            <w:u w:val="single"/>
          </w:rPr>
          <w:t>4-891</w:t>
        </w:r>
      </w:fldSimple>
      <w:r>
        <w:rPr>
          <w:rFonts w:ascii="Times New Roman" w:eastAsia="MS Mincho" w:hAnsi="Times New Roman"/>
          <w:sz w:val="20"/>
          <w:iCs/>
        </w:rPr>
        <w:t>,
2014-12-10,
paskelbta TAR 2014-12-11, i. k. 2014-19464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c5cdb04e6811e6b72ff16034f7f796">
        <w:r w:rsidRPr="00532B9F">
          <w:rPr>
            <w:rFonts w:ascii="Times New Roman" w:eastAsia="MS Mincho" w:hAnsi="Times New Roman"/>
            <w:sz w:val="20"/>
            <w:iCs/>
            <w:color w:val="0000FF" w:themeColor="hyperlink"/>
            <w:u w:val="single"/>
          </w:rPr>
          <w:t>4-481</w:t>
        </w:r>
      </w:fldSimple>
      <w:r>
        <w:rPr>
          <w:rFonts w:ascii="Times New Roman" w:eastAsia="MS Mincho" w:hAnsi="Times New Roman"/>
          <w:sz w:val="20"/>
          <w:iCs/>
        </w:rPr>
        <w:t>,
2016-07-20,
paskelbta TAR 2016-07-20, i. k. 2016-20828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dc7da0268211e78397ae072f58c508">
        <w:r w:rsidRPr="00532B9F">
          <w:rPr>
            <w:rFonts w:ascii="Times New Roman" w:eastAsia="MS Mincho" w:hAnsi="Times New Roman"/>
            <w:sz w:val="20"/>
            <w:iCs/>
            <w:color w:val="0000FF" w:themeColor="hyperlink"/>
            <w:u w:val="single"/>
          </w:rPr>
          <w:t>4-250</w:t>
        </w:r>
      </w:fldSimple>
      <w:r>
        <w:rPr>
          <w:rFonts w:ascii="Times New Roman" w:eastAsia="MS Mincho" w:hAnsi="Times New Roman"/>
          <w:sz w:val="20"/>
          <w:iCs/>
        </w:rPr>
        <w:t>,
2017-04-21,
paskelbta TAR 2017-04-21, i. k. 2017-06764                </w:t>
      </w:r>
    </w:p>
    <w:p>
      <w:pPr>
        <w:jc w:val="both"/>
        <w:rPr>
          <w:rFonts w:ascii="Times New Roman" w:hAnsi="Times New Roman"/>
        </w:rPr>
      </w:pPr>
      <w:r>
        <w:rPr>
          <w:rFonts w:ascii="Times New Roman" w:hAnsi="Times New Roman"/>
          <w:sz w:val="20"/>
        </w:rPr>
        <w:t>Dėl Lietuvos Respublikos ūkio ministro 2008 m. kovo 26 d. įsakymo Nr. 4-119 „Dėl Smulkiojo ir vidutinio verslo subjekto statuso deklaravimo tvarkos aprašo ir Smulkiojo ir vidutinio verslo subjekto statuso deklaracijos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C3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52</TotalTime>
  <Pages>57</Pages>
  <Words>61809</Words>
  <Characters>35232</Characters>
  <Application>Microsoft Office Word</Application>
  <DocSecurity>0</DocSecurity>
  <Lines>293</Lines>
  <Paragraphs>193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ŪKIO MINISTRO</vt:lpstr>
    </vt:vector>
  </TitlesOfParts>
  <Company/>
  <LinksUpToDate>false</LinksUpToDate>
  <CharactersWithSpaces>96848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2015-09-20T06:59:00Z</dcterms:created>
  <dc:creator>Rima</dc:creator>
  <lastModifiedBy>GUMBYTĖ Danguolė</lastModifiedBy>
  <dcterms:modified xsi:type="dcterms:W3CDTF">2017-04-24T07:35:00Z</dcterms:modified>
  <revision>13</revision>
  <dc:title>LIETUVOS RESPUBLIKOS ŪKIO MINISTRO</dc:title>
</coreProperties>
</file>