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5="http://schemas.microsoft.com/office/word/2012/wordml" xmlns:w16se="http://schemas.microsoft.com/office/word/2015/wordml/symex" xmlns:cx="http://schemas.microsoft.com/office/drawing/2014/chartex" xmlns:cx1="http://schemas.microsoft.com/office/drawing/2015/9/8/chartex" mc:Ignorable="w14 w15 w16se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2021-12-03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2009, Nr. </w:t>
      </w:r>
      <w:fldSimple w:instr="HYPERLINK https://www.e-tar.lt/portal/legalAct.html?documentId=TAR.93352CC1122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129-5618</w:t>
        </w:r>
      </w:fldSimple>
      <w:r>
        <w:rPr>
          <w:rFonts w:ascii="Times New Roman" w:eastAsia="MS Mincho" w:hAnsi="Times New Roman"/>
          <w:sz w:val="20"/>
          <w:i/>
          <w:iCs/>
        </w:rPr>
        <w:t>, i. k. 1092330ISAK003D-802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2021-12-03: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f3f0eed0533811ec862fdcbc8b3e3e0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3D-774</w:t>
        </w:r>
      </w:fldSimple>
      <w:r>
        <w:rPr>
          <w:rFonts w:ascii="Times New Roman" w:eastAsia="MS Mincho" w:hAnsi="Times New Roman"/>
          <w:sz w:val="20"/>
          <w:i/>
          <w:iCs/>
        </w:rPr>
        <w:t>,
2021-12-02,
paskelbta TAR 2021-12-02, i. k. 2021-24947                </w:t>
      </w:r>
    </w:p>
    <w:p>
      <w:pPr>
        <w:rPr>
          <w:rFonts w:ascii="Times New Roman" w:hAnsi="Times New Roman"/>
          <w:sz w:val="22"/>
        </w:rPr>
      </w:pPr>
    </w:p>
    <w:p>
      <w:pPr>
        <w:suppressAutoHyphens/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LIETUVOS RESPUBLIKOS ŽEMĖS ŪKIO MINISTRAS</w:t>
      </w:r>
    </w:p>
    <w:p>
      <w:pPr>
        <w:suppressAutoHyphens/>
        <w:overflowPunct w:val="0"/>
        <w:jc w:val="center"/>
        <w:textAlignment w:val="baseline"/>
        <w:rPr>
          <w:b/>
          <w:szCs w:val="24"/>
        </w:rPr>
      </w:pPr>
    </w:p>
    <w:p>
      <w:pPr>
        <w:suppressAutoHyphens/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>
      <w:pPr>
        <w:suppressAutoHyphens/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DĖL NARYSTĖS LIETUVOS KAIMO TINKLE KLAUSIMŲ NAGRINĖJIMO DARBO GRUPĖS SUDARYMO</w:t>
      </w:r>
    </w:p>
    <w:p>
      <w:pPr>
        <w:suppressAutoHyphens/>
        <w:overflowPunct w:val="0"/>
        <w:jc w:val="center"/>
        <w:textAlignment w:val="baseline"/>
        <w:rPr>
          <w:b/>
          <w:szCs w:val="24"/>
        </w:rPr>
      </w:pPr>
    </w:p>
    <w:p>
      <w:pPr>
        <w:suppressAutoHyphens/>
        <w:overflowPunct w:val="0"/>
        <w:jc w:val="center"/>
        <w:textAlignment w:val="baseline"/>
        <w:rPr>
          <w:b/>
          <w:szCs w:val="24"/>
        </w:rPr>
      </w:pPr>
      <w:r>
        <w:rPr>
          <w:color w:val="000000"/>
        </w:rPr>
        <w:t>2009 m. spalio 26 d. Nr. 3D-802</w:t>
      </w:r>
    </w:p>
    <w:p>
      <w:pPr>
        <w:suppressAutoHyphens/>
        <w:overflowPunct w:val="0"/>
        <w:jc w:val="center"/>
        <w:textAlignment w:val="baseline"/>
        <w:rPr>
          <w:b/>
          <w:szCs w:val="24"/>
        </w:rPr>
      </w:pPr>
      <w:r>
        <w:rPr>
          <w:color w:val="000000"/>
        </w:rPr>
        <w:t>Vilnius</w:t>
      </w:r>
    </w:p>
    <w:p>
      <w:pPr>
        <w:overflowPunct w:val="0"/>
        <w:textAlignment w:val="baseline"/>
      </w:pPr>
    </w:p>
    <w:p>
      <w:pPr>
        <w:overflowPunct w:val="0"/>
        <w:textAlignment w:val="baseline"/>
      </w:pPr>
    </w:p>
    <w:p>
      <w:pPr>
        <w:suppressAutoHyphens/>
        <w:overflowPunct w:val="0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Atsižvelgdamas į Lietuvos kaimo tinklo 2016–2020 metų veiksmų programos, patvirtintos Lietuvos Respublikos žemės ūkio ministro 2016 m. lapkričio 23 d. įsakymu Nr. 3D-696 „Dėl Lietuvos kaimo tinklo 2016–2020 metų veiksmų programos patvirtinimo“, 12 punktą,</w:t>
      </w:r>
    </w:p>
    <w:p>
      <w:pPr>
        <w:suppressAutoHyphens/>
        <w:overflowPunct w:val="0"/>
        <w:spacing w:line="360" w:lineRule="auto"/>
        <w:ind w:firstLine="567"/>
        <w:jc w:val="both"/>
        <w:textAlignment w:val="baseline"/>
      </w:pPr>
      <w:r>
        <w:rPr>
          <w:color w:val="000000"/>
          <w:szCs w:val="24"/>
        </w:rPr>
        <w:t xml:space="preserve">s u d a r a u </w:t>
      </w:r>
      <w:r>
        <w:rPr>
          <w:szCs w:val="24"/>
        </w:rPr>
        <w:t>Narystės Lietuvos kaimo tinkle klausimų nagrinėjimo darbo grupę (toliau – Darbo grupė):</w:t>
      </w:r>
    </w:p>
    <w:p>
      <w:pPr>
        <w:suppressAutoHyphens/>
        <w:overflowPunct w:val="0"/>
        <w:spacing w:line="360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 xml:space="preserve">Jurgita Pugačiauskaitė-Butrimienė – Žemės ūkio ministerijos Europos Sąjungos reikalų ir paramos politikos departamento </w:t>
      </w:r>
      <w:r>
        <w:rPr>
          <w:lang w:eastAsia="lt-LT"/>
        </w:rPr>
        <w:t>Europos Sąjungos paramos programų stebėsenos ir vertinimo skyriaus</w:t>
      </w:r>
      <w:r>
        <w:rPr>
          <w:szCs w:val="24"/>
        </w:rPr>
        <w:t xml:space="preserve"> vedėja, Darbo grupės pirmininkė;</w:t>
      </w:r>
    </w:p>
    <w:p>
      <w:pPr>
        <w:suppressAutoHyphens/>
        <w:overflowPunct w:val="0"/>
        <w:spacing w:line="360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 xml:space="preserve">Inga Venciulytė – Žemės ūkio ministerijos Europos Sąjungos reikalų ir paramos politikos departamento </w:t>
      </w:r>
      <w:r>
        <w:rPr>
          <w:lang w:eastAsia="lt-LT"/>
        </w:rPr>
        <w:t>Europos Sąjungos paramos programų stebėsenos ir vertinimo skyriaus</w:t>
      </w:r>
      <w:r>
        <w:rPr>
          <w:szCs w:val="24"/>
        </w:rPr>
        <w:t xml:space="preserve"> patarėja, Darbo grupės pirmininko pavaduotoja;</w:t>
      </w:r>
    </w:p>
    <w:p>
      <w:pPr>
        <w:suppressAutoHyphens/>
        <w:overflowPunct w:val="0"/>
        <w:spacing w:line="360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 xml:space="preserve">Ernestas Černis – Žemės ūkio ministerijos Europos Sąjungos reikalų ir paramos politikos departamento </w:t>
      </w:r>
      <w:r>
        <w:rPr>
          <w:lang w:eastAsia="lt-LT"/>
        </w:rPr>
        <w:t>Europos Sąjungos paramos programų stebėsenos ir vertinimo skyriaus</w:t>
      </w:r>
      <w:r>
        <w:rPr>
          <w:szCs w:val="24"/>
        </w:rPr>
        <w:t xml:space="preserve"> vyriausiasis specialistas (jo nesant – Miglė Tumonytė, Žemės ūkio ministerijos Europos Sąjungos reikalų ir paramos politikos departamento </w:t>
      </w:r>
      <w:r>
        <w:rPr>
          <w:lang w:eastAsia="lt-LT"/>
        </w:rPr>
        <w:t>Europos Sąjungos paramos programų stebėsenos ir vertinimo skyriaus</w:t>
      </w:r>
      <w:r>
        <w:rPr>
          <w:szCs w:val="24"/>
        </w:rPr>
        <w:t xml:space="preserve"> patarėja);</w:t>
      </w:r>
    </w:p>
    <w:p>
      <w:pPr>
        <w:suppressAutoHyphens/>
        <w:overflowPunct w:val="0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  <w:szCs w:val="24"/>
        </w:rPr>
        <w:t xml:space="preserve">Nijolė Gumbrienė – Ryšių su visuomene ir bendradarbiavimo skyriaus vedėja (jos nesant – Justė Motėjūnienė, Žemės ūkio ministerijos Ryšių su visuomene ir bendradarbiavimo skyriaus vyriausioji </w:t>
      </w:r>
      <w:r>
        <w:rPr>
          <w:color w:val="000000"/>
          <w:lang w:eastAsia="lt-LT"/>
        </w:rPr>
        <w:t>specialistė)</w:t>
      </w:r>
      <w:r>
        <w:rPr>
          <w:color w:val="000000"/>
          <w:szCs w:val="24"/>
        </w:rPr>
        <w:t>;</w:t>
      </w:r>
    </w:p>
    <w:p>
      <w:pPr>
        <w:suppressAutoHyphens/>
        <w:overflowPunct w:val="0"/>
        <w:spacing w:line="360" w:lineRule="auto"/>
        <w:ind w:firstLine="567"/>
        <w:jc w:val="both"/>
        <w:textAlignment w:val="baseline"/>
      </w:pPr>
      <w:r>
        <w:rPr>
          <w:szCs w:val="24"/>
        </w:rPr>
        <w:t>Jolanta Oleškevič – Žemės ūkio ministerijos Teisėkūros ir atstovavimo skyriaus patarėja (jos nesant – Vaida Lisauskienė, Žemės ūkio ministerijos Teisėkūros ir atstovavimo skyriaus vyriausioji specialistė).</w:t>
      </w: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Žemės ūkio ministras</w:t>
        <w:tab/>
        <w:t>Kazys Starkevičius</w:t>
      </w:r>
    </w:p>
    <w:p>
      <w:pPr>
        <w:widowControl w:val="0"/>
        <w:suppressAutoHyphens/>
      </w:pP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2FC1187953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3D-37</w:t>
        </w:r>
      </w:fldSimple>
      <w:r>
        <w:rPr>
          <w:rFonts w:ascii="Times New Roman" w:eastAsia="MS Mincho" w:hAnsi="Times New Roman"/>
          <w:sz w:val="20"/>
          <w:iCs/>
        </w:rPr>
        <w:t>,
2010-01-22,
Žin., 2010, Nr.
11-545 (2010-01-28), i. k. 1102330ISAK0003D-37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"Dėl Narystės Lietuvos kaimo tinkle klausimų nagrinėjimo darbo grupės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6548859A8A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3D-348</w:t>
        </w:r>
      </w:fldSimple>
      <w:r>
        <w:rPr>
          <w:rFonts w:ascii="Times New Roman" w:eastAsia="MS Mincho" w:hAnsi="Times New Roman"/>
          <w:sz w:val="20"/>
          <w:iCs/>
        </w:rPr>
        <w:t>,
2010-04-14,
Žin., 2010, Nr.
44-2153 (2010-04-17), i. k. 1102330ISAK003D-348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"Dėl narystės Lietuvos kaimo tinkle klausimų nagrinėjimo darbo grupės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422790AEEA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3D-584</w:t>
        </w:r>
      </w:fldSimple>
      <w:r>
        <w:rPr>
          <w:rFonts w:ascii="Times New Roman" w:eastAsia="MS Mincho" w:hAnsi="Times New Roman"/>
          <w:sz w:val="20"/>
          <w:iCs/>
        </w:rPr>
        <w:t>,
2010-06-21,
Žin., 2010, Nr.
75-3826 (2010-06-29), i. k. 1102330ISAK003D-584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"Dėl Narystės Lietuvos kaimo tinkle klausimų nagrinėjimo darbo grupės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E0276EACCC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3D-865</w:t>
        </w:r>
      </w:fldSimple>
      <w:r>
        <w:rPr>
          <w:rFonts w:ascii="Times New Roman" w:eastAsia="MS Mincho" w:hAnsi="Times New Roman"/>
          <w:sz w:val="20"/>
          <w:iCs/>
        </w:rPr>
        <w:t>,
2010-09-24,
Žin., 2010, Nr.
114-5860 (2010-09-27), i. k. 1102330ISAK003D-865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"Dėl narystės Lietuvos kaimo tinkle klausimų nagrinėjimo darbo grupės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3008230390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3D-1052</w:t>
        </w:r>
      </w:fldSimple>
      <w:r>
        <w:rPr>
          <w:rFonts w:ascii="Times New Roman" w:eastAsia="MS Mincho" w:hAnsi="Times New Roman"/>
          <w:sz w:val="20"/>
          <w:iCs/>
        </w:rPr>
        <w:t>,
2010-12-07,
Žin., 2010, Nr.
145-7466 (2010-12-11), i. k. 1102330ISAK03D-1052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"Dėl narystės Lietuvos kaimo tinkle klausimų nagrinėjimo darbo grupės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E52DD5E3C8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3D-350</w:t>
        </w:r>
      </w:fldSimple>
      <w:r>
        <w:rPr>
          <w:rFonts w:ascii="Times New Roman" w:eastAsia="MS Mincho" w:hAnsi="Times New Roman"/>
          <w:sz w:val="20"/>
          <w:iCs/>
        </w:rPr>
        <w:t>,
2011-04-22,
Žin., 2011, Nr.
48-2320 (2011-04-23), i. k. 1112330ISAK003D-350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"Dėl narystės Lietuvos kaimo tinkle klausimų nagrinėjimo darbo grupės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E3A53DDF84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3D-569</w:t>
        </w:r>
      </w:fldSimple>
      <w:r>
        <w:rPr>
          <w:rFonts w:ascii="Times New Roman" w:eastAsia="MS Mincho" w:hAnsi="Times New Roman"/>
          <w:sz w:val="20"/>
          <w:iCs/>
        </w:rPr>
        <w:t>,
2011-07-14,
Žin., 2011, Nr.
91-4358 (2011-07-19), i. k. 1112330ISAK003D-569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"Dėl Narystės Lietuvos kaimo tinkle klausimų nagrinėjimo darbo grupės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287D017C53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3D-632</w:t>
        </w:r>
      </w:fldSimple>
      <w:r>
        <w:rPr>
          <w:rFonts w:ascii="Times New Roman" w:eastAsia="MS Mincho" w:hAnsi="Times New Roman"/>
          <w:sz w:val="20"/>
          <w:iCs/>
        </w:rPr>
        <w:t>,
2011-08-10,
Žin., 2011, Nr.
103-4851 (2011-08-18), i. k. 1112330ISAK003D-632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"Dėl Narystės Lietuvos kaimo tinkle klausimų nagrinėjimo darbo grupės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2124B995B7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3D-526</w:t>
        </w:r>
      </w:fldSimple>
      <w:r>
        <w:rPr>
          <w:rFonts w:ascii="Times New Roman" w:eastAsia="MS Mincho" w:hAnsi="Times New Roman"/>
          <w:sz w:val="20"/>
          <w:iCs/>
        </w:rPr>
        <w:t>,
2012-06-29,
Žin., 2012, Nr.
76-3967 (2012-06-30), i. k. 1122330ISAK003D-526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"Dėl Narystės Lietuvos kaimo tinkle klausimų nagrinėjimo darbo grupės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3C253A9580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3D-778</w:t>
        </w:r>
      </w:fldSimple>
      <w:r>
        <w:rPr>
          <w:rFonts w:ascii="Times New Roman" w:eastAsia="MS Mincho" w:hAnsi="Times New Roman"/>
          <w:sz w:val="20"/>
          <w:iCs/>
        </w:rPr>
        <w:t>,
2012-10-05,
Žin., 2012, Nr.
117-5933 (2012-10-09), i. k. 1122330ISAK003D-778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"Dėl Narystės Lietuvos kaimo tinkle klausimų nagrinėjimo darbo grupės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10b17709f4411e69ad4c8713b612d0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3D-642</w:t>
        </w:r>
      </w:fldSimple>
      <w:r>
        <w:rPr>
          <w:rFonts w:ascii="Times New Roman" w:eastAsia="MS Mincho" w:hAnsi="Times New Roman"/>
          <w:sz w:val="20"/>
          <w:iCs/>
        </w:rPr>
        <w:t>,
2016-10-31,
paskelbta TAR 2016-10-31, i. k. 2016-25973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„Dėl Narystės Lietuvos kaimo tinkle klausimų nagrinėjimo darbo grupės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e56c560661f11eb9dc7b575f08e8be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3D-78</w:t>
        </w:r>
      </w:fldSimple>
      <w:r>
        <w:rPr>
          <w:rFonts w:ascii="Times New Roman" w:eastAsia="MS Mincho" w:hAnsi="Times New Roman"/>
          <w:sz w:val="20"/>
          <w:iCs/>
        </w:rPr>
        <w:t>,
2021-02-03,
paskelbta TAR 2021-02-03, i. k. 2021-02132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„Dėl Narystės Lietuvos kaimo tinkle klausimų nagrinėjimo darbo grupės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cf93e80211511eca51399bc661f78e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3D-610</w:t>
        </w:r>
      </w:fldSimple>
      <w:r>
        <w:rPr>
          <w:rFonts w:ascii="Times New Roman" w:eastAsia="MS Mincho" w:hAnsi="Times New Roman"/>
          <w:sz w:val="20"/>
          <w:iCs/>
        </w:rPr>
        <w:t>,
2021-09-29,
paskelbta TAR 2021-09-29, i. k. 2021-20351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„Dėl Narystės Lietuvos kaimo tinkle klausimų nagrinėjimo darbo grupės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3f0eed0533811ec862fdcbc8b3e3e0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3D-774</w:t>
        </w:r>
      </w:fldSimple>
      <w:r>
        <w:rPr>
          <w:rFonts w:ascii="Times New Roman" w:eastAsia="MS Mincho" w:hAnsi="Times New Roman"/>
          <w:sz w:val="20"/>
          <w:iCs/>
        </w:rPr>
        <w:t>,
2021-12-02,
paskelbta TAR 2021-12-02, i. k. 2021-24947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2009 m. spalio 26 d. įsakymo Nr. 3D-802 „Dėl Narystės Lietuvos kaimo tinkle klausimų nagrinėjimo darbo grupės sudarymo“ pakeitmo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5="http://schemas.microsoft.com/office/word/2012/wordml" xmlns:w16se="http://schemas.microsoft.com/office/word/2015/wordml/symex" xmlns:cx="http://schemas.microsoft.com/office/drawing/2014/chartex" xmlns:cx1="http://schemas.microsoft.com/office/drawing/2015/9/8/chart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5="http://schemas.microsoft.com/office/word/2012/wordml" xmlns:w16se="http://schemas.microsoft.com/office/word/2015/wordml/symex" xmlns:cx="http://schemas.microsoft.com/office/drawing/2014/chartex" xmlns:cx1="http://schemas.microsoft.com/office/drawing/2015/9/8/chartex" mc:Ignorable="w14 w15 w16se">
  <w:zoom w:val="bestFit" w:percent="96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696D"/>
  <w15:docId w15:val="{69B69281-8E07-495A-A871-5B93BC8D746B}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5="http://schemas.microsoft.com/office/word/2012/wordml" xmlns:w16se="http://schemas.microsoft.com/office/word/2015/wordml/symex" xmlns:cx="http://schemas.microsoft.com/office/drawing/2014/chartex" xmlns:cx1="http://schemas.microsoft.com/office/drawing/2015/9/8/chart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5="http://schemas.microsoft.com/office/word/2012/wordml" xmlns:w16se="http://schemas.microsoft.com/office/word/2015/wordml/symex" xmlns:cx="http://schemas.microsoft.com/office/drawing/2014/chartex" xmlns:cx1="http://schemas.microsoft.com/office/drawing/2015/9/8/chart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activeX10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11</TotalTime>
  <Pages>2</Pages>
  <Words>2014</Words>
  <Characters>1148</Characters>
  <Application>Microsoft Office Word</Application>
  <DocSecurity>0</DocSecurity>
  <Lines>9</Lines>
  <Paragraphs>6</Paragraphs>
  <ScaleCrop>false</ScaleCrop>
  <Company>Teisines informacijos centras</Company>
  <LinksUpToDate>false</LinksUpToDate>
  <CharactersWithSpaces>3156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2015-07-05T23:10:00Z</dcterms:created>
  <dc:creator>Sandra</dc:creator>
  <lastModifiedBy>JŪRĖNIENĖ Jolanta</lastModifiedBy>
  <dcterms:modified xsi:type="dcterms:W3CDTF">2021-12-03T06:05:00Z</dcterms:modified>
  <revision>29</revision>
  <dc:title>LIETUVOS RESPUBLIKOS ŽEMĖS ŪKIO MINISTRO</dc:title>
</coreProperties>
</file>