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982A451E41C2">
        <w:r w:rsidRPr="00532B9F">
          <w:rPr>
            <w:rFonts w:ascii="Times New Roman" w:eastAsia="MS Mincho" w:hAnsi="Times New Roman"/>
            <w:sz w:val="20"/>
            <w:i/>
            <w:iCs/>
            <w:color w:val="0000FF" w:themeColor="hyperlink"/>
            <w:u w:val="single"/>
          </w:rPr>
          <w:t>45-2184</w:t>
        </w:r>
      </w:fldSimple>
      <w:r>
        <w:rPr>
          <w:rFonts w:ascii="Times New Roman" w:eastAsia="MS Mincho" w:hAnsi="Times New Roman"/>
          <w:sz w:val="20"/>
          <w:i/>
          <w:iCs/>
        </w:rPr>
        <w:t>, i. k. 110301MISAK00D1-248</w:t>
      </w:r>
    </w:p>
    <w:p>
      <w:pPr>
        <w:jc w:val="both"/>
        <w:rPr>
          <w:rFonts w:ascii="Times New Roman" w:hAnsi="Times New Roman"/>
          <w:sz w:val="20"/>
        </w:rPr>
      </w:pPr>
    </w:p>
    <w:p>
      <w:pPr>
        <w:tabs>
          <w:tab w:val="center" w:pos="4153"/>
          <w:tab w:val="right" w:pos="8306"/>
        </w:tabs>
        <w:rPr>
          <w:lang w:val="en-GB"/>
        </w:rPr>
      </w:pPr>
      <w:r>
        <w:t xml:space="preserve"> </w:t>
      </w: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0;width:.75pt;height:.75pt;z-index:251657216;visibility:hidden;mso-position-horizontal-relative:text;mso-position-vertical-relative:text" stroked="f">
            <v:imagedata r:id="rId9" o:title=""/>
          </v:shape>
          <w:control r:id="rId10" w:name="Control 7" w:shapeid="_x0000_s1031"/>
        </w:pict>
      </w:r>
      <w:r>
        <w:rPr>
          <w:color w:val="000000"/>
        </w:rPr>
        <w:t>LIETUVOS RESPUBLIKOS APLINKOS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VP3-3.2-AM-01-V PRIEMONĖS „ATLIEKŲ TVARKYMO SISTEMOS SUKŪRIMAS“ VEIKLOS „KOMUNALINIŲ ATLIEKŲ TVARKYMO SISTEMŲ INFRASTRUKTŪROS PLĖTRA – BIOLOGIŠKAI SKAIDŽIŲ ATLIEKŲ TVARKYMO IR ANTRINIŲ ŽALIAVŲ SURINKIMO INFRASTRUKTŪROS SUKŪRIMAS“ PROJEKTŲ FINANSAVIMO SĄLYGŲ APRAŠO PATVIRTINIMO</w:t>
      </w:r>
    </w:p>
    <w:p>
      <w:pPr>
        <w:widowControl w:val="0"/>
        <w:suppressAutoHyphens/>
        <w:jc w:val="center"/>
        <w:rPr>
          <w:color w:val="000000"/>
        </w:rPr>
      </w:pPr>
    </w:p>
    <w:p>
      <w:pPr>
        <w:widowControl w:val="0"/>
        <w:suppressAutoHyphens/>
        <w:jc w:val="center"/>
        <w:rPr>
          <w:color w:val="000000"/>
        </w:rPr>
      </w:pPr>
      <w:r>
        <w:rPr>
          <w:color w:val="000000"/>
        </w:rPr>
        <w:t>2010 m. kovo 29 d. Nr. D1-248</w:t>
      </w:r>
    </w:p>
    <w:p>
      <w:pPr>
        <w:widowControl w:val="0"/>
        <w:suppressAutoHyphens/>
        <w:jc w:val="center"/>
        <w:rPr>
          <w:color w:val="000000"/>
        </w:rPr>
      </w:pPr>
      <w:r>
        <w:rPr>
          <w:color w:val="000000"/>
        </w:rPr>
        <w:t>Vilnius</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8595CFB09">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2010-10-06,
Žin., 2010, Nr.
124-6335 (2010-10-21); Žin., 2010, Nr.
125-0 (2010-10-23), i. k. 110301MISAK00D1-845        </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suppressAutoHyphens/>
        <w:ind w:firstLine="567"/>
        <w:jc w:val="both"/>
        <w:rPr>
          <w:color w:val="000000"/>
        </w:rPr>
      </w:pPr>
      <w:r>
        <w:rPr>
          <w:color w:val="000000"/>
        </w:rPr>
        <w:t xml:space="preserve">Vadovaudamasis Projektų administravimo ir finansavimo taisyklių, patvirtintų Lietuvos Respublikos Vyriausybės 2007 m. gruodžio 19 d. nutarimu Nr. 1443 „Dėl Projektų administravimo ir finansavimo taisyklių patvirtinimo“ (Žin., 2008, Nr. </w:t>
      </w:r>
      <w:hyperlink r:id="rId11" w:tgtFrame="_blank" w:history="1">
        <w:r>
          <w:rPr>
            <w:color w:val="0000FF" w:themeColor="hyperlink"/>
            <w:u w:val="single"/>
          </w:rPr>
          <w:t>4-132</w:t>
        </w:r>
      </w:hyperlink>
      <w:r>
        <w:rPr>
          <w:color w:val="000000"/>
        </w:rPr>
        <w:t xml:space="preserve">; 2009, Nr. </w:t>
      </w:r>
      <w:hyperlink r:id="rId12" w:tgtFrame="_blank" w:history="1">
        <w:r>
          <w:rPr>
            <w:color w:val="0000FF" w:themeColor="hyperlink"/>
            <w:u w:val="single"/>
          </w:rPr>
          <w:t>131-5682</w:t>
        </w:r>
      </w:hyperlink>
      <w:r>
        <w:rPr>
          <w:color w:val="000000"/>
        </w:rPr>
        <w:t>), 18.2 punktu:</w:t>
      </w:r>
    </w:p>
    <w:p>
      <w:pPr>
        <w:widowControl w:val="0"/>
        <w:suppressAutoHyphens/>
        <w:ind w:firstLine="567"/>
        <w:jc w:val="both"/>
        <w:rPr>
          <w:color w:val="000000"/>
        </w:rPr>
      </w:pPr>
      <w:r>
        <w:rPr>
          <w:color w:val="000000"/>
          <w:szCs w:val="24"/>
          <w:lang w:eastAsia="lt-LT"/>
        </w:rPr>
        <w:t>1</w:t>
      </w:r>
      <w:r>
        <w:rPr>
          <w:color w:val="000000"/>
          <w:szCs w:val="24"/>
          <w:lang w:eastAsia="lt-LT"/>
        </w:rPr>
        <w:t>. T v i r t i n u VP3-3.2-AM-01-V priemonės „Atliekų tvarkymo sistemos sukūrimas“ veiklos „Komunalinių atliekų tvarkymo sistemų infrastruktūros plėtra – biologiškai skaidžių atliekų tvarkymo ir antrinių žaliavų surinkimo infrastruktūros sukūrimas“ projektų finansavimo sąlygų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8595CFB09">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2010-10-06,
Žin., 2010, Nr.
124-6335 (2010-10-21); Žin., 2010, Nr.
125-0 (2010-10-23), i. k. 110301MISAK00D1-845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ind w:firstLine="567"/>
        <w:jc w:val="both"/>
        <w:rPr>
          <w:caps/>
          <w:color w:val="000000"/>
        </w:rPr>
      </w:pPr>
      <w:r>
        <w:rPr>
          <w:color w:val="000000"/>
          <w:szCs w:val="24"/>
          <w:lang w:eastAsia="lt-LT"/>
        </w:rPr>
        <w:t>2</w:t>
      </w:r>
      <w:r>
        <w:rPr>
          <w:color w:val="000000"/>
          <w:szCs w:val="24"/>
          <w:lang w:eastAsia="lt-LT"/>
        </w:rPr>
        <w:t>. Šio įsakymo kontrolę pavedu aplinkos viceministrui Almantui Petkui.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72ABCAACDE">
        <w:r w:rsidRPr="00532B9F">
          <w:rPr>
            <w:rFonts w:ascii="Times New Roman" w:eastAsia="MS Mincho" w:hAnsi="Times New Roman"/>
            <w:sz w:val="20"/>
            <w:i/>
            <w:iCs/>
            <w:color w:val="0000FF" w:themeColor="hyperlink"/>
            <w:u w:val="single"/>
          </w:rPr>
          <w:t>D1-157</w:t>
        </w:r>
      </w:fldSimple>
      <w:r>
        <w:rPr>
          <w:rFonts w:ascii="Times New Roman" w:eastAsia="MS Mincho" w:hAnsi="Times New Roman"/>
          <w:sz w:val="20"/>
          <w:i/>
          <w:iCs/>
        </w:rPr>
        <w:t>,
2013-02-28,
Žin., 2013, Nr.
23-1130 (2013-03-02), i. k. 113301MISAK00D1-157            </w:t>
      </w:r>
    </w:p>
    <w:p/>
    <w:p>
      <w:pPr>
        <w:widowControl w:val="0"/>
        <w:tabs>
          <w:tab w:val="right" w:pos="9071"/>
        </w:tabs>
        <w:suppressAutoHyphens/>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Aplinkos ministras </w:t>
        <w:tab/>
        <w:t>Gediminas Kazlauskas</w:t>
      </w:r>
    </w:p>
    <w:p>
      <w:pPr>
        <w:widowControl w:val="0"/>
        <w:ind w:left="4535"/>
      </w:pPr>
      <w:r>
        <w:br w:type="page"/>
        <w:t>PATVIRTINTA</w:t>
      </w:r>
    </w:p>
    <w:p>
      <w:pPr>
        <w:widowControl w:val="0"/>
        <w:ind w:left="4535"/>
      </w:pPr>
      <w:r>
        <w:t xml:space="preserve">Lietuvos Respublikos aplinkos ministro </w:t>
      </w:r>
    </w:p>
    <w:p>
      <w:pPr>
        <w:widowControl w:val="0"/>
        <w:ind w:left="4535"/>
      </w:pPr>
      <w:r>
        <w:t>20</w:t>
      </w:r>
      <w:r>
        <w:rPr>
          <w:lang w:val="pt-BR"/>
        </w:rPr>
        <w:t xml:space="preserve">10 </w:t>
      </w:r>
      <w:r>
        <w:t xml:space="preserve">m. kovo 29 d. įsakymu Nr. D1-248 </w:t>
      </w:r>
    </w:p>
    <w:p>
      <w:pPr>
        <w:widowControl w:val="0"/>
        <w:ind w:left="4535"/>
      </w:pPr>
      <w:r>
        <w:t xml:space="preserve">(Lietuvos Respublikos aplinkos ministro </w:t>
      </w:r>
    </w:p>
    <w:p>
      <w:pPr>
        <w:widowControl w:val="0"/>
        <w:ind w:left="4535"/>
      </w:pPr>
      <w:r>
        <w:t xml:space="preserve">2012 m. kovo 1 d. įsakymo Nr. D1-192 </w:t>
      </w:r>
    </w:p>
    <w:p>
      <w:pPr>
        <w:widowControl w:val="0"/>
        <w:ind w:left="4535"/>
        <w:rPr>
          <w:color w:val="000000"/>
        </w:rPr>
      </w:pPr>
      <w:r>
        <w:t>redakcija)</w:t>
      </w:r>
    </w:p>
    <w:p>
      <w:pPr>
        <w:widowControl w:val="0"/>
        <w:jc w:val="center"/>
        <w:rPr>
          <w:color w:val="000000"/>
        </w:rPr>
      </w:pPr>
    </w:p>
    <w:p>
      <w:pPr>
        <w:widowControl w:val="0"/>
        <w:jc w:val="center"/>
        <w:rPr>
          <w:sz w:val="20"/>
        </w:rPr>
      </w:pPr>
      <w:r>
        <w:rPr>
          <w:sz w:val="20"/>
          <w:lang w:eastAsia="lt-LT"/>
        </w:rPr>
        <w:drawing>
          <wp:inline distT="0" distB="0" distL="0" distR="0">
            <wp:extent cx="2705100" cy="1114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114425"/>
                    </a:xfrm>
                    <a:prstGeom prst="rect">
                      <a:avLst/>
                    </a:prstGeom>
                    <a:noFill/>
                    <a:ln>
                      <a:noFill/>
                    </a:ln>
                  </pic:spPr>
                </pic:pic>
              </a:graphicData>
            </a:graphic>
          </wp:inline>
        </w:drawing>
      </w:r>
    </w:p>
    <w:p>
      <w:pPr>
        <w:widowControl w:val="0"/>
        <w:jc w:val="center"/>
        <w:rPr>
          <w:i/>
          <w:vanish/>
          <w:color w:val="000000"/>
        </w:rPr>
      </w:pPr>
      <w:r>
        <w:rPr>
          <w:i/>
          <w:vanish/>
        </w:rPr>
        <w:t>(Kuriame Lietuvos ateitį)</w:t>
      </w:r>
    </w:p>
    <w:p>
      <w:pPr>
        <w:widowControl w:val="0"/>
        <w:jc w:val="center"/>
        <w:rPr>
          <w:color w:val="000000"/>
        </w:rPr>
      </w:pPr>
    </w:p>
    <w:p>
      <w:pPr>
        <w:widowControl w:val="0"/>
        <w:jc w:val="center"/>
        <w:rPr>
          <w:b/>
          <w:bCs/>
          <w:caps/>
          <w:color w:val="000000"/>
        </w:rPr>
      </w:pPr>
      <w:r>
        <w:rPr>
          <w:b/>
          <w:bCs/>
          <w:caps/>
          <w:color w:val="000000"/>
        </w:rPr>
        <w:t xml:space="preserve">VP3-3.2-AM-01-V PRIEMONĖS „ATLIEKŲ TVARKYMO SISTEMOS SUKŪRIMAS“ VEIKLOS „KOMUNALINIŲ ATLIEKŲ TVARKYMO SISTEMŲ INFRASTRUKTŪROS PLĖTRA – BIOLOGIŠKAI SKAIDŽIŲ ATLIEKŲ TVARKYMO IR ANTRINIŲ ŽALIAVŲ SURINKIMO INFRASTRUKTŪROS SUKŪRIMAS“ PROJEKTŲ FINANSAVIMO SĄLYGŲ APRAŠAS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spacing w:val="-2"/>
        </w:rPr>
      </w:pPr>
      <w:r>
        <w:rPr>
          <w:color w:val="000000"/>
          <w:spacing w:val="-2"/>
        </w:rPr>
        <w:t>1</w:t>
      </w:r>
      <w:r>
        <w:rPr>
          <w:color w:val="000000"/>
          <w:spacing w:val="-2"/>
        </w:rPr>
        <w:t>. VP3-3.2-AM-01-V priemonės „Atliekų tvarkymo sistemos sukūrimas“ veiklos „Komunalinių atliekų tvarkymo sistemų infrastruktūros plėtra – biologiškai skaidžių atliekų tvarkymo sistemų infrastruktūros sukūrimas“ projektų finansavimo sąlygų aprašas (toliau – Aprašas) skirtas pareiškėjams, numatantiems teikti paraiškas projektų finansavimui gauti pagal 2007–2013 m. Sanglaudos skatinimo veiksmų programos 3 prioriteto „Aplinka ir darnus vystymasis“ VP3-3.2-AM-01-V priemonės „Atliekų tvarkymo sistemos sukūrimas“ veiklą „Komunalinių atliekų tvarkymo sistemų infrastruktūros plėtra – biologiškai skaidžių atliekų tvarkymo sistemų infrastruktūros sukūrimas“.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ind w:firstLine="567"/>
        <w:jc w:val="both"/>
        <w:rPr>
          <w:color w:val="000000"/>
        </w:rPr>
      </w:pPr>
      <w:r>
        <w:rPr>
          <w:color w:val="000000"/>
        </w:rPr>
        <w:t>2</w:t>
      </w:r>
      <w:r>
        <w:rPr>
          <w:color w:val="000000"/>
        </w:rPr>
        <w:t>. Šiuo Aprašu vadovaujantis bus vykdomas projektų, pateiktų projektų finansavimui gauti pagal 1 punkte nurodytą priemonę, paraiškų vertinimas.</w:t>
      </w:r>
    </w:p>
    <w:p>
      <w:pPr>
        <w:widowControl w:val="0"/>
        <w:ind w:firstLine="567"/>
        <w:jc w:val="both"/>
        <w:rPr>
          <w:color w:val="000000"/>
        </w:rPr>
      </w:pPr>
      <w:r>
        <w:rPr>
          <w:color w:val="000000"/>
        </w:rPr>
        <w:t>3</w:t>
      </w:r>
      <w:r>
        <w:rPr>
          <w:color w:val="000000"/>
        </w:rPr>
        <w:t xml:space="preserve">. Šis Aprašas parengtas atsižvelgiant į 2006 m. liepos 11 d. Tarybos reglamentą (EB) Nr. 1083/2006, nustatantį bendrąsias nuostatas dėl Europos regioninės plėtros fondo, Europos socialinio fondo ir Sanglaudos fondo bei panaikinantis Reglamentą Nr. 1260/1999 (OL 2006 L 210, p. 25) (toliau – Tarybos reglamentas Nr. 1083/2006), 2006 m. liepos 11 d. Tarybos reglamentą (EB) Nr. 1084/2006, įsteigiantį Sanglaudos fondą ir panaikinantį Reglamentą (EB) Nr. 1164/94, 2006 m. gruodžio 8 d. Komisijos reglamentą (EB) Nr. 1828/2006, nustatantį Tarybos reglamento (EB) Nr. 1083/2006, nustatančio bendrąsias nuostatas dėl Europos regioninės plėtros fondo, Europos socialinio fondo ir Sanglaudos fondo, ir Europos Parlamento bei Tarybos reglamento (EB) Nr. 1080/2006 dėl Europos regioninės plėtros fondo, įgyvendinimo taisykles (toliau – Komisijos reglamentas Nr. 1828/2006), Sanglaudos skatinimo veiksmų programą, patvirtintą 2007 m. liepos 30 d. Europos Komisijos sprendimu Nr. K(2007)3738, Atsakomybės ir funkcijų pasiskirstymo tarp institucijų, įgyvendinant Lietuvos 2007–2013 metų Europos Sąjungos struktūrinės paramos panaudojimo strategiją ir veiksmų programas, taisykles, patvirtintas Vyriausybės 2007 m. spalio 17 d. nutarimu Nr. 1139 (Žin., 2007, Nr. </w:t>
      </w:r>
      <w:hyperlink r:id="rId34" w:tgtFrame="_blank" w:history="1">
        <w:r>
          <w:rPr>
            <w:color w:val="0000FF" w:themeColor="hyperlink"/>
            <w:u w:val="single"/>
          </w:rPr>
          <w:t>114-4637</w:t>
        </w:r>
      </w:hyperlink>
      <w:r>
        <w:rPr>
          <w:color w:val="000000"/>
        </w:rPr>
        <w:t xml:space="preserve">) (toliau – Atsakomybės ir funkcijų paskirstymo tarp institucijų taisyklės), Vykdomų pagal Lietuvos 2007–2013 metų Europos Sąjungos struktūrinės paramos panaudojimo strategiją ir ją įgyvendinančias veiksmų programas projektų išlaidų ir finansavimo reikalavimų atitikties taisykles, patvirtintas Vyriausybės 2007 m. spalio 31 d. nutarimu Nr. 1179 (Žin., 2007, Nr. </w:t>
      </w:r>
      <w:hyperlink r:id="rId35" w:tgtFrame="_blank" w:history="1">
        <w:r>
          <w:rPr>
            <w:color w:val="0000FF" w:themeColor="hyperlink"/>
            <w:u w:val="single"/>
          </w:rPr>
          <w:t>117-4789</w:t>
        </w:r>
      </w:hyperlink>
      <w:r>
        <w:rPr>
          <w:color w:val="000000"/>
        </w:rPr>
        <w:t xml:space="preserve">) (toliau – Išlaidų ir finansavimo reikalavimų atitikties taisyklės), Projektų administravimo ir finansavimo taisykles, patvirtintas Vyriausybės 2007 m. gruodžio 19 d. nutarimu Nr. 1443 (Žin., 2008, Nr. </w:t>
      </w:r>
      <w:hyperlink r:id="rId36" w:tgtFrame="_blank" w:history="1">
        <w:r>
          <w:rPr>
            <w:color w:val="0000FF" w:themeColor="hyperlink"/>
            <w:u w:val="single"/>
          </w:rPr>
          <w:t>4-132</w:t>
        </w:r>
      </w:hyperlink>
      <w:r>
        <w:rPr>
          <w:color w:val="000000"/>
        </w:rPr>
        <w:t xml:space="preserve">) (toliau – Projektų administravimo ir finansavimo taisyklės), Sanglaudos skatinimo veiksmų programos priedą, patvirtintą Lietuvos Respublikos Vyriausybės 2008 m. liepos 23 d. nutarimu Nr. 787 (Žin., 2008, Nr. </w:t>
      </w:r>
      <w:hyperlink r:id="rId37" w:tgtFrame="_blank" w:history="1">
        <w:r>
          <w:rPr>
            <w:color w:val="0000FF" w:themeColor="hyperlink"/>
            <w:u w:val="single"/>
          </w:rPr>
          <w:t>95-3720</w:t>
        </w:r>
      </w:hyperlink>
      <w:r>
        <w:rPr>
          <w:color w:val="000000"/>
        </w:rPr>
        <w:t xml:space="preserve">), vadovaujantis Metodiniais nurodymais dėl projektų finansavimo sąlygų aprašo, patvirtintais Lietuvos Respublikos finansų ministro 2008 m. vasario 20 d. įsakymu Nr. 1K-066 (Žin., 2008, Nr. </w:t>
      </w:r>
      <w:hyperlink r:id="rId38" w:tgtFrame="_blank" w:history="1">
        <w:r>
          <w:rPr>
            <w:color w:val="0000FF" w:themeColor="hyperlink"/>
            <w:u w:val="single"/>
          </w:rPr>
          <w:t>23-861</w:t>
        </w:r>
      </w:hyperlink>
      <w:r>
        <w:rPr>
          <w:color w:val="000000"/>
        </w:rPr>
        <w:t>).</w:t>
      </w:r>
    </w:p>
    <w:p>
      <w:pPr>
        <w:widowControl w:val="0"/>
        <w:ind w:firstLine="567"/>
        <w:jc w:val="both"/>
        <w:rPr>
          <w:color w:val="000000"/>
          <w:spacing w:val="-2"/>
        </w:rPr>
      </w:pPr>
      <w:r>
        <w:rPr>
          <w:color w:val="000000"/>
          <w:spacing w:val="-2"/>
        </w:rPr>
        <w:t>4</w:t>
      </w:r>
      <w:r>
        <w:rPr>
          <w:color w:val="000000"/>
          <w:spacing w:val="-2"/>
        </w:rPr>
        <w:t>. Vadovaujantis Atsakomybės ir funkcijų paskirstymo tarp institucijų taisyklėmis, Aplinkos ministerija atlieka ministerijos ir (ar) kitos valstybės institucijos, kuri pagal kompetenciją yra atsakinga už bendrai finansuojamus iš ES fondų lėšų ūkio sektorius, ir tarpinės institucijos funkcijas, o Aplinkos ministerijos Aplinkos projektų valdymo agentūra (toliau – Agentūra) – įgyvendinančiosios institucijos funkcijas.</w:t>
      </w:r>
    </w:p>
    <w:p>
      <w:pPr>
        <w:widowControl w:val="0"/>
        <w:ind w:firstLine="567"/>
        <w:jc w:val="both"/>
        <w:rPr>
          <w:color w:val="000000"/>
        </w:rPr>
      </w:pPr>
      <w:r>
        <w:rPr>
          <w:color w:val="000000"/>
        </w:rPr>
        <w:t>5</w:t>
      </w:r>
      <w:r>
        <w:rPr>
          <w:color w:val="000000"/>
        </w:rPr>
        <w:t>. Apraše vartojamos sąvokos:</w:t>
      </w:r>
    </w:p>
    <w:p>
      <w:pPr>
        <w:widowControl w:val="0"/>
        <w:ind w:firstLine="567"/>
        <w:jc w:val="both"/>
        <w:rPr>
          <w:color w:val="000000"/>
        </w:rPr>
      </w:pPr>
      <w:r>
        <w:rPr>
          <w:b/>
          <w:bCs/>
          <w:color w:val="000000"/>
        </w:rPr>
        <w:t>Biologiškai skaidžių atliekų tvarkymo sistemų infrastruktūra</w:t>
      </w:r>
      <w:r>
        <w:rPr>
          <w:color w:val="000000"/>
        </w:rPr>
        <w:t xml:space="preserve"> – infrastruktūra, kurią sudaro biologiškai skaidžių atliekų surinkimo ir apdorojimo įrenginiai.</w:t>
      </w:r>
    </w:p>
    <w:p>
      <w:pPr>
        <w:widowControl w:val="0"/>
        <w:ind w:firstLine="567"/>
        <w:jc w:val="both"/>
        <w:rPr>
          <w:color w:val="000000"/>
          <w:spacing w:val="-2"/>
        </w:rPr>
      </w:pPr>
      <w:r>
        <w:rPr>
          <w:b/>
          <w:bCs/>
          <w:color w:val="000000"/>
          <w:spacing w:val="-2"/>
        </w:rPr>
        <w:t>Didelės apimties projektas</w:t>
      </w:r>
      <w:r>
        <w:rPr>
          <w:color w:val="000000"/>
          <w:spacing w:val="-2"/>
        </w:rPr>
        <w:t xml:space="preserve"> – projektas, susidedantis iš eilės darbų, veiklos arba paslaugų, skirtų atlikti nedalomą tiksliai nustatyto ekonominio arba techninio pobūdžio uždavinį, kuriuo siekiama aiškiai nustatytų tikslų, o bendros išlaidos yra daugiau kaip 172,65 mln. Lt.</w:t>
      </w:r>
    </w:p>
    <w:p>
      <w:pPr>
        <w:widowControl w:val="0"/>
        <w:ind w:firstLine="567"/>
        <w:jc w:val="both"/>
        <w:rPr>
          <w:color w:val="000000"/>
        </w:rPr>
      </w:pPr>
      <w:r>
        <w:rPr>
          <w:color w:val="000000"/>
        </w:rPr>
        <w:t xml:space="preserve">Kitos Apraše vartojamos sąvokos atitinka Atsakomybės ir funkcijų paskirstymo tarp institucijų taisyklėse, Projektų administravimo ir finansavimo taisyklėse, Išlaidų ir finansavimo reikalavimų atitikties taisyklėse, Atliekų tvarkymo įstatyme (Žin., 1998, Nr. </w:t>
      </w:r>
      <w:hyperlink r:id="rId39" w:tgtFrame="_blank" w:history="1">
        <w:r>
          <w:rPr>
            <w:color w:val="0000FF" w:themeColor="hyperlink"/>
            <w:u w:val="single"/>
          </w:rPr>
          <w:t>61-1726</w:t>
        </w:r>
      </w:hyperlink>
      <w:r>
        <w:rPr>
          <w:color w:val="000000"/>
        </w:rPr>
        <w:t xml:space="preserve">; 2002, Nr. </w:t>
      </w:r>
      <w:hyperlink r:id="rId40" w:tgtFrame="_blank" w:history="1">
        <w:r>
          <w:rPr>
            <w:color w:val="0000FF" w:themeColor="hyperlink"/>
            <w:u w:val="single"/>
          </w:rPr>
          <w:t>72-3016</w:t>
        </w:r>
      </w:hyperlink>
      <w:r>
        <w:rPr>
          <w:color w:val="000000"/>
        </w:rPr>
        <w:t>) ir kituose teisės aktuose apibrėžtas sąvokas.</w:t>
      </w:r>
    </w:p>
    <w:p>
      <w:pPr>
        <w:widowControl w:val="0"/>
        <w:ind w:firstLine="567"/>
        <w:jc w:val="both"/>
        <w:rPr>
          <w:color w:val="000000"/>
        </w:rPr>
      </w:pPr>
      <w:r>
        <w:rPr>
          <w:color w:val="000000"/>
        </w:rPr>
        <w:t>6</w:t>
      </w:r>
      <w:r>
        <w:rPr>
          <w:color w:val="000000"/>
        </w:rPr>
        <w:t>. Priemonės „Atliekų tvarkymo sistemos sukūrimas“ tikslas yra sukurti ir plėsti šiuolaikišką ES aplinkosauginius reikalavimus atitinkančią atliekų tvarkymo sistemą.</w:t>
      </w:r>
    </w:p>
    <w:p>
      <w:pPr>
        <w:widowControl w:val="0"/>
        <w:ind w:firstLine="567"/>
        <w:jc w:val="both"/>
        <w:rPr>
          <w:color w:val="000000"/>
          <w:spacing w:val="-4"/>
        </w:rPr>
      </w:pPr>
      <w:r>
        <w:rPr>
          <w:color w:val="000000"/>
          <w:spacing w:val="-4"/>
        </w:rPr>
        <w:t>7</w:t>
      </w:r>
      <w:r>
        <w:rPr>
          <w:color w:val="000000"/>
          <w:spacing w:val="-4"/>
        </w:rPr>
        <w:t>. Priemonės veiklos „</w:t>
      </w:r>
      <w:r>
        <w:rPr>
          <w:color w:val="000000"/>
          <w:szCs w:val="24"/>
          <w:lang w:eastAsia="lt-LT"/>
        </w:rPr>
        <w:t>Komunalinių atliekų tvarkymo sistemų infrastruktūros plėtra – biologiškai skaidžių atliekų tvarkymo ir antrinių žaliavų surinkimo infrastruktūros sukūrimas</w:t>
      </w:r>
      <w:r>
        <w:rPr>
          <w:color w:val="000000"/>
          <w:spacing w:val="-4"/>
        </w:rPr>
        <w:t>“ tikslas yra sukurti biologiškai skaidžių atliekų tvarkymo sistemų infrastruktūrą, užtikrinančią Europos Sąjungos nustatytų užduočių atliekų tvarkymo srityje vykdymą. Šios veiklos įgyvendinimo atveju turi būti įvertinta galimybė priimti atliekas iš kitų regionų.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ind w:firstLine="567"/>
        <w:jc w:val="both"/>
        <w:rPr>
          <w:color w:val="000000"/>
          <w:spacing w:val="-5"/>
        </w:rPr>
      </w:pPr>
      <w:r>
        <w:rPr>
          <w:color w:val="000000"/>
          <w:spacing w:val="-5"/>
        </w:rPr>
        <w:t>8</w:t>
      </w:r>
      <w:r>
        <w:rPr>
          <w:color w:val="000000"/>
          <w:spacing w:val="-5"/>
        </w:rPr>
        <w:t>. Šis Aprašas yra vienas iš dviejų projektų finansavimo sąlygų aprašų, reglamentuojančių priemonę „Atliekų tvarkymo sistemos sukūrimas“.</w:t>
      </w:r>
    </w:p>
    <w:p>
      <w:pPr>
        <w:widowControl w:val="0"/>
        <w:suppressAutoHyphens/>
        <w:ind w:firstLine="567"/>
        <w:jc w:val="both"/>
        <w:rPr>
          <w:color w:val="000000"/>
        </w:rPr>
      </w:pPr>
      <w:r>
        <w:rPr>
          <w:color w:val="000000"/>
          <w:szCs w:val="24"/>
          <w:lang w:eastAsia="lt-LT"/>
        </w:rPr>
        <w:t>9</w:t>
      </w:r>
      <w:r>
        <w:rPr>
          <w:color w:val="000000"/>
          <w:szCs w:val="24"/>
          <w:lang w:eastAsia="lt-LT"/>
        </w:rPr>
        <w:t>. Pagal Aprašą teikiamoms paraiškoms dėl projektų finansavimo numatoma skirti iki 429 864 100 Lt Sanglaudos fondo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0E4AC32735">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2013-01-29,
Žin., 2013, Nr.
14-680 (2013-02-07), i. k. 113301MISAK000D1-59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ind w:firstLine="567"/>
        <w:jc w:val="both"/>
        <w:rPr>
          <w:color w:val="000000"/>
        </w:rPr>
      </w:pPr>
      <w:r>
        <w:rPr>
          <w:color w:val="000000"/>
        </w:rPr>
        <w:t>10</w:t>
      </w:r>
      <w:r>
        <w:rPr>
          <w:color w:val="000000"/>
        </w:rPr>
        <w:t>. Projektai pagal Aprašą atrenkami valstybės projektų planavimo būdu. Valstybės projektų sąrašas tvirtinamas aplinkos ministro įsakymu ne vėliau kaip per vieną mėnesį nuo Aprašo įsigaliojimo dienos.</w:t>
      </w:r>
    </w:p>
    <w:p>
      <w:pPr>
        <w:widowControl w:val="0"/>
        <w:ind w:firstLine="567"/>
        <w:jc w:val="both"/>
        <w:rPr>
          <w:color w:val="000000"/>
        </w:rPr>
      </w:pPr>
      <w:r>
        <w:rPr>
          <w:color w:val="000000"/>
        </w:rPr>
        <w:t>11</w:t>
      </w:r>
      <w:r>
        <w:rPr>
          <w:color w:val="000000"/>
        </w:rPr>
        <w:t>. Apraše nenurodyta informacija, kurią privalo žinoti pareiškėjas rengdamas projektą ir teikdamas paraišką, skelbiama interneto tinklalapiuose www.esparama.lt ir www.apva.lt.</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REIKALAVIMAI PAREIŠKĖJAMS IR PARTNERIAMS</w:t>
      </w:r>
    </w:p>
    <w:p>
      <w:pPr>
        <w:widowControl w:val="0"/>
        <w:ind w:firstLine="567"/>
        <w:jc w:val="both"/>
        <w:rPr>
          <w:color w:val="000000"/>
        </w:rPr>
      </w:pPr>
    </w:p>
    <w:p>
      <w:pPr>
        <w:widowControl w:val="0"/>
        <w:ind w:firstLine="567"/>
        <w:jc w:val="both"/>
        <w:rPr>
          <w:color w:val="000000"/>
        </w:rPr>
      </w:pPr>
      <w:r>
        <w:rPr>
          <w:color w:val="000000"/>
        </w:rPr>
        <w:t>12</w:t>
      </w:r>
      <w:r>
        <w:rPr>
          <w:color w:val="000000"/>
        </w:rPr>
        <w:t>. Pareiškėjais finansavimui gauti gali būti regioniniai atliekų tvarkymo centrai (savivaldybių bendru sutarimu įsteigti juridiniai asmenys, atliekantys atliekų tvarkymo organizavimo funkcijas šių savivaldybių teritorijoje).</w:t>
      </w:r>
    </w:p>
    <w:p>
      <w:pPr>
        <w:widowControl w:val="0"/>
        <w:ind w:firstLine="567"/>
        <w:jc w:val="both"/>
        <w:rPr>
          <w:color w:val="000000"/>
        </w:rPr>
      </w:pPr>
      <w:r>
        <w:rPr>
          <w:color w:val="000000"/>
        </w:rPr>
        <w:t>13</w:t>
      </w:r>
      <w:r>
        <w:rPr>
          <w:color w:val="000000"/>
        </w:rPr>
        <w:t>. Pareiškėjas gali gauti projekto finansavimą, jei organizaciniu požiūriu yra pajėgus tinkamai ir laiku įgyvendinti teikiamą projektą ir atitinka reikalavimus, išdėstytus Aprašo 2 priedo 7.1.1–7.1.4, 7.2.1, 7.2.2 ir 7.2.4 punktuose.</w:t>
      </w:r>
    </w:p>
    <w:p>
      <w:pPr>
        <w:widowControl w:val="0"/>
        <w:ind w:firstLine="567"/>
        <w:jc w:val="both"/>
        <w:rPr>
          <w:color w:val="000000"/>
        </w:rPr>
      </w:pPr>
      <w:r>
        <w:rPr>
          <w:color w:val="000000"/>
        </w:rPr>
        <w:t>14</w:t>
      </w:r>
      <w:r>
        <w:rPr>
          <w:color w:val="000000"/>
        </w:rPr>
        <w:t>. Įgyvendinant priemonės „Atliekų tvarkymo sistemos sukūrimas“ veiklą „</w:t>
      </w:r>
      <w:r>
        <w:rPr>
          <w:color w:val="000000"/>
          <w:szCs w:val="24"/>
          <w:lang w:eastAsia="lt-LT"/>
        </w:rPr>
        <w:t>Komunalinių atliekų tvarkymo sistemų infrastruktūros plėtra – biologiškai skaidžių atliekų tvarkymo ir antrinių žaliavų surinkimo infrastruktūros sukūrimas</w:t>
      </w:r>
      <w:r>
        <w:rPr>
          <w:color w:val="000000"/>
        </w:rPr>
        <w:t>“ gali būti numatyti partneriai. Partneriais gali būti savivaldybių administracijos, juridiniai asmenys, įmonės ar organizacijos, įsteigtos Europos ekonominės erdvės valstybėje, taip pat jų filialai ar atstovybės. Partnerio (-ių) įtraukimo į projektą būtinumas turi būti pagrįstas paraiškoje. Partneriui (-iams) keliami tie patys reikalavimai kaip ir pareiškėjui, išskyrus Aprašo 2 priedo 7.1.4 punkto reikalavimus. Atsakomybė už projekto įgyvendinimą tenka pareiškėjui.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ind w:firstLine="567"/>
        <w:jc w:val="both"/>
        <w:rPr>
          <w:color w:val="000000"/>
          <w:spacing w:val="-3"/>
        </w:rPr>
      </w:pPr>
      <w:r>
        <w:rPr>
          <w:color w:val="000000"/>
          <w:spacing w:val="-3"/>
        </w:rPr>
        <w:t>15</w:t>
      </w:r>
      <w:r>
        <w:rPr>
          <w:color w:val="000000"/>
          <w:spacing w:val="-3"/>
        </w:rPr>
        <w:t>. Jeigu projektas įgyvendinamas kartu su partneriu savivaldybių administracija (-omis) ir (arba) regioniniu (-iais) atliekų tvarkymo centru, prie paraiškos turi būti pridedama jungtinės veiklos (partnerystės) sutarties kopija. Jungtinės veiklos (partnerystės) sutartį pasirašo pareiškėjas ir partneris (-iai). Jungtinės veiklos (partnerystės) sutartyje įsipareigojama laikytis pagrindinių geros partnerystės praktikos taisyklių:</w:t>
      </w:r>
    </w:p>
    <w:p>
      <w:pPr>
        <w:widowControl w:val="0"/>
        <w:ind w:firstLine="567"/>
        <w:jc w:val="both"/>
        <w:rPr>
          <w:color w:val="000000"/>
        </w:rPr>
      </w:pPr>
      <w:r>
        <w:rPr>
          <w:color w:val="000000"/>
        </w:rPr>
        <w:t>15.1</w:t>
      </w:r>
      <w:r>
        <w:rPr>
          <w:color w:val="000000"/>
        </w:rPr>
        <w:t>. visi partneriai turi būti perskaitę paraišką ir susipažinę su savo teisėmis ir pareigomis įgyvendinant projektą;</w:t>
      </w:r>
    </w:p>
    <w:p>
      <w:pPr>
        <w:widowControl w:val="0"/>
        <w:ind w:firstLine="567"/>
        <w:jc w:val="both"/>
        <w:rPr>
          <w:color w:val="000000"/>
        </w:rPr>
      </w:pPr>
      <w:r>
        <w:rPr>
          <w:color w:val="000000"/>
        </w:rPr>
        <w:t>15.2</w:t>
      </w:r>
      <w:r>
        <w:rPr>
          <w:color w:val="000000"/>
        </w:rPr>
        <w:t>. projekto įgyvendinimo metu projekto vykdytojas privalo reguliariai konsultuotis su partneriais ir nuolat juos informuoti apie projekto įgyvendinimo eigą;</w:t>
      </w:r>
    </w:p>
    <w:p>
      <w:pPr>
        <w:widowControl w:val="0"/>
        <w:ind w:firstLine="567"/>
        <w:jc w:val="both"/>
        <w:rPr>
          <w:color w:val="000000"/>
        </w:rPr>
      </w:pPr>
      <w:r>
        <w:rPr>
          <w:color w:val="000000"/>
        </w:rPr>
        <w:t>15.3</w:t>
      </w:r>
      <w:r>
        <w:rPr>
          <w:color w:val="000000"/>
        </w:rPr>
        <w:t>. projekto vykdytojas visiems partneriams privalo persiųsti visų Agentūrai teikiamų ataskaitų kopijas;</w:t>
      </w:r>
    </w:p>
    <w:p>
      <w:pPr>
        <w:widowControl w:val="0"/>
        <w:ind w:firstLine="567"/>
        <w:jc w:val="both"/>
        <w:rPr>
          <w:color w:val="000000"/>
        </w:rPr>
      </w:pPr>
      <w:r>
        <w:rPr>
          <w:color w:val="000000"/>
        </w:rPr>
        <w:t>15.4</w:t>
      </w:r>
      <w:r>
        <w:rPr>
          <w:color w:val="000000"/>
        </w:rPr>
        <w:t>. visi projekto pakeitimai, turintys įtakos partnerių įsipareigojimams ir teisėms, prieš kreipiantis į Agentūrą pirmiausia turi būti raštu suderinti su partneriais. Jungtinės veiklos (partnerystės) sutarties pakeitimas galimas, tik jeigu jam pritaria Agentūra;</w:t>
      </w:r>
    </w:p>
    <w:p>
      <w:pPr>
        <w:widowControl w:val="0"/>
        <w:ind w:firstLine="567"/>
        <w:jc w:val="both"/>
        <w:rPr>
          <w:color w:val="000000"/>
        </w:rPr>
      </w:pPr>
      <w:r>
        <w:rPr>
          <w:color w:val="000000"/>
        </w:rPr>
        <w:t>15.5</w:t>
      </w:r>
      <w:r>
        <w:rPr>
          <w:color w:val="000000"/>
        </w:rPr>
        <w:t>. prieš teikdamas paraišką pagal valstybės projektų sąraše nustatytą datą pareiškėjas susitaria su visais partneriais dėl projekto metu sukurtų produktų, nupirkto ar sukurto turto ir atliktų darbų nuosavybės teisių pasiskirstymo.</w:t>
      </w:r>
    </w:p>
    <w:p>
      <w:pPr>
        <w:widowControl w:val="0"/>
        <w:ind w:firstLine="567"/>
        <w:jc w:val="both"/>
        <w:rPr>
          <w:color w:val="000000"/>
          <w:spacing w:val="-3"/>
        </w:rPr>
      </w:pPr>
      <w:r>
        <w:rPr>
          <w:color w:val="000000"/>
        </w:rPr>
        <w:t>16</w:t>
      </w:r>
      <w:r>
        <w:rPr>
          <w:color w:val="000000"/>
        </w:rPr>
        <w:t xml:space="preserve">. Jeigu projektas įgyvendinamas ar planuojamas įgyvendinti taikant viešojo ir privataus sektorių partnerystės modelį, privatus partneris turi būti atrinktas viešai ir skaidriai, vadovaujantis Lietuvos Respublikos teisės aktais, reglamentuojančiais viešojo ir privataus sektorių bendradarbiavimą (priklausomai nuo pasirinkto modelio Lietuvos Respublikos koncesijų įstatymu (Žin., 1996, Nr. </w:t>
      </w:r>
      <w:hyperlink r:id="rId41" w:tgtFrame="_blank" w:history="1">
        <w:r>
          <w:rPr>
            <w:color w:val="0000FF" w:themeColor="hyperlink"/>
            <w:u w:val="single"/>
          </w:rPr>
          <w:t>92-2141</w:t>
        </w:r>
      </w:hyperlink>
      <w:r>
        <w:rPr>
          <w:color w:val="000000"/>
        </w:rPr>
        <w:t xml:space="preserve">; </w:t>
      </w:r>
      <w:r>
        <w:rPr>
          <w:color w:val="000000"/>
          <w:spacing w:val="-3"/>
        </w:rPr>
        <w:t xml:space="preserve">2003, Nr. </w:t>
      </w:r>
      <w:hyperlink r:id="rId42" w:tgtFrame="_blank" w:history="1">
        <w:r>
          <w:rPr>
            <w:color w:val="0000FF" w:themeColor="hyperlink"/>
            <w:spacing w:val="-3"/>
            <w:u w:val="single"/>
          </w:rPr>
          <w:t>70-3163</w:t>
        </w:r>
      </w:hyperlink>
      <w:r>
        <w:rPr>
          <w:color w:val="000000"/>
          <w:spacing w:val="-3"/>
        </w:rPr>
        <w:t xml:space="preserve">), Lietuvos Respublikos viešųjų pirkimų įstatymu (Žin., 1996, Nr. </w:t>
      </w:r>
      <w:hyperlink r:id="rId43" w:tgtFrame="_blank" w:history="1">
        <w:r>
          <w:rPr>
            <w:color w:val="0000FF" w:themeColor="hyperlink"/>
            <w:spacing w:val="-3"/>
            <w:u w:val="single"/>
          </w:rPr>
          <w:t>84-2000</w:t>
        </w:r>
      </w:hyperlink>
      <w:r>
        <w:rPr>
          <w:color w:val="000000"/>
          <w:spacing w:val="-3"/>
        </w:rPr>
        <w:t xml:space="preserve">; 2006, Nr. </w:t>
      </w:r>
      <w:hyperlink r:id="rId44" w:tgtFrame="_blank" w:history="1">
        <w:r>
          <w:rPr>
            <w:color w:val="0000FF" w:themeColor="hyperlink"/>
            <w:spacing w:val="-3"/>
            <w:u w:val="single"/>
          </w:rPr>
          <w:t>4-102</w:t>
        </w:r>
      </w:hyperlink>
      <w:r>
        <w:rPr>
          <w:color w:val="000000"/>
          <w:spacing w:val="-3"/>
        </w:rPr>
        <w:t xml:space="preserve">), Lietuvos Respublikos investicijų įstatymu (Žin., 1999, Nr. </w:t>
      </w:r>
      <w:hyperlink r:id="rId45" w:tgtFrame="_blank" w:history="1">
        <w:r>
          <w:rPr>
            <w:color w:val="0000FF" w:themeColor="hyperlink"/>
            <w:spacing w:val="-3"/>
            <w:u w:val="single"/>
          </w:rPr>
          <w:t>66-2127</w:t>
        </w:r>
      </w:hyperlink>
      <w:r>
        <w:rPr>
          <w:color w:val="000000"/>
          <w:spacing w:val="-3"/>
        </w:rPr>
        <w:t xml:space="preserve">), Lietuvos Respublikos civiliniu kodeksu (Žin., 2000, Nr. </w:t>
      </w:r>
      <w:hyperlink r:id="rId46" w:tgtFrame="_blank" w:history="1">
        <w:r>
          <w:rPr>
            <w:color w:val="0000FF" w:themeColor="hyperlink"/>
            <w:spacing w:val="-3"/>
            <w:u w:val="single"/>
          </w:rPr>
          <w:t>74-2262</w:t>
        </w:r>
      </w:hyperlink>
      <w:r>
        <w:rPr>
          <w:color w:val="000000"/>
          <w:spacing w:val="-3"/>
        </w:rPr>
        <w:t>) ar kt.). Kartu su paraiška turi būti pateikti dokumentai, parodantys, kaip buvo/bus atrinktas privatus partneris (investuotojas, operatorius, tiekėjas), ir partnerystės (koncesijos, viešųjų pirkimų, valdžios ir privataus subjektų partnerystės ar pan.) sutartis arba (jei ji dar nesudaryta) jos projektas.</w:t>
      </w:r>
    </w:p>
    <w:p>
      <w:pPr>
        <w:widowControl w:val="0"/>
        <w:ind w:firstLine="567"/>
        <w:jc w:val="both"/>
        <w:rPr>
          <w:color w:val="000000"/>
          <w:spacing w:val="-3"/>
        </w:rPr>
      </w:pPr>
      <w:r>
        <w:rPr>
          <w:color w:val="000000"/>
          <w:spacing w:val="-3"/>
        </w:rPr>
        <w:t>17</w:t>
      </w:r>
      <w:r>
        <w:rPr>
          <w:color w:val="000000"/>
          <w:spacing w:val="-3"/>
        </w:rPr>
        <w:t>. Aprašo 16 punkte nurodytiems partneriams (investuotojams, operatoriams, tiekėjams), su kuriais dar nėra sudaryta partnerystės (koncesijos, viešųjų pirkimų, valdžios ir privataus subjektų partnerystės ar pan.) sutartis, netaikomi reikalavimai, kurie taikomi Aprašo 14 punkte nurodytiems partneriams.</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REIKALAVIMAI PROJEKTAMS</w:t>
      </w:r>
    </w:p>
    <w:p>
      <w:pPr>
        <w:widowControl w:val="0"/>
        <w:ind w:firstLine="567"/>
        <w:jc w:val="both"/>
        <w:rPr>
          <w:color w:val="000000"/>
        </w:rPr>
      </w:pPr>
    </w:p>
    <w:p>
      <w:pPr>
        <w:widowControl w:val="0"/>
        <w:ind w:firstLine="567"/>
        <w:jc w:val="both"/>
        <w:rPr>
          <w:color w:val="000000"/>
        </w:rPr>
      </w:pPr>
      <w:r>
        <w:rPr>
          <w:color w:val="000000"/>
        </w:rPr>
        <w:t>18</w:t>
      </w:r>
      <w:r>
        <w:rPr>
          <w:color w:val="000000"/>
        </w:rPr>
        <w:t>. Projektas turi atitikti reikalavimus, kurie nurodyti Aprašo 2 priedo 1–6, 7.2.3 ir 9.2.1 punktuose.</w:t>
      </w:r>
    </w:p>
    <w:p>
      <w:pPr>
        <w:suppressAutoHyphens/>
        <w:ind w:firstLine="567"/>
        <w:jc w:val="both"/>
        <w:rPr>
          <w:color w:val="000000"/>
        </w:rPr>
      </w:pPr>
      <w:r>
        <w:rPr>
          <w:szCs w:val="24"/>
          <w:lang w:eastAsia="lt-LT"/>
        </w:rPr>
        <w:t>19</w:t>
      </w:r>
      <w:r>
        <w:rPr>
          <w:szCs w:val="24"/>
          <w:lang w:eastAsia="lt-LT"/>
        </w:rPr>
        <w:t xml:space="preserve">.  Projekto veiklos gali būti įgyvendintos ne vėliau kaip iki 2015 m. gruodžio 31 d. Projekto veiklų įgyvendinimo pradžia – projekto finansavimo ir administravimo sutartyje numatyta pirmosios projekto veiklos pradžios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256880586111e5825682aa0fc6b8d5">
        <w:r w:rsidRPr="00532B9F">
          <w:rPr>
            <w:rFonts w:ascii="Times New Roman" w:eastAsia="MS Mincho" w:hAnsi="Times New Roman"/>
            <w:sz w:val="20"/>
            <w:i/>
            <w:iCs/>
            <w:color w:val="0000FF" w:themeColor="hyperlink"/>
            <w:u w:val="single"/>
          </w:rPr>
          <w:t>D1-644</w:t>
        </w:r>
      </w:fldSimple>
      <w:r>
        <w:rPr>
          <w:rFonts w:ascii="Times New Roman" w:eastAsia="MS Mincho" w:hAnsi="Times New Roman"/>
          <w:sz w:val="20"/>
          <w:i/>
          <w:iCs/>
        </w:rPr>
        <w:t>,
2015-09-10,
paskelbta TAR 2015-09-11, i. k. 2015-13764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82b14068e111e58e1ab2c84776483b">
        <w:r w:rsidRPr="00532B9F">
          <w:rPr>
            <w:rFonts w:ascii="Times New Roman" w:eastAsia="MS Mincho" w:hAnsi="Times New Roman"/>
            <w:sz w:val="20"/>
            <w:i/>
            <w:iCs/>
            <w:color w:val="0000FF" w:themeColor="hyperlink"/>
            <w:u w:val="single"/>
          </w:rPr>
          <w:t>D1-698</w:t>
        </w:r>
      </w:fldSimple>
      <w:r>
        <w:rPr>
          <w:rFonts w:ascii="Times New Roman" w:eastAsia="MS Mincho" w:hAnsi="Times New Roman"/>
          <w:sz w:val="20"/>
          <w:i/>
          <w:iCs/>
        </w:rPr>
        <w:t>,
2015-10-02,
paskelbta TAR 2015-10-02, i. k. 2015-14689            </w:t>
      </w:r>
    </w:p>
    <w:p/>
    <w:p>
      <w:pPr>
        <w:widowControl w:val="0"/>
        <w:ind w:firstLine="567"/>
        <w:jc w:val="both"/>
        <w:rPr>
          <w:color w:val="000000"/>
          <w:spacing w:val="-2"/>
        </w:rPr>
      </w:pPr>
      <w:r>
        <w:rPr>
          <w:color w:val="000000"/>
          <w:spacing w:val="-2"/>
        </w:rPr>
        <w:t>20</w:t>
      </w:r>
      <w:r>
        <w:rPr>
          <w:color w:val="000000"/>
          <w:spacing w:val="-2"/>
        </w:rPr>
        <w:t xml:space="preserve">. Kartu su paraiška turi būti pateikta detali techninė, finansinė, ekonominė ir institucinė investicijų projekto įgyvendinimo galimybių studija. Galimybių studija turi būti rengiama vadovaujantis Viešojo ir privataus sektorių partnerystės projektų rengimo ir įgyvendinimo taisyklių, patvirtintų 2009 m. lapkričio 11 d. Lietuvos Respublikos Vyriausybės nutarimu Nr. 1480 (Žin., 2009, Nr. </w:t>
      </w:r>
      <w:hyperlink r:id="rId47" w:tgtFrame="_blank" w:history="1">
        <w:r>
          <w:rPr>
            <w:color w:val="0000FF" w:themeColor="hyperlink"/>
            <w:spacing w:val="-2"/>
            <w:u w:val="single"/>
          </w:rPr>
          <w:t>137-5998</w:t>
        </w:r>
      </w:hyperlink>
      <w:r>
        <w:rPr>
          <w:color w:val="000000"/>
          <w:spacing w:val="-2"/>
        </w:rPr>
        <w:t>), 6 punktu bei įvertinant Stebėsenos komiteto 2010 m. vasario 25 d. nutarimu Nr. 21 patvirtintus priemonės „Atliekų tvarkymo sistemos sukūrimas“ veiklos „</w:t>
      </w:r>
      <w:r>
        <w:rPr>
          <w:color w:val="000000"/>
          <w:szCs w:val="24"/>
          <w:lang w:eastAsia="lt-LT"/>
        </w:rPr>
        <w:t>Komunalinių atliekų tvarkymo sistemų infrastruktūros plėtra – biologiškai skaidžių atliekų tvarkymo ir antrinių žaliavų surinkimo infrastruktūros sukūrimas</w:t>
      </w:r>
      <w:r>
        <w:rPr>
          <w:color w:val="000000"/>
          <w:spacing w:val="-2"/>
        </w:rPr>
        <w:t>“ projektų atitikties kriterijus. Jeigu projektas įgyvendinamas ar ruošiamas įgyvendinti netaikant viešojo ir privataus sektorių partnerystės modelio, rengiant galimybių studiją Viešojo ir privataus sektorių partnerystės projektų rengimo ir įgyvendinimo taisyklėmis vadovautis neprivaloma.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ind w:firstLine="567"/>
        <w:jc w:val="both"/>
        <w:rPr>
          <w:color w:val="000000"/>
        </w:rPr>
      </w:pPr>
      <w:r>
        <w:rPr>
          <w:color w:val="000000"/>
        </w:rPr>
        <w:t>21</w:t>
      </w:r>
      <w:r>
        <w:rPr>
          <w:color w:val="000000"/>
        </w:rPr>
        <w:t xml:space="preserve">. Projektui, kurio vertė didesnė negu 3,453 mln. Lt, reikiamo finansavimo suma turi būti nustatyta, atsižvelgiant į Tarybos reglamento Nr. 1083/2006 55 straipsnyje išdėstytus reikalavimus. Jeigu iš projekto numatoma gauti pajamų, jos turi būti įvertintos iš anksto pagal Tarybos reglamento Nr. 1083/2006 55 straipsnio 2 dalies nuostatas, išskyrus tuos atvejus, kai bus gaunama pajamų, bet jų neįmanoma nustatyti iš anksto. Numatoma gauti grynųjų pajamų suma mažinamas projektui skiriamas finansavimas. Grynosios pajamos turi būti skaičiuojamos vadovaujantis Europos Komisijos parengtomis „Metodinėmis rekomendacijomis dėl Tarybos reglamento Nr. 1083/2006 55 straipsnio: pajamas duodantys projektai“ (angl. </w:t>
      </w:r>
      <w:r>
        <w:rPr>
          <w:i/>
          <w:iCs/>
          <w:color w:val="000000"/>
        </w:rPr>
        <w:t>Guidance note on Art. 55, Council Regulation (EC) 1083/2006: Revenue Generating Projects</w:t>
      </w:r>
      <w:r>
        <w:rPr>
          <w:color w:val="000000"/>
        </w:rPr>
        <w:t>), „Ekonominės naudos analizės atlikimo metodinės gairėmis“ (</w:t>
      </w:r>
      <w:r>
        <w:rPr>
          <w:i/>
          <w:iCs/>
          <w:color w:val="000000"/>
        </w:rPr>
        <w:t>Guidance On The Methodology For Carrying Out Cost-Benefit Analysis, Working Document No. 4)</w:t>
      </w:r>
      <w:r>
        <w:rPr>
          <w:color w:val="000000"/>
        </w:rPr>
        <w:t>, „paraiškos formos B dalies pavyzdinio priedo pajamas duodantiems projektams pildymo vadovu“, taip pat Investicinių projektų kaštų naudos analizės gairėmis (angl</w:t>
      </w:r>
      <w:r>
        <w:rPr>
          <w:i/>
          <w:iCs/>
          <w:color w:val="000000"/>
        </w:rPr>
        <w:t>. Guide to Cost-Benefit Analysis of Investment Projects</w:t>
      </w:r>
      <w:r>
        <w:rPr>
          <w:color w:val="000000"/>
        </w:rPr>
        <w:t>) didelės apimties projektų atveju. Šie dokumentai pateikti interneto svetainėje www.esparama.lt. Tuo atveju, jei pajamos neįvertintos iš anksto, jos turi būti grąžintos į valstybės biudžetą per 5 metus po projekto pabaigos (pajamų skaičiavimas atliekamas projekto veiklai „</w:t>
      </w:r>
      <w:r>
        <w:rPr>
          <w:color w:val="000000"/>
          <w:szCs w:val="24"/>
          <w:lang w:eastAsia="lt-LT"/>
        </w:rPr>
        <w:t>Komunalinių atliekų tvarkymo sistemų infrastruktūros plėtra – biologiškai skaidžių atliekų tvarkymo ir antrinių žaliavų surinkimo infrastruktūros sukūrimas</w:t>
      </w:r>
      <w:r>
        <w:rPr>
          <w:color w:val="000000"/>
        </w:rPr>
        <w:t>“. Investicinis projektas taip pat turi atitikti reikalavimus, nurodytus Aprašo 2 priedo 9.1.1–9.1.8 punktuose.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ind w:firstLine="567"/>
        <w:jc w:val="both"/>
        <w:rPr>
          <w:color w:val="000000"/>
        </w:rPr>
      </w:pPr>
      <w:r>
        <w:rPr>
          <w:color w:val="000000"/>
        </w:rPr>
        <w:t>22</w:t>
      </w:r>
      <w:r>
        <w:rPr>
          <w:color w:val="000000"/>
        </w:rPr>
        <w:t xml:space="preserve">. Didelės apimties projektai turi būti parengti vadovaujantis reikalavimais, nustatytais Tarybos reglamento Nr. 1083/2006 39 ir 40 straipsniuose, Europos Komisijos parengtame dokumente – Ekonominės naudos analizės atlikimo metodinėse gairėse (angl. </w:t>
      </w:r>
      <w:r>
        <w:rPr>
          <w:i/>
          <w:iCs/>
          <w:color w:val="000000"/>
        </w:rPr>
        <w:t>Guide to cost-benefit analysis of investment projects</w:t>
      </w:r>
      <w:r>
        <w:rPr>
          <w:color w:val="000000"/>
        </w:rPr>
        <w:t>) ir Europos Komisijos 2008 m. balandžio 23 d. pažymoje Nr. COCOF 08/0006/01 „Didelės apimties projektai 2007–2013: Ribinės vertės ir Europos Komisijos sprendimų turinys“ (angl. „</w:t>
      </w:r>
      <w:r>
        <w:rPr>
          <w:i/>
          <w:iCs/>
          <w:color w:val="000000"/>
        </w:rPr>
        <w:t>Major Projects in the programming period 2007–2013: Thresholds and contents of Comision decisions</w:t>
      </w:r>
      <w:r>
        <w:rPr>
          <w:color w:val="000000"/>
        </w:rPr>
        <w:t>“) (dokumentai skelbiami svetainėje www.esparama.lt), – pildoma ir pateikiama paraiškos forma, nustatyta Komisijos reglamento Nr. 1828/2006 XXI priede, ir XX priedas.</w:t>
      </w:r>
    </w:p>
    <w:p>
      <w:pPr>
        <w:widowControl w:val="0"/>
        <w:suppressAutoHyphens/>
        <w:ind w:firstLine="567"/>
        <w:jc w:val="both"/>
        <w:rPr>
          <w:color w:val="000000"/>
        </w:rPr>
      </w:pPr>
      <w:r>
        <w:rPr>
          <w:color w:val="000000"/>
          <w:szCs w:val="24"/>
          <w:lang w:eastAsia="lt-LT"/>
        </w:rPr>
        <w:t>23</w:t>
      </w:r>
      <w:r>
        <w:rPr>
          <w:color w:val="000000"/>
          <w:szCs w:val="24"/>
          <w:lang w:eastAsia="lt-LT"/>
        </w:rPr>
        <w:t>. Projektas turi siekti vieno arba abiejų priemonės „Atliekų tvarkymo sistemos sukūrimas“ įgyvendinimo stebėsenos rodiklių, nustatytų Sanglaudos skatinimo veiksmų programos priedo II skirsnyje: „Sukurti komunalinių atliekų perdirbimo ir (ar) kitokio panaudojimo pajėgumai“ ir/ar „Individualiose valdose pastatyti biologiškai skaidžių atliekų ir antrinių žaliavų konteineriai“. Stebėsenos rodiklių skaičiavimo ir matavimo metodika pateikta Aprašo 4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ind w:firstLine="567"/>
        <w:jc w:val="both"/>
        <w:rPr>
          <w:color w:val="000000"/>
        </w:rPr>
      </w:pPr>
      <w:r>
        <w:rPr>
          <w:color w:val="000000"/>
        </w:rPr>
        <w:t>24</w:t>
      </w:r>
      <w:r>
        <w:rPr>
          <w:color w:val="000000"/>
        </w:rPr>
        <w:t>. Reikalavimai, susiję su finansavimo pagal kitas ES finansuojamas programas atskyrimu:</w:t>
      </w:r>
    </w:p>
    <w:p>
      <w:pPr>
        <w:widowControl w:val="0"/>
        <w:ind w:firstLine="567"/>
        <w:jc w:val="both"/>
        <w:rPr>
          <w:color w:val="000000"/>
        </w:rPr>
      </w:pPr>
      <w:r>
        <w:rPr>
          <w:color w:val="000000"/>
        </w:rPr>
        <w:t>24.1</w:t>
      </w:r>
      <w:r>
        <w:rPr>
          <w:color w:val="000000"/>
        </w:rPr>
        <w:t>. Projektas ir projekto veiklos negali būti finansuotos ar finansuojamos bei suteikus paramą teikiamos finansuoti iš kitų programų finansuojamų valstybės biudžeto lėšomis, kitų fondų, kitų finansinių mechanizmų (Europos ekonominės erdvės ir Norvegijos, Šveicarijos Konfederacijos), jei dėl to projektas ar projekto veiklos galėtų būti finansuotos kelis kartus.</w:t>
      </w:r>
    </w:p>
    <w:p>
      <w:pPr>
        <w:widowControl w:val="0"/>
        <w:ind w:firstLine="567"/>
        <w:jc w:val="both"/>
        <w:rPr>
          <w:color w:val="000000"/>
        </w:rPr>
      </w:pPr>
      <w:r>
        <w:rPr>
          <w:color w:val="000000"/>
        </w:rPr>
        <w:t>24.2</w:t>
      </w:r>
      <w:r>
        <w:rPr>
          <w:color w:val="000000"/>
        </w:rPr>
        <w:t>. Projektas ir projekto veiklos negali būti finansuotos ar finansuojamos iš VP3-3.2-AM-01-V priemonės „Atliekų tvarkymo sistemos sukūrimas“ veiklos „Žaliųjų atliekų kompostavimo aikštelių įrengimas“ ir iš Ūkio ministerijos administruojamos VP3-3.4-ŪM-02-K priemonės „Atsinaujinančių energijos išteklių panaudojimas energijos gamybai“.</w:t>
      </w:r>
    </w:p>
    <w:p>
      <w:pPr>
        <w:widowControl w:val="0"/>
        <w:ind w:firstLine="567"/>
        <w:jc w:val="both"/>
        <w:rPr>
          <w:color w:val="000000"/>
          <w:spacing w:val="-5"/>
        </w:rPr>
      </w:pPr>
      <w:r>
        <w:rPr>
          <w:color w:val="000000"/>
          <w:spacing w:val="-5"/>
        </w:rPr>
        <w:t>25</w:t>
      </w:r>
      <w:r>
        <w:rPr>
          <w:color w:val="000000"/>
          <w:spacing w:val="-5"/>
        </w:rPr>
        <w:t>. Projekte negali būti numatyti veiksmai, kurie turėtų neigiamą poveikį horizontaliųjų sričių įgyvendinimui: darniam vystymuisi, lyčių lygybės ir nediskriminavimo skatinimui. Projektas turi atitikti Aprašo 2 priedo 4 ir 5 punktuose nustatytus reikalavimus.</w:t>
      </w:r>
    </w:p>
    <w:p>
      <w:pPr>
        <w:widowControl w:val="0"/>
        <w:ind w:firstLine="567"/>
        <w:jc w:val="both"/>
        <w:rPr>
          <w:color w:val="000000"/>
        </w:rPr>
      </w:pPr>
      <w:r>
        <w:rPr>
          <w:color w:val="000000"/>
        </w:rPr>
        <w:t>26</w:t>
      </w:r>
      <w:r>
        <w:rPr>
          <w:color w:val="000000"/>
        </w:rPr>
        <w:t xml:space="preserve">. Pareiškėjai ir (ar) partnerio(-iai) statybos darbų bei techninės priežiūros paslaugų viešuosius pirkimus turi atlikti vadovaudamiesi pirkimų dokumentų šablonais, paskelbtais tinklalapyje www.apva.lt, kai pareiškėjas yra perkančioji organizacija pagal Lietuvos Respublikos viešųjų pirkimų įstatymo nuostatas. Kai projektas yra teikiamas su partneriu, kuriam deleguojama dalies pirkimų vykdymas, ir jis yra neperkančioji organizacija, statybos darbų bei techninės priežiūros paslaugų viešuosius pirkimus partneris turi atlikti vadovaudamasis Juridinių asmenų, kurie nėra perkančiosios organizacijos pagal Lietuvos Respublikos viešųjų pirkimų įstatymą, pirkimų vykdymo ir priežiūros tvarkos aprašu, patvirtintu finansų ministro 2008 m. birželio 11 d. įsakymu Nr. 1K-212 (Žin., 2008, Nr. </w:t>
      </w:r>
      <w:hyperlink r:id="rId48" w:tgtFrame="_blank" w:history="1">
        <w:r>
          <w:rPr>
            <w:color w:val="0000FF" w:themeColor="hyperlink"/>
            <w:u w:val="single"/>
          </w:rPr>
          <w:t>69-2641</w:t>
        </w:r>
      </w:hyperlink>
      <w:r>
        <w:rPr>
          <w:color w:val="000000"/>
        </w:rPr>
        <w:t>).</w:t>
      </w:r>
    </w:p>
    <w:p>
      <w:pPr>
        <w:widowControl w:val="0"/>
        <w:ind w:firstLine="567"/>
        <w:jc w:val="both"/>
        <w:rPr>
          <w:color w:val="000000"/>
          <w:spacing w:val="-5"/>
        </w:rPr>
      </w:pPr>
      <w:r>
        <w:rPr>
          <w:color w:val="000000"/>
          <w:spacing w:val="-5"/>
        </w:rPr>
        <w:t>27</w:t>
      </w:r>
      <w:r>
        <w:rPr>
          <w:color w:val="000000"/>
          <w:spacing w:val="-5"/>
        </w:rPr>
        <w:t>. Projekto pabaigoje turi būti atliekamas galutinis išorinis projekto auditas, kurį turi atlikti turintis teisę atlikti tokį auditą atestuotas auditorius. Audito išvada turi būti pateikta Agentūrai kartu su galutine projekto ataskaita ir galutiniu mokėjimo prašymu.</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REIKALAVIMAI TINKAMOMS FINANSUOTI PROJEKTO IŠLAIDOMS IR FINANSAVIMO DYDŽIUI</w:t>
      </w:r>
    </w:p>
    <w:p>
      <w:pPr>
        <w:widowControl w:val="0"/>
        <w:ind w:firstLine="567"/>
        <w:jc w:val="both"/>
        <w:rPr>
          <w:color w:val="000000"/>
        </w:rPr>
      </w:pPr>
    </w:p>
    <w:p>
      <w:pPr>
        <w:widowControl w:val="0"/>
        <w:ind w:firstLine="567"/>
        <w:jc w:val="both"/>
        <w:rPr>
          <w:color w:val="000000"/>
        </w:rPr>
      </w:pPr>
      <w:r>
        <w:rPr>
          <w:color w:val="000000"/>
        </w:rPr>
        <w:t>28</w:t>
      </w:r>
      <w:r>
        <w:rPr>
          <w:color w:val="000000"/>
        </w:rPr>
        <w:t>. Tinkamomis finansuoti išlaidomis laikomos išlaidos, atitinkančios Išlaidų ir finansavimo reikalavimų atitikties taisyklių, Projektų administravimo ir finansavimo taisyklių ir Aprašo reikalavimus, patirtos ir apmokėtos nuo 2006 m. gruodžio 15 d. iki projekto veiklų įgyvendinimo pabaigos.</w:t>
      </w:r>
    </w:p>
    <w:p>
      <w:pPr>
        <w:widowControl w:val="0"/>
        <w:ind w:firstLine="567"/>
        <w:jc w:val="both"/>
        <w:rPr>
          <w:color w:val="000000"/>
        </w:rPr>
      </w:pPr>
      <w:r>
        <w:rPr>
          <w:color w:val="000000"/>
        </w:rPr>
        <w:t>29</w:t>
      </w:r>
      <w:r>
        <w:rPr>
          <w:color w:val="000000"/>
        </w:rPr>
        <w:t>. Reikalavimai tinkamoms finansuoti projekto išlaidoms ir finansavimo dydžiui išdėstyti Aprašo 2 priedo 8–9 punktuose.</w:t>
      </w:r>
    </w:p>
    <w:p>
      <w:pPr>
        <w:widowControl w:val="0"/>
        <w:ind w:firstLine="567"/>
        <w:jc w:val="both"/>
        <w:rPr>
          <w:color w:val="000000"/>
        </w:rPr>
      </w:pPr>
      <w:r>
        <w:rPr>
          <w:color w:val="000000"/>
        </w:rPr>
        <w:t>30</w:t>
      </w:r>
      <w:r>
        <w:rPr>
          <w:color w:val="000000"/>
        </w:rPr>
        <w:t>. Projekto tinkamų išlaidų dydis nustatomas atsižvelgiant į projekto išlaidų realumą, būtinumą ir šiame Apraše nustatytus tinkamoms finansuoti išlaidoms keliamus reikalavimus.</w:t>
      </w:r>
    </w:p>
    <w:p>
      <w:pPr>
        <w:widowControl w:val="0"/>
        <w:ind w:firstLine="567"/>
        <w:jc w:val="both"/>
        <w:rPr>
          <w:color w:val="000000"/>
        </w:rPr>
      </w:pPr>
      <w:r>
        <w:rPr>
          <w:color w:val="000000"/>
        </w:rPr>
        <w:t>31</w:t>
      </w:r>
      <w:r>
        <w:rPr>
          <w:color w:val="000000"/>
        </w:rPr>
        <w:t>. Netinkamas finansuoti, tačiau šiam projektui įgyvendinti būtinas išlaidas, pareiškėjas ir (ar) partneris (-iai) turi apmokėti nuosavomis lėšomis (kurios nėra pareiškėjo nuosavo įnašo dalis).</w:t>
      </w:r>
    </w:p>
    <w:p>
      <w:pPr>
        <w:widowControl w:val="0"/>
        <w:ind w:firstLine="567"/>
        <w:jc w:val="both"/>
        <w:rPr>
          <w:color w:val="000000"/>
        </w:rPr>
      </w:pPr>
      <w:r>
        <w:rPr>
          <w:color w:val="000000"/>
        </w:rPr>
        <w:t>32</w:t>
      </w:r>
      <w:r>
        <w:rPr>
          <w:color w:val="000000"/>
        </w:rPr>
        <w:t>. Netinkamos finansuoti projektų išlaidos be išlaidų, nurodytų Išlaidų ir finansavimo reikalavimų atitikties taisyklėse, yra:</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133"/>
        <w:gridCol w:w="6937"/>
      </w:tblGrid>
      <w:tr>
        <w:trPr>
          <w:trHeight w:val="60"/>
          <w:tblHeader/>
        </w:trPr>
        <w:tc>
          <w:tcPr>
            <w:tcW w:w="230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b/>
                <w:bCs/>
                <w:color w:val="000000"/>
              </w:rPr>
              <w:t>Išlaidų kategorija</w:t>
            </w:r>
          </w:p>
        </w:tc>
        <w:tc>
          <w:tcPr>
            <w:tcW w:w="751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b/>
                <w:bCs/>
                <w:color w:val="000000"/>
              </w:rPr>
              <w:t>Pagal išlaidų kategoriją netinkamos finansuoti projekto išlaidos</w:t>
            </w:r>
          </w:p>
        </w:tc>
      </w:tr>
      <w:tr>
        <w:trPr>
          <w:trHeight w:val="60"/>
        </w:trPr>
        <w:tc>
          <w:tcPr>
            <w:tcW w:w="230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 xml:space="preserve">1. Žemė </w:t>
            </w:r>
          </w:p>
        </w:tc>
        <w:tc>
          <w:tcPr>
            <w:tcW w:w="751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 žemės pirkimo arba nuomos ir su tuo susijusios išlaidos;</w:t>
            </w:r>
          </w:p>
          <w:p>
            <w:pPr>
              <w:widowControl w:val="0"/>
              <w:rPr>
                <w:color w:val="000000"/>
              </w:rPr>
            </w:pPr>
            <w:r>
              <w:rPr>
                <w:color w:val="000000"/>
              </w:rPr>
              <w:t>– nepriklausomo turto vertintojo ataskaitos apie žemės rinkos vertę parengimo išlaidos;</w:t>
            </w:r>
          </w:p>
          <w:p>
            <w:pPr>
              <w:widowControl w:val="0"/>
              <w:rPr>
                <w:color w:val="000000"/>
              </w:rPr>
            </w:pPr>
            <w:r>
              <w:rPr>
                <w:color w:val="000000"/>
              </w:rPr>
              <w:t>– išlaidos notarui už sandorio įforminimą;</w:t>
            </w:r>
          </w:p>
          <w:p>
            <w:pPr>
              <w:widowControl w:val="0"/>
              <w:rPr>
                <w:color w:val="000000"/>
              </w:rPr>
            </w:pPr>
            <w:r>
              <w:rPr>
                <w:color w:val="000000"/>
              </w:rPr>
              <w:t>– įsigyto žemės sklypo kadastrinių matavimų ir teisinės registracijos išlaidos.</w:t>
            </w:r>
          </w:p>
        </w:tc>
      </w:tr>
      <w:tr>
        <w:trPr>
          <w:trHeight w:val="60"/>
        </w:trPr>
        <w:tc>
          <w:tcPr>
            <w:tcW w:w="230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2. Nekilnojamasis turtas</w:t>
            </w:r>
          </w:p>
        </w:tc>
        <w:tc>
          <w:tcPr>
            <w:tcW w:w="751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 nekilnojamojo turto (pastatų, kitų statinių ar patalpų ir žemės, ant kurios jie pastatyti) pirkimo, nuomos arba lizingo (finansinės nuomos) ir eksploatavimo išlaidos;</w:t>
            </w:r>
          </w:p>
          <w:p>
            <w:pPr>
              <w:widowControl w:val="0"/>
              <w:rPr>
                <w:color w:val="000000"/>
              </w:rPr>
            </w:pPr>
            <w:r>
              <w:rPr>
                <w:color w:val="000000"/>
              </w:rPr>
              <w:t>– nepriklausomo turto vertintojo ataskaitos apie nekilnojamojo turto rinkos vertę parengimo išlaidos;</w:t>
            </w:r>
          </w:p>
          <w:p>
            <w:pPr>
              <w:widowControl w:val="0"/>
              <w:rPr>
                <w:color w:val="000000"/>
              </w:rPr>
            </w:pPr>
            <w:r>
              <w:rPr>
                <w:color w:val="000000"/>
              </w:rPr>
              <w:t>– išlaidos notarui už sandorio (nekilnojamojo turto) įforminimą;</w:t>
            </w:r>
          </w:p>
          <w:p>
            <w:pPr>
              <w:widowControl w:val="0"/>
              <w:rPr>
                <w:color w:val="000000"/>
              </w:rPr>
            </w:pPr>
            <w:r>
              <w:rPr>
                <w:color w:val="000000"/>
              </w:rPr>
              <w:t>– įsigyto nekilnojamojo turto draudimo, kadastrinių matavimų, teisinės registracijos išlaidos.</w:t>
            </w:r>
          </w:p>
        </w:tc>
      </w:tr>
      <w:tr>
        <w:trPr>
          <w:trHeight w:val="60"/>
        </w:trPr>
        <w:tc>
          <w:tcPr>
            <w:tcW w:w="230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3. Statyba, rekonstravimas, remontas ir kiti darbai</w:t>
            </w:r>
          </w:p>
        </w:tc>
        <w:tc>
          <w:tcPr>
            <w:tcW w:w="751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 administracinių pastatų rekonstravimo, kapitalinio ir einamojo remonto, griovimo ir kt. darbų išlaidos;</w:t>
            </w:r>
          </w:p>
          <w:p>
            <w:pPr>
              <w:widowControl w:val="0"/>
              <w:rPr>
                <w:color w:val="000000"/>
              </w:rPr>
            </w:pPr>
            <w:r>
              <w:rPr>
                <w:color w:val="000000"/>
              </w:rPr>
              <w:t>– sukurto turto draudimo išlaidos, pasibaigus projekto veiklų įgyvendinimo laikotarpiui;</w:t>
            </w:r>
          </w:p>
          <w:p>
            <w:pPr>
              <w:widowControl w:val="0"/>
              <w:rPr>
                <w:color w:val="000000"/>
              </w:rPr>
            </w:pPr>
            <w:r>
              <w:rPr>
                <w:color w:val="000000"/>
              </w:rPr>
              <w:t>– pastato (statinio) inventorizacijos ir teisinės registracijos išlaidos, išskyrus išpildomuosius brėžinius ir kadastrinius matavimus.</w:t>
            </w:r>
          </w:p>
        </w:tc>
      </w:tr>
      <w:tr>
        <w:trPr>
          <w:trHeight w:val="60"/>
        </w:trPr>
        <w:tc>
          <w:tcPr>
            <w:tcW w:w="230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4. Įranga, įrenginiai ir kt. turtas</w:t>
            </w:r>
          </w:p>
        </w:tc>
        <w:tc>
          <w:tcPr>
            <w:tcW w:w="751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 įrangos, įrenginių ir kito turto nuomos ir lizingo (finansinės nuomos) išlaidos;</w:t>
            </w:r>
          </w:p>
          <w:p>
            <w:pPr>
              <w:widowControl w:val="0"/>
              <w:rPr>
                <w:color w:val="000000"/>
              </w:rPr>
            </w:pPr>
            <w:r>
              <w:rPr>
                <w:color w:val="000000"/>
              </w:rPr>
              <w:t>– transporto priemonių pirkimo, nuomos, lizingo (finansinės nuomos), eksploatavimo ir susijusios išlaidos;</w:t>
            </w:r>
          </w:p>
          <w:p>
            <w:pPr>
              <w:widowControl w:val="0"/>
              <w:rPr>
                <w:color w:val="000000"/>
              </w:rPr>
            </w:pPr>
            <w:r>
              <w:rPr>
                <w:color w:val="000000"/>
              </w:rPr>
              <w:t>– baldų įsigijimo, nuomos, lizingo (finansinės nuomos) ir susijusios išlaidos;</w:t>
            </w:r>
          </w:p>
          <w:p>
            <w:pPr>
              <w:widowControl w:val="0"/>
              <w:rPr>
                <w:color w:val="000000"/>
              </w:rPr>
            </w:pPr>
            <w:r>
              <w:rPr>
                <w:color w:val="000000"/>
              </w:rPr>
              <w:t>– kompiuterinės įrangos įsigijimo išlaidos, kurios nepriskiriamos objekto eksploatacinėms reikmėms;</w:t>
            </w:r>
          </w:p>
          <w:p>
            <w:pPr>
              <w:widowControl w:val="0"/>
              <w:rPr>
                <w:color w:val="000000"/>
              </w:rPr>
            </w:pPr>
            <w:r>
              <w:rPr>
                <w:color w:val="000000"/>
              </w:rPr>
              <w:t>– programinės įrangos įsigijimo išlaidos, kurios nepriskiriamos objekto eksploatacinėms reikmėms;</w:t>
            </w:r>
          </w:p>
          <w:p>
            <w:pPr>
              <w:widowControl w:val="0"/>
              <w:rPr>
                <w:color w:val="000000"/>
              </w:rPr>
            </w:pPr>
            <w:r>
              <w:rPr>
                <w:color w:val="000000"/>
              </w:rPr>
              <w:t>– įsigyto turto draudimo išlaidos.</w:t>
            </w:r>
          </w:p>
        </w:tc>
      </w:tr>
      <w:tr>
        <w:trPr>
          <w:trHeight w:val="60"/>
        </w:trPr>
        <w:tc>
          <w:tcPr>
            <w:tcW w:w="230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5. Projekto administravimas ir vykdymas</w:t>
            </w:r>
          </w:p>
        </w:tc>
        <w:tc>
          <w:tcPr>
            <w:tcW w:w="751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 xml:space="preserve">– darbo santykiais su projekto vykdytoju (partneriu) susijusių projektą administruojančių ir vykdančių asmenų darbo užmokesčio ir susijusių darbdavio įsipareigojimų išlaidos; </w:t>
            </w:r>
          </w:p>
          <w:p>
            <w:pPr>
              <w:widowControl w:val="0"/>
              <w:rPr>
                <w:color w:val="000000"/>
              </w:rPr>
            </w:pPr>
            <w:r>
              <w:rPr>
                <w:color w:val="000000"/>
              </w:rPr>
              <w:t>– projektą administruojančių ir vykdančių asmenų komandiruočių išlaidos;</w:t>
            </w:r>
          </w:p>
          <w:p>
            <w:pPr>
              <w:widowControl w:val="0"/>
              <w:rPr>
                <w:color w:val="000000"/>
              </w:rPr>
            </w:pPr>
            <w:r>
              <w:rPr>
                <w:color w:val="000000"/>
              </w:rPr>
              <w:t>– biuro prekių ir paslaugų išlaidos;</w:t>
            </w:r>
          </w:p>
          <w:p>
            <w:pPr>
              <w:widowControl w:val="0"/>
              <w:rPr>
                <w:color w:val="000000"/>
              </w:rPr>
            </w:pPr>
            <w:r>
              <w:rPr>
                <w:color w:val="000000"/>
              </w:rPr>
              <w:t>– transporto priemonių eksploatavimo išlaidos;</w:t>
            </w:r>
          </w:p>
          <w:p>
            <w:pPr>
              <w:widowControl w:val="0"/>
              <w:rPr>
                <w:color w:val="000000"/>
              </w:rPr>
            </w:pPr>
            <w:r>
              <w:rPr>
                <w:color w:val="000000"/>
              </w:rPr>
              <w:t>– patalpų nuomos ir eksploatavimo (komunalinių paslaugų ir pan.) išlaidos;</w:t>
            </w:r>
          </w:p>
          <w:p>
            <w:pPr>
              <w:widowControl w:val="0"/>
              <w:rPr>
                <w:color w:val="000000"/>
              </w:rPr>
            </w:pPr>
            <w:r>
              <w:rPr>
                <w:color w:val="000000"/>
              </w:rPr>
              <w:t>– finansinės išlaidos ir pan.;</w:t>
            </w:r>
          </w:p>
          <w:p>
            <w:pPr>
              <w:widowControl w:val="0"/>
              <w:rPr>
                <w:color w:val="000000"/>
              </w:rPr>
            </w:pPr>
            <w:r>
              <w:rPr>
                <w:color w:val="000000"/>
              </w:rPr>
              <w:t>– reprezentacinės išlaidos (pvz., maitinimo išlaidos seminarų, mokymų metu, „verslo pietūs“ ir kt.).</w:t>
            </w:r>
          </w:p>
        </w:tc>
      </w:tr>
      <w:tr>
        <w:trPr>
          <w:trHeight w:val="60"/>
        </w:trPr>
        <w:tc>
          <w:tcPr>
            <w:tcW w:w="230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6. Nusidėvėjimas (amortizacija)</w:t>
            </w:r>
          </w:p>
        </w:tc>
        <w:tc>
          <w:tcPr>
            <w:tcW w:w="751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 projekto veiklų įgyvendinimui būtino ir projekto vykdytojui (partneriui) priklausančio ilgalaikio turto nusidėvėjimo (amortizacijos) sąnaudos.</w:t>
            </w:r>
          </w:p>
        </w:tc>
      </w:tr>
      <w:tr>
        <w:trPr>
          <w:trHeight w:val="60"/>
        </w:trPr>
        <w:tc>
          <w:tcPr>
            <w:tcW w:w="230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7. Kitos išlaidos</w:t>
            </w:r>
          </w:p>
        </w:tc>
        <w:tc>
          <w:tcPr>
            <w:tcW w:w="751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widowControl w:val="0"/>
              <w:rPr>
                <w:color w:val="000000"/>
              </w:rPr>
            </w:pPr>
            <w:r>
              <w:rPr>
                <w:color w:val="000000"/>
              </w:rPr>
              <w:t>– pridėtinės vertės mokestis (PVM), kurį paramos gavėjas pagal Lietuvos Respublikos teisės aktus turi galimybę įtraukti į PVM atskaitą, net jeigu paramos gavėjas tokio PVM į atskaitą neįtraukė;</w:t>
            </w:r>
          </w:p>
          <w:p>
            <w:pPr>
              <w:widowControl w:val="0"/>
              <w:rPr>
                <w:color w:val="000000"/>
              </w:rPr>
            </w:pPr>
            <w:r>
              <w:rPr>
                <w:color w:val="000000"/>
              </w:rPr>
              <w:t>– išlaidos, tiesiogiai nesusijusios su projekto vykdymu;</w:t>
            </w:r>
          </w:p>
          <w:p>
            <w:pPr>
              <w:widowControl w:val="0"/>
              <w:rPr>
                <w:color w:val="000000"/>
              </w:rPr>
            </w:pPr>
            <w:r>
              <w:rPr>
                <w:color w:val="000000"/>
              </w:rPr>
              <w:t>– už paimtas paskolas mokamos palūkanos;</w:t>
            </w:r>
          </w:p>
          <w:p>
            <w:pPr>
              <w:widowControl w:val="0"/>
              <w:rPr>
                <w:color w:val="000000"/>
              </w:rPr>
            </w:pPr>
            <w:r>
              <w:rPr>
                <w:color w:val="000000"/>
              </w:rPr>
              <w:t>– baudos, finansinės nuobaudos ir bylų nagrinėjimo išlaidos;</w:t>
            </w:r>
          </w:p>
          <w:p>
            <w:pPr>
              <w:widowControl w:val="0"/>
              <w:rPr>
                <w:color w:val="000000"/>
              </w:rPr>
            </w:pPr>
            <w:r>
              <w:rPr>
                <w:color w:val="000000"/>
              </w:rPr>
              <w:t>– apmokėjimai rangovams, paslaugų ar prekių tiekėjams, jeigu sutartis su jais pasirašyta anksčiau, nei patvirtintas Aprašas.</w:t>
            </w:r>
          </w:p>
        </w:tc>
      </w:tr>
    </w:tbl>
    <w:p>
      <w:pPr>
        <w:widowControl w:val="0"/>
        <w:ind w:firstLine="567"/>
        <w:jc w:val="both"/>
        <w:rPr>
          <w:color w:val="000000"/>
        </w:rPr>
      </w:pPr>
    </w:p>
    <w:p>
      <w:pPr>
        <w:widowControl w:val="0"/>
        <w:ind w:firstLine="567"/>
        <w:jc w:val="both"/>
        <w:rPr>
          <w:color w:val="000000"/>
        </w:rPr>
      </w:pPr>
    </w:p>
    <w:p>
      <w:pPr>
        <w:widowControl w:val="0"/>
        <w:ind w:firstLine="567"/>
        <w:jc w:val="both"/>
        <w:rPr>
          <w:color w:val="000000"/>
        </w:rPr>
      </w:pPr>
      <w:r>
        <w:rPr>
          <w:color w:val="000000"/>
          <w:szCs w:val="24"/>
          <w:lang w:eastAsia="lt-LT"/>
        </w:rPr>
        <w:t>32</w:t>
      </w:r>
      <w:r>
        <w:rPr>
          <w:color w:val="000000"/>
          <w:szCs w:val="24"/>
          <w:vertAlign w:val="superscript"/>
          <w:lang w:eastAsia="lt-LT"/>
        </w:rPr>
        <w:t>1</w:t>
      </w:r>
      <w:r>
        <w:rPr>
          <w:color w:val="000000"/>
          <w:szCs w:val="24"/>
          <w:lang w:eastAsia="lt-LT"/>
        </w:rPr>
        <w:t>. Nuo 2013 m. gegužės 1 d. pasirašytose infrastruktūros statybos darbų sutartyse numatytas užsakovo rezervas turi būti apmokamas projekto vykdytojo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72ABCAACDE">
        <w:r w:rsidRPr="00532B9F">
          <w:rPr>
            <w:rFonts w:ascii="Times New Roman" w:eastAsia="MS Mincho" w:hAnsi="Times New Roman"/>
            <w:sz w:val="20"/>
            <w:i/>
            <w:iCs/>
            <w:color w:val="0000FF" w:themeColor="hyperlink"/>
            <w:u w:val="single"/>
          </w:rPr>
          <w:t>D1-157</w:t>
        </w:r>
      </w:fldSimple>
      <w:r>
        <w:rPr>
          <w:rFonts w:ascii="Times New Roman" w:eastAsia="MS Mincho" w:hAnsi="Times New Roman"/>
          <w:sz w:val="20"/>
          <w:i/>
          <w:iCs/>
        </w:rPr>
        <w:t>,
2013-02-28,
Žin., 2013, Nr.
23-1130 (2013-03-02), i. k. 113301MISAK00D1-157        </w:t>
      </w:r>
    </w:p>
    <w:p/>
    <w:p>
      <w:pPr>
        <w:widowControl w:val="0"/>
        <w:ind w:firstLine="567"/>
        <w:jc w:val="both"/>
        <w:rPr>
          <w:color w:val="000000"/>
        </w:rPr>
      </w:pPr>
      <w:r>
        <w:rPr>
          <w:color w:val="000000"/>
        </w:rPr>
        <w:t>33</w:t>
      </w:r>
      <w:r>
        <w:rPr>
          <w:color w:val="000000"/>
        </w:rPr>
        <w:t>. Netinkamas finansuoti projekto išlaidas ir tinkamų išlaidų dalį, kurios nepadengia projektui skiriamas finansavimas, turi apmokėti projekto vykdytojas. Paraiškų rengimo, galimybių studijos, poveikio aplinkai vertinimo rengimo, techninės priežiūros, ekspertizių ir projekto audito išlaidos, viršijančios 5% nuo bendros projekto vertės, taip pat turi būti apmokėtos projekto vykdytojo lėšomis.</w:t>
      </w:r>
    </w:p>
    <w:p>
      <w:pPr>
        <w:widowControl w:val="0"/>
        <w:ind w:firstLine="567"/>
        <w:jc w:val="both"/>
        <w:rPr>
          <w:color w:val="000000"/>
        </w:rPr>
      </w:pPr>
      <w:r>
        <w:rPr>
          <w:color w:val="000000"/>
        </w:rPr>
        <w:t>34</w:t>
      </w:r>
      <w:r>
        <w:rPr>
          <w:color w:val="000000"/>
        </w:rPr>
        <w:t>. Projektas gali būti pradėtas įgyvendinti nuo Aprašo įsigaliojimo dienos. Projekto įgyvendinimo pradžia – paslaugų sutarties galimybių studijai rengti pasirašymo diena. Projekto finansavimo pradžia – projekto finansavimo ir administravimo sutarties įsigaliojimo data.</w:t>
      </w:r>
    </w:p>
    <w:p>
      <w:pPr>
        <w:widowControl w:val="0"/>
        <w:ind w:firstLine="567"/>
        <w:jc w:val="both"/>
        <w:rPr>
          <w:color w:val="000000"/>
        </w:rPr>
      </w:pPr>
      <w:r>
        <w:rPr>
          <w:color w:val="000000"/>
        </w:rPr>
        <w:t>35</w:t>
      </w:r>
      <w:r>
        <w:rPr>
          <w:color w:val="000000"/>
        </w:rPr>
        <w:t>. Didelis investicijų projektas negali būti dirbtinai suskaidytas į mažesnius. Siekiant, kad dideli investiciniai projektai nebūtų dirbtinai dalijami į mažesnius projektus, didelis investicinis projektas turėtų būti laikomas vienu investiciniu projektu, kai investicijas, kurias per trejų metų laikotarpį panaudoja ta pati įmonė ar įmonės, sudaro ekonomiškai nedalomas ilgalaikis turtas.</w:t>
      </w:r>
    </w:p>
    <w:p>
      <w:pPr>
        <w:widowControl w:val="0"/>
        <w:ind w:firstLine="567"/>
        <w:jc w:val="both"/>
        <w:rPr>
          <w:color w:val="000000"/>
        </w:rPr>
      </w:pPr>
      <w:r>
        <w:rPr>
          <w:color w:val="000000"/>
        </w:rPr>
        <w:t>36</w:t>
      </w:r>
      <w:r>
        <w:rPr>
          <w:color w:val="000000"/>
        </w:rPr>
        <w:t>. Pareiškėjas, teikiantis paraišką finansavimui gauti pagal šį Aprašą, turi prisidėti nuosavomis lėšomis. Pareiškėjo nuosavų lėšų indėlis arba privačios partnerystės atveju – privataus juridinio subjekto lėšos – turi būti ne mažesnis kaip 15 proc. tinkamų deklaruoti Europos komisijai projekto išlaidų, t.y. neįskaitant grynųjų projekto pajamų.</w:t>
      </w:r>
    </w:p>
    <w:p>
      <w:pPr>
        <w:widowControl w:val="0"/>
        <w:ind w:firstLine="567"/>
        <w:jc w:val="both"/>
        <w:rPr>
          <w:color w:val="000000"/>
        </w:rPr>
      </w:pPr>
      <w:r>
        <w:rPr>
          <w:color w:val="000000"/>
        </w:rPr>
        <w:t>37</w:t>
      </w:r>
      <w:r>
        <w:rPr>
          <w:color w:val="000000"/>
        </w:rPr>
        <w:t>. Nuosavų lėšų finansavimo šaltiniai turi būti aiškiai apibrėžti, patikimi, tinkami, pakankami ir realūs paraiškos pateikimo metu. Pakankamai apibrėžtais, patikimais ir tinkamais nuosavų lėšų finansavimo šaltiniais laikomi: kompetentingo valdymo organo sprendimas dėl trūkstamų lėšų pasiskolinimo, banko paskola, pareiškėjo ir (ar) partnerio (-ių) piniginės lėšos, garantinis banko raštas ir pan.</w:t>
      </w:r>
    </w:p>
    <w:p>
      <w:pPr>
        <w:widowControl w:val="0"/>
        <w:ind w:firstLine="567"/>
        <w:jc w:val="both"/>
        <w:rPr>
          <w:color w:val="000000"/>
        </w:rPr>
      </w:pPr>
      <w:r>
        <w:rPr>
          <w:color w:val="000000"/>
        </w:rPr>
        <w:t>38</w:t>
      </w:r>
      <w:r>
        <w:rPr>
          <w:color w:val="000000"/>
        </w:rPr>
        <w:t>. Projekto rangos ir (ar) tiekimo sutartys turi būti pasirašytos ne vėliau kaip iki 2012 m. rugsėjo 30 d.</w:t>
      </w:r>
    </w:p>
    <w:p>
      <w:pPr>
        <w:widowControl w:val="0"/>
        <w:ind w:firstLine="567"/>
        <w:jc w:val="both"/>
        <w:rPr>
          <w:color w:val="000000"/>
        </w:rPr>
      </w:pPr>
      <w:r>
        <w:rPr>
          <w:color w:val="000000"/>
        </w:rPr>
        <w:t>39</w:t>
      </w:r>
      <w:r>
        <w:rPr>
          <w:color w:val="000000"/>
        </w:rPr>
        <w:t>. Projekto darbai gali būti pradėti įgyvendinti ne anksčiau kaip nuo tos dienos, kai buvo išsiųstas raštiškas išankstinis Agentūros patvirtinimas, kad projektas atitinka Apraše nustatytus reikalavimus. Iki išankstinio Agentūros patvirtinimo galima pradėti vykdyti pasirengimo projektui veiklas, bet tik tas, kurios nėra laikomos projekto darbais. Išankstinis Agentūros patvirtinimas dėl projekto tinkamumo finansuoti nereiškia, kad projektui yra skirtas finansavimas, todėl projekto išlaidos nuo patvirtinimo išsiuntimo datos iki finansavimo skyrimo yra patiriamos pareiškėjo rizika.</w:t>
      </w:r>
    </w:p>
    <w:p>
      <w:pPr>
        <w:widowControl w:val="0"/>
        <w:ind w:firstLine="567"/>
        <w:jc w:val="both"/>
        <w:rPr>
          <w:color w:val="000000"/>
        </w:rPr>
      </w:pPr>
      <w:r>
        <w:rPr>
          <w:color w:val="000000"/>
        </w:rPr>
        <w:t>40</w:t>
      </w:r>
      <w:r>
        <w:rPr>
          <w:color w:val="000000"/>
        </w:rPr>
        <w:t>. Sudarant projekto biudžetą, siūloma vadovautis Finansų ministerijos parengtomis rekomendacijomis dėl projektų išlaidų atitikties Europos regioninės plėtros fondo ir Sanglaudos fondo finansavimo reikalavimams (toliau – Išlaidų atitikties rekomendacijos), kurios paskelbtos ES struktūrinės paramos interneto tinklalapyje www.esparama.lt.</w:t>
      </w:r>
    </w:p>
    <w:p>
      <w:pPr>
        <w:widowControl w:val="0"/>
        <w:ind w:firstLine="567"/>
        <w:jc w:val="both"/>
        <w:rPr>
          <w:color w:val="000000"/>
        </w:rPr>
      </w:pPr>
    </w:p>
    <w:p>
      <w:pPr>
        <w:widowControl w:val="0"/>
        <w:jc w:val="center"/>
        <w:rPr>
          <w:b/>
          <w:bCs/>
          <w:caps/>
          <w:color w:val="000000"/>
        </w:rPr>
      </w:pPr>
      <w:r>
        <w:rPr>
          <w:b/>
          <w:bCs/>
          <w:caps/>
          <w:color w:val="000000"/>
        </w:rPr>
        <w:t>V</w:t>
      </w:r>
      <w:r>
        <w:rPr>
          <w:b/>
          <w:bCs/>
          <w:caps/>
          <w:color w:val="000000"/>
        </w:rPr>
        <w:t xml:space="preserve">. </w:t>
      </w:r>
      <w:r>
        <w:rPr>
          <w:b/>
          <w:bCs/>
          <w:caps/>
          <w:color w:val="000000"/>
        </w:rPr>
        <w:t>PARAIŠKŲ PRIĖMIMAS</w:t>
      </w:r>
    </w:p>
    <w:p>
      <w:pPr>
        <w:widowControl w:val="0"/>
        <w:ind w:firstLine="567"/>
        <w:jc w:val="both"/>
        <w:rPr>
          <w:color w:val="000000"/>
        </w:rPr>
      </w:pPr>
    </w:p>
    <w:p>
      <w:pPr>
        <w:widowControl w:val="0"/>
        <w:ind w:firstLine="567"/>
        <w:jc w:val="both"/>
        <w:rPr>
          <w:color w:val="000000"/>
        </w:rPr>
      </w:pPr>
      <w:r>
        <w:rPr>
          <w:color w:val="000000"/>
        </w:rPr>
        <w:t>41</w:t>
      </w:r>
      <w:r>
        <w:rPr>
          <w:color w:val="000000"/>
        </w:rPr>
        <w:t>. Paraiškas projektų finansavimui gauti kartu su reikalaujamais priedais iš pareiškėjų priima ir registruoja Agentūra Projektų administravimo ir finansavimo taisyklėse nustatyta tvarka.</w:t>
      </w:r>
    </w:p>
    <w:p>
      <w:pPr>
        <w:widowControl w:val="0"/>
        <w:ind w:firstLine="567"/>
        <w:jc w:val="both"/>
        <w:rPr>
          <w:color w:val="000000"/>
        </w:rPr>
      </w:pPr>
      <w:r>
        <w:rPr>
          <w:color w:val="000000"/>
        </w:rPr>
        <w:t>42</w:t>
      </w:r>
      <w:r>
        <w:rPr>
          <w:color w:val="000000"/>
        </w:rPr>
        <w:t>. Pareiškėjas pildo standartinę elektroninę paraiškos formą. Paraišką sudaro bendroji (A) ir specialioji (B) dalių formos ir kartu pridedami papildomi dokumentai, kurie išvardinti Aprašo 3 priede. Pildymui parengtą paraiškos bendrosios (A) dalies elektroninę formą (</w:t>
      </w:r>
      <w:r>
        <w:rPr>
          <w:i/>
          <w:iCs/>
          <w:color w:val="000000"/>
        </w:rPr>
        <w:t xml:space="preserve">Excel </w:t>
      </w:r>
      <w:r>
        <w:rPr>
          <w:color w:val="000000"/>
        </w:rPr>
        <w:t xml:space="preserve">formato) ir paraiškos pildymo instrukciją pareiškėjas gali rasti ES struktūrinės paramos interneto tinklalapyje www.esparama.lt. </w:t>
      </w:r>
      <w:r>
        <w:rPr>
          <w:caps/>
          <w:color w:val="000000"/>
        </w:rPr>
        <w:t>p</w:t>
      </w:r>
      <w:r>
        <w:rPr>
          <w:color w:val="000000"/>
        </w:rPr>
        <w:t>araiškos specialiosios (B) dalies forma yra sudėtinė Aprašo dalis (Aprašo 3 priedas).</w:t>
      </w:r>
    </w:p>
    <w:p>
      <w:pPr>
        <w:widowControl w:val="0"/>
        <w:ind w:firstLine="567"/>
        <w:jc w:val="both"/>
        <w:rPr>
          <w:color w:val="000000"/>
        </w:rPr>
      </w:pPr>
      <w:r>
        <w:rPr>
          <w:color w:val="000000"/>
        </w:rPr>
        <w:t>43</w:t>
      </w:r>
      <w:r>
        <w:rPr>
          <w:color w:val="000000"/>
        </w:rPr>
        <w:t xml:space="preserve">. Paraiškos forma turi būti užpildyta vadovaujantis paraiškos bendrosios (A) dalies pildymo instrukcija, patvirtinta finansų ministro 2008 m. vasario 20 d. įsakymu Nr. 1K-066 „Dėl </w:t>
      </w:r>
      <w:r>
        <w:rPr>
          <w:caps/>
          <w:color w:val="000000"/>
        </w:rPr>
        <w:t>p</w:t>
      </w:r>
      <w:r>
        <w:rPr>
          <w:color w:val="000000"/>
        </w:rPr>
        <w:t xml:space="preserve">rojektų administravimo ir finansavimo taisyklių įgyvendinimo“ (Žin., 2008, Nr. </w:t>
      </w:r>
      <w:hyperlink r:id="rId49" w:tgtFrame="_blank" w:history="1">
        <w:r>
          <w:rPr>
            <w:color w:val="0000FF" w:themeColor="hyperlink"/>
            <w:u w:val="single"/>
          </w:rPr>
          <w:t>23-861</w:t>
        </w:r>
      </w:hyperlink>
      <w:r>
        <w:rPr>
          <w:color w:val="000000"/>
        </w:rPr>
        <w:t>), bei paraiškos specialiosios (B) dalies pildymo instrukcija (Aprašo 3 priedas), kurioje detaliau pagrindžiamas projektas bei pateikiama svarbi informacija teikiamam projektui.</w:t>
      </w:r>
    </w:p>
    <w:p>
      <w:pPr>
        <w:widowControl w:val="0"/>
        <w:ind w:firstLine="567"/>
        <w:jc w:val="both"/>
        <w:rPr>
          <w:color w:val="000000"/>
        </w:rPr>
      </w:pPr>
      <w:r>
        <w:rPr>
          <w:color w:val="000000"/>
        </w:rPr>
        <w:t>44</w:t>
      </w:r>
      <w:r>
        <w:rPr>
          <w:color w:val="000000"/>
        </w:rPr>
        <w:t xml:space="preserve">. Pareiškėjas, rengdamas didelės apimties projektą, vadovaujasi reikalavimais, nustatytais Tarybos reglamento Nr. 1083/2006, nustatančio bendrąsias nuostatas dėl Europos regioninės plėtros fondo, Europos socialinio fondo ir Sanglaudos fondo bei panaikinančio Reglamentą Nr. 1260/1999, 39 ir 40 straipsniuose, Europos Komisijos parengtu dokumentu „Investicinių projektų kaštų naudos analizės gairės“ (angl. </w:t>
      </w:r>
      <w:r>
        <w:rPr>
          <w:i/>
          <w:iCs/>
          <w:color w:val="000000"/>
        </w:rPr>
        <w:t>Guide to cost-benefit analysis of investment projects</w:t>
      </w:r>
      <w:r>
        <w:rPr>
          <w:color w:val="000000"/>
        </w:rPr>
        <w:t>).</w:t>
      </w:r>
    </w:p>
    <w:p>
      <w:pPr>
        <w:widowControl w:val="0"/>
        <w:ind w:firstLine="567"/>
        <w:jc w:val="both"/>
        <w:rPr>
          <w:color w:val="000000"/>
          <w:spacing w:val="-2"/>
        </w:rPr>
      </w:pPr>
      <w:r>
        <w:rPr>
          <w:color w:val="000000"/>
          <w:spacing w:val="-2"/>
        </w:rPr>
        <w:t>45</w:t>
      </w:r>
      <w:r>
        <w:rPr>
          <w:color w:val="000000"/>
          <w:spacing w:val="-2"/>
        </w:rPr>
        <w:t>. Pareiškėjas, rengdamas didelės apimties projektą, be 42 punkte išvardintų dokumentų, pildo ir pateikia Komisijos reglamento Nr. 1828/2006, nustatančio Tarybos reglamento Nr. 1083/2006, nustatančio bendrąsias nuostatas dėl Europos regioninės plėtros fondo, Europos socialinio fondo ir Sanglaudos fondo, ir Europos Parlamento bei Tarybos reglamento Nr. 1080/2006 dėl Europos regioninės plėtros fondo, įgyvendinimo taisykles, XXI priede nustatytos formos paraišką ir duomenis, kurie nustatyti to paties Reglamento XX priede. Rekomenduojama Komisijos reglamento Nr. 1828/2006 XXI priede pateiktą nustatytos formos paraišką ir XX priedą pildyti lietuvių ir anglų kalba.</w:t>
      </w:r>
    </w:p>
    <w:p>
      <w:pPr>
        <w:widowControl w:val="0"/>
        <w:ind w:firstLine="567"/>
        <w:jc w:val="both"/>
        <w:rPr>
          <w:color w:val="000000"/>
        </w:rPr>
      </w:pPr>
      <w:r>
        <w:rPr>
          <w:color w:val="000000"/>
        </w:rPr>
        <w:t>46</w:t>
      </w:r>
      <w:r>
        <w:rPr>
          <w:color w:val="000000"/>
        </w:rPr>
        <w:t>. Pareiškėjui parengus didelės apimties projekto paraišką, ji teikiama Agentūrai. Agentūra nustatyta tvarka atlieka administracinės atitikties, taip pat projekto tinkamumo finansuoti vertinimą. Kartu su projekto tinkamumo finansuoti vertinimu paraiška pateikiama Aplinkos ministerijai, kuri, patikrinusi projekto atitiktį nacionalinės (-ių) strategijos (-ų) ir (ar) teisės aktų nuostatoms, pateikia paraišką vadovaujančiajai institucijai. Vadovaujančioji institucija pateikia didelės apimties projektą Europos Komisijai.</w:t>
      </w:r>
    </w:p>
    <w:p>
      <w:pPr>
        <w:widowControl w:val="0"/>
        <w:ind w:firstLine="567"/>
        <w:jc w:val="both"/>
        <w:rPr>
          <w:color w:val="000000"/>
        </w:rPr>
      </w:pPr>
      <w:r>
        <w:rPr>
          <w:color w:val="000000"/>
        </w:rPr>
        <w:t>47</w:t>
      </w:r>
      <w:r>
        <w:rPr>
          <w:color w:val="000000"/>
        </w:rPr>
        <w:t>. Kartu su paraiška pareiškėjas ir (ar) partneris (-iai) turi pateikti iš anksto nustatytą ir paraiškos prieduose nurodytą informaciją bei dokumentus, įrodančius, kad projektas yra tinkamas finansuoti, ir kuriais remiantis vertinimą, atranką atliekančios ir sprendimą dėl projekto finansavimo skyrimo priimančios institucijos gali padaryti tinkamą sprendimą dėl projekto finansavimo skyrimo.</w:t>
      </w:r>
    </w:p>
    <w:p>
      <w:pPr>
        <w:widowControl w:val="0"/>
        <w:ind w:firstLine="567"/>
        <w:jc w:val="both"/>
        <w:rPr>
          <w:color w:val="000000"/>
        </w:rPr>
      </w:pPr>
      <w:r>
        <w:rPr>
          <w:color w:val="000000"/>
        </w:rPr>
        <w:t>48</w:t>
      </w:r>
      <w:r>
        <w:rPr>
          <w:color w:val="000000"/>
        </w:rPr>
        <w:t>. Pareiškėjas projektui gali pateikti tik vieną paraišką. Paraiška ir jos priedai turi būti užpildyti lietuvių kalba, kompiuteriu, išspausdinti ir kartu su paraiška privalomais pateikti dokumentais tvarkingai įrišti arba susegti. Ranka užpildytos paraiškos nenagrinėjamos ir neregistruojamos. Visi paraiškos ir pridedamų dokumentų lapai turi būti sunumeruoti eilės tvarka.</w:t>
      </w:r>
    </w:p>
    <w:p>
      <w:pPr>
        <w:widowControl w:val="0"/>
        <w:ind w:firstLine="567"/>
        <w:jc w:val="both"/>
        <w:rPr>
          <w:color w:val="000000"/>
        </w:rPr>
      </w:pPr>
      <w:r>
        <w:rPr>
          <w:color w:val="000000"/>
        </w:rPr>
        <w:t>49</w:t>
      </w:r>
      <w:r>
        <w:rPr>
          <w:color w:val="000000"/>
        </w:rPr>
        <w:t>. Pareiškėjas privalo pateikti vieną originalų paraiškos egzempliorių (paraiškos bendrąją (A), specialiąją (B) dalis, priedus ir kartu su paraiška privalomus pateikti dokumentus), kurio pirmojo lapo dešiniajame viršutiniame kampe aiškiai nurodoma „ORIGINALAS“, 1 kopiją – ant kurios pirmojo lapo dešiniajame kampe nurodoma „KOPIJA“ ir paraiškos versiją kompiuterinėje laikmenoje (ant laikmenos turi būti aiškiai nurodytas projekto pavadinimas). Pateikiamos paraiškos originalas ir kopija turi būti įsegti į atskirus segtuvus.</w:t>
      </w:r>
    </w:p>
    <w:p>
      <w:pPr>
        <w:widowControl w:val="0"/>
        <w:ind w:firstLine="567"/>
        <w:jc w:val="both"/>
        <w:rPr>
          <w:color w:val="000000"/>
        </w:rPr>
      </w:pPr>
      <w:r>
        <w:rPr>
          <w:color w:val="000000"/>
        </w:rPr>
        <w:t>50</w:t>
      </w:r>
      <w:r>
        <w:rPr>
          <w:color w:val="000000"/>
        </w:rPr>
        <w:t>. Kiekvienas paraiškos lapas turi būti patvirtintas paraišką teikiančios institucijos vadovo arba įgalioto atstovo parašu. Paraiškos originalo, kopijos ir elektroninės paraiškos versijos turinys turi būti identiškas. Tokiu būdu pareiškėjas prisiima atsakomybę, kad paraiškos kopijos duomenys atitiktų originalą. Nustačius, kad kopijos ir elektroninės paraiškos versijos turinys neatitinka originalo, vadovaujamasi paraiškos originaliame spausdintame egzemplioriuje pateikta informacija.</w:t>
      </w:r>
    </w:p>
    <w:p>
      <w:pPr>
        <w:widowControl w:val="0"/>
        <w:ind w:firstLine="567"/>
        <w:jc w:val="both"/>
        <w:rPr>
          <w:color w:val="000000"/>
        </w:rPr>
      </w:pPr>
      <w:r>
        <w:rPr>
          <w:color w:val="000000"/>
        </w:rPr>
        <w:t>51</w:t>
      </w:r>
      <w:r>
        <w:rPr>
          <w:color w:val="000000"/>
        </w:rPr>
        <w:t>. Paraiškos iki Valstybės projektų sąraše nustatyto termino gali būti išsiųstos registruotu laišku, per pašto kurjerį arba pareiškėjas gali įteikti ją asmeniškai Agentūrai adresu: Labdarių g. 3, LT-01120 Vilnius. Kitais būdais išsiųstos arba kitais adresais įteiktos paraiškos atmetamos. Po Valstybės projektų sąraše nustatytos datos pateiktos paraiškos yra grąžinamos jas pateikusiems asmenims išsiunčiant paštu arba grąžinant tiesiogiai paraiškas pateikusiems asmenims, jei paraiška pateikta asmeniškai.</w:t>
      </w:r>
    </w:p>
    <w:p>
      <w:pPr>
        <w:widowControl w:val="0"/>
        <w:ind w:firstLine="567"/>
        <w:jc w:val="both"/>
        <w:rPr>
          <w:color w:val="000000"/>
          <w:spacing w:val="-2"/>
        </w:rPr>
      </w:pPr>
      <w:r>
        <w:rPr>
          <w:color w:val="000000"/>
          <w:spacing w:val="-2"/>
        </w:rPr>
        <w:t>52</w:t>
      </w:r>
      <w:r>
        <w:rPr>
          <w:color w:val="000000"/>
          <w:spacing w:val="-2"/>
        </w:rPr>
        <w:t>. Siunčiant paraišką paštu, išsiuntimo vietos pašto antspaudo data turi būti ne vėlesnė kaip patvirtintame Valstybės projektų sąraše nustatyta paraiškos pateikimo Agentūrai data. Ant voko turi būti nurodytas pareiškėjo pavadinimas, pareiškėjo adresas, priemonė ir veikla, pagal kurią teikiama paraiška. Kitoje voko pusėje nurodomas pareiškėjo kontaktinio asmens vardas ir pavardė, telefono ir fakso numeriai.</w:t>
      </w:r>
    </w:p>
    <w:p>
      <w:pPr>
        <w:widowControl w:val="0"/>
        <w:ind w:firstLine="567"/>
        <w:jc w:val="both"/>
        <w:rPr>
          <w:color w:val="000000"/>
        </w:rPr>
      </w:pPr>
      <w:r>
        <w:rPr>
          <w:color w:val="000000"/>
        </w:rPr>
        <w:t>53</w:t>
      </w:r>
      <w:r>
        <w:rPr>
          <w:color w:val="000000"/>
        </w:rPr>
        <w:t>. Pateikusiam paraišką pareiškėjui ne vėliau kaip per 15 darbo dienų nuo paraiškos gavimo dienos Agentūra išsiunčia paraiškos registravimo patvirtinimo raštą arba, jei paraiška pateikta po nustatyto galutinio paraiškų pateikimo termino, informuoja apie paraiškos grąžinimą, kuriame taip pat nurodomas SFMIS paraiškai suteiktas unikalus kodas.</w:t>
      </w:r>
    </w:p>
    <w:p>
      <w:pPr>
        <w:widowControl w:val="0"/>
        <w:ind w:firstLine="567"/>
        <w:jc w:val="both"/>
        <w:rPr>
          <w:color w:val="000000"/>
        </w:rPr>
      </w:pPr>
      <w:r>
        <w:rPr>
          <w:color w:val="000000"/>
        </w:rPr>
        <w:t>54</w:t>
      </w:r>
      <w:r>
        <w:rPr>
          <w:color w:val="000000"/>
        </w:rPr>
        <w:t>. Agentūra informaciją apie pateiktus projektus ne vėliau kaip per 15 darbo dienų nuo paraiškų pateikimo termino pabaigos (paskutinės dienos) paskelbia interneto tinklalapiuose www.esparama.lt ir www.apva.lt, nurodydama pareiškėjo pavadinimą, projekto pavadinimą, trumpą projekto aprašymą, paraiškos unikalų kodą ir prašomą lėšų sumą.</w:t>
      </w:r>
    </w:p>
    <w:p>
      <w:pPr>
        <w:widowControl w:val="0"/>
        <w:ind w:firstLine="567"/>
        <w:jc w:val="both"/>
        <w:rPr>
          <w:color w:val="000000"/>
        </w:rPr>
      </w:pPr>
      <w:r>
        <w:rPr>
          <w:color w:val="000000"/>
        </w:rPr>
        <w:t>55</w:t>
      </w:r>
      <w:r>
        <w:rPr>
          <w:color w:val="000000"/>
        </w:rPr>
        <w:t>. Pareiškėjai raštu ir žodžiu gali pateikti Agentūrai klausimus dėl projektų rengimo, paraiškos pildymo ir kitus klausimus. Agentūra privalo informuoti pareiškėjus šiais klausimais nuo Pasiūlymo paskelbimo iki paskutinės paraiškų pateikimo Agentūrai dienos. Į raštu pateiktus klausimus Agentūra atsako ne vėliau kaip per 15 darbo dienų nuo klausimo užregistravimo Agentūroje dienos. Informaciją apie aktualius ir dažniausiai užduodamus klausimus Agentūra skelbia interneto tinklalapiuose www.esparama.lt ir www.apva.lt.</w:t>
      </w:r>
    </w:p>
    <w:p>
      <w:pPr>
        <w:widowControl w:val="0"/>
        <w:ind w:firstLine="567"/>
        <w:jc w:val="both"/>
        <w:rPr>
          <w:color w:val="000000"/>
        </w:rPr>
      </w:pPr>
      <w:r>
        <w:rPr>
          <w:color w:val="000000"/>
        </w:rPr>
        <w:t>56</w:t>
      </w:r>
      <w:r>
        <w:rPr>
          <w:color w:val="000000"/>
        </w:rPr>
        <w:t>. Pareiškėjai, rengdami paraiškas dėl informacijos apie projekto idėją, tikslus, rezultatus, jų atitiktį nacionaliniams strateginio planavimo dokumentams, gali kreiptis į Aplinkos ministeriją. Į raštu pateiktus klausimus Aplinkos ministerija atsako ne vėliau kaip per 15 darbo dienų nuo klausimo užregistravimo Aplinkos ministerijoje dienos.</w:t>
      </w:r>
    </w:p>
    <w:p>
      <w:pPr>
        <w:widowControl w:val="0"/>
        <w:ind w:firstLine="567"/>
        <w:jc w:val="both"/>
        <w:rPr>
          <w:color w:val="000000"/>
        </w:rPr>
      </w:pPr>
      <w:r>
        <w:rPr>
          <w:color w:val="000000"/>
        </w:rPr>
        <w:t>57</w:t>
      </w:r>
      <w:r>
        <w:rPr>
          <w:color w:val="000000"/>
        </w:rPr>
        <w:t>. Visa pareiškėjui žinotina informacija skelbiama interneto tinklalapiuose www.esparama.lt ir www.apva.lt.</w:t>
      </w:r>
    </w:p>
    <w:p>
      <w:pPr>
        <w:widowControl w:val="0"/>
        <w:ind w:firstLine="567"/>
        <w:jc w:val="both"/>
        <w:rPr>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PARAIŠKŲ VERTINIMAS IR ATRANKA</w:t>
      </w:r>
    </w:p>
    <w:p>
      <w:pPr>
        <w:widowControl w:val="0"/>
        <w:ind w:firstLine="567"/>
        <w:jc w:val="both"/>
        <w:rPr>
          <w:color w:val="000000"/>
        </w:rPr>
      </w:pPr>
    </w:p>
    <w:p>
      <w:pPr>
        <w:widowControl w:val="0"/>
        <w:ind w:firstLine="567"/>
        <w:jc w:val="both"/>
        <w:rPr>
          <w:color w:val="000000"/>
        </w:rPr>
      </w:pPr>
      <w:r>
        <w:rPr>
          <w:color w:val="000000"/>
        </w:rPr>
        <w:t>58</w:t>
      </w:r>
      <w:r>
        <w:rPr>
          <w:color w:val="000000"/>
        </w:rPr>
        <w:t>. Paraiškų vertinimas ir atranka yra atliekama Projektų finansavimo ir administravimo taisyklėse nustatyta tvarka.</w:t>
      </w:r>
    </w:p>
    <w:p>
      <w:pPr>
        <w:widowControl w:val="0"/>
        <w:ind w:firstLine="567"/>
        <w:jc w:val="both"/>
        <w:rPr>
          <w:color w:val="000000"/>
        </w:rPr>
      </w:pPr>
      <w:r>
        <w:rPr>
          <w:color w:val="000000"/>
        </w:rPr>
        <w:t>59</w:t>
      </w:r>
      <w:r>
        <w:rPr>
          <w:color w:val="000000"/>
        </w:rPr>
        <w:t>. Paraiškų vertinimą sudaro šie etapai:</w:t>
      </w:r>
    </w:p>
    <w:p>
      <w:pPr>
        <w:widowControl w:val="0"/>
        <w:ind w:firstLine="567"/>
        <w:jc w:val="both"/>
        <w:rPr>
          <w:color w:val="000000"/>
        </w:rPr>
      </w:pPr>
      <w:r>
        <w:rPr>
          <w:color w:val="000000"/>
        </w:rPr>
        <w:t>59.1</w:t>
      </w:r>
      <w:r>
        <w:rPr>
          <w:color w:val="000000"/>
        </w:rPr>
        <w:t>. administracinės atitikties vertinimas;</w:t>
      </w:r>
    </w:p>
    <w:p>
      <w:pPr>
        <w:widowControl w:val="0"/>
        <w:ind w:firstLine="567"/>
        <w:jc w:val="both"/>
        <w:rPr>
          <w:color w:val="000000"/>
        </w:rPr>
      </w:pPr>
      <w:r>
        <w:rPr>
          <w:color w:val="000000"/>
        </w:rPr>
        <w:t>59.2</w:t>
      </w:r>
      <w:r>
        <w:rPr>
          <w:color w:val="000000"/>
        </w:rPr>
        <w:t>. projekto tinkamumo finansuoti vertinimas.</w:t>
      </w:r>
    </w:p>
    <w:p>
      <w:pPr>
        <w:widowControl w:val="0"/>
        <w:ind w:firstLine="567"/>
        <w:jc w:val="both"/>
        <w:rPr>
          <w:color w:val="000000"/>
        </w:rPr>
      </w:pPr>
      <w:r>
        <w:rPr>
          <w:color w:val="000000"/>
        </w:rPr>
        <w:t>60</w:t>
      </w:r>
      <w:r>
        <w:rPr>
          <w:color w:val="000000"/>
        </w:rPr>
        <w:t>. Už pateiktų paraiškų administracinės atitikties, projektų tinkamumo finansuoti vertinimą yra atsakinga Agentūra.</w:t>
      </w:r>
    </w:p>
    <w:p>
      <w:pPr>
        <w:widowControl w:val="0"/>
        <w:ind w:firstLine="567"/>
        <w:jc w:val="both"/>
        <w:rPr>
          <w:color w:val="000000"/>
        </w:rPr>
      </w:pPr>
      <w:r>
        <w:rPr>
          <w:color w:val="000000"/>
        </w:rPr>
        <w:t>61</w:t>
      </w:r>
      <w:r>
        <w:rPr>
          <w:color w:val="000000"/>
        </w:rPr>
        <w:t>. Projektų paraiškų administracinės atitikties, projektų tinkamumo finansuoti vertinimui naudojamas Agentūros parengtas ir patvirtintas paraiškų vertinimo tvarkos aprašas, administracinės atitikties, projektų tinkamumo finansuoti vertinimo lentelės (Aprašo 1, 2 priedai).</w:t>
      </w:r>
    </w:p>
    <w:p>
      <w:pPr>
        <w:widowControl w:val="0"/>
        <w:ind w:firstLine="567"/>
        <w:jc w:val="both"/>
        <w:rPr>
          <w:color w:val="000000"/>
        </w:rPr>
      </w:pPr>
      <w:r>
        <w:rPr>
          <w:color w:val="000000"/>
        </w:rPr>
        <w:t>62</w:t>
      </w:r>
      <w:r>
        <w:rPr>
          <w:color w:val="000000"/>
        </w:rPr>
        <w:t>. Jeigu dėl paraiškoje pateiktos neišsamios ar netikslios informacijos Agentūra negali tinkamai įvertinti projekto, ji turi raštu paprašyti pareiškėjo per nustatytą terminą pateikti papildomus duomenis ir dokumentus, papildyti ar patikslinti paraiškoje pateiktą informaciją. Agentūra gali kreiptis į atitinkamas institucijas, kad jos pateiktų papildomą informaciją apie pareiškėją ir paraišką, ir, vertindamos pareiškėjo pateiktus duomenis ir informaciją, naudotis kitais išoriniais oficialiais informacijos šaltiniais.</w:t>
      </w:r>
    </w:p>
    <w:p>
      <w:pPr>
        <w:widowControl w:val="0"/>
        <w:ind w:firstLine="567"/>
        <w:jc w:val="both"/>
        <w:rPr>
          <w:color w:val="000000"/>
        </w:rPr>
      </w:pPr>
      <w:r>
        <w:rPr>
          <w:color w:val="000000"/>
        </w:rPr>
        <w:t>63</w:t>
      </w:r>
      <w:r>
        <w:rPr>
          <w:color w:val="000000"/>
        </w:rPr>
        <w:t>. Kiekvieno vertinimo etapo metu Agentūra gali kviesti pareiškėjus pokalbiui, taip pat prireikus įsitikinti, ar paraiškoje pateikta informacija yra pagrįsta, t. y. apsilankyti planuojamoje projekto įgyvendinimo vietoje. Pokalbyje su pareiškėju turi dalyvauti ne mažiau kaip 2 vertinimą atliekančios institucijos atstovai; pokalbis turi būti protokoluojamas ir, apie tai įspėjus pokalbio dalyvius, gali būti įrašomas.</w:t>
      </w:r>
    </w:p>
    <w:p>
      <w:pPr>
        <w:widowControl w:val="0"/>
        <w:ind w:firstLine="567"/>
        <w:jc w:val="both"/>
        <w:rPr>
          <w:color w:val="000000"/>
        </w:rPr>
      </w:pPr>
      <w:r>
        <w:rPr>
          <w:color w:val="000000"/>
        </w:rPr>
        <w:t>64</w:t>
      </w:r>
      <w:r>
        <w:rPr>
          <w:color w:val="000000"/>
        </w:rPr>
        <w:t>. Vertinimo metu nustačius, kad pareiškėjas paraiškoje pateikė klaidinančią informaciją arba pareiškėjas ar su paraiška susiję asmenys siekia gauti konfidencialią informaciją arba neteisėtai daryti įtaką vertinimo rezultatams ar vertintojams, vertinimą atliekanti institucija atmeta paraišką.</w:t>
      </w:r>
    </w:p>
    <w:p>
      <w:pPr>
        <w:widowControl w:val="0"/>
        <w:ind w:firstLine="567"/>
        <w:jc w:val="both"/>
        <w:rPr>
          <w:color w:val="000000"/>
        </w:rPr>
      </w:pPr>
      <w:r>
        <w:rPr>
          <w:color w:val="000000"/>
        </w:rPr>
        <w:t>65</w:t>
      </w:r>
      <w:r>
        <w:rPr>
          <w:color w:val="000000"/>
        </w:rPr>
        <w:t>. Paraiškos administracinės atitikties vertinimui Agentūra naudoja paraiškų vertinimo tvarkos aprašą ir administracinės atitikties vertinimo lentelę (Aprašo 1 priedas). Administracinės atitikties vertinimo metu nustatoma, ar su paraiška pateikti visi paraiškos formoje nurodyti dokumentai ir informacija.</w:t>
      </w:r>
    </w:p>
    <w:p>
      <w:pPr>
        <w:widowControl w:val="0"/>
        <w:ind w:firstLine="567"/>
        <w:jc w:val="both"/>
        <w:rPr>
          <w:color w:val="000000"/>
        </w:rPr>
      </w:pPr>
      <w:r>
        <w:rPr>
          <w:color w:val="000000"/>
        </w:rPr>
        <w:t>66</w:t>
      </w:r>
      <w:r>
        <w:rPr>
          <w:color w:val="000000"/>
        </w:rPr>
        <w:t>. Jeigu vertinant paraišką Agentūra nustato, kad tenkinami ne visi administracinės atitikties vertinimo reikalavimai, pareiškėjui siunčiamas raštas, kuriame paprašoma pateikti trūkstamus dokumentus ir (ar) informaciją, ir nustatomas terminas, per kurį pareiškėjas privalo pateikti trūkstamus dokumentus ir (ar) informaciją. Šis terminas neturi būti trumpesnis kaip 5 darbo dienos ir ilgesnis kaip 15 darbo dienų, jeigu Agentūra ir pareiškėjas bendru sutarimu nenusprendžia kitaip. Raštas laikomas įteiktu praėjus 2 darbo dienoms po jo išsiuntimo registruotu laišku.</w:t>
      </w:r>
    </w:p>
    <w:p>
      <w:pPr>
        <w:widowControl w:val="0"/>
        <w:ind w:firstLine="567"/>
        <w:jc w:val="both"/>
        <w:rPr>
          <w:color w:val="000000"/>
        </w:rPr>
      </w:pPr>
      <w:r>
        <w:rPr>
          <w:color w:val="000000"/>
        </w:rPr>
        <w:t>67</w:t>
      </w:r>
      <w:r>
        <w:rPr>
          <w:color w:val="000000"/>
        </w:rPr>
        <w:t>. Jeigu pareiškėjas per nustatytąjį terminą prašomų dokumentų ir (ar) informacijos nepateikia arba pateikia ne visus prašomus dokumentus ir (ar) informaciją:</w:t>
      </w:r>
    </w:p>
    <w:p>
      <w:pPr>
        <w:widowControl w:val="0"/>
        <w:ind w:firstLine="567"/>
        <w:jc w:val="both"/>
        <w:rPr>
          <w:color w:val="000000"/>
        </w:rPr>
      </w:pPr>
      <w:r>
        <w:rPr>
          <w:color w:val="000000"/>
        </w:rPr>
        <w:t>67.1</w:t>
      </w:r>
      <w:r>
        <w:rPr>
          <w:color w:val="000000"/>
        </w:rPr>
        <w:t>. Agentūra turi teisę priimti sprendimą atmesti paraišką;</w:t>
      </w:r>
    </w:p>
    <w:p>
      <w:pPr>
        <w:widowControl w:val="0"/>
        <w:ind w:firstLine="567"/>
        <w:jc w:val="both"/>
        <w:rPr>
          <w:color w:val="000000"/>
        </w:rPr>
      </w:pPr>
      <w:r>
        <w:rPr>
          <w:color w:val="000000"/>
        </w:rPr>
        <w:t>67.2</w:t>
      </w:r>
      <w:r>
        <w:rPr>
          <w:color w:val="000000"/>
        </w:rPr>
        <w:t>. Agentūra turi teisę perduoti paraišką į tinkamumo finansuoti vertinimo etapą su sąlyga, kad trūkstami dokumentai ir (ar) informacija bus pateikta ne vėliau kaip iki tinkamumo finansuoti vertinimo etapo pabaigos, jei trūkstama informacija netrukdo pereiti į kitą vertinimo etapą.</w:t>
      </w:r>
    </w:p>
    <w:p>
      <w:pPr>
        <w:widowControl w:val="0"/>
        <w:ind w:firstLine="567"/>
        <w:jc w:val="both"/>
        <w:rPr>
          <w:color w:val="000000"/>
        </w:rPr>
      </w:pPr>
      <w:r>
        <w:rPr>
          <w:color w:val="000000"/>
        </w:rPr>
        <w:t>68</w:t>
      </w:r>
      <w:r>
        <w:rPr>
          <w:color w:val="000000"/>
        </w:rPr>
        <w:t>. Priėmusi sprendimą atmesti paraišką dėl administracinės atitikties vertinimo reikalavimų neatitikimo, Agentūra per 15 darbo dienų parengia ir išsiunčia pareiškėjui informacinį raštą apie paraiškos atmetimą, kuriame nurodo paraiškos atmetimo priežastis.</w:t>
      </w:r>
    </w:p>
    <w:p>
      <w:pPr>
        <w:widowControl w:val="0"/>
        <w:ind w:firstLine="567"/>
        <w:jc w:val="both"/>
        <w:rPr>
          <w:color w:val="000000"/>
          <w:spacing w:val="-4"/>
        </w:rPr>
      </w:pPr>
      <w:r>
        <w:rPr>
          <w:color w:val="000000"/>
          <w:spacing w:val="-4"/>
        </w:rPr>
        <w:t>69</w:t>
      </w:r>
      <w:r>
        <w:rPr>
          <w:color w:val="000000"/>
          <w:spacing w:val="-4"/>
        </w:rPr>
        <w:t>. Jeigu per kitus projekto vertinimo etapus paaiškėja, kad trūksta su administracinės atitikties vertinimo reikalavimais susijusios informacijos ar dokumentų, jie yra netinkamos kokybės ar neišsamūs, Agentūra grąžina paraišką pakartotinai įvertinti administracinę atitiktį.</w:t>
      </w:r>
    </w:p>
    <w:p>
      <w:pPr>
        <w:widowControl w:val="0"/>
        <w:ind w:firstLine="567"/>
        <w:jc w:val="both"/>
        <w:rPr>
          <w:color w:val="000000"/>
        </w:rPr>
      </w:pPr>
      <w:r>
        <w:rPr>
          <w:color w:val="000000"/>
        </w:rPr>
        <w:t>70</w:t>
      </w:r>
      <w:r>
        <w:rPr>
          <w:color w:val="000000"/>
        </w:rPr>
        <w:t>. Agentūra informaciją apie administracinės atitikties vertinimo etapą perėjusias paraiškas skelbia interneto tinklalapiuose www.esparama.lt ir www.apva.lt, nurodydama pareiškėjo pavadinimą, projekto pavadinimą, paraiškos kodą ir prašomą paramos sumą, taip pat nurodomas bendras registruotų paraiškų ir paraiškų, praėjusių administracinės atitikties vertinimą, skaičius.</w:t>
      </w:r>
    </w:p>
    <w:p>
      <w:pPr>
        <w:widowControl w:val="0"/>
        <w:ind w:firstLine="567"/>
        <w:jc w:val="both"/>
        <w:rPr>
          <w:color w:val="000000"/>
        </w:rPr>
      </w:pPr>
      <w:r>
        <w:rPr>
          <w:color w:val="000000"/>
        </w:rPr>
        <w:t>71</w:t>
      </w:r>
      <w:r>
        <w:rPr>
          <w:color w:val="000000"/>
        </w:rPr>
        <w:t>. Projekto tinkamumo finansuoti vertinimui Agentūra naudoja paraiškų vertinimo tvarkos aprašą ir projekto tinkamumo finansuoti vertinimo lentelę (Aprašo 2 priedas). Projekto tinkamumo finansuoti vertinimo metu Agentūra nustato, ar projektas tinkamas finansuoti pagal Aprašo reikalavimus. Šio vertinimo metu nustatoma projekto atitiktis bendriesiems ir specialiesiems (atitikties) atrankos kriterijams, didžiausia leistina projekto tinkamų finansuoti išlaidų suma ir didžiausias leistinas skirti projektui lėšų dydis.</w:t>
      </w:r>
    </w:p>
    <w:p>
      <w:pPr>
        <w:widowControl w:val="0"/>
        <w:ind w:firstLine="567"/>
        <w:jc w:val="both"/>
        <w:rPr>
          <w:color w:val="000000"/>
        </w:rPr>
      </w:pPr>
      <w:r>
        <w:rPr>
          <w:color w:val="000000"/>
        </w:rPr>
        <w:t>72</w:t>
      </w:r>
      <w:r>
        <w:rPr>
          <w:color w:val="000000"/>
        </w:rPr>
        <w:t>. Projekto tinkamumo finansuoti vertinimo metu nustatoma didžiausia projekto tinkamų finansuoti išlaidų suma, didžiausia Europos Komisijai tinkamų deklaruoti išlaidų suma ir didžiausias leistinas skirti lėšų dydis. Agentūra pagal Aprašo IV skyriaus nuostatas turi patikrinti, ar pareiškėjas tinkamai apskaičiavo projekto dydį.</w:t>
      </w:r>
    </w:p>
    <w:p>
      <w:pPr>
        <w:widowControl w:val="0"/>
        <w:ind w:firstLine="567"/>
        <w:jc w:val="both"/>
        <w:rPr>
          <w:color w:val="000000"/>
        </w:rPr>
      </w:pPr>
      <w:r>
        <w:rPr>
          <w:color w:val="000000"/>
        </w:rPr>
        <w:t>73</w:t>
      </w:r>
      <w:r>
        <w:rPr>
          <w:color w:val="000000"/>
        </w:rPr>
        <w:t>. Jeigu Agentūra projekto tinkamumo finansuoti vertinimo metu nustato projekto tinkamų finansuoti išlaidų sumą ir didžiausią leistiną skirti lėšų dydį, mažesnį už paraiškoje pateiktą projekto tinkamų finansuoti išlaidų sumą, ir prašomą projektui skirti lėšų dydį, Agentūra turi raštu apie tai informuoti pareiškėją ir raštu suderinti su pareiškėju, ar jis sutinka įgyvendinti projektą, gavęs nustatyto dydžio skiriamų lėšų sumą. Jeigu pareiškėjas sutinka, prie paraiškos turi būti pridėtas jo įsipareigojimas. Jeigu pareiškėjas nesutinka su tinkamų finansuoti išlaidų dydžiu, paraiška atmetama.</w:t>
      </w:r>
    </w:p>
    <w:p>
      <w:pPr>
        <w:widowControl w:val="0"/>
        <w:ind w:firstLine="567"/>
        <w:jc w:val="both"/>
        <w:rPr>
          <w:color w:val="000000"/>
        </w:rPr>
      </w:pPr>
      <w:r>
        <w:rPr>
          <w:color w:val="000000"/>
        </w:rPr>
        <w:t>74</w:t>
      </w:r>
      <w:r>
        <w:rPr>
          <w:color w:val="000000"/>
        </w:rPr>
        <w:t>. Jeigu Agentūra projekto tinkamumo finansuoti vertinimo metu nustato projekto tinkamų finansuoti išlaidų sumą ir didžiausią leistiną skirti lėšų dydį, didesnį už paraiškoje pateiktą projekto tinkamų finansuoti išlaidų sumą, ir prašomą projektui skirti lėšų dydį, Agentūra turi raštu apie tai informuoti pareiškėją ir raštu suderinti su pareiškėju, ar jis sutinka įgyvendinti projektą, gavęs nustatyto dydžio skiriamų lėšų sumą. Jeigu pareiškėjas sutinka, prie paraiškos turi būti pridėtas jo įsipareigojimas. Jeigu pareiškėjas nesutinka su tinkamų finansuoti išlaidų dydžiu, paraiška atmetama.</w:t>
      </w:r>
    </w:p>
    <w:p>
      <w:pPr>
        <w:widowControl w:val="0"/>
        <w:ind w:firstLine="567"/>
        <w:jc w:val="both"/>
        <w:rPr>
          <w:color w:val="000000"/>
        </w:rPr>
      </w:pPr>
      <w:r>
        <w:rPr>
          <w:color w:val="000000"/>
        </w:rPr>
        <w:t>75</w:t>
      </w:r>
      <w:r>
        <w:rPr>
          <w:color w:val="000000"/>
        </w:rPr>
        <w:t>. Tinkamų finansuoti išlaidų dalis, kurios nepadengia projekto finansavimas, turi būti finansuojama iš projekto vykdytojo ir (ar) partnerio (-ių) lėšų. Šios lėšos kartu su projektui skirtomis lėšomis iš Lietuvos Respublikos valstybės biudžeto asignavimų valdytojų programų, kuriose numatytos bendrojo finansavimo lėšos veiksmų programų prioritetų įgyvendinimo priemonėms finansuoti, laikomos nacionalinėmis projekto lėšomis.</w:t>
      </w:r>
    </w:p>
    <w:p>
      <w:pPr>
        <w:widowControl w:val="0"/>
        <w:ind w:firstLine="567"/>
        <w:jc w:val="both"/>
        <w:rPr>
          <w:color w:val="000000"/>
        </w:rPr>
      </w:pPr>
      <w:r>
        <w:rPr>
          <w:color w:val="000000"/>
        </w:rPr>
        <w:t>76</w:t>
      </w:r>
      <w:r>
        <w:rPr>
          <w:color w:val="000000"/>
        </w:rPr>
        <w:t>. Jeigu vertinant paraišką nustatoma, kad pateikti ne visi reikiami dokumentai ir (ar) informacija projekto tinkamumo finansuoti vertinimui atlikti, Agentūra pareiškėjui siunčia raštą, kuriame prašoma pateikti trūkstamus dokumentus ir (ar) informaciją ir nustatomas terminas, per kurį pareiškėjas privalo pateikti trūkstamus dokumentus ir (ar) informaciją. Šis terminas neturi būti trumpesnis kaip 5 darbo dienos ir ilgesnis kaip 15 darbo dienų, jeigu Agentūra ir pareiškėjas bendru sutarimu nenusprendžia kitaip.</w:t>
      </w:r>
    </w:p>
    <w:p>
      <w:pPr>
        <w:widowControl w:val="0"/>
        <w:ind w:firstLine="567"/>
        <w:jc w:val="both"/>
        <w:rPr>
          <w:color w:val="000000"/>
        </w:rPr>
      </w:pPr>
      <w:r>
        <w:rPr>
          <w:color w:val="000000"/>
        </w:rPr>
        <w:t>77</w:t>
      </w:r>
      <w:r>
        <w:rPr>
          <w:color w:val="000000"/>
        </w:rPr>
        <w:t>. Valstybės projektų tinkamumo finansuoti vertinimą Agentūra organizuoja kaip derybas su pareiškėju, t. y. Agentūrai pateikus pastabas dėl paraiškos atitikties bendriesiems ir specialiesiems atitikties kriterijams, pareiškėjas gali paraišką patikslinti.</w:t>
      </w:r>
    </w:p>
    <w:p>
      <w:pPr>
        <w:widowControl w:val="0"/>
        <w:ind w:firstLine="567"/>
        <w:jc w:val="both"/>
        <w:rPr>
          <w:color w:val="000000"/>
          <w:spacing w:val="-2"/>
        </w:rPr>
      </w:pPr>
      <w:r>
        <w:rPr>
          <w:color w:val="000000"/>
          <w:spacing w:val="-2"/>
        </w:rPr>
        <w:t>78</w:t>
      </w:r>
      <w:r>
        <w:rPr>
          <w:color w:val="000000"/>
          <w:spacing w:val="-2"/>
        </w:rPr>
        <w:t>. Jeigu pareiškėjas per nustatytąjį terminą prašomų dokumentų ir informacijos nepateikia arba pateikia ne visus prašomus dokumentus ir informaciją arba projektas neatitinka bent vieno projekto tinkamumui finansuoti keliamo reikalavimo, Agentūra turi teisę priimti sprendimą atmesti paraišką.</w:t>
      </w:r>
    </w:p>
    <w:p>
      <w:pPr>
        <w:widowControl w:val="0"/>
        <w:ind w:firstLine="567"/>
        <w:jc w:val="both"/>
        <w:rPr>
          <w:color w:val="000000"/>
        </w:rPr>
      </w:pPr>
      <w:r>
        <w:rPr>
          <w:color w:val="000000"/>
        </w:rPr>
        <w:t>79</w:t>
      </w:r>
      <w:r>
        <w:rPr>
          <w:color w:val="000000"/>
        </w:rPr>
        <w:t>. Prieš priimdama sprendimą atmesti paraišką, Agentūra turi išnagrinėti nustatytus neatitikimus, papildomos informacijos, duomenų ir dokumentų nepateikimo aplinkybes ir įsitikinti, kad atmetimas yra pagrįstas ir paraiškos vertinimą atlikę vertintojai nepažeidė nustatytų darbo procedūrų. Apie priimtą sprendimą atmesti paraišką Agentūra informuoja pareiškėją per 15 darbo dienų nuo sprendimo atmesti paraišką priėmimo dienos – išsiunčia jam informacinį raštą, kuriame nurodo paraiškos atmetimo priežastis.</w:t>
      </w:r>
    </w:p>
    <w:p>
      <w:pPr>
        <w:widowControl w:val="0"/>
        <w:ind w:firstLine="567"/>
        <w:jc w:val="both"/>
        <w:rPr>
          <w:color w:val="000000"/>
        </w:rPr>
      </w:pPr>
      <w:r>
        <w:rPr>
          <w:color w:val="000000"/>
        </w:rPr>
        <w:t>80</w:t>
      </w:r>
      <w:r>
        <w:rPr>
          <w:color w:val="000000"/>
        </w:rPr>
        <w:t>. Įvertinę projekto tinkamumą skirti projekto finansavimą, vertintojai parengia tinkamumo finansuoti vertinimo ataskaitą, kurioje pateikia išvadą, ar projektas yra tinkamas gauti projekto finansavimą ir kokio maksimalaus dydžio projekto finansavimas gali būti suteiktas, ir nurodo, ar pareiškėjas sutinka įgyvendinti projektą su Agentūros nustatytu projekto finansavimo dydžiu.</w:t>
      </w:r>
    </w:p>
    <w:p>
      <w:pPr>
        <w:widowControl w:val="0"/>
        <w:ind w:firstLine="567"/>
        <w:jc w:val="both"/>
        <w:rPr>
          <w:color w:val="000000"/>
        </w:rPr>
      </w:pPr>
      <w:r>
        <w:rPr>
          <w:color w:val="000000"/>
          <w:spacing w:val="-1"/>
        </w:rPr>
        <w:t>81</w:t>
      </w:r>
      <w:r>
        <w:rPr>
          <w:color w:val="000000"/>
          <w:spacing w:val="-1"/>
        </w:rPr>
        <w:t>. Agentūra informaciją apie tinkamumo skirti projektui finansavimą vertinimo etapą perėjusias paraiškas skelbia interneto tinklalapiuose www.esparama.lt ir www.apva.lt, nurodydama pareiškėjo pavadinimą, projekto pavadinimą, paraiškos kodą, prašomą lėšų sumą ir bendrą registruotų paraiškų ir paraiškų, perėjusių tinkamumo skirti projektui finansavimą vertinimą, skaičių.</w:t>
      </w:r>
    </w:p>
    <w:p>
      <w:pPr>
        <w:widowControl w:val="0"/>
        <w:ind w:firstLine="567"/>
        <w:jc w:val="both"/>
        <w:rPr>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SPRENDIMO DĖL PROJEKTO FINANSAVIMO PRIĖMIMAS</w:t>
      </w:r>
    </w:p>
    <w:p>
      <w:pPr>
        <w:widowControl w:val="0"/>
        <w:ind w:firstLine="567"/>
        <w:jc w:val="both"/>
        <w:rPr>
          <w:color w:val="000000"/>
        </w:rPr>
      </w:pPr>
    </w:p>
    <w:p>
      <w:pPr>
        <w:widowControl w:val="0"/>
        <w:ind w:firstLine="567"/>
        <w:jc w:val="both"/>
        <w:rPr>
          <w:color w:val="000000"/>
        </w:rPr>
      </w:pPr>
      <w:r>
        <w:rPr>
          <w:color w:val="000000"/>
        </w:rPr>
        <w:t>82</w:t>
      </w:r>
      <w:r>
        <w:rPr>
          <w:color w:val="000000"/>
        </w:rPr>
        <w:t>. Projekto finansavimo ir administravimo sutartis sudaroma Projektų finansavimo ir administravimo taisyklėse nustatyta tvarka.</w:t>
      </w:r>
    </w:p>
    <w:p>
      <w:pPr>
        <w:widowControl w:val="0"/>
        <w:ind w:firstLine="567"/>
        <w:jc w:val="both"/>
        <w:rPr>
          <w:color w:val="000000"/>
        </w:rPr>
      </w:pPr>
      <w:r>
        <w:rPr>
          <w:color w:val="000000"/>
        </w:rPr>
        <w:t>83</w:t>
      </w:r>
      <w:r>
        <w:rPr>
          <w:color w:val="000000"/>
        </w:rPr>
        <w:t>. Sprendimą dėl projekto tinkamumo finansuoti iš ES fondų priima Agentūra, jį įformindama projekto tinkamumo finansuoti vertinimo ataskaitoje. Atsižvelgdama į šį sprendimą, projektų atrankos rezultatus ir patvirtintą valstybės projektų sąrašą, Aplinkos ministerija priima sprendimą dėl projekto finansavimo.</w:t>
      </w:r>
    </w:p>
    <w:p>
      <w:pPr>
        <w:widowControl w:val="0"/>
        <w:ind w:firstLine="567"/>
        <w:jc w:val="both"/>
        <w:rPr>
          <w:color w:val="000000"/>
          <w:spacing w:val="-4"/>
        </w:rPr>
      </w:pPr>
      <w:r>
        <w:rPr>
          <w:color w:val="000000"/>
          <w:spacing w:val="-4"/>
        </w:rPr>
        <w:t>84</w:t>
      </w:r>
      <w:r>
        <w:rPr>
          <w:color w:val="000000"/>
          <w:spacing w:val="-4"/>
        </w:rPr>
        <w:t>. Sprendimą dėl projekto finansavimo Aplinkos ministerija priima per 10 d. d. nuo Agentūros parengtos projekto tinkamumo finansuoti vertinimo ataskaitos gavimo dienos. Gavusi aplinkos ministro įsakymu patvirtiną sprendimą finansuoti projektą, Agentūra parengia ir išsiunčia pareiškėjui sutarties projektą, kuriame nurodo pasiūlymo pasirašyti sutartį galiojimo terminą. Pasiūlymo pasirašyti sutartį galiojimo terminas turi būti ne trumpesnis kaip 15 darbo dienų. Pasiūlymas pasirašyti sutartį laikomas įteiktu praėjus 2 darbo dienoms po jo išsiuntimo registruotu laišku.</w:t>
      </w:r>
    </w:p>
    <w:p>
      <w:pPr>
        <w:widowControl w:val="0"/>
        <w:ind w:firstLine="567"/>
        <w:jc w:val="both"/>
        <w:rPr>
          <w:color w:val="000000"/>
        </w:rPr>
      </w:pPr>
      <w:r>
        <w:rPr>
          <w:color w:val="000000"/>
        </w:rPr>
        <w:t>85</w:t>
      </w:r>
      <w:r>
        <w:rPr>
          <w:color w:val="000000"/>
        </w:rPr>
        <w:t xml:space="preserve">. Projekto finansavimo ir administravimo sutartis susideda iš bendrųjų ir specialiųjų sutarties sąlygų ir nustatytos formos sutarties priedų, patvirtintų finansų ministro 2008 m. vasario 20 d. įsakymu Nr. 1K-066 „Dėl Projektų administravimo ir finansavimo taisyklių įgyvendinimo“ (Žin., 2008, Nr. </w:t>
      </w:r>
      <w:hyperlink r:id="rId50" w:tgtFrame="_blank" w:history="1">
        <w:r>
          <w:rPr>
            <w:color w:val="0000FF" w:themeColor="hyperlink"/>
            <w:u w:val="single"/>
          </w:rPr>
          <w:t>23-861</w:t>
        </w:r>
      </w:hyperlink>
      <w:r>
        <w:rPr>
          <w:color w:val="000000"/>
        </w:rPr>
        <w:t>).</w:t>
      </w:r>
    </w:p>
    <w:p>
      <w:pPr>
        <w:widowControl w:val="0"/>
        <w:ind w:firstLine="567"/>
        <w:jc w:val="both"/>
        <w:rPr>
          <w:color w:val="000000"/>
        </w:rPr>
      </w:pPr>
      <w:r>
        <w:rPr>
          <w:color w:val="000000"/>
        </w:rPr>
        <w:t>86</w:t>
      </w:r>
      <w:r>
        <w:rPr>
          <w:color w:val="000000"/>
        </w:rPr>
        <w:t>. Pareiškėjui per rašte nustatytą pasiūlymo galiojimo terminą nepasirašius sutarties, pasiūlymas pasirašyti sutartį netenka galios ir projektas nefinansuojamas.</w:t>
      </w:r>
    </w:p>
    <w:p>
      <w:pPr>
        <w:widowControl w:val="0"/>
        <w:ind w:firstLine="567"/>
        <w:jc w:val="both"/>
        <w:rPr>
          <w:color w:val="000000"/>
        </w:rPr>
      </w:pPr>
      <w:r>
        <w:rPr>
          <w:color w:val="000000"/>
        </w:rPr>
        <w:t>87</w:t>
      </w:r>
      <w:r>
        <w:rPr>
          <w:color w:val="000000"/>
        </w:rPr>
        <w:t>. Jeigu pareiškėjas per nustatytąjį terminą sutarties nepasirašo, Agentūra per 5 darbo dienas nuo tokių aplinkybių išaiškėjimo dienos apie tai informuoja Aplinkos ministeriją.</w:t>
      </w:r>
    </w:p>
    <w:p>
      <w:pPr>
        <w:widowControl w:val="0"/>
        <w:ind w:firstLine="567"/>
        <w:jc w:val="both"/>
        <w:rPr>
          <w:color w:val="000000"/>
        </w:rPr>
      </w:pPr>
      <w:r>
        <w:rPr>
          <w:color w:val="000000"/>
        </w:rPr>
        <w:t>88</w:t>
      </w:r>
      <w:r>
        <w:rPr>
          <w:color w:val="000000"/>
        </w:rPr>
        <w:t>. Sutartį pasirašo Agentūra ir pareiškėjo įgalioti asmenys. Su pareiškėju sudarius sutartį, pareiškėjas tampa projekto vykdytoju.</w:t>
      </w:r>
    </w:p>
    <w:p>
      <w:pPr>
        <w:widowControl w:val="0"/>
        <w:ind w:firstLine="567"/>
        <w:jc w:val="both"/>
        <w:rPr>
          <w:color w:val="000000"/>
        </w:rPr>
      </w:pPr>
      <w:r>
        <w:rPr>
          <w:color w:val="000000"/>
        </w:rPr>
        <w:t>89</w:t>
      </w:r>
      <w:r>
        <w:rPr>
          <w:color w:val="000000"/>
        </w:rPr>
        <w:t>. Projekto finansavimo ir administravimo sutartis sudaroma 2 egzemplioriais, kurie turi vienodą teisinę galią. Vienas projekto finansavimo sutarties egzempliorius saugomas Agentūroje, kitas – įteikiamas projekto vykdytojui.</w:t>
      </w:r>
    </w:p>
    <w:p>
      <w:pPr>
        <w:widowControl w:val="0"/>
        <w:ind w:firstLine="567"/>
        <w:jc w:val="both"/>
        <w:rPr>
          <w:color w:val="000000"/>
        </w:rPr>
      </w:pPr>
      <w:r>
        <w:rPr>
          <w:color w:val="000000"/>
        </w:rPr>
        <w:t>90</w:t>
      </w:r>
      <w:r>
        <w:rPr>
          <w:color w:val="000000"/>
        </w:rPr>
        <w:t>. Agentūra ne vėliau kaip per 15 darbo dienų nuo projekto finansavimo ir administravimo sutarties pasirašymo dienos paskelbia informaciją apie pasirašytą projekto finansavimo ir administravimo sutartį interneto tinklalapiuose www.esparama.lt ir www.apva.lt – nurodo projekto vykdytojo pavadinimą, projekto pavadinimą, projekto kodą, pateikia trumpą projekto aprašymą, bendrą projekto vertę ir projektui skirtą lėšų sumą.</w:t>
      </w:r>
    </w:p>
    <w:p>
      <w:pPr>
        <w:widowControl w:val="0"/>
        <w:jc w:val="center"/>
        <w:rPr>
          <w:b/>
          <w:bCs/>
          <w:caps/>
          <w:color w:val="000000"/>
        </w:rPr>
      </w:pPr>
      <w:r>
        <w:rPr>
          <w:b/>
          <w:bCs/>
          <w:caps/>
          <w:color w:val="000000"/>
        </w:rPr>
        <w:t>VIII</w:t>
      </w:r>
      <w:r>
        <w:rPr>
          <w:b/>
          <w:bCs/>
          <w:caps/>
          <w:color w:val="000000"/>
        </w:rPr>
        <w:t xml:space="preserve">. </w:t>
      </w:r>
      <w:r>
        <w:rPr>
          <w:b/>
          <w:bCs/>
          <w:caps/>
          <w:color w:val="000000"/>
        </w:rPr>
        <w:t>PROJEKTŲ ĮGYVENDINIMO NUOSTATOS</w:t>
      </w:r>
    </w:p>
    <w:p>
      <w:pPr>
        <w:widowControl w:val="0"/>
        <w:ind w:firstLine="567"/>
        <w:jc w:val="both"/>
        <w:rPr>
          <w:color w:val="000000"/>
        </w:rPr>
      </w:pPr>
    </w:p>
    <w:p>
      <w:pPr>
        <w:widowControl w:val="0"/>
        <w:ind w:firstLine="567"/>
        <w:jc w:val="both"/>
        <w:rPr>
          <w:color w:val="000000"/>
        </w:rPr>
      </w:pPr>
      <w:r>
        <w:rPr>
          <w:color w:val="000000"/>
        </w:rPr>
        <w:t>91</w:t>
      </w:r>
      <w:r>
        <w:rPr>
          <w:color w:val="000000"/>
        </w:rPr>
        <w:t>. Projekto išlaidos apmokamos bei projekto finansavimo ir administravimo sutarčių priežiūra atliekama Projektų administravimo ir finansavimo taisyklėse bei projekto administravimo ir finansavimo sutartyse nustatyta tvarka.</w:t>
      </w:r>
    </w:p>
    <w:p>
      <w:pPr>
        <w:suppressAutoHyphens/>
        <w:ind w:firstLine="567"/>
        <w:jc w:val="both"/>
        <w:rPr>
          <w:color w:val="000000"/>
        </w:rPr>
      </w:pPr>
      <w:r>
        <w:rPr>
          <w:szCs w:val="24"/>
          <w:lang w:eastAsia="lt-LT"/>
        </w:rPr>
        <w:t>92</w:t>
      </w:r>
      <w:r>
        <w:rPr>
          <w:szCs w:val="24"/>
          <w:lang w:eastAsia="lt-LT"/>
        </w:rPr>
        <w:t xml:space="preserve">.  Projekto išlaidos gali būti apmokamos dviem būdais: išlaidų kompensavimo ir (ar) sąskaitų apmokėjimo Projektų administravimo ir finansavimo taisyklėse nustatyta tvarka. Mokėjimo prašymus, kuriais prašoma išlaidas apmokėti sąskaitų apmokėjimo būdu arba abiem – išlaidų kompensavimo ir sąskaitų apmokėjimo būdais, projekto vykdytojas gali teikti įgyvendinančiajai institucijai ne vėliau kaip iki 2015 m. lapkričio 30 d. Mokėjimo prašymus, kuriais prašoma išlaidas apmokėti išlaidų kompensavimo būdu, projekto vykdytojas gali teikti įgyvendinančiajai institucijai ne vėliau kaip iki 2015 m. gruodžio 31 d.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256880586111e5825682aa0fc6b8d5">
        <w:r w:rsidRPr="00532B9F">
          <w:rPr>
            <w:rFonts w:ascii="Times New Roman" w:eastAsia="MS Mincho" w:hAnsi="Times New Roman"/>
            <w:sz w:val="20"/>
            <w:i/>
            <w:iCs/>
            <w:color w:val="0000FF" w:themeColor="hyperlink"/>
            <w:u w:val="single"/>
          </w:rPr>
          <w:t>D1-644</w:t>
        </w:r>
      </w:fldSimple>
      <w:r>
        <w:rPr>
          <w:rFonts w:ascii="Times New Roman" w:eastAsia="MS Mincho" w:hAnsi="Times New Roman"/>
          <w:sz w:val="20"/>
          <w:i/>
          <w:iCs/>
        </w:rPr>
        <w:t>,
2015-09-10,
paskelbta TAR 2015-09-11, i. k. 2015-13764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82b14068e111e58e1ab2c84776483b">
        <w:r w:rsidRPr="00532B9F">
          <w:rPr>
            <w:rFonts w:ascii="Times New Roman" w:eastAsia="MS Mincho" w:hAnsi="Times New Roman"/>
            <w:sz w:val="20"/>
            <w:i/>
            <w:iCs/>
            <w:color w:val="0000FF" w:themeColor="hyperlink"/>
            <w:u w:val="single"/>
          </w:rPr>
          <w:t>D1-698</w:t>
        </w:r>
      </w:fldSimple>
      <w:r>
        <w:rPr>
          <w:rFonts w:ascii="Times New Roman" w:eastAsia="MS Mincho" w:hAnsi="Times New Roman"/>
          <w:sz w:val="20"/>
          <w:i/>
          <w:iCs/>
        </w:rPr>
        <w:t>,
2015-10-02,
paskelbta TAR 2015-10-02, i. k. 2015-14689            </w:t>
      </w:r>
    </w:p>
    <w:p/>
    <w:p>
      <w:pPr>
        <w:widowControl w:val="0"/>
        <w:ind w:firstLine="567"/>
        <w:jc w:val="both"/>
        <w:rPr>
          <w:color w:val="000000"/>
        </w:rPr>
      </w:pPr>
      <w:r>
        <w:rPr>
          <w:color w:val="000000"/>
          <w:spacing w:val="-3"/>
        </w:rPr>
        <w:t>93</w:t>
      </w:r>
      <w:r>
        <w:rPr>
          <w:color w:val="000000"/>
          <w:spacing w:val="-3"/>
        </w:rPr>
        <w:t>. Kiekvienam projektui taikytinas išlaidų apmokėjimo būdas nustatomas projekto finansavimo ir administravimo sutartyje, vadovaujantis Projektų administravimo ir finansavimo taisyklėmis.</w:t>
      </w:r>
    </w:p>
    <w:p>
      <w:pPr>
        <w:widowControl w:val="0"/>
        <w:ind w:firstLine="567"/>
        <w:jc w:val="both"/>
        <w:rPr>
          <w:color w:val="000000"/>
        </w:rPr>
      </w:pPr>
      <w:r>
        <w:rPr>
          <w:color w:val="000000"/>
        </w:rPr>
        <w:t>94</w:t>
      </w:r>
      <w:r>
        <w:rPr>
          <w:color w:val="000000"/>
        </w:rPr>
        <w:t>. Pagal šį Aprašą pateiktų projektų įgyvendinimui finansuoti projekto finansavimo ir administravimo sutartyje gali būti numatytas avansas iki 30%.</w:t>
      </w:r>
    </w:p>
    <w:p>
      <w:pPr>
        <w:widowControl w:val="0"/>
        <w:ind w:firstLine="567"/>
        <w:jc w:val="both"/>
        <w:rPr>
          <w:color w:val="000000"/>
        </w:rPr>
      </w:pPr>
      <w:r>
        <w:rPr>
          <w:color w:val="000000"/>
        </w:rPr>
        <w:t>95</w:t>
      </w:r>
      <w:r>
        <w:rPr>
          <w:color w:val="000000"/>
        </w:rPr>
        <w:t>. Projektų vykdytojams keliami reikalavimai, susiję su projektų tęstinumo užtikrinimu, pateikti Aprašo 2 priedo 8.1.3 punkte.</w:t>
      </w:r>
    </w:p>
    <w:p>
      <w:pPr>
        <w:widowControl w:val="0"/>
        <w:ind w:firstLine="567"/>
        <w:jc w:val="both"/>
        <w:rPr>
          <w:color w:val="000000"/>
        </w:rPr>
      </w:pPr>
      <w:r>
        <w:rPr>
          <w:color w:val="000000"/>
        </w:rPr>
        <w:t>96</w:t>
      </w:r>
      <w:r>
        <w:rPr>
          <w:color w:val="000000"/>
        </w:rPr>
        <w:t>. Pasirašius projekto finansavimo ir administravimo sutartį, Aplinkos ministerija, atsižvelgdama į Agentūros išvadas dėl projekto biudžete nustatytų tinkamų išlaidų sumažėjimo įvykdžius pirkimus, turi teisę priimti sprendimą dėl finansavimo sumažinimo.</w:t>
      </w:r>
    </w:p>
    <w:p>
      <w:pPr>
        <w:widowControl w:val="0"/>
        <w:ind w:firstLine="567"/>
        <w:jc w:val="both"/>
      </w:pPr>
      <w:r>
        <w:rPr>
          <w:color w:val="000000"/>
        </w:rPr>
        <w:t>97</w:t>
      </w:r>
      <w:r>
        <w:rPr>
          <w:color w:val="000000"/>
        </w:rPr>
        <w:t>. Projekto vykdytojas nuo sutarties įsigaliojimo ir 5 metus po projekto pabaigos be Agentūros raštiško sutikimo negali keisti savo veiklos, kuriai skiriamos projekto finansavimo lėšos, pobūdžio ar įgyvendinimo sąlygų ir nenutraukti šios veiklos, nedalyvauti reorganizavime ir nesireorganizuoti, jeigu tai galėtų pažeisti Tarybos reglamento (EB) Nr. 1083/2006 57 straipsnyje nuostatas. Apie svarbias priežastis, kliudančias vykdyti veiklą ir galinčias sąlygoti Tarybos reglamento (EB) Nr. 1083/2006 57 straipsnio nuostatų pažeidimą, projekto vykdytojas turi pranešti Agentūrai nedelsdamas joms paaiškėjus.</w:t>
      </w:r>
    </w:p>
    <w:p>
      <w:pPr>
        <w:ind w:firstLine="709"/>
        <w:jc w:val="both"/>
        <w:rPr>
          <w:color w:val="000000"/>
        </w:rPr>
      </w:pPr>
      <w:r>
        <w:rPr>
          <w:rFonts w:eastAsia="Calibri"/>
          <w:szCs w:val="24"/>
        </w:rPr>
        <w:t>97</w:t>
      </w:r>
      <w:r>
        <w:rPr>
          <w:rFonts w:eastAsia="Calibri"/>
          <w:szCs w:val="24"/>
          <w:vertAlign w:val="superscript"/>
        </w:rPr>
        <w:t>1</w:t>
      </w:r>
      <w:r>
        <w:rPr>
          <w:rFonts w:eastAsia="Calibri"/>
          <w:szCs w:val="24"/>
        </w:rPr>
        <w:t>. Projekto įgyvendinimo metu sukurtos infrastruktūros operatorius turi būti parenkamas nepažeidžiant Europos Sąjungos valstybės pagalbos taisyklių Viešųjų pirkimų įstatymo nustatyta tvarka iki 2018 m. sausio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dcf690c05a11e688d0ed775a2e782a">
        <w:r w:rsidRPr="00532B9F">
          <w:rPr>
            <w:rFonts w:ascii="Times New Roman" w:eastAsia="MS Mincho" w:hAnsi="Times New Roman"/>
            <w:sz w:val="20"/>
            <w:i/>
            <w:iCs/>
            <w:color w:val="0000FF" w:themeColor="hyperlink"/>
            <w:u w:val="single"/>
          </w:rPr>
          <w:t>D1-869</w:t>
        </w:r>
      </w:fldSimple>
      <w:r>
        <w:rPr>
          <w:rFonts w:ascii="Times New Roman" w:eastAsia="MS Mincho" w:hAnsi="Times New Roman"/>
          <w:sz w:val="20"/>
          <w:i/>
          <w:iCs/>
        </w:rPr>
        <w:t>,
2016-12-12,
paskelbta TAR 2016-12-12, i. k. 2016-28706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baa180566711e7846ef01bfffb9b64">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2017-06-21,
paskelbta TAR 2017-06-21, i. k. 2017-10373            </w:t>
      </w:r>
    </w:p>
    <w:p/>
    <w:p>
      <w:pPr>
        <w:widowControl w:val="0"/>
        <w:jc w:val="center"/>
        <w:rPr>
          <w:b/>
          <w:bCs/>
          <w:caps/>
          <w:color w:val="000000"/>
        </w:rPr>
      </w:pPr>
      <w:r>
        <w:rPr>
          <w:b/>
          <w:bCs/>
          <w:caps/>
          <w:color w:val="000000"/>
        </w:rPr>
        <w:t>IX</w:t>
      </w:r>
      <w:r>
        <w:rPr>
          <w:b/>
          <w:bCs/>
          <w:caps/>
          <w:color w:val="000000"/>
        </w:rPr>
        <w:t xml:space="preserve">. </w:t>
      </w:r>
      <w:r>
        <w:rPr>
          <w:b/>
          <w:bCs/>
          <w:caps/>
          <w:color w:val="000000"/>
        </w:rPr>
        <w:t>NETINKAMAI ĮGYVENDINAMI PROJEKTAI</w:t>
      </w:r>
    </w:p>
    <w:p>
      <w:pPr>
        <w:widowControl w:val="0"/>
        <w:ind w:firstLine="567"/>
        <w:jc w:val="both"/>
        <w:rPr>
          <w:color w:val="000000"/>
        </w:rPr>
      </w:pPr>
    </w:p>
    <w:p>
      <w:pPr>
        <w:widowControl w:val="0"/>
        <w:ind w:firstLine="567"/>
        <w:jc w:val="both"/>
        <w:rPr>
          <w:color w:val="000000"/>
        </w:rPr>
      </w:pPr>
      <w:r>
        <w:rPr>
          <w:color w:val="000000"/>
        </w:rPr>
        <w:t>98</w:t>
      </w:r>
      <w:r>
        <w:rPr>
          <w:color w:val="000000"/>
        </w:rPr>
        <w:t>. Jeigu projekto vykdytojas, įgyvendindamas projektą, nesilaiko projekto finansavimo ir administravimo sutarties sąlygų, Agentūra turi teisę inicijuoti, o Aplinkos ministerija turi teisę vienašaliu sprendimu sumažinti, sustabdyti arba nutraukti projekto finansavimą ir (ar) pareikalauti grąžinti sumokėtas lėšas ar jų dalį.</w:t>
      </w:r>
    </w:p>
    <w:p>
      <w:pPr>
        <w:widowControl w:val="0"/>
        <w:ind w:firstLine="567"/>
        <w:jc w:val="both"/>
        <w:rPr>
          <w:color w:val="000000"/>
        </w:rPr>
      </w:pPr>
      <w:r>
        <w:rPr>
          <w:color w:val="000000"/>
        </w:rPr>
        <w:t>99</w:t>
      </w:r>
      <w:r>
        <w:rPr>
          <w:color w:val="000000"/>
        </w:rPr>
        <w:t>. Jeigu įtariama, kad projekto vykdytojas, įgyvendindamas projektą, nesilaikydamas projekto finansavimo ir administravimo sutarties sąlygų, taip pat pažeidė Lietuvos Respublikos ir (ar) ES teisės aktus ir dėl to atsirado ar galėjo atsirasti Lietuvos Respublikos valstybės ir (ar) ES biudžeto nuostolių, patyrus nepagrįstų išlaidų, Projektų finansavimo ir administravimo taisyklių nustatyta tvarka atliekamas įtariamo pažeidimo tyrimas ir nustatomas arba nenustatomas pažeidimas.</w:t>
      </w:r>
    </w:p>
    <w:p>
      <w:pPr>
        <w:widowControl w:val="0"/>
        <w:ind w:firstLine="567"/>
        <w:jc w:val="both"/>
        <w:rPr>
          <w:color w:val="000000"/>
        </w:rPr>
      </w:pPr>
    </w:p>
    <w:p>
      <w:pPr>
        <w:widowControl w:val="0"/>
        <w:jc w:val="center"/>
        <w:rPr>
          <w:b/>
          <w:bCs/>
          <w:caps/>
          <w:color w:val="000000"/>
        </w:rPr>
      </w:pPr>
      <w:r>
        <w:rPr>
          <w:b/>
          <w:bCs/>
          <w:caps/>
          <w:color w:val="000000"/>
        </w:rPr>
        <w:t>X</w:t>
      </w:r>
      <w:r>
        <w:rPr>
          <w:b/>
          <w:bCs/>
          <w:caps/>
          <w:color w:val="000000"/>
        </w:rPr>
        <w:t xml:space="preserve">. </w:t>
      </w:r>
      <w:r>
        <w:rPr>
          <w:b/>
          <w:bCs/>
          <w:caps/>
          <w:color w:val="000000"/>
        </w:rPr>
        <w:t>PROJEKTŲ VIEŠINIMAS</w:t>
      </w:r>
    </w:p>
    <w:p>
      <w:pPr>
        <w:widowControl w:val="0"/>
        <w:ind w:firstLine="567"/>
        <w:jc w:val="both"/>
        <w:rPr>
          <w:color w:val="000000"/>
        </w:rPr>
      </w:pPr>
    </w:p>
    <w:p>
      <w:pPr>
        <w:widowControl w:val="0"/>
        <w:ind w:firstLine="567"/>
        <w:jc w:val="both"/>
        <w:rPr>
          <w:color w:val="000000"/>
        </w:rPr>
      </w:pPr>
      <w:r>
        <w:rPr>
          <w:color w:val="000000"/>
        </w:rPr>
        <w:t>100</w:t>
      </w:r>
      <w:r>
        <w:rPr>
          <w:color w:val="000000"/>
        </w:rPr>
        <w:t>. Projekto vykdytojas privalo vykdyti informavimo apie projektą veiksmus, kurie turi būti tiesiogiai proporcingi projekto veiklos apimčiai, t. y.:</w:t>
      </w:r>
    </w:p>
    <w:p>
      <w:pPr>
        <w:widowControl w:val="0"/>
        <w:ind w:firstLine="567"/>
        <w:jc w:val="both"/>
        <w:rPr>
          <w:color w:val="000000"/>
        </w:rPr>
      </w:pPr>
      <w:r>
        <w:rPr>
          <w:color w:val="000000"/>
        </w:rPr>
        <w:t>100.1</w:t>
      </w:r>
      <w:r>
        <w:rPr>
          <w:color w:val="000000"/>
        </w:rPr>
        <w:t>. po projekto užbaigimo parengti ir pastatyti nuolatinį aiškinamąjį stendą;</w:t>
      </w:r>
    </w:p>
    <w:p>
      <w:pPr>
        <w:widowControl w:val="0"/>
        <w:ind w:firstLine="567"/>
        <w:jc w:val="both"/>
        <w:rPr>
          <w:color w:val="000000"/>
        </w:rPr>
      </w:pPr>
      <w:r>
        <w:rPr>
          <w:color w:val="000000"/>
        </w:rPr>
        <w:t>100.2</w:t>
      </w:r>
      <w:r>
        <w:rPr>
          <w:color w:val="000000"/>
        </w:rPr>
        <w:t>. parengti ir pastatyti informacinį stendą prieš statybos darbų pradžią;</w:t>
      </w:r>
    </w:p>
    <w:p>
      <w:pPr>
        <w:widowControl w:val="0"/>
        <w:ind w:firstLine="567"/>
        <w:jc w:val="both"/>
        <w:rPr>
          <w:color w:val="000000"/>
          <w:spacing w:val="-2"/>
        </w:rPr>
      </w:pPr>
      <w:r>
        <w:rPr>
          <w:color w:val="000000"/>
          <w:spacing w:val="-2"/>
        </w:rPr>
        <w:t>100.3</w:t>
      </w:r>
      <w:r>
        <w:rPr>
          <w:color w:val="000000"/>
          <w:spacing w:val="-2"/>
        </w:rPr>
        <w:t>. paskelbti (savo interneto tinklalapyje, informavimo apie projektą priemonėse, vykdant projekto veiklą ar kitu būdu), kad įgyvendinamas projektas, finansuojamas pagal Sanglaudos skatinimo veiksmų programą Sanglaudos fondo ir (ar) Lietuvos Respublikos valstybės biudžeto lėšomis;</w:t>
      </w:r>
    </w:p>
    <w:p>
      <w:pPr>
        <w:widowControl w:val="0"/>
        <w:ind w:firstLine="567"/>
        <w:jc w:val="both"/>
        <w:rPr>
          <w:color w:val="000000"/>
          <w:spacing w:val="-2"/>
        </w:rPr>
      </w:pPr>
      <w:r>
        <w:rPr>
          <w:color w:val="000000"/>
          <w:spacing w:val="-2"/>
        </w:rPr>
        <w:t>100.4</w:t>
      </w:r>
      <w:r>
        <w:rPr>
          <w:color w:val="000000"/>
          <w:spacing w:val="-2"/>
        </w:rPr>
        <w:t>. užtikrinti, kad projekto dalyviams (projektą vykdantiems asmenims, projekto tikslinėms grupėms, projekto rezultatus naudojantiems asmenims) būtų pranešta apie projekto finansavimą iš Sanglaudos fondo ir (ar) Lietuvos Respublikos valstybės biudžeto lėšų.</w:t>
      </w:r>
    </w:p>
    <w:p>
      <w:pPr>
        <w:widowControl w:val="0"/>
        <w:ind w:firstLine="567"/>
        <w:jc w:val="both"/>
        <w:rPr>
          <w:color w:val="000000"/>
          <w:spacing w:val="-4"/>
        </w:rPr>
      </w:pPr>
      <w:r>
        <w:rPr>
          <w:color w:val="000000"/>
          <w:spacing w:val="-4"/>
        </w:rPr>
        <w:t>101</w:t>
      </w:r>
      <w:r>
        <w:rPr>
          <w:color w:val="000000"/>
          <w:spacing w:val="-4"/>
        </w:rPr>
        <w:t xml:space="preserve">. Visose projekto vykdytojo įgyvendinamose informavimo apie projektą priemonėse turi būti naudojamas ES 2007–2013 metų struktūrinės paramos ženklo pavyzdys, patvirtintas 2007 m. gruodžio 12 d. finansų ministro įsakymu Nr. 1K-366 (Žin., 2007, Nr. </w:t>
      </w:r>
      <w:hyperlink r:id="rId51" w:tgtFrame="_blank" w:history="1">
        <w:r>
          <w:rPr>
            <w:color w:val="0000FF" w:themeColor="hyperlink"/>
            <w:spacing w:val="-4"/>
            <w:u w:val="single"/>
          </w:rPr>
          <w:t>134-5434</w:t>
        </w:r>
      </w:hyperlink>
      <w:r>
        <w:rPr>
          <w:color w:val="000000"/>
          <w:spacing w:val="-4"/>
        </w:rPr>
        <w:t>).</w:t>
      </w:r>
    </w:p>
    <w:p>
      <w:pPr>
        <w:widowControl w:val="0"/>
        <w:ind w:firstLine="567"/>
        <w:jc w:val="both"/>
        <w:rPr>
          <w:color w:val="000000"/>
        </w:rPr>
      </w:pPr>
      <w:r>
        <w:rPr>
          <w:color w:val="000000"/>
        </w:rPr>
        <w:t>102</w:t>
      </w:r>
      <w:r>
        <w:rPr>
          <w:color w:val="000000"/>
        </w:rPr>
        <w:t>. Projekto vykdytojas privalo prisiimti atsakomybę už informavimo ir viešumo priemonių turinį ir užtikrinti jų kokybę.</w:t>
      </w:r>
    </w:p>
    <w:p>
      <w:pPr>
        <w:widowControl w:val="0"/>
        <w:ind w:firstLine="567"/>
        <w:jc w:val="both"/>
        <w:rPr>
          <w:color w:val="000000"/>
        </w:rPr>
      </w:pPr>
      <w:r>
        <w:rPr>
          <w:color w:val="000000"/>
        </w:rPr>
        <w:t>103</w:t>
      </w:r>
      <w:r>
        <w:rPr>
          <w:color w:val="000000"/>
        </w:rPr>
        <w:t>. Išlaidos, projekto vykdytojo padarytos įgyvendinant informavimo ir viešumo priemones, gali būti priskiriamos prie tinkamų finansuoti projekto išlaidų. Projekto vykdytojui netinkamai viešinus informaciją, tokios išlaidos bus priskiriamos prie netinkamų finansuoti projekto išlaidų.</w:t>
      </w:r>
    </w:p>
    <w:p>
      <w:pPr>
        <w:widowControl w:val="0"/>
        <w:ind w:firstLine="567"/>
        <w:jc w:val="both"/>
        <w:rPr>
          <w:color w:val="000000"/>
        </w:rPr>
      </w:pPr>
    </w:p>
    <w:p>
      <w:pPr>
        <w:widowControl w:val="0"/>
        <w:jc w:val="center"/>
        <w:rPr>
          <w:b/>
          <w:bCs/>
          <w:caps/>
          <w:color w:val="000000"/>
        </w:rPr>
      </w:pPr>
      <w:r>
        <w:rPr>
          <w:b/>
          <w:bCs/>
          <w:caps/>
          <w:color w:val="000000"/>
        </w:rPr>
        <w:t>XI</w:t>
      </w:r>
      <w:r>
        <w:rPr>
          <w:b/>
          <w:bCs/>
          <w:caps/>
          <w:color w:val="000000"/>
        </w:rPr>
        <w:t xml:space="preserve">. </w:t>
      </w:r>
      <w:r>
        <w:rPr>
          <w:b/>
          <w:bCs/>
          <w:caps/>
          <w:color w:val="000000"/>
        </w:rPr>
        <w:t>SKUNDŲ NAGRINĖJIMAS</w:t>
      </w:r>
    </w:p>
    <w:p>
      <w:pPr>
        <w:widowControl w:val="0"/>
        <w:ind w:firstLine="567"/>
        <w:jc w:val="both"/>
        <w:rPr>
          <w:color w:val="000000"/>
        </w:rPr>
      </w:pPr>
    </w:p>
    <w:p>
      <w:pPr>
        <w:widowControl w:val="0"/>
        <w:ind w:firstLine="567"/>
        <w:jc w:val="both"/>
        <w:rPr>
          <w:color w:val="000000"/>
        </w:rPr>
      </w:pPr>
      <w:r>
        <w:rPr>
          <w:color w:val="000000"/>
        </w:rPr>
        <w:t>104</w:t>
      </w:r>
      <w:r>
        <w:rPr>
          <w:color w:val="000000"/>
        </w:rPr>
        <w:t xml:space="preserve">. Pareiškėjai ir projektų vykdytojai turi teisę apskųsti Agentūros, Aplinkos ministerijos, vadovaujančiosios ir tvirtinančiosios institucijų veiksmus arba neveikimą, susijusius su paraiškos vertinimu, atranka, sprendimo dėl finansavimo arba nefinansavimo priėmimu ir projekto įgyvendinimu, Lietuvos Respublikos viešojo administravimo įstatymo (Žin., 1999, Nr. </w:t>
      </w:r>
      <w:hyperlink r:id="rId52" w:tgtFrame="_blank" w:history="1">
        <w:r>
          <w:rPr>
            <w:color w:val="0000FF" w:themeColor="hyperlink"/>
            <w:u w:val="single"/>
          </w:rPr>
          <w:t>60-1945</w:t>
        </w:r>
      </w:hyperlink>
      <w:r>
        <w:rPr>
          <w:color w:val="000000"/>
        </w:rPr>
        <w:t>; 2006, Nr. 77-2975) ir Projektų administravimo ir finansavimo taisyklėse nustatyta tvarka.</w:t>
      </w:r>
    </w:p>
    <w:p>
      <w:pPr>
        <w:widowControl w:val="0"/>
        <w:ind w:firstLine="567"/>
        <w:jc w:val="both"/>
        <w:rPr>
          <w:color w:val="000000"/>
        </w:rPr>
      </w:pPr>
      <w:r>
        <w:rPr>
          <w:color w:val="000000"/>
        </w:rPr>
        <w:t>105</w:t>
      </w:r>
      <w:r>
        <w:rPr>
          <w:color w:val="000000"/>
        </w:rPr>
        <w:t>. Agentūros veiksmus arba neveikimą, susijusius su projekto atitikties specialiesiems (atitikties ir prioritetiniams) atrankos kriterijams ir Apraše nustatytiems reikalavimams, detalizuojantiems bendruosius atrankos kriterijus, vertinimu, pareiškėjas gali apskųsti Aplinkos ministerijai raštu per 10 darbo dienų nuo tos dienos, kai jis sužinojo ar turėjo sužinoti apie tokius Agentūros veiksmus arba neveikimą.</w:t>
      </w:r>
    </w:p>
    <w:p>
      <w:pPr>
        <w:widowControl w:val="0"/>
        <w:ind w:firstLine="567"/>
        <w:jc w:val="both"/>
        <w:rPr>
          <w:color w:val="000000"/>
        </w:rPr>
      </w:pPr>
      <w:r>
        <w:rPr>
          <w:color w:val="000000"/>
        </w:rPr>
        <w:t>106</w:t>
      </w:r>
      <w:r>
        <w:rPr>
          <w:color w:val="000000"/>
        </w:rPr>
        <w:t>. Aplinkos ministerija, gavusi pareiškėjo skundą, nagrinėja jį.</w:t>
      </w:r>
    </w:p>
    <w:p>
      <w:pPr>
        <w:widowControl w:val="0"/>
        <w:ind w:firstLine="567"/>
        <w:jc w:val="both"/>
        <w:rPr>
          <w:color w:val="000000"/>
        </w:rPr>
      </w:pPr>
      <w:r>
        <w:rPr>
          <w:color w:val="000000"/>
        </w:rPr>
        <w:t>107</w:t>
      </w:r>
      <w:r>
        <w:rPr>
          <w:color w:val="000000"/>
        </w:rPr>
        <w:t>. Jeigu Aplinkos ministerija nusprendžia, kad Agentūros veiksmai buvo teisėti ir pagrįsti, apie tai informuoja pareiškėją.</w:t>
      </w:r>
    </w:p>
    <w:p>
      <w:pPr>
        <w:widowControl w:val="0"/>
        <w:ind w:firstLine="567"/>
        <w:jc w:val="both"/>
        <w:rPr>
          <w:color w:val="000000"/>
          <w:spacing w:val="-2"/>
        </w:rPr>
      </w:pPr>
      <w:r>
        <w:rPr>
          <w:color w:val="000000"/>
          <w:spacing w:val="-2"/>
        </w:rPr>
        <w:t>108</w:t>
      </w:r>
      <w:r>
        <w:rPr>
          <w:color w:val="000000"/>
          <w:spacing w:val="-2"/>
        </w:rPr>
        <w:t>. Jeigu Aplinkos ministerija nusprendžia, kad yra pagrindo manyti, jog Agentūros veiksmai yra nepagrįsti, ji gali raštu įpareigoti Agentūrą pakartoti vertinimo procedūrą arba atlikti kitus veiksmus. Tokiu atveju Aplinkos ministerija nustato terminą, bet ne trumpesnį kaip 10 darbo dienų, per kurį vertinimo procedūra turi būti pakartota arba atlikti kiti veiksmai, ir apie priimtą sprendimą informuoja pareiškėją.</w:t>
      </w:r>
    </w:p>
    <w:p>
      <w:pPr>
        <w:widowControl w:val="0"/>
        <w:ind w:firstLine="567"/>
        <w:jc w:val="both"/>
        <w:rPr>
          <w:color w:val="000000"/>
        </w:rPr>
      </w:pPr>
      <w:r>
        <w:rPr>
          <w:color w:val="000000"/>
        </w:rPr>
        <w:t>109</w:t>
      </w:r>
      <w:r>
        <w:rPr>
          <w:color w:val="000000"/>
        </w:rPr>
        <w:t>. Pareiškėjas ir projekto vykdytojas turi teisę apskųsti vadovaujančiajai institucijai Agentūros veiksmus ar neveikimą, susijusius su projekto atitikties bendriesiems atrankos kriterijams (išskyrus juos detalizuojančius reikalavimus, nustatytus Apraše) vertinimu, taip pat kitais atvejais, nenumatytais Projektų administravimo ir finansavimo taisyklių 210 punkte, per 10 darbo dienų nuo tos dienos, kai jis sužinojo ar turėjo sužinoti apie tokius Agentūros veiksmus ar neveikimą.</w:t>
      </w:r>
    </w:p>
    <w:p>
      <w:pPr>
        <w:widowControl w:val="0"/>
        <w:ind w:firstLine="567"/>
        <w:jc w:val="both"/>
        <w:rPr>
          <w:color w:val="000000"/>
        </w:rPr>
      </w:pPr>
      <w:r>
        <w:rPr>
          <w:color w:val="000000"/>
        </w:rPr>
        <w:t>110</w:t>
      </w:r>
      <w:r>
        <w:rPr>
          <w:color w:val="000000"/>
        </w:rPr>
        <w:t>. Vadovaujančioji institucija, gavusi pareiškėjo arba projekto vykdytojo skundą, nagrinėja jį. Nusprendusi, kad skundas nepagrįstas, vadovaujančioji institucija apie tai informuoja pareiškėją ar projekto vykdytoją. Jeigu vadovaujančioji institucija nusprendžia, kad skundas pagrįstas, ji raštu įpareigoja Agentūrą imtis atitinkamų veiksmų, nustato veiksmų atlikimo terminus ir informuoja apie tai pareiškėją ar projekto vykdytoją.</w:t>
      </w:r>
    </w:p>
    <w:p>
      <w:pPr>
        <w:widowControl w:val="0"/>
        <w:ind w:firstLine="567"/>
        <w:jc w:val="both"/>
        <w:rPr>
          <w:color w:val="000000"/>
        </w:rPr>
      </w:pPr>
      <w:r>
        <w:rPr>
          <w:color w:val="000000"/>
        </w:rPr>
        <w:t>111</w:t>
      </w:r>
      <w:r>
        <w:rPr>
          <w:color w:val="000000"/>
        </w:rPr>
        <w:t>. Pareiškėjas ar projekto vykdytojas, nesutikdamas su Agentūros, Aplinkos ministerijos ar vadovaujančiosios institucijos sprendimais ar veiksmais, gali kreiptis į teismą Lietuvos Respublikos įstatymų nustatyta tvarka.</w:t>
      </w:r>
    </w:p>
    <w:p>
      <w:pPr>
        <w:widowControl w:val="0"/>
        <w:jc w:val="center"/>
        <w:rPr>
          <w:b/>
          <w:bCs/>
          <w:caps/>
          <w:color w:val="000000"/>
        </w:rPr>
      </w:pPr>
    </w:p>
    <w:p>
      <w:pPr>
        <w:widowControl w:val="0"/>
        <w:jc w:val="center"/>
        <w:rPr>
          <w:b/>
          <w:bCs/>
          <w:caps/>
          <w:color w:val="000000"/>
        </w:rPr>
      </w:pPr>
      <w:r>
        <w:rPr>
          <w:b/>
          <w:bCs/>
          <w:caps/>
          <w:color w:val="000000"/>
        </w:rPr>
        <w:t>XII</w:t>
      </w:r>
      <w:r>
        <w:rPr>
          <w:b/>
          <w:bCs/>
          <w:caps/>
          <w:color w:val="000000"/>
        </w:rPr>
        <w:t xml:space="preserve">. </w:t>
      </w:r>
      <w:r>
        <w:rPr>
          <w:b/>
          <w:bCs/>
          <w:caps/>
          <w:color w:val="000000"/>
        </w:rPr>
        <w:t>PROJEKTŲ UŽBAIGIMAS</w:t>
      </w:r>
    </w:p>
    <w:p>
      <w:pPr>
        <w:widowControl w:val="0"/>
        <w:ind w:firstLine="567"/>
        <w:jc w:val="both"/>
        <w:rPr>
          <w:color w:val="000000"/>
        </w:rPr>
      </w:pPr>
    </w:p>
    <w:p>
      <w:pPr>
        <w:widowControl w:val="0"/>
        <w:ind w:firstLine="567"/>
        <w:jc w:val="both"/>
        <w:rPr>
          <w:color w:val="000000"/>
        </w:rPr>
      </w:pPr>
      <w:r>
        <w:rPr>
          <w:color w:val="000000"/>
        </w:rPr>
        <w:t>112</w:t>
      </w:r>
      <w:r>
        <w:rPr>
          <w:color w:val="000000"/>
        </w:rPr>
        <w:t>. Projekto finansavimo pabaiga – galutinės projekto įgyvendinimo ataskaitos patvirtinimo data arba galutinio mokėjimo prašymo apmokėjimo data, atsižvelgiant į tai, kuris veiksmas atliekamas vėliau.</w:t>
      </w:r>
    </w:p>
    <w:p>
      <w:pPr>
        <w:widowControl w:val="0"/>
        <w:ind w:firstLine="567"/>
        <w:jc w:val="both"/>
        <w:rPr>
          <w:color w:val="000000"/>
          <w:spacing w:val="-3"/>
        </w:rPr>
      </w:pPr>
      <w:r>
        <w:rPr>
          <w:color w:val="000000"/>
          <w:spacing w:val="-3"/>
        </w:rPr>
        <w:t>113</w:t>
      </w:r>
      <w:r>
        <w:rPr>
          <w:color w:val="000000"/>
          <w:spacing w:val="-3"/>
        </w:rPr>
        <w:t xml:space="preserve">. Įgyvendinęs projektą, projekto vykdytojas </w:t>
      </w:r>
      <w:r>
        <w:rPr>
          <w:color w:val="000000"/>
        </w:rPr>
        <w:t xml:space="preserve">Projektų administravimo ir finansavimo taisyklėse </w:t>
      </w:r>
      <w:r>
        <w:rPr>
          <w:color w:val="000000"/>
          <w:spacing w:val="-3"/>
        </w:rPr>
        <w:t xml:space="preserve">nustatyta tvarka ir terminais teikia Agentūrai </w:t>
      </w:r>
      <w:r>
        <w:rPr>
          <w:color w:val="000000"/>
        </w:rPr>
        <w:t>ataskaitą po projekto užbaigimo</w:t>
      </w:r>
      <w:r>
        <w:rPr>
          <w:color w:val="000000"/>
          <w:spacing w:val="-3"/>
        </w:rPr>
        <w:t>. Jeigu Tarybos reglamento Nr. 1083/2006 55 straipsnyje numatytu laikotarpiu nustatoma, kad buvo gauta</w:t>
      </w:r>
      <w:r>
        <w:rPr>
          <w:color w:val="000000"/>
        </w:rPr>
        <w:t xml:space="preserve"> </w:t>
      </w:r>
      <w:r>
        <w:rPr>
          <w:color w:val="000000"/>
          <w:spacing w:val="-3"/>
        </w:rPr>
        <w:t xml:space="preserve">ar numatoma gauti iš anksto objektyviai apskaičiuojamų pajamų, į kurias nebuvo atsižvelgta projekto tinkamumo finansuoti vertinimo metu, tokias pajamas, apskaičiuotas vadovaujantis Bendrai finansuojamų iš Europos Sąjungos fondų lėšų projektų pajamų skaičiavimo ir priežiūros metodika, patvirtinta finansų ministro 2010 m. birželio 16 d. įsakymu Nr. 1K-195 (Žin., 2010, Nr. </w:t>
      </w:r>
      <w:hyperlink r:id="rId53" w:tgtFrame="_blank" w:history="1">
        <w:r>
          <w:rPr>
            <w:color w:val="0000FF" w:themeColor="hyperlink"/>
            <w:spacing w:val="-3"/>
            <w:u w:val="single"/>
          </w:rPr>
          <w:t>71-3581</w:t>
        </w:r>
      </w:hyperlink>
      <w:r>
        <w:rPr>
          <w:color w:val="000000"/>
          <w:spacing w:val="-3"/>
        </w:rPr>
        <w:t>), projekto vykdytojas turi grąžinti į Lietuvos Respublikos valstybės biudžetą.</w:t>
      </w:r>
    </w:p>
    <w:p>
      <w:pPr>
        <w:widowControl w:val="0"/>
        <w:ind w:firstLine="567"/>
        <w:jc w:val="both"/>
        <w:rPr>
          <w:color w:val="000000"/>
        </w:rPr>
      </w:pPr>
    </w:p>
    <w:p>
      <w:pPr>
        <w:widowControl w:val="0"/>
        <w:jc w:val="center"/>
        <w:rPr>
          <w:b/>
          <w:bCs/>
          <w:caps/>
          <w:color w:val="000000"/>
        </w:rPr>
      </w:pPr>
      <w:r>
        <w:rPr>
          <w:b/>
          <w:bCs/>
          <w:caps/>
          <w:color w:val="000000"/>
        </w:rPr>
        <w:t>XIII</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114</w:t>
      </w:r>
      <w:r>
        <w:rPr>
          <w:color w:val="000000"/>
        </w:rPr>
        <w:t>. Tai, ko nereglamentuoja Aprašas, reglamentuoja Projektų administravimo ir finansavimo taisyklės.</w:t>
      </w:r>
    </w:p>
    <w:p>
      <w:pPr>
        <w:widowControl w:val="0"/>
        <w:ind w:firstLine="567"/>
        <w:jc w:val="both"/>
        <w:rPr>
          <w:color w:val="000000"/>
          <w:spacing w:val="-3"/>
        </w:rPr>
      </w:pPr>
      <w:r>
        <w:rPr>
          <w:color w:val="000000"/>
          <w:spacing w:val="-3"/>
        </w:rPr>
        <w:t>115</w:t>
      </w:r>
      <w:r>
        <w:rPr>
          <w:color w:val="000000"/>
          <w:spacing w:val="-3"/>
        </w:rPr>
        <w:t>. Šis Aprašas, suderinus su vadovaujančiąja institucija, gali būti keičiamas Projektų administravimo ir finansavimo taisyklių 19 punkte nustatyta tvarka ir tvirtinamas aplinkos ministro įsakymu.</w:t>
      </w:r>
    </w:p>
    <w:p>
      <w:pPr>
        <w:widowControl w:val="0"/>
        <w:ind w:firstLine="567"/>
        <w:jc w:val="both"/>
        <w:rPr>
          <w:color w:val="000000"/>
        </w:rPr>
      </w:pPr>
      <w:r>
        <w:rPr>
          <w:color w:val="000000"/>
        </w:rPr>
        <w:t>116</w:t>
      </w:r>
      <w:r>
        <w:rPr>
          <w:color w:val="000000"/>
        </w:rPr>
        <w:t>. Pasikeitus Apraše nurodytiems teisės aktams, tiesiogiai taikomos naujos tų teisės aktų nuostatos.</w:t>
      </w:r>
    </w:p>
    <w:p>
      <w:pPr>
        <w:widowControl w:val="0"/>
        <w:ind w:firstLine="567"/>
        <w:jc w:val="both"/>
        <w:rPr>
          <w:color w:val="000000"/>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
      <w:pPr>
        <w:widowControl w:val="0"/>
        <w:tabs>
          <w:tab w:val="center" w:pos="4153"/>
          <w:tab w:val="right" w:pos="8306"/>
        </w:tabs>
        <w:ind w:left="4535"/>
      </w:pPr>
      <w:r>
        <w:br w:type="page"/>
        <w:t xml:space="preserve">Priemonės „Atliekų tvarkymo sistemos </w:t>
      </w:r>
    </w:p>
    <w:p>
      <w:pPr>
        <w:widowControl w:val="0"/>
        <w:tabs>
          <w:tab w:val="center" w:pos="4153"/>
          <w:tab w:val="right" w:pos="8306"/>
        </w:tabs>
        <w:ind w:left="4535"/>
      </w:pPr>
      <w:r>
        <w:t>sukūrimas“ veiklos „</w:t>
      </w:r>
      <w:r>
        <w:rPr>
          <w:color w:val="000000"/>
          <w:szCs w:val="24"/>
          <w:lang w:eastAsia="lt-LT"/>
        </w:rPr>
        <w:t>Komunalinių atliekų tvarkymo sistemų infrastruktūros plėtra – biologiškai skaidžių atliekų tvarkymo ir antrinių žaliavų surinkimo infrastruktūros sukūrimas</w:t>
      </w:r>
      <w:r>
        <w:t xml:space="preserve">“ projektų </w:t>
      </w:r>
    </w:p>
    <w:p>
      <w:pPr>
        <w:widowControl w:val="0"/>
        <w:tabs>
          <w:tab w:val="center" w:pos="4153"/>
          <w:tab w:val="right" w:pos="8306"/>
        </w:tabs>
        <w:ind w:left="4535"/>
      </w:pPr>
      <w:r>
        <w:t>finansavimo sąlygų aprašo</w:t>
      </w:r>
    </w:p>
    <w:p>
      <w:pPr>
        <w:widowControl w:val="0"/>
        <w:ind w:left="4535"/>
      </w:pPr>
      <w:r>
        <w:t>1</w:t>
      </w:r>
      <w:r>
        <w:t xml:space="preserve"> priedas</w:t>
      </w:r>
    </w:p>
    <w:p>
      <w:pPr>
        <w:widowControl w:val="0"/>
        <w:jc w:val="center"/>
        <w:rPr>
          <w:color w:val="000000"/>
        </w:rPr>
      </w:pPr>
    </w:p>
    <w:p>
      <w:pPr>
        <w:widowControl w:val="0"/>
        <w:jc w:val="center"/>
        <w:rPr>
          <w:sz w:val="20"/>
        </w:rPr>
      </w:pPr>
      <w:r>
        <w:rPr>
          <w:sz w:val="20"/>
          <w:lang w:eastAsia="lt-LT"/>
        </w:rPr>
        <w:drawing>
          <wp:inline distT="0" distB="0" distL="0" distR="0">
            <wp:extent cx="2705100" cy="1114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114425"/>
                    </a:xfrm>
                    <a:prstGeom prst="rect">
                      <a:avLst/>
                    </a:prstGeom>
                    <a:noFill/>
                    <a:ln>
                      <a:noFill/>
                    </a:ln>
                  </pic:spPr>
                </pic:pic>
              </a:graphicData>
            </a:graphic>
          </wp:inline>
        </w:drawing>
      </w:r>
    </w:p>
    <w:p>
      <w:pPr>
        <w:widowControl w:val="0"/>
        <w:jc w:val="center"/>
        <w:rPr>
          <w:i/>
          <w:vanish/>
          <w:color w:val="000000"/>
        </w:rPr>
      </w:pPr>
      <w:r>
        <w:rPr>
          <w:i/>
          <w:vanish/>
        </w:rPr>
        <w:t>(Kuriame Lietuvos ateitį)</w:t>
      </w:r>
    </w:p>
    <w:p>
      <w:pPr>
        <w:widowControl w:val="0"/>
        <w:jc w:val="center"/>
        <w:rPr>
          <w:color w:val="000000"/>
        </w:rPr>
      </w:pPr>
    </w:p>
    <w:p>
      <w:pPr>
        <w:widowControl w:val="0"/>
        <w:jc w:val="center"/>
        <w:rPr>
          <w:b/>
          <w:bCs/>
        </w:rPr>
      </w:pPr>
      <w:r>
        <w:rPr>
          <w:b/>
          <w:bCs/>
        </w:rPr>
        <w:t>Administracinės atitikties vertinimo lentelė</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5"/>
        <w:gridCol w:w="4982"/>
        <w:gridCol w:w="303"/>
        <w:gridCol w:w="703"/>
        <w:gridCol w:w="137"/>
        <w:gridCol w:w="757"/>
        <w:gridCol w:w="203"/>
        <w:gridCol w:w="600"/>
        <w:gridCol w:w="490"/>
      </w:tblGrid>
      <w:tr>
        <w:tc>
          <w:tcPr>
            <w:tcW w:w="6883" w:type="dxa"/>
            <w:gridSpan w:val="4"/>
          </w:tcPr>
          <w:p>
            <w:pPr>
              <w:widowControl w:val="0"/>
            </w:pPr>
            <w:r>
              <w:t>Paraiškos pristatymo data</w:t>
            </w:r>
          </w:p>
          <w:p>
            <w:pPr>
              <w:widowControl w:val="0"/>
            </w:pPr>
            <w:r>
              <w:t>Paraiškos unikalus kodas</w:t>
            </w:r>
          </w:p>
          <w:p>
            <w:pPr>
              <w:widowControl w:val="0"/>
            </w:pPr>
            <w:r>
              <w:t>Paraišką priėmė</w:t>
            </w:r>
          </w:p>
        </w:tc>
        <w:tc>
          <w:tcPr>
            <w:tcW w:w="2187" w:type="dxa"/>
            <w:gridSpan w:val="5"/>
          </w:tcPr>
          <w:p>
            <w:pPr>
              <w:widowControl w:val="0"/>
            </w:pPr>
            <w:r>
              <w:t>Pareiškėjo pavadinimas</w:t>
            </w:r>
          </w:p>
        </w:tc>
      </w:tr>
      <w:tr>
        <w:tc>
          <w:tcPr>
            <w:tcW w:w="895" w:type="dxa"/>
          </w:tcPr>
          <w:p>
            <w:pPr>
              <w:widowControl w:val="0"/>
              <w:rPr>
                <w:b/>
                <w:bCs/>
              </w:rPr>
            </w:pPr>
            <w:r>
              <w:rPr>
                <w:b/>
                <w:bCs/>
              </w:rPr>
              <w:t>Eil. Nr.</w:t>
            </w:r>
          </w:p>
        </w:tc>
        <w:tc>
          <w:tcPr>
            <w:tcW w:w="4982" w:type="dxa"/>
          </w:tcPr>
          <w:p>
            <w:pPr>
              <w:widowControl w:val="0"/>
              <w:rPr>
                <w:b/>
                <w:bCs/>
              </w:rPr>
            </w:pPr>
            <w:r>
              <w:rPr>
                <w:b/>
                <w:bCs/>
              </w:rPr>
              <w:t>Kriterijus</w:t>
            </w:r>
          </w:p>
        </w:tc>
        <w:tc>
          <w:tcPr>
            <w:tcW w:w="1006" w:type="dxa"/>
            <w:gridSpan w:val="2"/>
          </w:tcPr>
          <w:p>
            <w:pPr>
              <w:widowControl w:val="0"/>
              <w:rPr>
                <w:b/>
                <w:bCs/>
              </w:rPr>
            </w:pPr>
            <w:r>
              <w:rPr>
                <w:b/>
                <w:bCs/>
              </w:rPr>
              <w:t>Taip</w:t>
            </w:r>
          </w:p>
        </w:tc>
        <w:tc>
          <w:tcPr>
            <w:tcW w:w="894" w:type="dxa"/>
            <w:gridSpan w:val="2"/>
          </w:tcPr>
          <w:p>
            <w:pPr>
              <w:widowControl w:val="0"/>
              <w:rPr>
                <w:b/>
                <w:bCs/>
              </w:rPr>
            </w:pPr>
            <w:r>
              <w:rPr>
                <w:b/>
                <w:bCs/>
              </w:rPr>
              <w:t>Ne</w:t>
            </w:r>
          </w:p>
        </w:tc>
        <w:tc>
          <w:tcPr>
            <w:tcW w:w="1293" w:type="dxa"/>
            <w:gridSpan w:val="3"/>
          </w:tcPr>
          <w:p>
            <w:pPr>
              <w:widowControl w:val="0"/>
              <w:rPr>
                <w:b/>
                <w:bCs/>
              </w:rPr>
            </w:pPr>
            <w:r>
              <w:rPr>
                <w:b/>
                <w:bCs/>
              </w:rPr>
              <w:t xml:space="preserve">Netaikoma </w:t>
            </w:r>
          </w:p>
        </w:tc>
      </w:tr>
      <w:tr>
        <w:tc>
          <w:tcPr>
            <w:tcW w:w="895" w:type="dxa"/>
          </w:tcPr>
          <w:p>
            <w:pPr>
              <w:widowControl w:val="0"/>
            </w:pPr>
            <w:r>
              <w:t>1.</w:t>
            </w:r>
          </w:p>
        </w:tc>
        <w:tc>
          <w:tcPr>
            <w:tcW w:w="4982" w:type="dxa"/>
          </w:tcPr>
          <w:p>
            <w:pPr>
              <w:widowControl w:val="0"/>
            </w:pPr>
            <w:r>
              <w:t>Užpildytos visos paraiškos dalys.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2.</w:t>
            </w:r>
          </w:p>
        </w:tc>
        <w:tc>
          <w:tcPr>
            <w:tcW w:w="4982" w:type="dxa"/>
          </w:tcPr>
          <w:p>
            <w:pPr>
              <w:widowControl w:val="0"/>
            </w:pPr>
            <w:r>
              <w:t>Paraiška yra pasirašyta pareiškėjo ar jo įgalioto asmens.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3.</w:t>
            </w:r>
          </w:p>
        </w:tc>
        <w:tc>
          <w:tcPr>
            <w:tcW w:w="4982" w:type="dxa"/>
          </w:tcPr>
          <w:p>
            <w:pPr>
              <w:widowControl w:val="0"/>
            </w:pPr>
            <w:r>
              <w:t xml:space="preserve">Paraiška ir jos priedai užpildyti lietuvių kalba, kompiuteriu, išspausdinti ir kartu su pridedamais dokumentais įrišti arba susegti. Visi paraiškos ir pridedamų dokumentų lapai sunumeruoti eilės tvarka. </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4.</w:t>
            </w:r>
          </w:p>
        </w:tc>
        <w:tc>
          <w:tcPr>
            <w:tcW w:w="4982" w:type="dxa"/>
          </w:tcPr>
          <w:p>
            <w:pPr>
              <w:widowControl w:val="0"/>
            </w:pPr>
            <w:r>
              <w:t xml:space="preserve">Paraiškos bendroji (A) dalis užpildyta vadovaujantis pildymo instrukcija, t. y. užpildyta ir pateikta standartinė </w:t>
            </w:r>
            <w:r>
              <w:rPr>
                <w:i/>
                <w:iCs/>
              </w:rPr>
              <w:t>Excel</w:t>
            </w:r>
            <w:r>
              <w:t xml:space="preserve"> formato paraiškos formos A dalis.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5.</w:t>
            </w:r>
          </w:p>
        </w:tc>
        <w:tc>
          <w:tcPr>
            <w:tcW w:w="4982" w:type="dxa"/>
          </w:tcPr>
          <w:p>
            <w:pPr>
              <w:widowControl w:val="0"/>
            </w:pPr>
            <w:r>
              <w:t>Užpildyta Komisijos reglamento Nr. 1828/2006 XXI priede nustatytos formos paraiška ir pateikti duomenys, kurie nustatyti to paties reglamento XX priede ir Aprašo 3 priede (taikoma didelės apimties projektams).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6.</w:t>
            </w:r>
          </w:p>
        </w:tc>
        <w:tc>
          <w:tcPr>
            <w:tcW w:w="4982" w:type="dxa"/>
          </w:tcPr>
          <w:p>
            <w:pPr>
              <w:widowControl w:val="0"/>
            </w:pPr>
            <w:r>
              <w:t>Pateiktas vienas originalus paraiškos egzempliorius, viena kopija ir paraiškos versija kompiuterine laikmena.</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7.</w:t>
            </w:r>
          </w:p>
        </w:tc>
        <w:tc>
          <w:tcPr>
            <w:tcW w:w="4982" w:type="dxa"/>
          </w:tcPr>
          <w:p>
            <w:pPr>
              <w:widowControl w:val="0"/>
            </w:pPr>
            <w:r>
              <w:t>Pateikti dokumentai, įrodantys, kad projektas atitinka Aprašo 2 priedo 6.1.1 punkto reikalavimus.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8.</w:t>
            </w:r>
          </w:p>
        </w:tc>
        <w:tc>
          <w:tcPr>
            <w:tcW w:w="4982" w:type="dxa"/>
          </w:tcPr>
          <w:p>
            <w:pPr>
              <w:widowControl w:val="0"/>
            </w:pPr>
            <w:r>
              <w:t>Pateikti įrodymai , kad pareiškėjas atitinka Aprašo 2 priedo 7.1.3 punkto reikalavimus:</w:t>
            </w:r>
          </w:p>
          <w:p>
            <w:pPr>
              <w:widowControl w:val="0"/>
            </w:pPr>
            <w:r>
              <w:t>– jam nėra iškelta byla dėl bankroto arba jis yra likviduojamas;</w:t>
            </w:r>
          </w:p>
          <w:p>
            <w:pPr>
              <w:widowControl w:val="0"/>
            </w:pPr>
            <w:r>
              <w:t>– yra įvykdęs su mokesčių ir socialinio draudimo įnašų mokėjimu susijusius įsipareigojimus pagal Lietuvos Respublikos teisės aktus;</w:t>
            </w:r>
          </w:p>
          <w:p>
            <w:pPr>
              <w:widowControl w:val="0"/>
            </w:pPr>
            <w:r>
              <w:t>– paraiškoje arba jos prieduose nepateikė klaidinančios informacijos;</w:t>
            </w:r>
          </w:p>
          <w:p>
            <w:pPr>
              <w:widowControl w:val="0"/>
            </w:pPr>
            <w:r>
              <w:t>– nėra įsiteisėjusio teismo sprendimo dėl pareiškėjo kitos sutarties dėl paramos skyrimo iš ES arba Lietuvos Respublikos biudžeto lėšų pažeidimo;</w:t>
            </w:r>
          </w:p>
          <w:p>
            <w:pPr>
              <w:widowControl w:val="0"/>
            </w:pPr>
            <w:r>
              <w:t>– jis nebandė gauti konfidencialios informacijos arba daryti įtakos vertinimą atliekančiai institucijai dabartinio arba ankstesnio paraiškų vertinimo arba atrankos proceso metu.</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9.</w:t>
            </w:r>
          </w:p>
        </w:tc>
        <w:tc>
          <w:tcPr>
            <w:tcW w:w="4982" w:type="dxa"/>
          </w:tcPr>
          <w:p>
            <w:pPr>
              <w:widowControl w:val="0"/>
            </w:pPr>
            <w:r>
              <w:t>Pateiktas įgaliojimo pasirašyti paraišką originalas, jeigu paraiška pasirašyta ne pareiškėjo įstaigos vadovo.</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rPr>
          <w:cantSplit/>
        </w:trPr>
        <w:tc>
          <w:tcPr>
            <w:tcW w:w="895" w:type="dxa"/>
          </w:tcPr>
          <w:p>
            <w:pPr>
              <w:widowControl w:val="0"/>
            </w:pPr>
            <w:r>
              <w:t>10.</w:t>
            </w:r>
          </w:p>
        </w:tc>
        <w:tc>
          <w:tcPr>
            <w:tcW w:w="4982" w:type="dxa"/>
          </w:tcPr>
          <w:p>
            <w:pPr>
              <w:widowControl w:val="0"/>
            </w:pPr>
            <w:r>
              <w:t xml:space="preserve">Pateikti pareiškėjo darbuotojų, atsakingų už projekto </w:t>
            </w:r>
          </w:p>
          <w:p>
            <w:pPr>
              <w:widowControl w:val="0"/>
            </w:pPr>
            <w:r>
              <w:t>koordinavimą ir įgyvendinimą (projekto vadovo, finansininko ir atliekų tvarkymo specialisto), gyvenimo aprašymai (CV) ir juose minimų diplomų kopijos.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11.</w:t>
            </w:r>
          </w:p>
        </w:tc>
        <w:tc>
          <w:tcPr>
            <w:tcW w:w="4982" w:type="dxa"/>
          </w:tcPr>
          <w:p>
            <w:pPr>
              <w:widowControl w:val="0"/>
            </w:pPr>
            <w:r>
              <w:t xml:space="preserve">Pateikti dokumentai, įrodantys, kad projektas atitinka Aprašo 2 priedo 9.2.1 punkto reikalavimus. </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12.</w:t>
            </w:r>
          </w:p>
        </w:tc>
        <w:tc>
          <w:tcPr>
            <w:tcW w:w="4982" w:type="dxa"/>
          </w:tcPr>
          <w:p>
            <w:pPr>
              <w:widowControl w:val="0"/>
            </w:pPr>
            <w:r>
              <w:t>Pateiktas viešųjų pirkimų organizavimo ir vykdymo planas (taikoma, jeigu iki paraiškos pateikimo dienos viešieji pirkimai neatlikti).</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13.</w:t>
            </w:r>
          </w:p>
        </w:tc>
        <w:tc>
          <w:tcPr>
            <w:tcW w:w="4982" w:type="dxa"/>
          </w:tcPr>
          <w:p>
            <w:pPr>
              <w:widowControl w:val="0"/>
            </w:pPr>
            <w:r>
              <w:t>Pateikta galimybių studija.</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14.</w:t>
            </w:r>
          </w:p>
        </w:tc>
        <w:tc>
          <w:tcPr>
            <w:tcW w:w="4982" w:type="dxa"/>
          </w:tcPr>
          <w:p>
            <w:pPr>
              <w:widowControl w:val="0"/>
            </w:pPr>
            <w:r>
              <w:t xml:space="preserve">Pateikti įrodymai, kad pradėtos poveikio aplinkai vertinimo procedūros. Jei numatoma ūkinė veikla nepatenka į Lietuvos Respublikos planuojamos ūkinės veiklos poveikio aplinkai vertinimo įstatymo (Žin., 1996, Nr. </w:t>
            </w:r>
            <w:hyperlink r:id="rId15" w:tgtFrame="_blank" w:history="1">
              <w:r>
                <w:rPr>
                  <w:color w:val="0000FF" w:themeColor="hyperlink"/>
                  <w:u w:val="single"/>
                </w:rPr>
                <w:t>82-1965</w:t>
              </w:r>
            </w:hyperlink>
            <w:r>
              <w:t>; 2005, Nr. 84-3105) (toliau – Planuojamos ūkinės veiklos poveikio aplinkai vertinimo įstatymas) 1 priede nurodytas veiklas, privaloma pateikti kreipimąsi į atsakingą instituciją dėl atrankos poveikio aplinkai vertinimo išvados. Jei numatoma ūkinė veikla patenka į Planuojamos ūkinės veiklos poveikio aplinkai vertinimo įsakymo 1 priede nurodytas veiklas, privaloma rengti poveikio aplinkai vertinimo programą, informuoti visuomenę Aplinkos ministerijos nustatyta tvarka ir teikti programą poveikio aplinkai vertinimo subjektams.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15.</w:t>
            </w:r>
          </w:p>
        </w:tc>
        <w:tc>
          <w:tcPr>
            <w:tcW w:w="4982" w:type="dxa"/>
          </w:tcPr>
          <w:p>
            <w:pPr>
              <w:widowControl w:val="0"/>
            </w:pPr>
            <w:r>
              <w:t>Pateiktos konkurso sąlygos ir sutarties projektas privataus partnerio atrankai (jei taikoma).</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16.</w:t>
            </w:r>
          </w:p>
        </w:tc>
        <w:tc>
          <w:tcPr>
            <w:tcW w:w="4982" w:type="dxa"/>
          </w:tcPr>
          <w:p>
            <w:pPr>
              <w:widowControl w:val="0"/>
            </w:pPr>
            <w:r>
              <w:t>Pateiktas regiono plėtros tarybos ar savivaldybių pritarimas arba suderinimas (regiono plėtros tarybos, savivaldybės Tarybos sprendimas, savivaldybės administracijos direktoriaus įsakymas ir pan.), kad pareiškėjas gali organizuoti darbus atitinkamo regiono ir savivaldybės teritorijoje.</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rPr>
          <w:trHeight w:val="353"/>
        </w:trPr>
        <w:tc>
          <w:tcPr>
            <w:tcW w:w="895" w:type="dxa"/>
          </w:tcPr>
          <w:p>
            <w:pPr>
              <w:widowControl w:val="0"/>
            </w:pPr>
            <w:r>
              <w:t>17.</w:t>
            </w:r>
          </w:p>
        </w:tc>
        <w:tc>
          <w:tcPr>
            <w:tcW w:w="4982" w:type="dxa"/>
          </w:tcPr>
          <w:p>
            <w:pPr>
              <w:widowControl w:val="0"/>
            </w:pPr>
            <w:r>
              <w:t>Pateikti dokumentai, patvirtinantys pareiškėjo galimybes apmokėti numatytą projekto išlaidų dalį (banko sąskaitos išrašas, paskolos sutartis, garantinis banko raštas ir kt.).</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18.</w:t>
            </w:r>
          </w:p>
        </w:tc>
        <w:tc>
          <w:tcPr>
            <w:tcW w:w="4982" w:type="dxa"/>
          </w:tcPr>
          <w:p>
            <w:pPr>
              <w:widowControl w:val="0"/>
            </w:pPr>
            <w:r>
              <w:t>Pateiktas pareiškėjo ir/ar partnerio įsipareigojimas padengti netinkamas finansuoti, tačiau šiam projektui įgyvendinti būtinas išlaidas.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19.</w:t>
            </w:r>
          </w:p>
        </w:tc>
        <w:tc>
          <w:tcPr>
            <w:tcW w:w="4982" w:type="dxa"/>
          </w:tcPr>
          <w:p>
            <w:pPr>
              <w:widowControl w:val="0"/>
            </w:pPr>
            <w:r>
              <w:t>Pateikti finansinės ir sąnaudų-naudos analizių skaičiavimai.</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20.</w:t>
            </w:r>
          </w:p>
        </w:tc>
        <w:tc>
          <w:tcPr>
            <w:tcW w:w="4982" w:type="dxa"/>
          </w:tcPr>
          <w:p>
            <w:pPr>
              <w:widowControl w:val="0"/>
            </w:pPr>
            <w:r>
              <w:rPr>
                <w:bCs/>
              </w:rPr>
              <w:t xml:space="preserve">Pateikti dokumentai, įrodantys, kad pareiškėjas </w:t>
            </w:r>
            <w:r>
              <w:t>atitinka Aprašo 97 punkto reikalavimus.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21.</w:t>
            </w:r>
          </w:p>
        </w:tc>
        <w:tc>
          <w:tcPr>
            <w:tcW w:w="4982" w:type="dxa"/>
          </w:tcPr>
          <w:p>
            <w:pPr>
              <w:widowControl w:val="0"/>
              <w:rPr>
                <w:bCs/>
              </w:rPr>
            </w:pPr>
            <w:r>
              <w:rPr>
                <w:bCs/>
              </w:rPr>
              <w:t>Pateiktas mokėjimų prašymų teikimo Agentūrai grafikas.</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22.</w:t>
            </w:r>
          </w:p>
        </w:tc>
        <w:tc>
          <w:tcPr>
            <w:tcW w:w="4982" w:type="dxa"/>
          </w:tcPr>
          <w:p>
            <w:pPr>
              <w:widowControl w:val="0"/>
              <w:rPr>
                <w:bCs/>
              </w:rPr>
            </w:pPr>
            <w:r>
              <w:t>Pateikti įrodymai, kad kreiptasi į instituciją, atsakingą už saugomų teritorijų apsaugos ir tvarkymo organizavimą, išvados dėl poveikio įsteigtoms ar potencialioms „Natura 2000“ teritorijoms reikšmingumo kopija.</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895" w:type="dxa"/>
          </w:tcPr>
          <w:p>
            <w:pPr>
              <w:widowControl w:val="0"/>
            </w:pPr>
            <w:r>
              <w:t>23.</w:t>
            </w:r>
          </w:p>
        </w:tc>
        <w:tc>
          <w:tcPr>
            <w:tcW w:w="4982" w:type="dxa"/>
          </w:tcPr>
          <w:p>
            <w:pPr>
              <w:widowControl w:val="0"/>
            </w:pPr>
            <w:r>
              <w:t>Pateikta jungtinės veiklos (partnerystės) sutartis (jei taikoma).</w:t>
            </w:r>
          </w:p>
        </w:tc>
        <w:tc>
          <w:tcPr>
            <w:tcW w:w="1006" w:type="dxa"/>
            <w:gridSpan w:val="2"/>
          </w:tcPr>
          <w:p>
            <w:pPr>
              <w:widowControl w:val="0"/>
            </w:pPr>
          </w:p>
        </w:tc>
        <w:tc>
          <w:tcPr>
            <w:tcW w:w="894" w:type="dxa"/>
            <w:gridSpan w:val="2"/>
          </w:tcPr>
          <w:p>
            <w:pPr>
              <w:widowControl w:val="0"/>
            </w:pPr>
          </w:p>
        </w:tc>
        <w:tc>
          <w:tcPr>
            <w:tcW w:w="1293" w:type="dxa"/>
            <w:gridSpan w:val="3"/>
          </w:tcPr>
          <w:p>
            <w:pPr>
              <w:widowControl w:val="0"/>
            </w:pPr>
          </w:p>
        </w:tc>
      </w:tr>
      <w:tr>
        <w:tc>
          <w:tcPr>
            <w:tcW w:w="6180" w:type="dxa"/>
            <w:gridSpan w:val="3"/>
            <w:tcBorders>
              <w:right w:val="nil"/>
            </w:tcBorders>
          </w:tcPr>
          <w:p>
            <w:pPr>
              <w:widowControl w:val="0"/>
            </w:pPr>
            <w:r>
              <w:t>VERTINTOJO PASTABOS</w:t>
            </w:r>
          </w:p>
          <w:p>
            <w:pPr>
              <w:widowControl w:val="0"/>
            </w:pPr>
            <w:r>
              <w:t>Paraiškos vertintojas</w:t>
            </w:r>
          </w:p>
          <w:p>
            <w:pPr>
              <w:widowControl w:val="0"/>
            </w:pPr>
            <w:r>
              <w:t xml:space="preserve">(pareigos, pavardė, vardas, parašas) </w:t>
            </w:r>
          </w:p>
          <w:p>
            <w:pPr>
              <w:widowControl w:val="0"/>
            </w:pPr>
            <w:r>
              <w:t>Vertinimo data</w:t>
            </w:r>
          </w:p>
        </w:tc>
        <w:tc>
          <w:tcPr>
            <w:tcW w:w="840" w:type="dxa"/>
            <w:gridSpan w:val="2"/>
            <w:tcBorders>
              <w:left w:val="nil"/>
              <w:right w:val="nil"/>
            </w:tcBorders>
          </w:tcPr>
          <w:p>
            <w:pPr>
              <w:widowControl w:val="0"/>
            </w:pPr>
          </w:p>
        </w:tc>
        <w:tc>
          <w:tcPr>
            <w:tcW w:w="960" w:type="dxa"/>
            <w:gridSpan w:val="2"/>
            <w:tcBorders>
              <w:left w:val="nil"/>
              <w:right w:val="nil"/>
            </w:tcBorders>
          </w:tcPr>
          <w:p>
            <w:pPr>
              <w:widowControl w:val="0"/>
            </w:pPr>
          </w:p>
        </w:tc>
        <w:tc>
          <w:tcPr>
            <w:tcW w:w="600" w:type="dxa"/>
            <w:tcBorders>
              <w:left w:val="nil"/>
              <w:right w:val="nil"/>
            </w:tcBorders>
          </w:tcPr>
          <w:p>
            <w:pPr>
              <w:widowControl w:val="0"/>
            </w:pPr>
          </w:p>
        </w:tc>
        <w:tc>
          <w:tcPr>
            <w:tcW w:w="490" w:type="dxa"/>
            <w:tcBorders>
              <w:left w:val="nil"/>
            </w:tcBorders>
          </w:tcPr>
          <w:p>
            <w:pPr>
              <w:widowControl w:val="0"/>
            </w:pPr>
          </w:p>
        </w:tc>
      </w:tr>
    </w:tbl>
    <w:p>
      <w:pPr>
        <w:widowControl w:val="0"/>
        <w:jc w:val="both"/>
      </w:pPr>
    </w:p>
    <w:p>
      <w:pPr>
        <w:widowControl w:val="0"/>
        <w:jc w:val="center"/>
      </w:pPr>
      <w:r>
        <w:t>_________________</w:t>
      </w:r>
    </w:p>
    <w:p>
      <w:pPr>
        <w:widowControl w:val="0"/>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8595CFB09">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2010-10-06,
Žin., 2010, Nr.
124-6335 (2010-10-21); Žin., 2010, Nr.
125-0 (2010-10-23), i. k. 110301MISAK00D1-845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567" w:footer="284" w:gutter="0"/>
          <w:cols w:space="1296"/>
          <w:docGrid w:linePitch="360"/>
        </w:sectPr>
      </w:pPr>
    </w:p>
    <w:p>
      <w:pPr>
        <w:widowControl w:val="0"/>
      </w:pPr>
    </w:p>
    <w:p>
      <w:pPr>
        <w:widowControl w:val="0"/>
        <w:tabs>
          <w:tab w:val="center" w:pos="4153"/>
          <w:tab w:val="right" w:pos="8306"/>
        </w:tabs>
        <w:ind w:left="9000"/>
      </w:pPr>
      <w:r>
        <w:t xml:space="preserve">Priemonės „Atliekų tvarkymo sistemos sukūrimas“ </w:t>
      </w:r>
    </w:p>
    <w:p>
      <w:pPr>
        <w:widowControl w:val="0"/>
        <w:tabs>
          <w:tab w:val="center" w:pos="4153"/>
          <w:tab w:val="right" w:pos="8306"/>
        </w:tabs>
        <w:ind w:left="9000"/>
        <w:rPr>
          <w:color w:val="000000"/>
          <w:szCs w:val="24"/>
          <w:lang w:eastAsia="lt-LT"/>
        </w:rPr>
      </w:pPr>
      <w:r>
        <w:t>veiklos „</w:t>
      </w:r>
      <w:r>
        <w:rPr>
          <w:color w:val="000000"/>
          <w:szCs w:val="24"/>
          <w:lang w:eastAsia="lt-LT"/>
        </w:rPr>
        <w:t xml:space="preserve">Komunalinių atliekų tvarkymo sistemų </w:t>
      </w:r>
    </w:p>
    <w:p>
      <w:pPr>
        <w:widowControl w:val="0"/>
        <w:tabs>
          <w:tab w:val="center" w:pos="4153"/>
          <w:tab w:val="right" w:pos="8306"/>
        </w:tabs>
        <w:ind w:left="9000"/>
        <w:rPr>
          <w:color w:val="000000"/>
          <w:szCs w:val="24"/>
          <w:lang w:eastAsia="lt-LT"/>
        </w:rPr>
      </w:pPr>
      <w:r>
        <w:rPr>
          <w:color w:val="000000"/>
          <w:szCs w:val="24"/>
          <w:lang w:eastAsia="lt-LT"/>
        </w:rPr>
        <w:t xml:space="preserve">infrastruktūros plėtra – biologiškai skaidžių atliekų </w:t>
      </w:r>
    </w:p>
    <w:p>
      <w:pPr>
        <w:widowControl w:val="0"/>
        <w:tabs>
          <w:tab w:val="center" w:pos="4153"/>
          <w:tab w:val="right" w:pos="8306"/>
        </w:tabs>
        <w:ind w:left="9000"/>
        <w:rPr>
          <w:color w:val="000000"/>
          <w:szCs w:val="24"/>
          <w:lang w:eastAsia="lt-LT"/>
        </w:rPr>
      </w:pPr>
      <w:r>
        <w:rPr>
          <w:color w:val="000000"/>
          <w:szCs w:val="24"/>
          <w:lang w:eastAsia="lt-LT"/>
        </w:rPr>
        <w:t xml:space="preserve">tvarkymo ir antrinių žaliavų surinkimo infrastruktūros </w:t>
      </w:r>
    </w:p>
    <w:p>
      <w:pPr>
        <w:widowControl w:val="0"/>
        <w:tabs>
          <w:tab w:val="center" w:pos="4153"/>
          <w:tab w:val="right" w:pos="8306"/>
        </w:tabs>
        <w:ind w:left="9000"/>
      </w:pPr>
      <w:r>
        <w:rPr>
          <w:color w:val="000000"/>
          <w:szCs w:val="24"/>
          <w:lang w:eastAsia="lt-LT"/>
        </w:rPr>
        <w:t>sukūrimas</w:t>
      </w:r>
      <w:r>
        <w:t xml:space="preserve">“ projektų </w:t>
      </w:r>
    </w:p>
    <w:p>
      <w:pPr>
        <w:widowControl w:val="0"/>
        <w:tabs>
          <w:tab w:val="center" w:pos="4153"/>
          <w:tab w:val="right" w:pos="8306"/>
        </w:tabs>
        <w:ind w:left="9000"/>
      </w:pPr>
      <w:r>
        <w:t>finansavimo sąlygų aprašo</w:t>
      </w:r>
    </w:p>
    <w:p>
      <w:pPr>
        <w:widowControl w:val="0"/>
        <w:ind w:left="9000"/>
      </w:pPr>
      <w:r>
        <w:t>2 priedas</w:t>
      </w:r>
    </w:p>
    <w:p>
      <w:pPr>
        <w:widowControl w:val="0"/>
        <w:jc w:val="center"/>
        <w:rPr>
          <w:color w:val="000000"/>
        </w:rPr>
      </w:pPr>
    </w:p>
    <w:p>
      <w:pPr>
        <w:widowControl w:val="0"/>
        <w:jc w:val="center"/>
        <w:rPr>
          <w:sz w:val="20"/>
        </w:rPr>
      </w:pPr>
      <w:r>
        <w:rPr>
          <w:sz w:val="20"/>
          <w:lang w:eastAsia="lt-LT"/>
        </w:rPr>
        <w:drawing>
          <wp:inline distT="0" distB="0" distL="0" distR="0">
            <wp:extent cx="2705100" cy="11144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00" cy="1114425"/>
                    </a:xfrm>
                    <a:prstGeom prst="rect">
                      <a:avLst/>
                    </a:prstGeom>
                    <a:noFill/>
                    <a:ln>
                      <a:noFill/>
                    </a:ln>
                  </pic:spPr>
                </pic:pic>
              </a:graphicData>
            </a:graphic>
          </wp:inline>
        </w:drawing>
      </w:r>
    </w:p>
    <w:p>
      <w:pPr>
        <w:widowControl w:val="0"/>
        <w:jc w:val="center"/>
        <w:rPr>
          <w:i/>
          <w:vanish/>
          <w:color w:val="000000"/>
        </w:rPr>
      </w:pPr>
      <w:r>
        <w:rPr>
          <w:i/>
          <w:vanish/>
        </w:rPr>
        <w:t>(Kuriame Lietuvos ateitį)</w:t>
      </w:r>
    </w:p>
    <w:p>
      <w:pPr>
        <w:widowControl w:val="0"/>
      </w:pPr>
    </w:p>
    <w:p>
      <w:pPr>
        <w:widowControl w:val="0"/>
        <w:tabs>
          <w:tab w:val="left" w:pos="6521"/>
          <w:tab w:val="left" w:pos="9072"/>
        </w:tabs>
        <w:jc w:val="center"/>
        <w:outlineLvl w:val="1"/>
        <w:rPr>
          <w:b/>
          <w:bCs/>
        </w:rPr>
      </w:pPr>
      <w:r>
        <w:rPr>
          <w:b/>
          <w:bCs/>
        </w:rPr>
        <w:t>Projekto tinkamumo finansuoti vertinimo lentelė</w:t>
      </w:r>
    </w:p>
    <w:p>
      <w:pPr>
        <w:widowControl w:val="0"/>
        <w:jc w:val="cente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518"/>
        <w:gridCol w:w="837"/>
        <w:gridCol w:w="840"/>
        <w:gridCol w:w="840"/>
        <w:gridCol w:w="6"/>
        <w:gridCol w:w="969"/>
        <w:gridCol w:w="831"/>
        <w:gridCol w:w="1112"/>
        <w:gridCol w:w="4401"/>
      </w:tblGrid>
      <w:tr>
        <w:trPr>
          <w:trHeight w:val="20"/>
        </w:trPr>
        <w:tc>
          <w:tcPr>
            <w:tcW w:w="2388" w:type="dxa"/>
            <w:vMerge w:val="restart"/>
          </w:tcPr>
          <w:p>
            <w:pPr>
              <w:widowControl w:val="0"/>
              <w:jc w:val="center"/>
              <w:rPr>
                <w:b/>
                <w:bCs/>
              </w:rPr>
            </w:pPr>
            <w:r>
              <w:rPr>
                <w:b/>
                <w:bCs/>
              </w:rPr>
              <w:t>Bendrasis kriterijus</w:t>
            </w:r>
          </w:p>
        </w:tc>
        <w:tc>
          <w:tcPr>
            <w:tcW w:w="2520" w:type="dxa"/>
            <w:vMerge w:val="restart"/>
          </w:tcPr>
          <w:p>
            <w:pPr>
              <w:widowControl w:val="0"/>
              <w:jc w:val="center"/>
              <w:rPr>
                <w:b/>
                <w:bCs/>
              </w:rPr>
            </w:pPr>
            <w:r>
              <w:rPr>
                <w:b/>
                <w:bCs/>
              </w:rPr>
              <w:t>Bendrojo kriterijaus vertinimo aspektai</w:t>
            </w:r>
          </w:p>
        </w:tc>
        <w:tc>
          <w:tcPr>
            <w:tcW w:w="2523" w:type="dxa"/>
            <w:gridSpan w:val="4"/>
            <w:vMerge w:val="restart"/>
          </w:tcPr>
          <w:p>
            <w:pPr>
              <w:widowControl w:val="0"/>
              <w:jc w:val="center"/>
              <w:rPr>
                <w:b/>
                <w:bCs/>
              </w:rPr>
            </w:pPr>
            <w:r>
              <w:rPr>
                <w:b/>
                <w:bCs/>
              </w:rPr>
              <w:t>Vertinimo klausimai ir (ar) teiginiai</w:t>
            </w:r>
          </w:p>
        </w:tc>
        <w:tc>
          <w:tcPr>
            <w:tcW w:w="2906" w:type="dxa"/>
            <w:gridSpan w:val="3"/>
          </w:tcPr>
          <w:p>
            <w:pPr>
              <w:widowControl w:val="0"/>
              <w:jc w:val="center"/>
              <w:rPr>
                <w:b/>
                <w:bCs/>
              </w:rPr>
            </w:pPr>
            <w:r>
              <w:rPr>
                <w:b/>
                <w:bCs/>
              </w:rPr>
              <w:t>Įvertinimas</w:t>
            </w:r>
          </w:p>
        </w:tc>
        <w:tc>
          <w:tcPr>
            <w:tcW w:w="4403" w:type="dxa"/>
            <w:vMerge w:val="restart"/>
          </w:tcPr>
          <w:p>
            <w:pPr>
              <w:widowControl w:val="0"/>
              <w:jc w:val="center"/>
              <w:rPr>
                <w:b/>
                <w:bCs/>
              </w:rPr>
            </w:pPr>
            <w:r>
              <w:rPr>
                <w:b/>
                <w:bCs/>
              </w:rPr>
              <w:t>Paaiškinimai</w:t>
            </w:r>
          </w:p>
        </w:tc>
      </w:tr>
      <w:tr>
        <w:trPr>
          <w:trHeight w:val="20"/>
        </w:trPr>
        <w:tc>
          <w:tcPr>
            <w:tcW w:w="2388" w:type="dxa"/>
            <w:vMerge/>
            <w:tcBorders>
              <w:bottom w:val="single" w:sz="4" w:space="0" w:color="auto"/>
            </w:tcBorders>
          </w:tcPr>
          <w:p>
            <w:pPr>
              <w:widowControl w:val="0"/>
            </w:pPr>
          </w:p>
        </w:tc>
        <w:tc>
          <w:tcPr>
            <w:tcW w:w="2520" w:type="dxa"/>
            <w:vMerge/>
            <w:tcBorders>
              <w:bottom w:val="single" w:sz="4" w:space="0" w:color="auto"/>
            </w:tcBorders>
          </w:tcPr>
          <w:p>
            <w:pPr>
              <w:widowControl w:val="0"/>
            </w:pPr>
          </w:p>
        </w:tc>
        <w:tc>
          <w:tcPr>
            <w:tcW w:w="2523" w:type="dxa"/>
            <w:gridSpan w:val="4"/>
            <w:vMerge/>
            <w:tcBorders>
              <w:bottom w:val="single" w:sz="4" w:space="0" w:color="auto"/>
            </w:tcBorders>
          </w:tcPr>
          <w:p>
            <w:pPr>
              <w:widowControl w:val="0"/>
            </w:pPr>
          </w:p>
        </w:tc>
        <w:tc>
          <w:tcPr>
            <w:tcW w:w="969" w:type="dxa"/>
            <w:tcBorders>
              <w:bottom w:val="single" w:sz="4" w:space="0" w:color="auto"/>
            </w:tcBorders>
          </w:tcPr>
          <w:p>
            <w:pPr>
              <w:widowControl w:val="0"/>
              <w:jc w:val="center"/>
              <w:rPr>
                <w:b/>
                <w:bCs/>
              </w:rPr>
            </w:pPr>
            <w:r>
              <w:rPr>
                <w:b/>
                <w:bCs/>
              </w:rPr>
              <w:t>Taip</w:t>
            </w:r>
          </w:p>
        </w:tc>
        <w:tc>
          <w:tcPr>
            <w:tcW w:w="831" w:type="dxa"/>
            <w:tcBorders>
              <w:bottom w:val="single" w:sz="4" w:space="0" w:color="auto"/>
            </w:tcBorders>
          </w:tcPr>
          <w:p>
            <w:pPr>
              <w:widowControl w:val="0"/>
              <w:jc w:val="center"/>
              <w:rPr>
                <w:b/>
                <w:bCs/>
              </w:rPr>
            </w:pPr>
            <w:r>
              <w:rPr>
                <w:b/>
                <w:bCs/>
              </w:rPr>
              <w:t>Ne</w:t>
            </w:r>
          </w:p>
        </w:tc>
        <w:tc>
          <w:tcPr>
            <w:tcW w:w="1106" w:type="dxa"/>
            <w:tcBorders>
              <w:bottom w:val="single" w:sz="4" w:space="0" w:color="auto"/>
            </w:tcBorders>
          </w:tcPr>
          <w:p>
            <w:pPr>
              <w:widowControl w:val="0"/>
              <w:jc w:val="center"/>
              <w:rPr>
                <w:b/>
                <w:bCs/>
              </w:rPr>
            </w:pPr>
            <w:r>
              <w:rPr>
                <w:b/>
                <w:bCs/>
              </w:rPr>
              <w:t>Netaikoma</w:t>
            </w:r>
          </w:p>
        </w:tc>
        <w:tc>
          <w:tcPr>
            <w:tcW w:w="4403" w:type="dxa"/>
            <w:vMerge/>
            <w:tcBorders>
              <w:bottom w:val="single" w:sz="4" w:space="0" w:color="auto"/>
            </w:tcBorders>
          </w:tcPr>
          <w:p>
            <w:pPr>
              <w:widowControl w:val="0"/>
            </w:pPr>
          </w:p>
        </w:tc>
      </w:tr>
      <w:tr>
        <w:trPr>
          <w:trHeight w:val="20"/>
        </w:trPr>
        <w:tc>
          <w:tcPr>
            <w:tcW w:w="2388" w:type="dxa"/>
            <w:tcBorders>
              <w:top w:val="single" w:sz="4" w:space="0" w:color="auto"/>
              <w:left w:val="nil"/>
              <w:bottom w:val="single" w:sz="4" w:space="0" w:color="auto"/>
              <w:right w:val="nil"/>
            </w:tcBorders>
          </w:tcPr>
          <w:p>
            <w:pPr>
              <w:widowControl w:val="0"/>
              <w:rPr>
                <w:sz w:val="6"/>
                <w:szCs w:val="6"/>
              </w:rPr>
            </w:pPr>
          </w:p>
        </w:tc>
        <w:tc>
          <w:tcPr>
            <w:tcW w:w="2520" w:type="dxa"/>
            <w:tcBorders>
              <w:top w:val="single" w:sz="4" w:space="0" w:color="auto"/>
              <w:left w:val="nil"/>
              <w:bottom w:val="single" w:sz="4" w:space="0" w:color="auto"/>
              <w:right w:val="nil"/>
            </w:tcBorders>
          </w:tcPr>
          <w:p>
            <w:pPr>
              <w:widowControl w:val="0"/>
              <w:rPr>
                <w:sz w:val="6"/>
                <w:szCs w:val="6"/>
              </w:rPr>
            </w:pPr>
          </w:p>
        </w:tc>
        <w:tc>
          <w:tcPr>
            <w:tcW w:w="2523" w:type="dxa"/>
            <w:gridSpan w:val="4"/>
            <w:tcBorders>
              <w:top w:val="single" w:sz="4" w:space="0" w:color="auto"/>
              <w:left w:val="nil"/>
              <w:bottom w:val="single" w:sz="4" w:space="0" w:color="auto"/>
              <w:right w:val="nil"/>
            </w:tcBorders>
          </w:tcPr>
          <w:p>
            <w:pPr>
              <w:widowControl w:val="0"/>
              <w:rPr>
                <w:sz w:val="6"/>
                <w:szCs w:val="6"/>
              </w:rPr>
            </w:pPr>
          </w:p>
        </w:tc>
        <w:tc>
          <w:tcPr>
            <w:tcW w:w="969" w:type="dxa"/>
            <w:tcBorders>
              <w:top w:val="single" w:sz="4" w:space="0" w:color="auto"/>
              <w:left w:val="nil"/>
              <w:bottom w:val="single" w:sz="4" w:space="0" w:color="auto"/>
              <w:right w:val="nil"/>
            </w:tcBorders>
          </w:tcPr>
          <w:p>
            <w:pPr>
              <w:widowControl w:val="0"/>
              <w:jc w:val="center"/>
              <w:rPr>
                <w:b/>
                <w:bCs/>
                <w:sz w:val="6"/>
                <w:szCs w:val="6"/>
              </w:rPr>
            </w:pPr>
          </w:p>
        </w:tc>
        <w:tc>
          <w:tcPr>
            <w:tcW w:w="831" w:type="dxa"/>
            <w:tcBorders>
              <w:top w:val="single" w:sz="4" w:space="0" w:color="auto"/>
              <w:left w:val="nil"/>
              <w:bottom w:val="single" w:sz="4" w:space="0" w:color="auto"/>
              <w:right w:val="nil"/>
            </w:tcBorders>
          </w:tcPr>
          <w:p>
            <w:pPr>
              <w:widowControl w:val="0"/>
              <w:jc w:val="center"/>
              <w:rPr>
                <w:b/>
                <w:bCs/>
                <w:sz w:val="6"/>
                <w:szCs w:val="6"/>
              </w:rPr>
            </w:pPr>
          </w:p>
        </w:tc>
        <w:tc>
          <w:tcPr>
            <w:tcW w:w="1106" w:type="dxa"/>
            <w:tcBorders>
              <w:top w:val="single" w:sz="4" w:space="0" w:color="auto"/>
              <w:left w:val="nil"/>
              <w:bottom w:val="single" w:sz="4" w:space="0" w:color="auto"/>
              <w:right w:val="nil"/>
            </w:tcBorders>
          </w:tcPr>
          <w:p>
            <w:pPr>
              <w:widowControl w:val="0"/>
              <w:jc w:val="center"/>
              <w:rPr>
                <w:b/>
                <w:bCs/>
                <w:sz w:val="6"/>
                <w:szCs w:val="6"/>
              </w:rPr>
            </w:pPr>
          </w:p>
        </w:tc>
        <w:tc>
          <w:tcPr>
            <w:tcW w:w="4403" w:type="dxa"/>
            <w:tcBorders>
              <w:top w:val="single" w:sz="4" w:space="0" w:color="auto"/>
              <w:left w:val="nil"/>
              <w:bottom w:val="single" w:sz="4" w:space="0" w:color="auto"/>
              <w:right w:val="nil"/>
            </w:tcBorders>
          </w:tcPr>
          <w:p>
            <w:pPr>
              <w:widowControl w:val="0"/>
              <w:rPr>
                <w:sz w:val="6"/>
                <w:szCs w:val="6"/>
              </w:rPr>
            </w:pPr>
          </w:p>
        </w:tc>
      </w:tr>
      <w:tr>
        <w:trPr>
          <w:trHeight w:val="20"/>
          <w:tblHeader/>
        </w:trPr>
        <w:tc>
          <w:tcPr>
            <w:tcW w:w="2388" w:type="dxa"/>
            <w:shd w:val="clear" w:color="auto" w:fill="92D050"/>
          </w:tcPr>
          <w:p>
            <w:pPr>
              <w:widowControl w:val="0"/>
              <w:jc w:val="center"/>
            </w:pPr>
            <w:r>
              <w:t>1</w:t>
            </w:r>
          </w:p>
        </w:tc>
        <w:tc>
          <w:tcPr>
            <w:tcW w:w="2520" w:type="dxa"/>
            <w:shd w:val="clear" w:color="auto" w:fill="92D050"/>
          </w:tcPr>
          <w:p>
            <w:pPr>
              <w:widowControl w:val="0"/>
              <w:jc w:val="center"/>
            </w:pPr>
            <w:r>
              <w:t>2</w:t>
            </w:r>
          </w:p>
        </w:tc>
        <w:tc>
          <w:tcPr>
            <w:tcW w:w="2523" w:type="dxa"/>
            <w:gridSpan w:val="4"/>
            <w:shd w:val="clear" w:color="auto" w:fill="92D050"/>
          </w:tcPr>
          <w:p>
            <w:pPr>
              <w:widowControl w:val="0"/>
              <w:jc w:val="center"/>
            </w:pPr>
            <w:r>
              <w:t>3</w:t>
            </w:r>
          </w:p>
        </w:tc>
        <w:tc>
          <w:tcPr>
            <w:tcW w:w="969" w:type="dxa"/>
            <w:shd w:val="clear" w:color="auto" w:fill="92D050"/>
          </w:tcPr>
          <w:p>
            <w:pPr>
              <w:widowControl w:val="0"/>
              <w:jc w:val="center"/>
            </w:pPr>
            <w:r>
              <w:t>4</w:t>
            </w:r>
          </w:p>
        </w:tc>
        <w:tc>
          <w:tcPr>
            <w:tcW w:w="831" w:type="dxa"/>
            <w:shd w:val="clear" w:color="auto" w:fill="92D050"/>
          </w:tcPr>
          <w:p>
            <w:pPr>
              <w:widowControl w:val="0"/>
              <w:jc w:val="center"/>
            </w:pPr>
            <w:r>
              <w:t>5</w:t>
            </w:r>
          </w:p>
        </w:tc>
        <w:tc>
          <w:tcPr>
            <w:tcW w:w="1106" w:type="dxa"/>
            <w:shd w:val="clear" w:color="auto" w:fill="92D050"/>
          </w:tcPr>
          <w:p>
            <w:pPr>
              <w:widowControl w:val="0"/>
              <w:jc w:val="center"/>
            </w:pPr>
            <w:r>
              <w:t>6</w:t>
            </w:r>
          </w:p>
        </w:tc>
        <w:tc>
          <w:tcPr>
            <w:tcW w:w="4403" w:type="dxa"/>
            <w:shd w:val="clear" w:color="auto" w:fill="92D050"/>
          </w:tcPr>
          <w:p>
            <w:pPr>
              <w:widowControl w:val="0"/>
              <w:jc w:val="center"/>
            </w:pPr>
            <w:r>
              <w:t>7</w:t>
            </w:r>
          </w:p>
        </w:tc>
      </w:tr>
      <w:tr>
        <w:trPr>
          <w:trHeight w:val="20"/>
        </w:trPr>
        <w:tc>
          <w:tcPr>
            <w:tcW w:w="2388" w:type="dxa"/>
            <w:vMerge w:val="restart"/>
          </w:tcPr>
          <w:p>
            <w:pPr>
              <w:widowControl w:val="0"/>
              <w:rPr>
                <w:b/>
              </w:rPr>
            </w:pPr>
            <w:r>
              <w:rPr>
                <w:b/>
              </w:rPr>
              <w:t>1. Projektas atitinka bent vieną veiksmų programos ir jos prioriteto tikslą, uždavinį, taip pat apima pagal tam tikrą prioritetą numatomas remti veiklas.</w:t>
            </w:r>
          </w:p>
        </w:tc>
        <w:tc>
          <w:tcPr>
            <w:tcW w:w="2520" w:type="dxa"/>
            <w:vMerge w:val="restart"/>
          </w:tcPr>
          <w:p>
            <w:pPr>
              <w:widowControl w:val="0"/>
            </w:pPr>
            <w:r>
              <w:t>1.1. Pagrįstas projekto tikslų ir uždavinių ryšys su tam tikros veiksmų programos prioriteto tikslu ir bent vienu uždaviniu.</w:t>
            </w:r>
          </w:p>
        </w:tc>
        <w:tc>
          <w:tcPr>
            <w:tcW w:w="2523" w:type="dxa"/>
            <w:gridSpan w:val="4"/>
          </w:tcPr>
          <w:p>
            <w:pPr>
              <w:widowControl w:val="0"/>
            </w:pPr>
            <w:r>
              <w:t>1.1.1. Projekto tikslai ir uždaviniai aiškiai siejasi su Sanglaudos skatinimo veiksmų programos 3 prioriteto „Aplinka ir darnus vystymasis“ tikslu ir uždaviniu „Šiuolaikinės atliekų tvarkymo sistemos sukūrimas“.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Būtina įsitikinti, kad projekto tikslai ir uždaviniai atitinka Sanglaudos skatinimo veiksmų programos 3 prioriteto „Aplinka ir darnus vystymasis“ tikslus ir uždavinį „Šiuolaikinės atliekų tvarkymo sistemos sukūrimas“, ryšys yra akivaizdus ir priežastinis.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1.1.2. Įgyvendinto projekto poveikis Sanglaudos skatinimo veiksmų programos 3 prioriteto „Aplinka ir darnus vystymasis“ tikslui ir uždaviniui „Šiuolaikinės atliekų tvarkymo sistemos sukūrimas“ yra teigiamas.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Galima teigti, kad, įgyvendinus projektą, pasiekimų ir rezultatų poveikis veiksmų programos 3 prioriteto „Aplinka ir darnus vystymasis“ tikslams ir uždaviniui „Šiuolaikinės atliekų tvarkymo sistemos sukūrimas“, atsižvelgiant į priemonės „Atliekų tvarkymo sistemos sukūrimas“ specifiką, bus teigiamas.</w:t>
            </w:r>
          </w:p>
        </w:tc>
      </w:tr>
      <w:tr>
        <w:trPr>
          <w:trHeight w:val="20"/>
        </w:trPr>
        <w:tc>
          <w:tcPr>
            <w:tcW w:w="2388" w:type="dxa"/>
            <w:vMerge/>
          </w:tcPr>
          <w:p>
            <w:pPr>
              <w:widowControl w:val="0"/>
            </w:pPr>
          </w:p>
        </w:tc>
        <w:tc>
          <w:tcPr>
            <w:tcW w:w="2520" w:type="dxa"/>
            <w:vMerge w:val="restart"/>
          </w:tcPr>
          <w:p>
            <w:pPr>
              <w:widowControl w:val="0"/>
            </w:pPr>
            <w:r>
              <w:t>1.2. Pagrįstas projekto tikslų ir uždavinių ryšys su priemonės aprašymu ir bent viena iš šiame Apraše numatyta veiklos sritimi.</w:t>
            </w:r>
          </w:p>
        </w:tc>
        <w:tc>
          <w:tcPr>
            <w:tcW w:w="2523" w:type="dxa"/>
            <w:gridSpan w:val="4"/>
          </w:tcPr>
          <w:p>
            <w:pPr>
              <w:widowControl w:val="0"/>
            </w:pPr>
            <w:r>
              <w:t>1.2.1. Projekto veiklos atitinka Sanglaudos skatinimo veiksmų programos priede pateiktos priemonės „Atliekų tvarkymo sistemos plėtra“ dalies veiklų aprašymą.</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 xml:space="preserve">Būtina įsitikinti, ar numatytos vykdyti projekte veiklos atitinka bent vieną veiklą, nurodytą priemonės „Atliekų tvarkymo sistemos </w:t>
            </w:r>
            <w:r>
              <w:rPr>
                <w:color w:val="000000"/>
                <w:szCs w:val="24"/>
                <w:lang w:eastAsia="lt-LT"/>
              </w:rPr>
              <w:t>sukūrimas</w:t>
            </w:r>
            <w:r>
              <w:t>“ aprašyme.</w:t>
            </w:r>
          </w:p>
          <w:p>
            <w:pPr>
              <w:widowControl w:val="0"/>
            </w:pPr>
            <w:r>
              <w:rPr>
                <w:i/>
                <w:iCs/>
              </w:rPr>
              <w:t>Informacijos šaltinis – paraiškos A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1.2.2. Projekto tikslai, uždaviniai ir veiklos atitinka bent vieną iš šio Aprašo 1 punkte numatytą veiklą.</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Būtina įsitikinti, ar projekte numatyti tikslai, uždaviniai ir planuojamos vykdyti veiklos atitinka bent vieną šio Aprašo 1 punkte numatytą veiklą.</w:t>
            </w:r>
          </w:p>
          <w:p>
            <w:pPr>
              <w:widowControl w:val="0"/>
            </w:pPr>
            <w:r>
              <w:rPr>
                <w:i/>
                <w:iCs/>
              </w:rPr>
              <w:t>Informacijos šaltinis – paraiškos A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 xml:space="preserve">1.2.3. Projektas atitinka Sanglaudos skatinimo veiksmų programoje, Sanglaudos skatinimo veiksmų programos 3 prioriteto įgyvendinimo priemonės „Atliekų tvarkymo sistemos sukūrimas“ aprašyme  ir šiame Apraše nustatytus reikalavimus, susijusius su paramos pagal kitas iš ES finansuojamas programas, kitas veiksmų programas, kitus Sanglaudos skatinimo veiksmų programos prioritetus atskyrimu („demarkacinius reikalavimus“).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Būtina įsitikinti, ar tenkinami visi reikalavimai, susiję su paramos pagal kitas iš ES finansuojamas programas atskyrimu. Būtina įsitikinti, ar šio Aprašo 1 punktu finansuojama veikla atitinka Aprašo 24 punkto reikalavimus.</w:t>
            </w:r>
          </w:p>
          <w:p>
            <w:pPr>
              <w:widowControl w:val="0"/>
            </w:pPr>
          </w:p>
          <w:p>
            <w:pPr>
              <w:widowControl w:val="0"/>
            </w:pPr>
            <w:r>
              <w:rPr>
                <w:i/>
                <w:iCs/>
              </w:rPr>
              <w:t>Informacijos šaltinis – paraiškos A dalis. Didelės apimties projektams – paraiška pagal Komisijos reglamento Nr. 1828/2006 XXI priedą.</w:t>
            </w:r>
          </w:p>
        </w:tc>
      </w:tr>
      <w:tr>
        <w:trPr>
          <w:trHeight w:val="20"/>
        </w:trPr>
        <w:tc>
          <w:tcPr>
            <w:tcW w:w="2388" w:type="dxa"/>
          </w:tcPr>
          <w:p>
            <w:pPr>
              <w:widowControl w:val="0"/>
            </w:pPr>
            <w:r>
              <w:br w:type="page"/>
            </w:r>
          </w:p>
        </w:tc>
        <w:tc>
          <w:tcPr>
            <w:tcW w:w="2520" w:type="dxa"/>
          </w:tcPr>
          <w:p>
            <w:pPr>
              <w:widowControl w:val="0"/>
            </w:pPr>
          </w:p>
        </w:tc>
        <w:tc>
          <w:tcPr>
            <w:tcW w:w="2523" w:type="dxa"/>
            <w:gridSpan w:val="4"/>
          </w:tcPr>
          <w:p>
            <w:pPr>
              <w:widowControl w:val="0"/>
            </w:pPr>
            <w:r>
              <w:t>1.2.4. Projektas atitinka kitus su reikalavimais projekto veikloms susijusius specialiuosius atrankos kriterijus (2010 m. vasario 25 d. nutarimas Nr. 21):</w:t>
            </w:r>
          </w:p>
          <w:p>
            <w:pPr>
              <w:widowControl w:val="0"/>
            </w:pPr>
            <w:r>
              <w:t>1. Projekte numatytos veiklos ir sprendiniai apima regiono ar regionų grupės atliekų tvarkymą ir atitinka atitinkamo regiono atliekų tvarkymo plano nuostatas.</w:t>
            </w:r>
          </w:p>
          <w:p>
            <w:pPr>
              <w:widowControl w:val="0"/>
              <w:snapToGrid w:val="0"/>
            </w:pPr>
            <w:r>
              <w:t xml:space="preserve">2.  Pasirinktų atliekų tvarkymo alternatyvų pagrįstumas.</w:t>
            </w:r>
          </w:p>
          <w:p>
            <w:pPr>
              <w:widowControl w:val="0"/>
            </w:pPr>
            <w:r>
              <w:t>3. Projektas užtikrina ne mažiau kaip 50 proc. komunalinių atliekų tvarkymo regiono ar regionų grupės teritorijoje susidarančių komunalinių biologiškai skaidžių atliekų perdirbimą ir (ar) kitokį naudojimą.</w:t>
            </w:r>
          </w:p>
          <w:p>
            <w:pPr>
              <w:widowControl w:val="0"/>
              <w:snapToGrid w:val="0"/>
            </w:pPr>
            <w:r>
              <w:t xml:space="preserve">4. Projektas užtikrina ne mažiau kaip 50 procentų regiono ar regionų grupės teritorijoje susidarančių komunalinių atliekų perdirbimą ir (ar) kitokį panaudojimą. </w:t>
            </w:r>
          </w:p>
          <w:p>
            <w:pPr>
              <w:widowControl w:val="0"/>
            </w:pPr>
            <w:r>
              <w:t>5. Projekte numatytos įgyvendinti veiklos skatina atskirą biologiškai skaidžių atliekų surinkimą ir šių atliekų individualų kompostavimą jų susidarymo vietoje.</w:t>
            </w:r>
          </w:p>
          <w:p>
            <w:pPr>
              <w:widowControl w:val="0"/>
            </w:pPr>
            <w:r>
              <w:t>6. Projektas, kuriuo užtikrinamas sąnaudų susigrąžinimo, mokumo ir „teršėjas moka“ principų įgyvendinimas.</w:t>
            </w:r>
          </w:p>
          <w:p>
            <w:pPr>
              <w:widowControl w:val="0"/>
            </w:pPr>
            <w:r>
              <w:t>Taip pat šiame Apraše nustatytus reikalavimus:</w:t>
            </w:r>
          </w:p>
          <w:p>
            <w:pPr>
              <w:widowControl w:val="0"/>
            </w:pPr>
            <w:r>
              <w:t>atitinka Valstybinio strateginio atliekų tvarkymo plano, patvirtinto LR Vyriausybės 2007 m. spalio 31 d. nutarimu Nr. 1224 (Žin. 2002, Nr. 40-1499; 2007, Nr. 122-5003), nuostatas ir regioninio atliekų tvarkymo plano įgyvendinimo priemones.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Būtina įsitikinti, ar projektas tenkina visus Stebėsenos komiteto patvirtintus specialiuosius atitikties kriterijus.</w:t>
            </w:r>
          </w:p>
          <w:p>
            <w:pPr>
              <w:widowControl w:val="0"/>
            </w:pPr>
          </w:p>
          <w:p>
            <w:pPr>
              <w:widowControl w:val="0"/>
            </w:pPr>
            <w:r>
              <w:rPr>
                <w:i/>
              </w:rPr>
              <w:t xml:space="preserve">Informacijos šaltinis – paraiškos B dalies 3 punktas. </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trHeight w:val="20"/>
        </w:trPr>
        <w:tc>
          <w:tcPr>
            <w:tcW w:w="2388" w:type="dxa"/>
          </w:tcPr>
          <w:p>
            <w:pPr>
              <w:widowControl w:val="0"/>
            </w:pPr>
            <w:r>
              <w:rPr>
                <w:b/>
                <w:bCs/>
              </w:rPr>
              <w:t>2. Projektas atitinka nacionalinius strateginius dokumentus.</w:t>
            </w:r>
          </w:p>
        </w:tc>
        <w:tc>
          <w:tcPr>
            <w:tcW w:w="2520" w:type="dxa"/>
          </w:tcPr>
          <w:p>
            <w:pPr>
              <w:widowControl w:val="0"/>
            </w:pPr>
            <w:r>
              <w:t>2.1. Projektas prisideda prie nacionalinių ir (arba) regioninių strateginių dokumentų įgyvendinimo.</w:t>
            </w:r>
          </w:p>
        </w:tc>
        <w:tc>
          <w:tcPr>
            <w:tcW w:w="2523" w:type="dxa"/>
            <w:gridSpan w:val="4"/>
          </w:tcPr>
          <w:p>
            <w:pPr>
              <w:widowControl w:val="0"/>
            </w:pPr>
            <w:r>
              <w:t>2.1.1. Teisės aktuose ar valdymo srities plėtros strategijoje arba strategijos įgyvendinimo priemonių plane nustatytas projekto vykdytojas ir veiklos.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Būtina įsitikinti, kad projekte numatytos veiklos ir sprendiniai apima regiono ar regionų grupės atliekų tvarkymą ir atitinka atitinkamo regiono atliekų tvarkymo plano nuostatas.</w:t>
            </w:r>
          </w:p>
          <w:p>
            <w:pPr>
              <w:widowControl w:val="0"/>
            </w:pPr>
            <w:r>
              <w:t>Pasirinktos alternatyvos ir įgyvendinimo sprendiniai pagrįsti ir užtikrina atliekų tvarkymo sistemos prioritetų, nustatytų Valstybiniame strateginiame atliekų tvarkymo plane, patvirtintame Lietuvos Respublikos Vyriausybės 2002 m. balandžio 12 d. nutarimu Nr. 519, laikymąsi:</w:t>
            </w:r>
          </w:p>
          <w:p>
            <w:pPr>
              <w:widowControl w:val="0"/>
            </w:pPr>
            <w:r>
              <w:t>1. atliekų prevencija;</w:t>
            </w:r>
          </w:p>
          <w:p>
            <w:pPr>
              <w:widowControl w:val="0"/>
            </w:pPr>
            <w:r>
              <w:t>2. gaminių pakartotinis naudojimas;</w:t>
            </w:r>
          </w:p>
          <w:p>
            <w:pPr>
              <w:widowControl w:val="0"/>
            </w:pPr>
            <w:r>
              <w:t>3. atliekų perdirbimas;</w:t>
            </w:r>
          </w:p>
          <w:p>
            <w:pPr>
              <w:widowControl w:val="0"/>
            </w:pPr>
            <w:r>
              <w:t>4. kitoks atliekų naudojimas;</w:t>
            </w:r>
          </w:p>
          <w:p>
            <w:pPr>
              <w:widowControl w:val="0"/>
            </w:pPr>
            <w:r>
              <w:t>5. atliekų šalinimas.</w:t>
            </w:r>
          </w:p>
          <w:p>
            <w:pPr>
              <w:widowControl w:val="0"/>
            </w:pPr>
          </w:p>
          <w:p>
            <w:pPr>
              <w:widowControl w:val="0"/>
            </w:pPr>
            <w:r>
              <w:t>Įsitikinti, ar finansuojami projektai, kurių veiklos skirtos įgyvendinti Valstybinio strateginio atliekų tvarkymo plano 1 priede numatytas 6.5.1 ir 6.7.1 priemones ir regioniniuose atliekų tvarkymo planuose numatytas priemones.</w:t>
            </w:r>
          </w:p>
          <w:p>
            <w:pPr>
              <w:widowControl w:val="0"/>
            </w:pPr>
          </w:p>
          <w:p>
            <w:pPr>
              <w:widowControl w:val="0"/>
            </w:pPr>
            <w:r>
              <w:rPr>
                <w:i/>
                <w:iCs/>
              </w:rPr>
              <w:t>Informacijos šaltinis – paraiškos B dalis.</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cantSplit/>
          <w:trHeight w:val="20"/>
        </w:trPr>
        <w:tc>
          <w:tcPr>
            <w:tcW w:w="2388" w:type="dxa"/>
            <w:vMerge w:val="restart"/>
          </w:tcPr>
          <w:p>
            <w:pPr>
              <w:widowControl w:val="0"/>
            </w:pPr>
            <w:r>
              <w:rPr>
                <w:b/>
                <w:bCs/>
              </w:rPr>
              <w:t>3. Projektas siekia aiškių ir realių kiekybinių uždavinių, atitinkančių veiksmų programoje nustatytus tikslus.</w:t>
              <w:br w:type="page"/>
            </w:r>
          </w:p>
        </w:tc>
        <w:tc>
          <w:tcPr>
            <w:tcW w:w="2520" w:type="dxa"/>
          </w:tcPr>
          <w:p>
            <w:pPr>
              <w:widowControl w:val="0"/>
            </w:pPr>
            <w:r>
              <w:t>3.1. Projektas prisideda prie veiksmų programos priemonės rodiklių įgyvendinimo.</w:t>
            </w:r>
          </w:p>
        </w:tc>
        <w:tc>
          <w:tcPr>
            <w:tcW w:w="2523" w:type="dxa"/>
            <w:gridSpan w:val="4"/>
          </w:tcPr>
          <w:p>
            <w:pPr>
              <w:widowControl w:val="0"/>
              <w:snapToGrid w:val="0"/>
            </w:pPr>
            <w:r>
              <w:t>3.1.1. Projektas prisideda prie bent vieno Sanglaudos skatinimo veiksmų programos 3 prioriteto įgyvendinimo priemonės „Atliekų tvarkymo sistemos sukūrimas“ veiklos „</w:t>
            </w:r>
            <w:r>
              <w:rPr>
                <w:color w:val="000000"/>
                <w:szCs w:val="24"/>
                <w:lang w:eastAsia="lt-LT"/>
              </w:rPr>
              <w:t>Komunalinių atliekų tvarkymo sistemų infrastruktūros plėtra – biologiškai skaidžių atliekų tvarkymo ir antrinių žaliavų surinkimo infrastruktūros sukūrimas</w:t>
            </w:r>
            <w:r>
              <w:t xml:space="preserve">“ aprašyme numatyto produkto ir (arba) rezultato rodiklio pasiekimo. </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snapToGrid w:val="0"/>
            </w:pPr>
            <w:r>
              <w:t>Būtina įsitikinti, kad projektas prisideda prie bent vieno Sanglaudos skatinimo veiksmų programos 3 prioriteto įgyvendinimo priemonės „Atliekų tvarkymo sistemos sukūrimas“ veiklos „</w:t>
            </w:r>
            <w:r>
              <w:rPr>
                <w:color w:val="000000"/>
                <w:spacing w:val="-3"/>
                <w:szCs w:val="24"/>
                <w:lang w:eastAsia="lt-LT"/>
              </w:rPr>
              <w:t>Komunalinių atliekų tvarkymo sistemų infrastruktūros plėtra – biologiškai skaidžių atliekų tvarkymo ir antrinių žaliavų surinkimo infrastruktūros sukūrimas</w:t>
            </w:r>
            <w:r>
              <w:t>“ aprašyme numatyto produkto ir (arba) rezultato rodiklio pasiekimo ir įgyvendinus numatytas projekto veiklas šie rodikliai bus pasiekti.</w:t>
            </w:r>
          </w:p>
          <w:p>
            <w:pPr>
              <w:widowControl w:val="0"/>
              <w:snapToGrid w:val="0"/>
            </w:pPr>
          </w:p>
          <w:p>
            <w:pPr>
              <w:widowControl w:val="0"/>
              <w:snapToGrid w:val="0"/>
            </w:pPr>
            <w:r>
              <w:rPr>
                <w:i/>
                <w:iCs/>
              </w:rPr>
              <w:t>Informacijos šaltinis – paraiškos A dalis. Didelės apimties projektams – paraiška pagal Komisijos reglamento Nr. 1828/2006 XXI priedą.</w:t>
            </w:r>
          </w:p>
        </w:tc>
      </w:tr>
      <w:tr>
        <w:trPr>
          <w:trHeight w:val="20"/>
        </w:trPr>
        <w:tc>
          <w:tcPr>
            <w:tcW w:w="2388" w:type="dxa"/>
            <w:vMerge/>
          </w:tcPr>
          <w:p>
            <w:pPr>
              <w:widowControl w:val="0"/>
            </w:pPr>
          </w:p>
        </w:tc>
        <w:tc>
          <w:tcPr>
            <w:tcW w:w="2520" w:type="dxa"/>
            <w:vMerge w:val="restart"/>
          </w:tcPr>
          <w:p>
            <w:pPr>
              <w:widowControl w:val="0"/>
            </w:pPr>
            <w:r>
              <w:t xml:space="preserve">3.2. Nuosekli vidinė projekto logika ir kokybiški projekto uždaviniai. </w:t>
            </w:r>
          </w:p>
        </w:tc>
        <w:tc>
          <w:tcPr>
            <w:tcW w:w="2523" w:type="dxa"/>
            <w:gridSpan w:val="4"/>
          </w:tcPr>
          <w:p>
            <w:pPr>
              <w:widowControl w:val="0"/>
            </w:pPr>
            <w:r>
              <w:t>3.2.1. Išlaikyta nuosekli vidinė projekto logika.</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Būtina įsitikinti, kad išlaikyta nuosekli vidinė projekto logika, t. y. projekto rezultatai turi būti projekto veiklų išdava, projekto veiklos – sudaryti prielaidas projekto uždaviniams pasiekti, o pastarieji – įgyvendinti nustatytus tikslus.</w:t>
            </w:r>
          </w:p>
          <w:p>
            <w:pPr>
              <w:widowControl w:val="0"/>
            </w:pPr>
            <w:r>
              <w:rPr>
                <w:i/>
                <w:iCs/>
              </w:rPr>
              <w:t>Informacijos šaltinis – paraiškos A dalis. Didelės apimties projektams – paraiška pagal Komisijos reglamento Nr. 1828/2006 XXI priedą.</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3.2.2. Projekto uždaviniai specifiniai, išmatuojami, pasiekiami, susieti ir iškelti laiku.</w:t>
            </w:r>
          </w:p>
        </w:tc>
        <w:tc>
          <w:tcPr>
            <w:tcW w:w="969" w:type="dxa"/>
          </w:tcPr>
          <w:p>
            <w:pPr>
              <w:widowControl w:val="0"/>
            </w:pPr>
          </w:p>
        </w:tc>
        <w:tc>
          <w:tcPr>
            <w:tcW w:w="831" w:type="dxa"/>
          </w:tcPr>
          <w:p>
            <w:pPr>
              <w:widowControl w:val="0"/>
            </w:pPr>
          </w:p>
        </w:tc>
        <w:tc>
          <w:tcPr>
            <w:tcW w:w="1106" w:type="dxa"/>
          </w:tcPr>
          <w:p>
            <w:pPr>
              <w:widowControl w:val="0"/>
              <w:ind w:firstLine="60"/>
            </w:pPr>
          </w:p>
        </w:tc>
        <w:tc>
          <w:tcPr>
            <w:tcW w:w="4403" w:type="dxa"/>
          </w:tcPr>
          <w:p>
            <w:pPr>
              <w:widowControl w:val="0"/>
              <w:snapToGrid w:val="0"/>
            </w:pPr>
            <w:r>
              <w:t>Būtina įsitikinti, kad projekto uždaviniai atitinka šiuos kokybinius reikalavimus:</w:t>
            </w:r>
          </w:p>
          <w:p>
            <w:pPr>
              <w:widowControl w:val="0"/>
              <w:snapToGrid w:val="0"/>
            </w:pPr>
            <w:r>
              <w:t xml:space="preserve">yra specifiniai, t. y. parodo projekto esmę ir charakteristikas; </w:t>
            </w:r>
          </w:p>
          <w:p>
            <w:pPr>
              <w:widowControl w:val="0"/>
              <w:snapToGrid w:val="0"/>
            </w:pPr>
            <w:r>
              <w:t>išmatuojami, t. y. kiekybiškai išreikšti ir matuojami;</w:t>
            </w:r>
          </w:p>
          <w:p>
            <w:pPr>
              <w:widowControl w:val="0"/>
              <w:snapToGrid w:val="0"/>
            </w:pPr>
            <w:r>
              <w:t>pasiekiami, t. y. realūs;</w:t>
            </w:r>
          </w:p>
          <w:p>
            <w:pPr>
              <w:widowControl w:val="0"/>
              <w:snapToGrid w:val="0"/>
            </w:pPr>
            <w:r>
              <w:t>susieti, t. y. tapatūs vykdomoms projekto veikloms;</w:t>
            </w:r>
          </w:p>
          <w:p>
            <w:pPr>
              <w:widowControl w:val="0"/>
              <w:snapToGrid w:val="0"/>
            </w:pPr>
            <w:r>
              <w:t>iškelti laiku, t. y. aiški pradžios ir pabaigos data.</w:t>
            </w:r>
          </w:p>
          <w:p>
            <w:pPr>
              <w:widowControl w:val="0"/>
            </w:pPr>
            <w:r>
              <w:rPr>
                <w:i/>
                <w:iCs/>
              </w:rPr>
              <w:t>Informacijos šaltinis – paraiškos A dalis. Didelės apimties projektams – paraiška pagal Komisijos reglamento Nr. 1828/2006 XXI priedą.</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cantSplit/>
          <w:trHeight w:val="20"/>
        </w:trPr>
        <w:tc>
          <w:tcPr>
            <w:tcW w:w="2388" w:type="dxa"/>
            <w:vMerge w:val="restart"/>
          </w:tcPr>
          <w:p>
            <w:pPr>
              <w:widowControl w:val="0"/>
            </w:pPr>
            <w:r>
              <w:rPr>
                <w:b/>
                <w:bCs/>
              </w:rPr>
              <w:t>4. Projektas atitinka darnaus vystymosi principą.</w:t>
            </w:r>
            <w:r>
              <w:br w:type="page"/>
            </w:r>
          </w:p>
        </w:tc>
        <w:tc>
          <w:tcPr>
            <w:tcW w:w="2520" w:type="dxa"/>
            <w:vMerge w:val="restart"/>
          </w:tcPr>
          <w:p>
            <w:pPr>
              <w:widowControl w:val="0"/>
            </w:pPr>
            <w:r>
              <w:t>4.1. Projekte nenumatyti veiksmai, kurie turėtų neigiamą poveikį darnaus vystymosi principo įgyvendinimui, ir atskleistos pastangos skatinti darnaus vystymosi principo įgyvendinimą.</w:t>
            </w:r>
          </w:p>
        </w:tc>
        <w:tc>
          <w:tcPr>
            <w:tcW w:w="2523" w:type="dxa"/>
            <w:gridSpan w:val="4"/>
          </w:tcPr>
          <w:p>
            <w:pPr>
              <w:widowControl w:val="0"/>
            </w:pPr>
            <w:r>
              <w:t>4.1.1. Aplinkosaugos srityje (aplinkos kokybė ir gamtos ištekliai, klimato kaita, aplinkos apsauga):</w:t>
            </w:r>
          </w:p>
        </w:tc>
        <w:tc>
          <w:tcPr>
            <w:tcW w:w="969" w:type="dxa"/>
          </w:tcPr>
          <w:p>
            <w:pPr>
              <w:widowControl w:val="0"/>
            </w:pPr>
          </w:p>
        </w:tc>
        <w:tc>
          <w:tcPr>
            <w:tcW w:w="831" w:type="dxa"/>
          </w:tcPr>
          <w:p>
            <w:pPr>
              <w:widowControl w:val="0"/>
            </w:pPr>
          </w:p>
        </w:tc>
        <w:tc>
          <w:tcPr>
            <w:tcW w:w="1106" w:type="dxa"/>
          </w:tcPr>
          <w:p>
            <w:pPr>
              <w:widowControl w:val="0"/>
            </w:pPr>
          </w:p>
        </w:tc>
        <w:tc>
          <w:tcPr>
            <w:tcW w:w="4403" w:type="dxa"/>
            <w:vMerge w:val="restart"/>
          </w:tcPr>
          <w:p>
            <w:pPr>
              <w:widowControl w:val="0"/>
            </w:pPr>
            <w:r>
              <w:t>Būtina įsitikinti, ar projekto įgyvendinimas neturi neigiamos įtakos darnaus vystymosi principo įgyvendinimui.</w:t>
            </w:r>
          </w:p>
          <w:p>
            <w:pPr>
              <w:widowControl w:val="0"/>
            </w:pPr>
            <w:r>
              <w:t>Projekte numatytos konkrečios veiklos arba priemonės (pademonstruotas proaktyvus požiūris), kurios prisideda prie darnaus vystymosi principo įgyvendinimo (pvz., statoma gamykla, tačiau statybos procese yra rūšiuojamos atliekos, naudojamas biokuras ir pan.).</w:t>
            </w:r>
          </w:p>
          <w:p>
            <w:pPr>
              <w:widowControl w:val="0"/>
            </w:pPr>
          </w:p>
          <w:p>
            <w:pPr>
              <w:widowControl w:val="0"/>
            </w:pPr>
            <w:r>
              <w:rPr>
                <w:i/>
                <w:iCs/>
              </w:rPr>
              <w:t>Informacijos šaltinis – paraiškos A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4.1.2. Socialinėje srityje (užimtumas, skurdas ir socialinė atskirtis, sveikata, švietimas ir mokslas, kultūros savitumas).</w:t>
            </w:r>
          </w:p>
        </w:tc>
        <w:tc>
          <w:tcPr>
            <w:tcW w:w="969" w:type="dxa"/>
          </w:tcPr>
          <w:p>
            <w:pPr>
              <w:widowControl w:val="0"/>
            </w:pPr>
          </w:p>
        </w:tc>
        <w:tc>
          <w:tcPr>
            <w:tcW w:w="831" w:type="dxa"/>
          </w:tcPr>
          <w:p>
            <w:pPr>
              <w:widowControl w:val="0"/>
            </w:pPr>
          </w:p>
        </w:tc>
        <w:tc>
          <w:tcPr>
            <w:tcW w:w="1106" w:type="dxa"/>
          </w:tcPr>
          <w:p>
            <w:pPr>
              <w:widowControl w:val="0"/>
            </w:pPr>
          </w:p>
        </w:tc>
        <w:tc>
          <w:tcPr>
            <w:tcW w:w="4403" w:type="dxa"/>
            <w:vMerge/>
          </w:tcPr>
          <w:p>
            <w:pPr>
              <w:widowControl w:val="0"/>
            </w:pP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4.1.3. Ekonomikos srityje (darnus pagrindinių ūkio šakų ir regionų vystymas).</w:t>
            </w:r>
          </w:p>
        </w:tc>
        <w:tc>
          <w:tcPr>
            <w:tcW w:w="969" w:type="dxa"/>
          </w:tcPr>
          <w:p>
            <w:pPr>
              <w:widowControl w:val="0"/>
            </w:pPr>
          </w:p>
        </w:tc>
        <w:tc>
          <w:tcPr>
            <w:tcW w:w="831" w:type="dxa"/>
          </w:tcPr>
          <w:p>
            <w:pPr>
              <w:widowControl w:val="0"/>
            </w:pPr>
          </w:p>
        </w:tc>
        <w:tc>
          <w:tcPr>
            <w:tcW w:w="1106" w:type="dxa"/>
          </w:tcPr>
          <w:p>
            <w:pPr>
              <w:widowControl w:val="0"/>
            </w:pPr>
          </w:p>
        </w:tc>
        <w:tc>
          <w:tcPr>
            <w:tcW w:w="4403" w:type="dxa"/>
            <w:vMerge/>
          </w:tcPr>
          <w:p>
            <w:pPr>
              <w:widowControl w:val="0"/>
            </w:pP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4.1.4. Regionų vystymo srityje (aplinkosauginių, socialinių ir ekonominių skirtumų mažinimas).</w:t>
            </w:r>
          </w:p>
        </w:tc>
        <w:tc>
          <w:tcPr>
            <w:tcW w:w="969" w:type="dxa"/>
          </w:tcPr>
          <w:p>
            <w:pPr>
              <w:widowControl w:val="0"/>
            </w:pPr>
          </w:p>
        </w:tc>
        <w:tc>
          <w:tcPr>
            <w:tcW w:w="831" w:type="dxa"/>
          </w:tcPr>
          <w:p>
            <w:pPr>
              <w:widowControl w:val="0"/>
            </w:pPr>
          </w:p>
        </w:tc>
        <w:tc>
          <w:tcPr>
            <w:tcW w:w="1106" w:type="dxa"/>
          </w:tcPr>
          <w:p>
            <w:pPr>
              <w:widowControl w:val="0"/>
            </w:pPr>
          </w:p>
        </w:tc>
        <w:tc>
          <w:tcPr>
            <w:tcW w:w="4403" w:type="dxa"/>
            <w:vMerge/>
          </w:tcPr>
          <w:p>
            <w:pPr>
              <w:widowControl w:val="0"/>
            </w:pPr>
          </w:p>
        </w:tc>
      </w:tr>
      <w:tr>
        <w:trPr>
          <w:trHeight w:val="20"/>
        </w:trPr>
        <w:tc>
          <w:tcPr>
            <w:tcW w:w="2388" w:type="dxa"/>
            <w:vMerge/>
          </w:tcPr>
          <w:p>
            <w:pPr>
              <w:widowControl w:val="0"/>
            </w:pPr>
          </w:p>
        </w:tc>
        <w:tc>
          <w:tcPr>
            <w:tcW w:w="2520" w:type="dxa"/>
            <w:vMerge w:val="restart"/>
          </w:tcPr>
          <w:p>
            <w:pPr>
              <w:widowControl w:val="0"/>
              <w:rPr>
                <w:bCs/>
              </w:rPr>
            </w:pPr>
            <w:r>
              <w:rPr>
                <w:bCs/>
              </w:rPr>
              <w:t>4.2. Projekte atskleistos pastangos skatinti darnaus vystymosi principo įgyvendinimą.</w:t>
            </w:r>
          </w:p>
        </w:tc>
        <w:tc>
          <w:tcPr>
            <w:tcW w:w="2523" w:type="dxa"/>
            <w:gridSpan w:val="4"/>
          </w:tcPr>
          <w:p>
            <w:pPr>
              <w:widowControl w:val="0"/>
            </w:pPr>
            <w:r>
              <w:t>4.2.1. Pasiūlytos konkrečios priemonės, kurios užtikrina, kad projektas skatina darnaus vystymosi principo įgyvendinimą.</w:t>
            </w:r>
          </w:p>
        </w:tc>
        <w:tc>
          <w:tcPr>
            <w:tcW w:w="969" w:type="dxa"/>
          </w:tcPr>
          <w:p>
            <w:pPr>
              <w:widowControl w:val="0"/>
              <w:rPr>
                <w:bCs/>
              </w:rPr>
            </w:pPr>
          </w:p>
        </w:tc>
        <w:tc>
          <w:tcPr>
            <w:tcW w:w="831" w:type="dxa"/>
          </w:tcPr>
          <w:p>
            <w:pPr>
              <w:widowControl w:val="0"/>
              <w:rPr>
                <w:bCs/>
              </w:rPr>
            </w:pPr>
          </w:p>
        </w:tc>
        <w:tc>
          <w:tcPr>
            <w:tcW w:w="1106" w:type="dxa"/>
          </w:tcPr>
          <w:p>
            <w:pPr>
              <w:widowControl w:val="0"/>
              <w:rPr>
                <w:bCs/>
              </w:rPr>
            </w:pPr>
          </w:p>
        </w:tc>
        <w:tc>
          <w:tcPr>
            <w:tcW w:w="4403" w:type="dxa"/>
          </w:tcPr>
          <w:p>
            <w:pPr>
              <w:widowControl w:val="0"/>
            </w:pPr>
            <w:r>
              <w:t>Projekte numatytos konkrečios veiklos arba priemonės (pademonstruotas proaktyvus požiūris), kurios prisideda prie darnaus vystymosi principo įgyvendinimo.</w:t>
            </w:r>
          </w:p>
          <w:p>
            <w:pPr>
              <w:widowControl w:val="0"/>
              <w:rPr>
                <w:bCs/>
                <w:i/>
              </w:rPr>
            </w:pPr>
            <w:r>
              <w:rPr>
                <w:i/>
              </w:rPr>
              <w:t>Informacijos šaltinis – paraiškos A dalies 13 punktas ir specialiosios (B) dalies 2 punktas.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4.2.2. Projektas atitinka kitus su reikalavimais darnaus vystymosi principo įgyvendinimu susijusius specialiuosius atrankos kriterijus ir šiame Apraše nustatytus reikalavimus.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Būtina įsitikinti, kad pasiūlytos priemonės užtikrina darnaus vystymosi principo įgyvendinimą ir specialiuosius atrankos kriterijus.</w:t>
            </w:r>
          </w:p>
          <w:p>
            <w:pPr>
              <w:widowControl w:val="0"/>
            </w:pPr>
          </w:p>
          <w:p>
            <w:pPr>
              <w:widowControl w:val="0"/>
            </w:pPr>
            <w:r>
              <w:rPr>
                <w:i/>
                <w:iCs/>
              </w:rPr>
              <w:t>Informacijos šaltinis – paraiškos A dalies 13 punktas ir specialiosios (B) dalies 2 punktas.</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trHeight w:val="20"/>
        </w:trPr>
        <w:tc>
          <w:tcPr>
            <w:tcW w:w="2388" w:type="dxa"/>
            <w:vMerge w:val="restart"/>
          </w:tcPr>
          <w:p>
            <w:pPr>
              <w:widowControl w:val="0"/>
            </w:pPr>
            <w:r>
              <w:rPr>
                <w:b/>
                <w:bCs/>
              </w:rPr>
              <w:t>5. Projektas atitinka lyčių lygybės ir nediskriminavimo principus.</w:t>
            </w:r>
          </w:p>
        </w:tc>
        <w:tc>
          <w:tcPr>
            <w:tcW w:w="2520" w:type="dxa"/>
          </w:tcPr>
          <w:p>
            <w:pPr>
              <w:widowControl w:val="0"/>
            </w:pPr>
            <w:r>
              <w:t xml:space="preserve">5.1. Projekte nenumatoma apribojimų, kurie turėtų neigiamą poveikį lyčių lygybės ir nediskriminavimo principų įgyvendinimui. </w:t>
            </w:r>
          </w:p>
        </w:tc>
        <w:tc>
          <w:tcPr>
            <w:tcW w:w="2523" w:type="dxa"/>
            <w:gridSpan w:val="4"/>
          </w:tcPr>
          <w:p>
            <w:pPr>
              <w:widowControl w:val="0"/>
            </w:pPr>
            <w:r>
              <w:t>5.1.1. Projekte nenumatoma apribojimų, kurie turėtų neigiamą poveikį lyčių lygybės ir nediskriminavimo principų įgyvendinimui:</w:t>
            </w:r>
          </w:p>
          <w:p>
            <w:pPr>
              <w:widowControl w:val="0"/>
            </w:pPr>
            <w:r>
              <w:t>– lytinės orientacijos,</w:t>
            </w:r>
          </w:p>
          <w:p>
            <w:pPr>
              <w:widowControl w:val="0"/>
            </w:pPr>
            <w:r>
              <w:t>– negalios;</w:t>
            </w:r>
          </w:p>
          <w:p>
            <w:pPr>
              <w:widowControl w:val="0"/>
            </w:pPr>
            <w:r>
              <w:t>– rasės ar etninės priklausomybės;</w:t>
            </w:r>
          </w:p>
          <w:p>
            <w:pPr>
              <w:widowControl w:val="0"/>
            </w:pPr>
            <w:r>
              <w:t>– religijos ar įsitikinimų;</w:t>
            </w:r>
          </w:p>
          <w:p>
            <w:pPr>
              <w:widowControl w:val="0"/>
            </w:pPr>
            <w:r>
              <w:t>– apribojimų dėl amžiaus ir t. t.</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 xml:space="preserve">Būtina įsitikinti, ar,  įgyvendinus projekte numatytas veiklas, nebus neigiamos įtakos lyčių lygybės ir nediskriminavimo principų įgyvendinimui.</w:t>
            </w:r>
          </w:p>
          <w:p>
            <w:pPr>
              <w:widowControl w:val="0"/>
            </w:pPr>
          </w:p>
          <w:p>
            <w:pPr>
              <w:widowControl w:val="0"/>
            </w:pPr>
            <w:r>
              <w:rPr>
                <w:i/>
                <w:iCs/>
              </w:rPr>
              <w:t>Informacijos šaltinis – paraiškos A dalis.</w:t>
            </w:r>
          </w:p>
        </w:tc>
      </w:tr>
      <w:tr>
        <w:trPr>
          <w:trHeight w:val="20"/>
        </w:trPr>
        <w:tc>
          <w:tcPr>
            <w:tcW w:w="2388" w:type="dxa"/>
            <w:vMerge/>
          </w:tcPr>
          <w:p>
            <w:pPr>
              <w:widowControl w:val="0"/>
            </w:pPr>
          </w:p>
        </w:tc>
        <w:tc>
          <w:tcPr>
            <w:tcW w:w="2520" w:type="dxa"/>
            <w:vMerge w:val="restart"/>
          </w:tcPr>
          <w:p>
            <w:pPr>
              <w:widowControl w:val="0"/>
            </w:pPr>
            <w:r>
              <w:t>5.2. Projekte nurodytos pastangos skatinti lyčių lygybės ir nediskriminavimo principų įgyvendinimą.</w:t>
            </w:r>
          </w:p>
        </w:tc>
        <w:tc>
          <w:tcPr>
            <w:tcW w:w="2523" w:type="dxa"/>
            <w:gridSpan w:val="4"/>
          </w:tcPr>
          <w:p>
            <w:pPr>
              <w:widowControl w:val="0"/>
            </w:pPr>
            <w:r>
              <w:t>5.2.1. Pasiūlytos konkrečios priemonės, kurios užtikrina, kad projektas prisideda prie lyčių lygybės principo įgyvendinimo.</w:t>
            </w:r>
          </w:p>
        </w:tc>
        <w:tc>
          <w:tcPr>
            <w:tcW w:w="969" w:type="dxa"/>
          </w:tcPr>
          <w:p>
            <w:pPr>
              <w:widowControl w:val="0"/>
              <w:rPr>
                <w:bCs/>
              </w:rPr>
            </w:pPr>
          </w:p>
        </w:tc>
        <w:tc>
          <w:tcPr>
            <w:tcW w:w="831" w:type="dxa"/>
          </w:tcPr>
          <w:p>
            <w:pPr>
              <w:widowControl w:val="0"/>
              <w:rPr>
                <w:bCs/>
              </w:rPr>
            </w:pPr>
          </w:p>
        </w:tc>
        <w:tc>
          <w:tcPr>
            <w:tcW w:w="1106" w:type="dxa"/>
          </w:tcPr>
          <w:p>
            <w:pPr>
              <w:widowControl w:val="0"/>
              <w:rPr>
                <w:bCs/>
              </w:rPr>
            </w:pPr>
          </w:p>
        </w:tc>
        <w:tc>
          <w:tcPr>
            <w:tcW w:w="4403" w:type="dxa"/>
          </w:tcPr>
          <w:p>
            <w:pPr>
              <w:widowControl w:val="0"/>
            </w:pPr>
            <w:r>
              <w:t>Aprašo finansuojamai veiklai reikalavimas netaikomas.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5.2.2. Pasiūlytos konkrečios priemonės, kurios užtikrina, kad projektas neskatina diskriminavimo dėl lyties, rasės arba etninės kilmės, religijos arba tikėjimo, amžiaus, negalios, seksualinės orientacijos principų įgyvendinimo.</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Aprašo finansuojamai veiklai reikalavimas netaikomas.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5.2.3. Projektas atitinka kitus su reikalavimais lyčių lygybės ir nediskriminavimo principų įgyvendinimu susijusius specialiuosius atrankos kriterijus ir šiame Apraše nustatytus reikalavimus.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Aprašo finansuojamai veiklai reikalavimas netaikomas.</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trHeight w:val="20"/>
        </w:trPr>
        <w:tc>
          <w:tcPr>
            <w:tcW w:w="2388" w:type="dxa"/>
            <w:vMerge w:val="restart"/>
          </w:tcPr>
          <w:p>
            <w:pPr>
              <w:widowControl w:val="0"/>
            </w:pPr>
            <w:r>
              <w:rPr>
                <w:b/>
                <w:bCs/>
              </w:rPr>
              <w:t>6. Projekto įgyvendinimas yra suderinamas su kitų aktualių Europos Bendrijų politikos sričių nuostatomis.</w:t>
            </w:r>
            <w:r>
              <w:br w:type="page"/>
            </w:r>
          </w:p>
        </w:tc>
        <w:tc>
          <w:tcPr>
            <w:tcW w:w="2520" w:type="dxa"/>
            <w:vMerge w:val="restart"/>
          </w:tcPr>
          <w:p>
            <w:pPr>
              <w:widowControl w:val="0"/>
            </w:pPr>
            <w:r>
              <w:t>6.1. Projektas suderinamas su horizontaliųjų Europos Bendrijų bendrųjų politikos sričių nuostatomis.</w:t>
            </w:r>
          </w:p>
        </w:tc>
        <w:tc>
          <w:tcPr>
            <w:tcW w:w="2523" w:type="dxa"/>
            <w:gridSpan w:val="4"/>
          </w:tcPr>
          <w:p>
            <w:pPr>
              <w:widowControl w:val="0"/>
            </w:pPr>
            <w:r>
              <w:t>6.1.1. Projektas suderinamas su Europos Bendrijų viešųjų pirkimų politikos nuostatomis, t. y. viešųjų pirkimų dokumentacija, ir viešųjų pirkimų procedūros atitiko (-s) LR viešųjų pirkimų įstatymo nuostatas.</w:t>
            </w:r>
          </w:p>
          <w:p>
            <w:pPr>
              <w:widowControl w:val="0"/>
            </w:pPr>
            <w:r>
              <w:t xml:space="preserve">Pateikti priesaikos pažymą, kurioje nurodyti: </w:t>
            </w:r>
          </w:p>
          <w:p>
            <w:pPr>
              <w:widowControl w:val="0"/>
            </w:pPr>
            <w:r>
              <w:t>– ar projekto vykdytojas yra perkančioji organizacija pagal Viešųjų pirkimų įstatymo nuostatas;</w:t>
            </w:r>
          </w:p>
          <w:p>
            <w:pPr>
              <w:widowControl w:val="0"/>
            </w:pPr>
            <w:r>
              <w:t>– įsipareigoti, kad viešųjų pirkimų dokumentacija ir viešųjų pirkimų procedūros atitiko (-s) Viešųjų pirkimų įstatymo nuostatas.</w:t>
            </w:r>
          </w:p>
          <w:p>
            <w:pPr>
              <w:widowControl w:val="0"/>
              <w:rPr>
                <w:bCs/>
              </w:rPr>
            </w:pPr>
            <w:r>
              <w:t>Pateikti viešųjų pirkimų organizavimo ir vykdymo planą (taikoma, jeigu iki paraiškos pateikimo dienos viešieji pirkimai neatlikti).</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Būtina įvertinti, ar:</w:t>
            </w:r>
          </w:p>
          <w:p>
            <w:pPr>
              <w:widowControl w:val="0"/>
            </w:pPr>
            <w:r>
              <w:t xml:space="preserve">– projekto vykdytojas (partneriai) yra perkančiosios organizacijos pagal Viešųjų pirkimų įstatymą (Žin., 1996, Nr. </w:t>
            </w:r>
            <w:hyperlink r:id="rId23" w:tgtFrame="_blank" w:history="1">
              <w:r>
                <w:rPr>
                  <w:color w:val="0000FF" w:themeColor="hyperlink"/>
                  <w:u w:val="single"/>
                </w:rPr>
                <w:t>84-2000</w:t>
              </w:r>
            </w:hyperlink>
            <w:r>
              <w:t xml:space="preserve">; 2006, Nr. </w:t>
            </w:r>
            <w:hyperlink r:id="rId24" w:tgtFrame="_blank" w:history="1">
              <w:r>
                <w:rPr>
                  <w:color w:val="0000FF" w:themeColor="hyperlink"/>
                  <w:u w:val="single"/>
                </w:rPr>
                <w:t>4-102</w:t>
              </w:r>
            </w:hyperlink>
            <w:r>
              <w:t>),</w:t>
            </w:r>
          </w:p>
          <w:p>
            <w:pPr>
              <w:widowControl w:val="0"/>
            </w:pPr>
            <w:r>
              <w:t>– ir pateiktoje priesaikos pažymoje įsipareigojama, kad viešųjų pirkimų dokumentacija ir viešųjų pirkimų procedūros atitiko (-s) Viešųjų pirkimų įstatymo nuostatas.</w:t>
            </w:r>
          </w:p>
          <w:p>
            <w:pPr>
              <w:widowControl w:val="0"/>
            </w:pPr>
          </w:p>
          <w:p>
            <w:pPr>
              <w:widowControl w:val="0"/>
            </w:pPr>
            <w:r>
              <w:t>Būtina įsitikinti, ar pateiktas realus viešųjų pirkimų organizavimo ir vykdymo planas.</w:t>
            </w:r>
          </w:p>
          <w:p>
            <w:pPr>
              <w:widowControl w:val="0"/>
              <w:rPr>
                <w:i/>
                <w:iCs/>
              </w:rPr>
            </w:pPr>
          </w:p>
          <w:p>
            <w:pPr>
              <w:widowControl w:val="0"/>
              <w:rPr>
                <w:bCs/>
              </w:rPr>
            </w:pPr>
            <w:r>
              <w:rPr>
                <w:i/>
                <w:iCs/>
              </w:rPr>
              <w:t>Informacijos šaltinis – paraiškos A ir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6.1.2. Projektas suderinamas su Europos Bendrijų aplinkosaugos politikos nuostatomis, t. y. poveikio aplinkai vertinimo procedūros atliktos laikantis poveikio aplinkai vertinimą reglamentuojančių teisės aktų nuostatų.</w:t>
            </w:r>
          </w:p>
        </w:tc>
        <w:tc>
          <w:tcPr>
            <w:tcW w:w="969" w:type="dxa"/>
          </w:tcPr>
          <w:p>
            <w:pPr>
              <w:widowControl w:val="0"/>
            </w:pPr>
          </w:p>
        </w:tc>
        <w:tc>
          <w:tcPr>
            <w:tcW w:w="831" w:type="dxa"/>
          </w:tcPr>
          <w:p>
            <w:pPr>
              <w:widowControl w:val="0"/>
            </w:pPr>
          </w:p>
        </w:tc>
        <w:tc>
          <w:tcPr>
            <w:tcW w:w="1106" w:type="dxa"/>
          </w:tcPr>
          <w:p>
            <w:pPr>
              <w:widowControl w:val="0"/>
              <w:ind w:firstLine="60"/>
            </w:pPr>
          </w:p>
        </w:tc>
        <w:tc>
          <w:tcPr>
            <w:tcW w:w="4403" w:type="dxa"/>
          </w:tcPr>
          <w:p>
            <w:pPr>
              <w:widowControl w:val="0"/>
            </w:pPr>
            <w:r>
              <w:t>Būtina įvertinti, ar:</w:t>
            </w:r>
          </w:p>
          <w:p>
            <w:pPr>
              <w:widowControl w:val="0"/>
            </w:pPr>
            <w:r>
              <w:t xml:space="preserve">atsižvelgiant į projekto veiklas ir vadovaujantis Lietuvos Respublikos planuojamos ūkinės veiklos poveikio aplinkai vertinimo įstatymu (Žin., 1996, Nr. </w:t>
            </w:r>
            <w:hyperlink r:id="rId25" w:tgtFrame="_blank" w:history="1">
              <w:r>
                <w:rPr>
                  <w:color w:val="0000FF" w:themeColor="hyperlink"/>
                  <w:u w:val="single"/>
                </w:rPr>
                <w:t>82-1965</w:t>
              </w:r>
            </w:hyperlink>
            <w:r>
              <w:t>; 2005, Nr. 84-3105), būtinas poveikio aplinkai vertinimas;</w:t>
            </w:r>
          </w:p>
          <w:p>
            <w:pPr>
              <w:widowControl w:val="0"/>
            </w:pPr>
            <w:r>
              <w:t>poveikio vertinimas aplinkai yra atliktas ir gauta teigiama sprendimą priimančios institucijos išvada;</w:t>
            </w:r>
          </w:p>
          <w:p>
            <w:pPr>
              <w:widowControl w:val="0"/>
            </w:pPr>
            <w:r>
              <w:t>planuojama ūkinė veikla (arba planų ar programų įgyvendinimas) susijusi (-ęs) su įsteigtomis ar potencialiomis „Natura 2000“ teritorijomis ar artima tokių teritorijų aplinka;</w:t>
            </w:r>
          </w:p>
          <w:p>
            <w:pPr>
              <w:widowControl w:val="0"/>
            </w:pPr>
            <w: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(Žin., 2006, Nr. </w:t>
            </w:r>
            <w:hyperlink r:id="rId26" w:tgtFrame="_blank" w:history="1">
              <w:r>
                <w:rPr>
                  <w:color w:val="0000FF" w:themeColor="hyperlink"/>
                  <w:u w:val="single"/>
                </w:rPr>
                <w:t>61-2214</w:t>
              </w:r>
            </w:hyperlink>
            <w:r>
              <w:t>), nuostatomis.</w:t>
            </w:r>
          </w:p>
          <w:p>
            <w:pPr>
              <w:widowControl w:val="0"/>
            </w:pPr>
            <w:r>
              <w:rPr>
                <w:i/>
                <w:iCs/>
              </w:rPr>
              <w:t>Informacijos šaltinis – paraiškos B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6.1.3. Projektas suderinamas su Europos Bendrijų konkurencijos politikos nuostatomis.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t>Vertinant projektus, reikia įsitikinti, ar projektai finansuojami nepažeidžiant konkurencijos politikos nuostatų.</w:t>
            </w:r>
          </w:p>
          <w:p>
            <w:pPr>
              <w:widowControl w:val="0"/>
            </w:pPr>
          </w:p>
          <w:p>
            <w:pPr>
              <w:widowControl w:val="0"/>
              <w:rPr>
                <w:i/>
                <w:iCs/>
              </w:rPr>
            </w:pPr>
            <w:r>
              <w:rPr>
                <w:i/>
                <w:iCs/>
              </w:rPr>
              <w:t>Informacijos šaltinis – paraiškos A dalis. Didelės apimties projektams – paraiška pagal Komisijos reglamento Nr. 1828/2006 XXI priedą.</w:t>
            </w:r>
          </w:p>
        </w:tc>
      </w:tr>
      <w:tr>
        <w:trPr>
          <w:trHeight w:val="20"/>
        </w:trPr>
        <w:tc>
          <w:tcPr>
            <w:tcW w:w="2388" w:type="dxa"/>
            <w:vMerge/>
          </w:tcPr>
          <w:p>
            <w:pPr>
              <w:widowControl w:val="0"/>
            </w:pPr>
          </w:p>
        </w:tc>
        <w:tc>
          <w:tcPr>
            <w:tcW w:w="2520" w:type="dxa"/>
          </w:tcPr>
          <w:p>
            <w:pPr>
              <w:widowControl w:val="0"/>
            </w:pPr>
            <w:r>
              <w:t>6.2. Projektas suderinamas su sektorinių ES bendrųjų politikos sričių nuostatomis.</w:t>
            </w:r>
          </w:p>
        </w:tc>
        <w:tc>
          <w:tcPr>
            <w:tcW w:w="2523" w:type="dxa"/>
            <w:gridSpan w:val="4"/>
          </w:tcPr>
          <w:p>
            <w:pPr>
              <w:widowControl w:val="0"/>
            </w:pPr>
            <w:r>
              <w:t>6.2.1. Projektas suderinamas su konkretaus sektoriaus ES politikos sričių nuostatomis, t. y. projektas atitinka:</w:t>
            </w:r>
          </w:p>
          <w:p>
            <w:pPr>
              <w:widowControl w:val="0"/>
            </w:pPr>
            <w:r>
              <w:t>– Europos Parlamento ir Tarybos direktyvos dėl atliekų Nr. 2006/12/EB nuostatas;</w:t>
            </w:r>
          </w:p>
          <w:p>
            <w:pPr>
              <w:widowControl w:val="0"/>
            </w:pPr>
            <w:r>
              <w:t>– Europos Parlamento ir Tarybos direktyvos dėl atliekų ir panaikinanti kai kurias direktyvas Nr. 2008/98/EB nuostatas;</w:t>
            </w:r>
          </w:p>
          <w:p>
            <w:pPr>
              <w:widowControl w:val="0"/>
            </w:pPr>
            <w:r>
              <w:t xml:space="preserve">– Tarybos direktyvos dėl atliekų sąvartynų  Nr. 1991/31/EB nuostatas.</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 xml:space="preserve">Būtina įsitikinti, kad projekte  numatytos priemonės įgyvendina direktyvų Nr. 2006/12/EB, Nr. 2008/98/EB ir Nr. 1991/31/EB nuostatas ir joms neprieštarauja. </w:t>
            </w:r>
          </w:p>
          <w:p>
            <w:pPr>
              <w:widowControl w:val="0"/>
            </w:pPr>
          </w:p>
          <w:p>
            <w:pPr>
              <w:widowControl w:val="0"/>
            </w:pPr>
            <w:r>
              <w:rPr>
                <w:i/>
                <w:iCs/>
              </w:rPr>
              <w:t>Informacijos šaltinis – paraiškos B dalis.</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trHeight w:val="20"/>
        </w:trPr>
        <w:tc>
          <w:tcPr>
            <w:tcW w:w="2388" w:type="dxa"/>
            <w:vMerge w:val="restart"/>
          </w:tcPr>
          <w:p>
            <w:pPr>
              <w:widowControl w:val="0"/>
            </w:pPr>
            <w:r>
              <w:rPr>
                <w:b/>
                <w:bCs/>
              </w:rPr>
              <w:t>7. Pareiškėjas organizaciniu požiūriu yra pajėgus tinkamai ir laiku įgyvendinti teikiamą projektą.</w:t>
            </w:r>
          </w:p>
        </w:tc>
        <w:tc>
          <w:tcPr>
            <w:tcW w:w="2520" w:type="dxa"/>
            <w:vMerge w:val="restart"/>
          </w:tcPr>
          <w:p>
            <w:pPr>
              <w:widowControl w:val="0"/>
            </w:pPr>
            <w:r>
              <w:t>7.1. Pareiškėjas (partneriai) atitinka formaliuosius reikalavimus.</w:t>
            </w:r>
          </w:p>
        </w:tc>
        <w:tc>
          <w:tcPr>
            <w:tcW w:w="2523" w:type="dxa"/>
            <w:gridSpan w:val="4"/>
          </w:tcPr>
          <w:p>
            <w:pPr>
              <w:widowControl w:val="0"/>
            </w:pPr>
            <w:r>
              <w:rPr>
                <w:bCs/>
              </w:rPr>
              <w:t xml:space="preserve">7.1.1. </w:t>
            </w:r>
            <w:r>
              <w:t>Pareiškėju finansavimui gauti yra regioninis atliekų tvarkymo centras.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rPr>
                <w:bCs/>
              </w:rPr>
            </w:pPr>
            <w:r>
              <w:rPr>
                <w:bCs/>
              </w:rPr>
              <w:t>Vertinama pagal pridėtą registracijos pažymėjimo kopiją.</w:t>
            </w:r>
          </w:p>
          <w:p>
            <w:pPr>
              <w:widowControl w:val="0"/>
            </w:pPr>
            <w:r>
              <w:rPr>
                <w:i/>
                <w:iCs/>
              </w:rPr>
              <w:t>Informacijos šaltinis – paraiškos A ir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snapToGrid w:val="0"/>
            </w:pPr>
            <w:r>
              <w:rPr>
                <w:bCs/>
              </w:rPr>
              <w:t xml:space="preserve">7.1.2. Pareiškėjas (partneris(-iai) turi (ar turi galimybes įgyti) </w:t>
            </w:r>
            <w:r>
              <w:t>teisinį pagrindą užsiimti ta veikla (atlikti funkcijas), kuriai sukurti ir (arba) vykdyti, ir (arba) plėtoti skirtas projektas.</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rPr>
                <w:bCs/>
              </w:rPr>
              <w:t>Būtina įsitikinti, kad pareiškėjas (partneriai) turi (ar turi galimybių įgyti) teisę užsiimti ta veikla (atlikti funkcijas), kuriai sukurti ir (arba) vykdyti, ir (arba) plėtoti skirtas projektas (įstatų kopija).</w:t>
            </w:r>
          </w:p>
          <w:p>
            <w:pPr>
              <w:widowControl w:val="0"/>
              <w:rPr>
                <w:bCs/>
              </w:rPr>
            </w:pPr>
            <w:r>
              <w:rPr>
                <w:i/>
                <w:iCs/>
              </w:rPr>
              <w:t>Informacijos šaltinis – paraiškos B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7.1.3. Bendruoju atveju pareiškėjui gali būti skirtos finansavimo lėšos, kai:</w:t>
              <w:br w:type="page"/>
            </w:r>
          </w:p>
          <w:p>
            <w:pPr>
              <w:widowControl w:val="0"/>
            </w:pPr>
            <w:r>
              <w:t xml:space="preserve">7.1.3.1. jam nėra iškelta byla dėl bankroto arba jis nėra likviduojamas; </w:t>
              <w:br w:type="page"/>
            </w:r>
          </w:p>
          <w:p>
            <w:pPr>
              <w:widowControl w:val="0"/>
            </w:pPr>
            <w:r>
              <w:t>7.1.3.2. jis yra įvykdęs su mokesčių ir socialinio draudimo įnašų mokėjimu susijusius įsipareigojimus pagal Lietuvos Respublikos teisės aktus (ši nuostata netaikoma įstaigoms, kurių veikla finansuojama iš valstybės arba savivaldybių biudžeto, ir juridiniams asmenims, kuriems Lietuvos Respublikos teisės aktų nustatyta tvarka yra atidėti mokesčių arba socialinio draudimo įmokų mokėjimo terminai);</w:t>
            </w:r>
          </w:p>
          <w:p>
            <w:pPr>
              <w:widowControl w:val="0"/>
            </w:pPr>
            <w:r>
              <w:t xml:space="preserve">7.1.3.3. paraiškoje arba jos prieduose nepateikė klaidinančios informacijos; </w:t>
              <w:br w:type="page"/>
            </w:r>
          </w:p>
          <w:p>
            <w:pPr>
              <w:widowControl w:val="0"/>
            </w:pPr>
            <w:r>
              <w:t xml:space="preserve">7.1.3.4. nėra įsiteisėjusio teismo sprendimo dėl pareiškėjo kitos sutarties dėl paramos skyrimo iš ES arba Lietuvos Respublikos biudžeto lėšų pažeidimo; </w:t>
              <w:br w:type="page"/>
            </w:r>
          </w:p>
          <w:p>
            <w:pPr>
              <w:widowControl w:val="0"/>
            </w:pPr>
            <w:r>
              <w:t>7.1.3.5. jis nebandė gauti konfidencialios informacijos arba daryti įtakos vertinimą atliekančiai institucijai dabartinio arba ankstesnio paraiškų vertinimo arba atrankos proceso metu.</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rPr>
                <w:bCs/>
              </w:rPr>
            </w:pPr>
            <w:r>
              <w:rPr>
                <w:bCs/>
              </w:rPr>
              <w:t xml:space="preserve">Būtina įsitikinti, kad pateikti įrodantys dokumentai (informacija) dėl šio Aprašo 2 priedo 7.1.3 punkte nustatytų reikalavimų. </w:t>
            </w:r>
          </w:p>
          <w:p>
            <w:pPr>
              <w:widowControl w:val="0"/>
              <w:rPr>
                <w:bCs/>
              </w:rPr>
            </w:pPr>
            <w:r>
              <w:rPr>
                <w:bCs/>
              </w:rPr>
              <w:t xml:space="preserve">Priesaikos pažyma, kad pareiškėjas atitinka 7.1.3 punkte nustatytus reikalavimus. </w:t>
            </w:r>
          </w:p>
          <w:p>
            <w:pPr>
              <w:widowControl w:val="0"/>
              <w:rPr>
                <w:bCs/>
              </w:rPr>
            </w:pPr>
            <w:r>
              <w:rPr>
                <w:bCs/>
              </w:rPr>
              <w:t>Informacija dėl šio Aprašo 2 priedo 7.1.3.1 ir 7.1.3.2 punktų generuojama SFMIS. Atrinkus projektą iki projekto finansavimo ir administravimo sutarties pasirašymo dienos pareiškėjas turės pateikti dokumentus, įrodančius jo atitiktį 7.1.3.1 ir 7.1.3.2 punktų reikalavimams.</w:t>
            </w:r>
          </w:p>
          <w:p>
            <w:pPr>
              <w:widowControl w:val="0"/>
              <w:rPr>
                <w:bCs/>
              </w:rPr>
            </w:pPr>
          </w:p>
          <w:p>
            <w:pPr>
              <w:widowControl w:val="0"/>
            </w:pPr>
            <w:r>
              <w:rPr>
                <w:i/>
                <w:iCs/>
              </w:rPr>
              <w:t>Informacijos šaltinis – paraiškos A ir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ind w:firstLine="58"/>
            </w:pPr>
            <w:r>
              <w:rPr>
                <w:bCs/>
              </w:rPr>
              <w:t xml:space="preserve">7.1.4. </w:t>
            </w:r>
            <w:r>
              <w:rPr>
                <w:rFonts w:eastAsia="Calibri"/>
                <w:szCs w:val="24"/>
              </w:rPr>
              <w:t>Pareiškėjai yra savivaldybių įsteigtos įmonės.</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rPr>
                <w:bCs/>
              </w:rPr>
            </w:pPr>
            <w:r>
              <w:rPr>
                <w:bCs/>
                <w:szCs w:val="24"/>
                <w:lang w:eastAsia="lt-LT"/>
              </w:rPr>
              <w:t>Būtina įsitikinti, kad pareiškėjo įmonės įstatai atitinka 7.1.4 papunktyje nustatytus reikalavimus</w:t>
            </w:r>
            <w:r>
              <w:rPr>
                <w:bCs/>
              </w:rPr>
              <w:t>.</w:t>
            </w:r>
          </w:p>
          <w:p>
            <w:pPr>
              <w:widowControl w:val="0"/>
              <w:rPr>
                <w:bCs/>
              </w:rPr>
            </w:pPr>
          </w:p>
          <w:p>
            <w:pPr>
              <w:widowControl w:val="0"/>
            </w:pPr>
            <w:r>
              <w:rPr>
                <w:i/>
                <w:iCs/>
              </w:rPr>
              <w:t>Informacijos šaltinis – paraiškos B dalis.</w:t>
            </w:r>
          </w:p>
        </w:tc>
      </w:tr>
      <w:tr>
        <w:trPr>
          <w:trHeight w:val="20"/>
        </w:trPr>
        <w:tc>
          <w:tcPr>
            <w:tcW w:w="2388" w:type="dxa"/>
            <w:vMerge/>
          </w:tcPr>
          <w:p>
            <w:pPr>
              <w:widowControl w:val="0"/>
            </w:pPr>
          </w:p>
        </w:tc>
        <w:tc>
          <w:tcPr>
            <w:tcW w:w="2520" w:type="dxa"/>
            <w:vMerge w:val="restart"/>
          </w:tcPr>
          <w:p>
            <w:pPr>
              <w:widowControl w:val="0"/>
            </w:pPr>
            <w:r>
              <w:t>7.2. Pareiškėjas yra pajėgus įgyvendinti projektą.</w:t>
            </w:r>
          </w:p>
        </w:tc>
        <w:tc>
          <w:tcPr>
            <w:tcW w:w="2523" w:type="dxa"/>
            <w:gridSpan w:val="4"/>
          </w:tcPr>
          <w:p>
            <w:pPr>
              <w:widowControl w:val="0"/>
              <w:rPr>
                <w:bCs/>
              </w:rPr>
            </w:pPr>
            <w:r>
              <w:rPr>
                <w:bCs/>
              </w:rPr>
              <w:t>7.2.1. Pareiškėjas turi pakankamai patirties įgyvendinti projekte numatytas veiklas:</w:t>
            </w:r>
          </w:p>
          <w:p>
            <w:pPr>
              <w:widowControl w:val="0"/>
            </w:pPr>
            <w:r>
              <w:rPr>
                <w:bCs/>
              </w:rPr>
              <w:t>– pateiktas pareiškėjo įgyvendintų projektų sąrašas ir tą liudijantys dokumentai.</w:t>
            </w:r>
          </w:p>
        </w:tc>
        <w:tc>
          <w:tcPr>
            <w:tcW w:w="969" w:type="dxa"/>
          </w:tcPr>
          <w:p>
            <w:pPr>
              <w:widowControl w:val="0"/>
            </w:pPr>
          </w:p>
        </w:tc>
        <w:tc>
          <w:tcPr>
            <w:tcW w:w="831" w:type="dxa"/>
          </w:tcPr>
          <w:p>
            <w:pPr>
              <w:widowControl w:val="0"/>
            </w:pPr>
          </w:p>
        </w:tc>
        <w:tc>
          <w:tcPr>
            <w:tcW w:w="1106" w:type="dxa"/>
          </w:tcPr>
          <w:p>
            <w:pPr>
              <w:widowControl w:val="0"/>
            </w:pPr>
          </w:p>
        </w:tc>
        <w:tc>
          <w:tcPr>
            <w:tcW w:w="4403" w:type="dxa"/>
          </w:tcPr>
          <w:p>
            <w:pPr>
              <w:widowControl w:val="0"/>
            </w:pPr>
            <w:r>
              <w:rPr>
                <w:bCs/>
              </w:rPr>
              <w:t>Siekiama įsitikinti, kad pareiškėjas turi pakankamai patirties vykdyti veiklas, kurioms tobulinti, vystyti ir kt. yra skirtas projektas. Turi būti įsitikinta, kad projektas atitinka šio Aprašo 2 priedo 7.2.1 punkte nustatytus reikalavimus.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rPr>
                <w:bCs/>
              </w:rPr>
            </w:pPr>
            <w:r>
              <w:rPr>
                <w:bCs/>
              </w:rPr>
              <w:t xml:space="preserve">7.2.2. Pareiškėjas turi (turi užtikrinti) </w:t>
            </w:r>
          </w:p>
          <w:p>
            <w:pPr>
              <w:widowControl w:val="0"/>
              <w:rPr>
                <w:bCs/>
              </w:rPr>
            </w:pPr>
            <w:r>
              <w:rPr>
                <w:bCs/>
              </w:rPr>
              <w:t xml:space="preserve">pakankamus administravimo </w:t>
            </w:r>
          </w:p>
          <w:p>
            <w:pPr>
              <w:widowControl w:val="0"/>
              <w:rPr>
                <w:bCs/>
              </w:rPr>
            </w:pPr>
            <w:r>
              <w:rPr>
                <w:bCs/>
              </w:rPr>
              <w:t xml:space="preserve">gebėjimus vykdyti projektą </w:t>
            </w:r>
          </w:p>
          <w:p>
            <w:pPr>
              <w:widowControl w:val="0"/>
              <w:rPr>
                <w:bCs/>
              </w:rPr>
            </w:pPr>
            <w:r>
              <w:rPr>
                <w:bCs/>
              </w:rPr>
              <w:t>(pakankama komanda):</w:t>
            </w:r>
          </w:p>
          <w:p>
            <w:pPr>
              <w:widowControl w:val="0"/>
              <w:rPr>
                <w:bCs/>
              </w:rPr>
            </w:pPr>
            <w:r>
              <w:rPr>
                <w:bCs/>
              </w:rPr>
              <w:t>– projekto vadovas – turi turėti aukštąjį</w:t>
            </w:r>
          </w:p>
          <w:p>
            <w:pPr>
              <w:widowControl w:val="0"/>
              <w:rPr>
                <w:bCs/>
              </w:rPr>
            </w:pPr>
            <w:r>
              <w:rPr>
                <w:bCs/>
              </w:rPr>
              <w:t xml:space="preserve">neuniversitetinį arba universitetinį </w:t>
            </w:r>
          </w:p>
          <w:p>
            <w:pPr>
              <w:widowControl w:val="0"/>
              <w:rPr>
                <w:bCs/>
              </w:rPr>
            </w:pPr>
            <w:r>
              <w:rPr>
                <w:bCs/>
              </w:rPr>
              <w:t xml:space="preserve">išsilavinimą patirties projektų </w:t>
            </w:r>
          </w:p>
          <w:p>
            <w:pPr>
              <w:widowControl w:val="0"/>
              <w:rPr>
                <w:bCs/>
              </w:rPr>
            </w:pPr>
            <w:r>
              <w:rPr>
                <w:bCs/>
              </w:rPr>
              <w:t xml:space="preserve">valdyme, </w:t>
            </w:r>
          </w:p>
          <w:p>
            <w:pPr>
              <w:widowControl w:val="0"/>
              <w:rPr>
                <w:bCs/>
              </w:rPr>
            </w:pPr>
            <w:r>
              <w:rPr>
                <w:bCs/>
              </w:rPr>
              <w:t>– finansininkas – turi turėti aukštąjį</w:t>
            </w:r>
          </w:p>
          <w:p>
            <w:pPr>
              <w:widowControl w:val="0"/>
              <w:rPr>
                <w:bCs/>
              </w:rPr>
            </w:pPr>
            <w:r>
              <w:rPr>
                <w:bCs/>
              </w:rPr>
              <w:t xml:space="preserve">neuniversitetinį arba universitetinį </w:t>
            </w:r>
          </w:p>
          <w:p>
            <w:pPr>
              <w:widowControl w:val="0"/>
              <w:rPr>
                <w:bCs/>
              </w:rPr>
            </w:pPr>
            <w:r>
              <w:rPr>
                <w:bCs/>
              </w:rPr>
              <w:t>išsilavinimą ir ne mažesnę kaip 1 metų darbo buhalterinės apskaitos</w:t>
            </w:r>
          </w:p>
          <w:p>
            <w:pPr>
              <w:widowControl w:val="0"/>
              <w:rPr>
                <w:bCs/>
              </w:rPr>
            </w:pPr>
            <w:r>
              <w:rPr>
                <w:bCs/>
              </w:rPr>
              <w:t xml:space="preserve">srityje patirtį, </w:t>
            </w:r>
          </w:p>
          <w:p>
            <w:pPr>
              <w:widowControl w:val="0"/>
              <w:rPr>
                <w:bCs/>
              </w:rPr>
            </w:pPr>
            <w:r>
              <w:rPr>
                <w:bCs/>
              </w:rPr>
              <w:t xml:space="preserve">– atliekų tvarkymo specialistas – turi </w:t>
            </w:r>
          </w:p>
          <w:p>
            <w:pPr>
              <w:widowControl w:val="0"/>
              <w:rPr>
                <w:bCs/>
              </w:rPr>
            </w:pPr>
            <w:r>
              <w:rPr>
                <w:bCs/>
              </w:rPr>
              <w:t>turėti aukštąjį neuniversitetinį arba universitetinį išsilavinimą ir ne mažesnę kaip 1 metų darbo patirtį atliekų srityje.</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rPr>
                <w:bCs/>
              </w:rPr>
            </w:pPr>
            <w:r>
              <w:rPr>
                <w:bCs/>
              </w:rPr>
              <w:t xml:space="preserve">Pareiškėjas užtikrina minimalius būtinus gebėjimus projektui administruoti – suformuoja komandą, užtikrina reikiamų kompetencijų darbuotojų įtraukimą, numato paslaugų įsigijimą ir pan. </w:t>
            </w:r>
          </w:p>
          <w:p>
            <w:pPr>
              <w:widowControl w:val="0"/>
              <w:rPr>
                <w:bCs/>
              </w:rPr>
            </w:pPr>
            <w:r>
              <w:rPr>
                <w:bCs/>
              </w:rPr>
              <w:t>Turi būti įsitikinta, ar projekto vadovas, finansininkas, atliekų tvarkymo specialistas atitinka paraiškos specialiojoje (B) dalyje keliamus reikalavimus (pateikiami gyvenimo aprašymai ir juose nurodytų dokumentų kopijos).</w:t>
            </w:r>
          </w:p>
          <w:p>
            <w:pPr>
              <w:widowControl w:val="0"/>
              <w:rPr>
                <w:i/>
                <w:iCs/>
              </w:rPr>
            </w:pPr>
          </w:p>
          <w:p>
            <w:pPr>
              <w:widowControl w:val="0"/>
              <w:rPr>
                <w:bCs/>
              </w:rPr>
            </w:pPr>
            <w:r>
              <w:rPr>
                <w:i/>
                <w:iCs/>
              </w:rPr>
              <w:t>Informacijos šaltinis – paraiškos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rPr>
                <w:bCs/>
              </w:rPr>
              <w:t>7.2.3.</w:t>
            </w:r>
            <w:r>
              <w:t xml:space="preserve"> Pareiškėjas gali įgyvendinti projekto tikslus, veiklas ir uždavinius per projekto įgyvendinimo laikotarpį. </w:t>
            </w:r>
          </w:p>
          <w:p>
            <w:pPr>
              <w:widowControl w:val="0"/>
              <w:rPr>
                <w:bCs/>
              </w:rPr>
            </w:pPr>
            <w:r>
              <w:rPr>
                <w:bCs/>
              </w:rPr>
              <w:t xml:space="preserve">7.2.3.1. Projekto veiklos gali būti įgyvendintos ne vėliau kaip iki 2015 m. rugsėjo 30 d. </w:t>
            </w:r>
          </w:p>
          <w:p>
            <w:pPr>
              <w:widowControl w:val="0"/>
              <w:rPr>
                <w:bCs/>
              </w:rPr>
            </w:pPr>
            <w:r>
              <w:rPr>
                <w:bCs/>
              </w:rPr>
              <w:t>7.2.3.2. Projekto veiklos įgyvendinamos Lietuvos Respublikos teritorijoje.</w:t>
            </w:r>
          </w:p>
          <w:p>
            <w:pPr>
              <w:widowControl w:val="0"/>
            </w:pPr>
            <w:r>
              <w:rPr>
                <w:bCs/>
              </w:rPr>
              <w:t>7.2.3.3. Projekto parengimo lygis – gautas planavimo sąlygų sąvadas.</w:t>
            </w:r>
          </w:p>
          <w:p>
            <w:pPr>
              <w:widowControl w:val="0"/>
            </w:pPr>
            <w:r>
              <w:t xml:space="preserve">7.2.3.4. Projekto parengimo lygis– pareiškėjas iki paraiškos Agentūrai pateikimo dienos arba iki tinkamumo finansuoti vertinimo pabaigos turi būti pasamdęs paslaugų tiekėjus ir ekspertus pirkimo dokumentų techninio projekto (taikoma skelbiant konkursą pagal FIDIC raudonąją knygą) arba pirkimo dokumentų su preliminariais projektiniais sprendimais (taikoma skelbiant konkursą pagal FIDIC geltonąją knygą) parengimui. </w:t>
            </w:r>
          </w:p>
          <w:p>
            <w:pPr>
              <w:widowControl w:val="0"/>
              <w:rPr>
                <w:bCs/>
              </w:rPr>
            </w:pPr>
            <w:r>
              <w:t xml:space="preserve">7.2.3.5. Projekto parengimo lygis – iki paraiškos pateikimo </w:t>
            </w:r>
            <w:r>
              <w:rPr>
                <w:bCs/>
              </w:rPr>
              <w:t>dienos</w:t>
            </w:r>
            <w:r>
              <w:t xml:space="preserve"> </w:t>
            </w:r>
            <w:r>
              <w:rPr>
                <w:bCs/>
              </w:rPr>
              <w:t>parengta galimybių studija ir pradėtos atrankos procedūros dėl poveikio aplinkai vertinimo</w:t>
            </w:r>
            <w:r>
              <w:t>.</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 xml:space="preserve">Įsitikinti, kad projekto įgyvendinimo organizavimas (planas) adekvatus projekto veiklų apimtims, yra realus ir racionaliai suplanuotas (pvz., įvertinant turimus išteklių, iš ES fondų finansuojamų projektų specifiką, sezoniškumą ir pan.). </w:t>
            </w:r>
          </w:p>
          <w:p>
            <w:pPr>
              <w:widowControl w:val="0"/>
            </w:pPr>
            <w:r>
              <w:t>Būtina įsitikinti, kad projekto trukmė, įgyvendinimo vieta ir parengimo lygis atitinka šio Aprašo 2 priedo 7.2.3 punkte nustatytus reikalavimus.</w:t>
            </w:r>
          </w:p>
          <w:p>
            <w:pPr>
              <w:widowControl w:val="0"/>
              <w:rPr>
                <w:bCs/>
              </w:rPr>
            </w:pPr>
          </w:p>
          <w:p>
            <w:pPr>
              <w:widowControl w:val="0"/>
              <w:rPr>
                <w:bCs/>
              </w:rPr>
            </w:pPr>
            <w:r>
              <w:rPr>
                <w:i/>
                <w:iCs/>
              </w:rPr>
              <w:t>Informacijos šaltinis – paraiškos A ir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rPr>
                <w:bCs/>
              </w:rPr>
            </w:pPr>
            <w:r>
              <w:rPr>
                <w:bCs/>
              </w:rPr>
              <w:t>7.2.4. Partnerystė projekte yra pagrįsta ir turi pridėtinę vertę.</w:t>
            </w:r>
          </w:p>
          <w:p>
            <w:pPr>
              <w:widowControl w:val="0"/>
              <w:rPr>
                <w:bCs/>
              </w:rPr>
            </w:pPr>
            <w:r>
              <w:rPr>
                <w:bCs/>
              </w:rPr>
              <w:t xml:space="preserve">Jeigu paraiška teikiama kartu su partneriais, prie paraiškos turi būti pridedama </w:t>
            </w:r>
            <w:r>
              <w:t>jungtinės veiklos (partnerystės) sutarties kopija</w:t>
            </w:r>
            <w:r>
              <w:rPr>
                <w:bCs/>
              </w:rPr>
              <w:t xml:space="preserve"> ir partnerių pasirašyta deklaracija, kad visi partneriai yra susipažinę su teikiamu projektu, savo teisėmis ir pareigomis įgyvendinant projektą.</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Siekiama įsitikinti, ar partneris(-iai) įtraukti pagrįstai, t. y. ar pridėtoje jungtinės veiklos (partnerystės) sutartyje numatyta, kad partnerystė sukuria papildomą pridėtinę vertę pagal projektą (pvz., turi patirties, prisideda finansiškai, vykdo projekto veiklas, naudosis rezultatais ir pan.).</w:t>
            </w:r>
          </w:p>
          <w:p>
            <w:pPr>
              <w:widowControl w:val="0"/>
            </w:pPr>
          </w:p>
          <w:p>
            <w:pPr>
              <w:widowControl w:val="0"/>
              <w:rPr>
                <w:bCs/>
              </w:rPr>
            </w:pPr>
            <w:r>
              <w:rPr>
                <w:i/>
                <w:iCs/>
              </w:rPr>
              <w:t>Informacijos šaltinis – paraiškos B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rPr>
                <w:bCs/>
              </w:rPr>
            </w:pPr>
            <w:r>
              <w:rPr>
                <w:bCs/>
              </w:rPr>
              <w:t>7.2.5. Projektas atitinka kitus susijusius su reikalavimais pareiškėjams specialiuosius atrankos kriterijus ir šiame Apraše nustatytus reikalavimus.</w:t>
            </w:r>
          </w:p>
        </w:tc>
        <w:tc>
          <w:tcPr>
            <w:tcW w:w="969" w:type="dxa"/>
          </w:tcPr>
          <w:p>
            <w:pPr>
              <w:widowControl w:val="0"/>
              <w:rPr>
                <w:bCs/>
              </w:rPr>
            </w:pPr>
          </w:p>
        </w:tc>
        <w:tc>
          <w:tcPr>
            <w:tcW w:w="831" w:type="dxa"/>
          </w:tcPr>
          <w:p>
            <w:pPr>
              <w:widowControl w:val="0"/>
              <w:rPr>
                <w:bCs/>
              </w:rPr>
            </w:pPr>
          </w:p>
        </w:tc>
        <w:tc>
          <w:tcPr>
            <w:tcW w:w="1106" w:type="dxa"/>
          </w:tcPr>
          <w:p>
            <w:pPr>
              <w:widowControl w:val="0"/>
              <w:rPr>
                <w:bCs/>
              </w:rPr>
            </w:pPr>
          </w:p>
        </w:tc>
        <w:tc>
          <w:tcPr>
            <w:tcW w:w="4403" w:type="dxa"/>
          </w:tcPr>
          <w:p>
            <w:pPr>
              <w:widowControl w:val="0"/>
            </w:pPr>
            <w:r>
              <w:t>Aprašo finansuojamai veiklai reikalavimas netaikomas.</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trHeight w:val="20"/>
        </w:trPr>
        <w:tc>
          <w:tcPr>
            <w:tcW w:w="2388" w:type="dxa"/>
            <w:vMerge w:val="restart"/>
          </w:tcPr>
          <w:p>
            <w:pPr>
              <w:widowControl w:val="0"/>
            </w:pPr>
            <w:r>
              <w:rPr>
                <w:b/>
                <w:bCs/>
              </w:rPr>
              <w:t xml:space="preserve">8. Projektas turi aiškų finansavimo paketą: apibrėžtus, </w:t>
            </w:r>
            <w:r>
              <w:rPr>
                <w:b/>
                <w:bCs/>
                <w:spacing w:val="-4"/>
              </w:rPr>
              <w:t>aiškius ir užtikrintus</w:t>
            </w:r>
            <w:r>
              <w:rPr>
                <w:b/>
                <w:bCs/>
              </w:rPr>
              <w:t xml:space="preserve"> projekto išlaidų finansavimo šaltinius</w:t>
            </w:r>
            <w:r>
              <w:t>.</w:t>
            </w:r>
          </w:p>
        </w:tc>
        <w:tc>
          <w:tcPr>
            <w:tcW w:w="2520" w:type="dxa"/>
            <w:vMerge w:val="restart"/>
          </w:tcPr>
          <w:p>
            <w:pPr>
              <w:widowControl w:val="0"/>
            </w:pPr>
            <w:r>
              <w:t xml:space="preserve">8.1. Užtikrintas projekto finansavimas. </w:t>
            </w:r>
          </w:p>
        </w:tc>
        <w:tc>
          <w:tcPr>
            <w:tcW w:w="2523" w:type="dxa"/>
            <w:gridSpan w:val="4"/>
          </w:tcPr>
          <w:p>
            <w:pPr>
              <w:widowControl w:val="0"/>
            </w:pPr>
            <w:r>
              <w:t>8.1.1. Pareiškėjo (partnerių) įnašas atitinka šio Aprašo 37 ir 38 punktuose nustatytus reikalavimus.</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Būtina įsitikinti, ar:</w:t>
            </w:r>
          </w:p>
          <w:p>
            <w:pPr>
              <w:widowControl w:val="0"/>
            </w:pPr>
            <w:r>
              <w:t xml:space="preserve">tenkinami šiame Apraše nustatyti reikalavimai pareiškėjo ir (arba) partnerių įnašui, taip pat įvertinant projekto grynųjų pajamų finansavimo poreikį; tenkinami reikalavimai pareiškėjų įnašui pagal atskiras išlaidų kategorijas; </w:t>
            </w:r>
          </w:p>
          <w:p>
            <w:pPr>
              <w:widowControl w:val="0"/>
            </w:pPr>
            <w:r>
              <w:t>numatyti projekto išlaidų finansavimo šaltiniai, atsižvelgiant į projekto tinkamų finansuoti išlaidų dalį ir išlaidų apmokėjimo būdą, yra aiškiai apibrėžti, patikimi, tinkamai išdėstyti laike.</w:t>
            </w:r>
          </w:p>
          <w:p>
            <w:pPr>
              <w:widowControl w:val="0"/>
            </w:pPr>
            <w:r>
              <w:t>Pateikti dokumentai, patvirtinantys pareiškėjo galimybes apmokėti numatytą projekto išlaidų dalį (banko sąskaitos išrašas, paskolos sutartis, garantinis banko raštas ir kt.).</w:t>
            </w:r>
          </w:p>
          <w:p>
            <w:pPr>
              <w:widowControl w:val="0"/>
            </w:pPr>
            <w:r>
              <w:t>Kai pareiškėjui netaikomas reikalavimas prisidėti prie projekto finansavimo, šis kriterijus atitinka nustatytus reikalavimus.</w:t>
            </w:r>
          </w:p>
          <w:p>
            <w:pPr>
              <w:widowControl w:val="0"/>
            </w:pPr>
            <w:r>
              <w:rPr>
                <w:i/>
                <w:iCs/>
              </w:rPr>
              <w:t>Informacijos šaltinis – paraiškos A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8.1.2. Užtikrintas netinkamų finansuoti su projektu susijusių išlaidų padengimas.</w:t>
            </w:r>
          </w:p>
          <w:p>
            <w:pPr>
              <w:widowControl w:val="0"/>
            </w:pPr>
            <w:r>
              <w:t xml:space="preserve">Reikalavimai netinkamoms finansuoti </w:t>
            </w:r>
            <w:r>
              <w:rPr>
                <w:spacing w:val="-4"/>
              </w:rPr>
              <w:t>išlaidoms pateikti šio Aprašo 29–33 punktuose.</w:t>
            </w:r>
          </w:p>
        </w:tc>
        <w:tc>
          <w:tcPr>
            <w:tcW w:w="969" w:type="dxa"/>
          </w:tcPr>
          <w:p>
            <w:pPr>
              <w:widowControl w:val="0"/>
            </w:pPr>
          </w:p>
        </w:tc>
        <w:tc>
          <w:tcPr>
            <w:tcW w:w="831" w:type="dxa"/>
          </w:tcPr>
          <w:p>
            <w:pPr>
              <w:widowControl w:val="0"/>
            </w:pPr>
          </w:p>
        </w:tc>
        <w:tc>
          <w:tcPr>
            <w:tcW w:w="1106" w:type="dxa"/>
          </w:tcPr>
          <w:p>
            <w:pPr>
              <w:widowControl w:val="0"/>
              <w:ind w:firstLine="60"/>
            </w:pPr>
          </w:p>
        </w:tc>
        <w:tc>
          <w:tcPr>
            <w:tcW w:w="4403" w:type="dxa"/>
          </w:tcPr>
          <w:p>
            <w:pPr>
              <w:widowControl w:val="0"/>
            </w:pPr>
            <w:r>
              <w:t>Būtina įsitikinti, ar:</w:t>
            </w:r>
          </w:p>
          <w:p>
            <w:pPr>
              <w:widowControl w:val="0"/>
            </w:pPr>
            <w:r>
              <w:t xml:space="preserve">projekte numatytoms netinkamoms finansuoti išlaidoms (tarp jų ir netinkamam finansuoti PVM, projekto grynosioms pajamoms ir kt.) užtikrinamas finansavimas; </w:t>
            </w:r>
          </w:p>
          <w:p>
            <w:pPr>
              <w:widowControl w:val="0"/>
            </w:pPr>
            <w:r>
              <w:t>netinkamų išlaidų finansavimo šaltiniai yra aiškiai apibrėžti, patikimi, tinkamai išdėstyti</w:t>
            </w:r>
          </w:p>
          <w:p>
            <w:pPr>
              <w:widowControl w:val="0"/>
            </w:pPr>
            <w:r>
              <w:t>laike, t. y. netinkamų išlaidų finansavimas neturės neigiamos įtakos projektui įgyvendinti.</w:t>
            </w:r>
          </w:p>
          <w:p>
            <w:pPr>
              <w:widowControl w:val="0"/>
            </w:pPr>
            <w:r>
              <w:rPr>
                <w:i/>
                <w:iCs/>
              </w:rPr>
              <w:t>Informacijos šaltinis – paraiškos A ir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8.1.3. Užtikrintas finansinis projekto (veiklų) tęstinumas.</w:t>
            </w:r>
          </w:p>
        </w:tc>
        <w:tc>
          <w:tcPr>
            <w:tcW w:w="969" w:type="dxa"/>
          </w:tcPr>
          <w:p>
            <w:pPr>
              <w:widowControl w:val="0"/>
            </w:pPr>
          </w:p>
        </w:tc>
        <w:tc>
          <w:tcPr>
            <w:tcW w:w="831" w:type="dxa"/>
          </w:tcPr>
          <w:p>
            <w:pPr>
              <w:widowControl w:val="0"/>
            </w:pPr>
          </w:p>
        </w:tc>
        <w:tc>
          <w:tcPr>
            <w:tcW w:w="1106" w:type="dxa"/>
          </w:tcPr>
          <w:p>
            <w:pPr>
              <w:widowControl w:val="0"/>
              <w:ind w:firstLine="60"/>
            </w:pPr>
          </w:p>
        </w:tc>
        <w:tc>
          <w:tcPr>
            <w:tcW w:w="4403" w:type="dxa"/>
          </w:tcPr>
          <w:p>
            <w:pPr>
              <w:widowControl w:val="0"/>
            </w:pPr>
            <w:r>
              <w:t>Būtina įsitikinti, kad projekto metu sukurtų rezultatų tolesniam naudojimui yra sudarytos finansinės prielaidos, t. y. sukurtas turtas bus išlaikomas ir užtikrinamas jo tinkamas eksploatavimas.</w:t>
            </w:r>
          </w:p>
          <w:p>
            <w:pPr>
              <w:widowControl w:val="0"/>
              <w:rPr>
                <w:bCs/>
              </w:rPr>
            </w:pPr>
            <w:r>
              <w:rPr>
                <w:bCs/>
              </w:rPr>
              <w:t xml:space="preserve">Būtina įsitikinti, kad pateiktoje priesaikos pažymoje pareiškėjas įsipareigoja 5 metus po projekto įgyvendinimo nekeisti turto, į kurį buvo investuota, nuosavybės formos ir vykdys veiklas, numatytas projekte. </w:t>
            </w:r>
          </w:p>
          <w:p>
            <w:pPr>
              <w:widowControl w:val="0"/>
            </w:pPr>
            <w:r>
              <w:rPr>
                <w:i/>
                <w:iCs/>
              </w:rPr>
              <w:t>Informacijos šaltinis – paraiškos A ir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8.1.4. Projektas atitinka kitus projektų finansavimo sąlygų apraše nustatytus reikalavimus.</w:t>
            </w:r>
          </w:p>
        </w:tc>
        <w:tc>
          <w:tcPr>
            <w:tcW w:w="969" w:type="dxa"/>
          </w:tcPr>
          <w:p>
            <w:pPr>
              <w:widowControl w:val="0"/>
            </w:pPr>
          </w:p>
        </w:tc>
        <w:tc>
          <w:tcPr>
            <w:tcW w:w="831" w:type="dxa"/>
          </w:tcPr>
          <w:p>
            <w:pPr>
              <w:widowControl w:val="0"/>
            </w:pPr>
          </w:p>
        </w:tc>
        <w:tc>
          <w:tcPr>
            <w:tcW w:w="1106" w:type="dxa"/>
          </w:tcPr>
          <w:p>
            <w:pPr>
              <w:widowControl w:val="0"/>
              <w:ind w:firstLine="60"/>
            </w:pPr>
          </w:p>
        </w:tc>
        <w:tc>
          <w:tcPr>
            <w:tcW w:w="4403" w:type="dxa"/>
          </w:tcPr>
          <w:p>
            <w:pPr>
              <w:widowControl w:val="0"/>
            </w:pPr>
            <w:r>
              <w:t>Aprašo finansuojamai veiklai reikalavimas netaikomas.</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cantSplit/>
          <w:trHeight w:val="20"/>
        </w:trPr>
        <w:tc>
          <w:tcPr>
            <w:tcW w:w="2388" w:type="dxa"/>
            <w:vMerge w:val="restart"/>
          </w:tcPr>
          <w:p>
            <w:pPr>
              <w:widowControl w:val="0"/>
            </w:pPr>
            <w:r>
              <w:rPr>
                <w:b/>
                <w:bCs/>
              </w:rPr>
              <w:t>9. Užtikrintas efektyvus projektui įgyvendinti reikalingų lėšų panaudojimas</w:t>
            </w:r>
          </w:p>
        </w:tc>
        <w:tc>
          <w:tcPr>
            <w:tcW w:w="2520" w:type="dxa"/>
            <w:vMerge w:val="restart"/>
          </w:tcPr>
          <w:p>
            <w:pPr>
              <w:widowControl w:val="0"/>
            </w:pPr>
            <w:r>
              <w:t>9.1. Sąnaudų-naudos analizės korektiškumas ir rezultatų priimtinumas (jei taikoma).</w:t>
            </w:r>
          </w:p>
          <w:p>
            <w:pPr>
              <w:widowControl w:val="0"/>
            </w:pPr>
          </w:p>
          <w:p>
            <w:pPr>
              <w:widowControl w:val="0"/>
            </w:pPr>
            <w:r>
              <w:t xml:space="preserve">Sąnaudų-naudos analizė turi būti atlikta vadovaujantis „Ekonominės naudos analizės atlikimo metodinių gairių“ (angl. </w:t>
            </w:r>
            <w:r>
              <w:rPr>
                <w:i/>
              </w:rPr>
              <w:t>Guide to cost-benefit analysis of investment projects</w:t>
            </w:r>
            <w:r>
              <w:t>) patvirtinta metodika (http://ec.europa.eu/regional_policy/sources/docoffic/</w:t>
            </w:r>
            <w:r>
              <w:rPr>
                <w:spacing w:val="-4"/>
              </w:rPr>
              <w:t>2007/working/wd4_cost_en.pdf).</w:t>
            </w:r>
          </w:p>
        </w:tc>
        <w:tc>
          <w:tcPr>
            <w:tcW w:w="2523" w:type="dxa"/>
            <w:gridSpan w:val="4"/>
          </w:tcPr>
          <w:p>
            <w:pPr>
              <w:widowControl w:val="0"/>
            </w:pPr>
            <w:r>
              <w:t>9.1.1. Atlikta alternatyvų analizė (jei taikoma).</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 xml:space="preserve">Aiškiai suformuluoti reikalavimai techniniam projekto sprendimui (techniniai reikalavimai planuojamam objektui pagal jo paskirtį, eksploatavimo sąlygas; projektavimo, įrengimo ir veiklos principai, procesai ir pan.). Kiekvienam projektui pagrįsti turėtų būti svarstomos bent dvi alternatyvos galimybės: „Nulinė“ alternatyva (alternatyva, kai projektas nėra įgyvendinamas) ir kita alternatyva (projektas paremtas alternatyvia technologija ar pan.). </w:t>
            </w:r>
          </w:p>
          <w:p>
            <w:pPr>
              <w:widowControl w:val="0"/>
            </w:pPr>
            <w:r>
              <w:t xml:space="preserve">Projekte turi būti atskleista, kad visos realios projekto įgyvendinimo galimybės buvo svarstytos arba kad kitos alternatyvos, be jau nagrinėjamų, nėra tikslinga svarstyti. Jeigu projekto įgyvendinimo galimybių vertinimo metu išskiriamos kelios galimybės projekto įgyvendinimo alternatyvai,  vertinimo metu kiekvienai alternatyvai turi būti naudojami tie patys vertinimo kriterijai. </w:t>
            </w:r>
          </w:p>
          <w:p>
            <w:pPr>
              <w:widowControl w:val="0"/>
            </w:pPr>
            <w:r>
              <w:t>Alternatyvos įvertintos išsamiai ir korektiškai. Pasirinkta alternatyva turi būti optimali, atsižvelgiant į esamus apribojimus.</w:t>
            </w:r>
          </w:p>
          <w:p>
            <w:pPr>
              <w:widowControl w:val="0"/>
            </w:pPr>
            <w:r>
              <w:rPr>
                <w:i/>
                <w:iCs/>
              </w:rPr>
              <w:t>Informacijos šaltinis – paraiškos B dalis. Didelės apimties projektams – paraiška pagal Komisijos reglamento Nr. 1828/2006 XXI priedą.</w:t>
            </w:r>
          </w:p>
        </w:tc>
      </w:tr>
      <w:tr>
        <w:trPr>
          <w:cantSplit/>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9.1.2. Projekto prielaidos (susijusios su būsimomis pajamomis ir sąnaudomis) yra pagrįstos (jei taikoma).</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Skaičiavimai projekte remiasi pagrįstomis būsimų pajamų ir sąnaudų prognozavimo prielaidomis.</w:t>
            </w:r>
          </w:p>
          <w:p>
            <w:pPr>
              <w:widowControl w:val="0"/>
              <w:rPr>
                <w:i/>
                <w:iCs/>
              </w:rPr>
            </w:pPr>
            <w:r>
              <w:rPr>
                <w:i/>
                <w:iCs/>
              </w:rPr>
              <w:t>Informacijos šaltinis – paraiškos B dalis.</w:t>
            </w:r>
          </w:p>
          <w:p>
            <w:pPr>
              <w:widowControl w:val="0"/>
            </w:pPr>
            <w:r>
              <w:rPr>
                <w:i/>
                <w:iCs/>
              </w:rPr>
              <w:t>Didelės apimties projektams – paraiška pagal Komisijos reglamento Nr. 1828/2006 XXI priedą.</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9.1.3. Taikomas pagrįstas analizės laikotarpis (jei taikoma).</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snapToGrid w:val="0"/>
            </w:pPr>
            <w:r>
              <w:t xml:space="preserve">Sąnaudų ir naudos analizės laikotarpis atitinka Europos Komisijos parengtame darbo dokumente Nr. 4 „Ekonominės naudos analizės atlikimo metodikos gairės“ </w:t>
            </w:r>
            <w:r>
              <w:rPr>
                <w:iCs/>
              </w:rPr>
              <w:t>(angl.</w:t>
            </w:r>
            <w:r>
              <w:rPr>
                <w:i/>
                <w:iCs/>
              </w:rPr>
              <w:t xml:space="preserve"> Guidance on the methodology for carrying out cost-benefit analysis, Working Document No. 4</w:t>
            </w:r>
            <w:r>
              <w:rPr>
                <w:iCs/>
              </w:rPr>
              <w:t>)</w:t>
            </w:r>
            <w:r>
              <w:rPr>
                <w:i/>
                <w:iCs/>
              </w:rPr>
              <w:t xml:space="preserve"> </w:t>
            </w:r>
            <w:r>
              <w:t xml:space="preserve">ir dokumente „Investicinių projektų kaštų naudos analizės gairės“ </w:t>
            </w:r>
            <w:r>
              <w:rPr>
                <w:iCs/>
              </w:rPr>
              <w:t>(angl.</w:t>
            </w:r>
            <w:r>
              <w:rPr>
                <w:i/>
                <w:iCs/>
              </w:rPr>
              <w:t xml:space="preserve"> Guide to cost-benefit analysis of investment projects</w:t>
            </w:r>
            <w:r>
              <w:rPr>
                <w:iCs/>
              </w:rPr>
              <w:t>)</w:t>
            </w:r>
            <w:r>
              <w:t xml:space="preserve"> rekomenduojamą laikotarpį; jei analizuojant imamas kitas laikotarpis, tai projekte yra pateikiamas paaiškinimas, kuris, vertintojo nuomone, pagrindžia sprendimą taikyti kitą analizės laikotarpį.</w:t>
            </w:r>
          </w:p>
          <w:p>
            <w:pPr>
              <w:widowControl w:val="0"/>
            </w:pPr>
            <w:r>
              <w:rPr>
                <w:i/>
                <w:iCs/>
              </w:rPr>
              <w:t>Informacijos šaltinis – paraiškos B dalis. Didelės apimties projektams – paraiška pagal Komisijos reglamento Nr. 1828/2006 XXI priedą.</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9.1.4. Taikoma pagrįsta diskonto norma.</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snapToGrid w:val="0"/>
            </w:pPr>
            <w:r>
              <w:t xml:space="preserve">Taikoma diskonto norma atitinka Europos Komisijos parengtame darbo dokumente Nr. 4 „Ekonominės naudos analizės atlikimo metodikos gairės“ </w:t>
            </w:r>
            <w:r>
              <w:rPr>
                <w:iCs/>
              </w:rPr>
              <w:t>(angl.</w:t>
            </w:r>
            <w:r>
              <w:rPr>
                <w:i/>
                <w:iCs/>
              </w:rPr>
              <w:t xml:space="preserve"> Guidance on the methodology for carrying out cost-benefit analysis, Working Document No. 4</w:t>
            </w:r>
            <w:r>
              <w:rPr>
                <w:iCs/>
              </w:rPr>
              <w:t>)</w:t>
            </w:r>
            <w:r>
              <w:rPr>
                <w:i/>
                <w:iCs/>
              </w:rPr>
              <w:t xml:space="preserve"> </w:t>
            </w:r>
            <w:r>
              <w:t xml:space="preserve">ir dokumente „Investicinių projektų kaštų naudos analizės gairės“ </w:t>
            </w:r>
            <w:r>
              <w:rPr>
                <w:iCs/>
              </w:rPr>
              <w:t>(angl.</w:t>
            </w:r>
            <w:r>
              <w:rPr>
                <w:i/>
                <w:iCs/>
              </w:rPr>
              <w:t xml:space="preserve"> Guide to cost-benefit analysis of investment projects</w:t>
            </w:r>
            <w:r>
              <w:rPr>
                <w:iCs/>
              </w:rPr>
              <w:t>)</w:t>
            </w:r>
            <w:r>
              <w:t xml:space="preserve"> rekomenduojamą normą; jei neatitinka, pateiktas paaiškinimas, kuris, vertintojo nuomone, pagrindžia sprendimą taikyti kitokią diskonto normą.</w:t>
            </w:r>
          </w:p>
          <w:p>
            <w:pPr>
              <w:widowControl w:val="0"/>
              <w:snapToGrid w:val="0"/>
            </w:pPr>
            <w:r>
              <w:rPr>
                <w:i/>
                <w:iCs/>
              </w:rPr>
              <w:t>Informacijos šaltinis – paraiškos B dalis. Didelės apimties projektams – paraiška pagal Komisijos reglamento Nr. 1828/2006 XXI priedą.</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9.1.5. Teisingai apskaičiuotos ir pagrįstos finansinių rodiklių reikšmės (jei taikoma).</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Teisingai apskaičiuoti finansiniai rodikliai (FGDV, FVGN ir sąnaudų/naudos santykis). Jų reikšmės pagrindžia prašomų lėšų apimtį.</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9.1.6. Teisingai apskaičiuotos ir pagrįstos ekonominių rodiklių reikšmės (jei taikoma).</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snapToGrid w:val="0"/>
            </w:pPr>
            <w:r>
              <w:t>Teisingai apskaičiuoti finansiniai rodikliai (finansinė grynoji dabartinė vertė</w:t>
            </w:r>
            <w:r>
              <w:rPr>
                <w:i/>
                <w:iCs/>
              </w:rPr>
              <w:t xml:space="preserve"> </w:t>
            </w:r>
            <w:r>
              <w:rPr>
                <w:iCs/>
              </w:rPr>
              <w:t>(angl</w:t>
            </w:r>
            <w:r>
              <w:rPr>
                <w:i/>
                <w:iCs/>
              </w:rPr>
              <w:t>. financial net present value</w:t>
            </w:r>
            <w:r>
              <w:rPr>
                <w:iCs/>
              </w:rPr>
              <w:t>)</w:t>
            </w:r>
            <w:r>
              <w:rPr>
                <w:i/>
                <w:iCs/>
              </w:rPr>
              <w:t xml:space="preserve"> (</w:t>
            </w:r>
            <w:r>
              <w:t xml:space="preserve">FNPV), finansinė grąžos norma </w:t>
            </w:r>
            <w:r>
              <w:rPr>
                <w:iCs/>
              </w:rPr>
              <w:t>(angl.</w:t>
            </w:r>
            <w:r>
              <w:rPr>
                <w:i/>
                <w:iCs/>
              </w:rPr>
              <w:t xml:space="preserve"> financial rate of return</w:t>
            </w:r>
            <w:r>
              <w:rPr>
                <w:iCs/>
              </w:rPr>
              <w:t>)</w:t>
            </w:r>
            <w:r>
              <w:t xml:space="preserve"> (FRR) ir sąnaudų (naudos) </w:t>
            </w:r>
            <w:r>
              <w:rPr>
                <w:i/>
                <w:iCs/>
              </w:rPr>
              <w:t xml:space="preserve">santykis </w:t>
            </w:r>
            <w:r>
              <w:rPr>
                <w:iCs/>
              </w:rPr>
              <w:t>(angl.</w:t>
            </w:r>
            <w:r>
              <w:rPr>
                <w:i/>
                <w:iCs/>
              </w:rPr>
              <w:t xml:space="preserve"> benefit/cost ratio</w:t>
            </w:r>
            <w:r>
              <w:rPr>
                <w:iCs/>
              </w:rPr>
              <w:t>)</w:t>
            </w:r>
            <w:r>
              <w:t>). Jų reikšmės pagrindžia prašomų lėšų apimtis.</w:t>
            </w:r>
          </w:p>
          <w:p>
            <w:pPr>
              <w:widowControl w:val="0"/>
              <w:snapToGrid w:val="0"/>
            </w:pPr>
            <w:r>
              <w:rPr>
                <w:i/>
                <w:iCs/>
              </w:rPr>
              <w:t>Informacijos šaltinis – paraiškos B dalis. Didelės apimties projektams – paraiška pagal Komisijos reglamento Nr. 1828/2006 XXI priedą.</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 xml:space="preserve">9.1.7. Įvertintos rizikos. </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Įvertintos pagrindinės projekto rizikos, numatyti jų valdymo veiksmai. Jautrumo analizės rezultatai (jei taikoma) rodo, jog pasireiškus rizikoms, projekto finansinių ir ekonominių rodiklių reikšmės (nuokrypiai) vis tiek yra priimtinos.</w:t>
            </w:r>
          </w:p>
          <w:p>
            <w:pPr>
              <w:widowControl w:val="0"/>
            </w:pPr>
            <w:r>
              <w:rPr>
                <w:i/>
                <w:iCs/>
              </w:rPr>
              <w:t>Informacijos šaltinis – paraiškos B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9.1.8. Projekto teikiama nauda atitinka planuojamiems rezultatams pasiekti reikalingas sąnaudas.</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Kai šiame Apraše nereikalaujama atlikti detalios sąnaudų ir naudos analizės, vertinama (vadovaujantis analogiškais projektais, veiklomis ir pan.) projekto rezultatų atitiktis investicijoms.</w:t>
            </w:r>
          </w:p>
          <w:p>
            <w:pPr>
              <w:widowControl w:val="0"/>
            </w:pPr>
          </w:p>
          <w:p>
            <w:pPr>
              <w:widowControl w:val="0"/>
              <w:rPr>
                <w:i/>
                <w:iCs/>
              </w:rPr>
            </w:pPr>
            <w:r>
              <w:rPr>
                <w:i/>
                <w:iCs/>
              </w:rPr>
              <w:t>Informacijos šaltinis – paraiškos B dalis.</w:t>
            </w:r>
          </w:p>
          <w:p>
            <w:pPr>
              <w:widowControl w:val="0"/>
            </w:pPr>
          </w:p>
        </w:tc>
      </w:tr>
      <w:tr>
        <w:trPr>
          <w:trHeight w:val="20"/>
        </w:trPr>
        <w:tc>
          <w:tcPr>
            <w:tcW w:w="2388" w:type="dxa"/>
            <w:vMerge/>
          </w:tcPr>
          <w:p>
            <w:pPr>
              <w:widowControl w:val="0"/>
            </w:pPr>
          </w:p>
        </w:tc>
        <w:tc>
          <w:tcPr>
            <w:tcW w:w="2520" w:type="dxa"/>
            <w:vMerge w:val="restart"/>
          </w:tcPr>
          <w:p>
            <w:pPr>
              <w:widowControl w:val="0"/>
            </w:pPr>
            <w:r>
              <w:t xml:space="preserve">9.2.  Atitiktis Vykdomų pagal Lietuvos 2007–2013 metų Europos Sąjungos struktūrinės paramos panaudojimo strategiją ir ją įgyvendinančias veiksmų programas projektų išlaidų ir finansavimo reikalavimų atitikties taisyklėse, patvirtintose Vyriausybės 2007 m. spalio 31 d. nutarimu Nr. 1179 (Žin., 2007, Nr. </w:t>
            </w:r>
            <w:hyperlink r:id="rId27" w:tgtFrame="_blank" w:history="1">
              <w:r>
                <w:rPr>
                  <w:color w:val="0000FF" w:themeColor="hyperlink"/>
                  <w:u w:val="single"/>
                </w:rPr>
                <w:t>117-4789</w:t>
              </w:r>
            </w:hyperlink>
            <w:r>
              <w:t>) (toliau – Išlaidų atitikties finansavimo reikalavimams taisyklės) ir šiame Apraše nustatytiems projekto veiklų ir išlaidų apribojimams.</w:t>
            </w:r>
          </w:p>
        </w:tc>
        <w:tc>
          <w:tcPr>
            <w:tcW w:w="2523" w:type="dxa"/>
            <w:gridSpan w:val="4"/>
          </w:tcPr>
          <w:p>
            <w:pPr>
              <w:widowControl w:val="0"/>
            </w:pPr>
            <w:r>
              <w:t>9.2.1. Projekte numatytos veiklos atitinka tinkamoms finansuoti veikloms ir jų apimčiai nustatytus reikalavimus.</w:t>
            </w:r>
          </w:p>
          <w:p>
            <w:pPr>
              <w:widowControl w:val="0"/>
            </w:pPr>
          </w:p>
          <w:p>
            <w:pPr>
              <w:widowControl w:val="0"/>
              <w:ind w:left="283"/>
            </w:pPr>
            <w:r>
              <w:t>Projekte numatytos veiklos yra netinkamos, jeigu:</w:t>
            </w:r>
          </w:p>
          <w:p>
            <w:pPr>
              <w:widowControl w:val="0"/>
              <w:ind w:left="283"/>
            </w:pPr>
            <w:r>
              <w:t>– neatitinka pagrindinių reikalavimų, išdėstytų Išlaidų ir finansavimo reikalavimų atitikties taisyklėse;</w:t>
            </w:r>
          </w:p>
          <w:p>
            <w:pPr>
              <w:widowControl w:val="0"/>
              <w:ind w:left="283"/>
            </w:pPr>
            <w:r>
              <w:t>– dengiamos iš kitų nacionalinių, Europos Bendrijos ar kitų paramos lėšų;</w:t>
            </w:r>
          </w:p>
          <w:p>
            <w:pPr>
              <w:widowControl w:val="0"/>
            </w:pPr>
            <w:r>
              <w:t>– padarytos perkant prekes, darbus ar paslaugas projekto vykdytojui ir (ar) jo partneriui nesilaikant Viešųjų pirkimų įstatymo nuostatų.</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Būtina įsitikinti, kad projekto veiklos yra tinkamos finansuoti atsižvelgiant tiek į Išlaidų atitikties finansavimo reikalavimams taisyklėse ir šiame Apraše nustatytus reikalavimus, tiek į specialiuosius atitikties atrankos kriterijus.</w:t>
            </w:r>
          </w:p>
          <w:p>
            <w:pPr>
              <w:widowControl w:val="0"/>
            </w:pPr>
            <w:r>
              <w:t>Taip pat būtina įvertinti projekto riziką, susijusią su „dvigubu“ finansavimu, t. y. įvertinant pareiškėjo ir partnerių įgyvendintus ir (arba) įgyvendinamus projektus būtina įsitikinti, kad toms pačioms veikloms ir išlaidoms finansavimas nebus skiriamas pakartotinai.</w:t>
            </w:r>
          </w:p>
          <w:p>
            <w:pPr>
              <w:widowControl w:val="0"/>
              <w:rPr>
                <w:i/>
                <w:iCs/>
              </w:rPr>
            </w:pPr>
          </w:p>
          <w:p>
            <w:pPr>
              <w:widowControl w:val="0"/>
            </w:pPr>
            <w:r>
              <w:rPr>
                <w:i/>
                <w:iCs/>
              </w:rPr>
              <w:t>Informacijos šaltinis – paraiškos A ir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 xml:space="preserve">9.2.2. Išlaidos suplanuotos efektyviai ir pagrįstai. </w:t>
            </w:r>
          </w:p>
          <w:p>
            <w:pPr>
              <w:widowControl w:val="0"/>
            </w:pPr>
          </w:p>
          <w:p>
            <w:pPr>
              <w:widowControl w:val="0"/>
            </w:pPr>
            <w:r>
              <w:t xml:space="preserve">Projekto finansavimo dydis nustatytas kaip mažiausia projektui įgyvendinti būtina lėšų suma. </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Būtina įsitikinti, kad projekto išlaidos yra būtinos projekto veikloms atlikti ir atitinka rinkos kainas.</w:t>
            </w:r>
          </w:p>
          <w:p>
            <w:pPr>
              <w:widowControl w:val="0"/>
            </w:pPr>
          </w:p>
          <w:p>
            <w:pPr>
              <w:widowControl w:val="0"/>
            </w:pPr>
            <w:r>
              <w:t xml:space="preserve">Būtina įsitikinti, ar projekto finansavimo dydis nustatytas atsižvelgiant į projekto išlaidų realumą ir būtinumą. Jei projekto išlaidos yra apskaičiuotos nesinaudojant realiais įkainiais, vertintojai turi teisę perskaičiuoti projekto biudžetą naudodami vidutinius rinkos įkainius ir sumažinti projekto tinkamas finansuoti išlaidas ir atitinkamai – finansavimo sumą. </w:t>
            </w:r>
          </w:p>
          <w:p>
            <w:pPr>
              <w:widowControl w:val="0"/>
            </w:pPr>
            <w:r>
              <w:rPr>
                <w:i/>
                <w:iCs/>
              </w:rPr>
              <w:t>Informacijos šaltinis – paraiškos A ir B dalys.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9.2.3. Užtikrinama lėšų įsisavinimo sparta.</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Būtina įsitikinti, kad projekto veiklų suplanavimas užtikrins numatomą lėšų įsisavinimo spartą.</w:t>
            </w:r>
          </w:p>
          <w:p>
            <w:pPr>
              <w:widowControl w:val="0"/>
            </w:pPr>
            <w:r>
              <w:rPr>
                <w:i/>
                <w:iCs/>
              </w:rPr>
              <w:t>Informacijos šaltinis – paraiškos A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9.2.4. Projektas atitinka „kryžminio“ finansavimo reikalavimus.</w:t>
            </w:r>
          </w:p>
        </w:tc>
        <w:tc>
          <w:tcPr>
            <w:tcW w:w="969" w:type="dxa"/>
          </w:tcPr>
          <w:p>
            <w:pPr>
              <w:widowControl w:val="0"/>
              <w:rPr>
                <w:bCs/>
              </w:rPr>
            </w:pPr>
          </w:p>
        </w:tc>
        <w:tc>
          <w:tcPr>
            <w:tcW w:w="831" w:type="dxa"/>
          </w:tcPr>
          <w:p>
            <w:pPr>
              <w:widowControl w:val="0"/>
              <w:rPr>
                <w:bCs/>
              </w:rPr>
            </w:pPr>
          </w:p>
        </w:tc>
        <w:tc>
          <w:tcPr>
            <w:tcW w:w="1106" w:type="dxa"/>
          </w:tcPr>
          <w:p>
            <w:pPr>
              <w:widowControl w:val="0"/>
              <w:rPr>
                <w:bCs/>
              </w:rPr>
            </w:pPr>
          </w:p>
        </w:tc>
        <w:tc>
          <w:tcPr>
            <w:tcW w:w="4403" w:type="dxa"/>
          </w:tcPr>
          <w:p>
            <w:pPr>
              <w:widowControl w:val="0"/>
            </w:pPr>
            <w:r>
              <w:t>Aprašo finansuojamai veiklai reikalavimas netaikomas.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 xml:space="preserve">9.2.5. Teisingai pritaikyta vienodo dydžio norma (angl. </w:t>
            </w:r>
            <w:r>
              <w:rPr>
                <w:i/>
                <w:iCs/>
              </w:rPr>
              <w:t>Flat-rate</w:t>
            </w:r>
            <w:r>
              <w:t>).</w:t>
            </w:r>
          </w:p>
        </w:tc>
        <w:tc>
          <w:tcPr>
            <w:tcW w:w="969" w:type="dxa"/>
          </w:tcPr>
          <w:p>
            <w:pPr>
              <w:widowControl w:val="0"/>
              <w:rPr>
                <w:bCs/>
              </w:rPr>
            </w:pPr>
          </w:p>
        </w:tc>
        <w:tc>
          <w:tcPr>
            <w:tcW w:w="831" w:type="dxa"/>
          </w:tcPr>
          <w:p>
            <w:pPr>
              <w:widowControl w:val="0"/>
              <w:rPr>
                <w:bCs/>
              </w:rPr>
            </w:pPr>
          </w:p>
        </w:tc>
        <w:tc>
          <w:tcPr>
            <w:tcW w:w="1106" w:type="dxa"/>
          </w:tcPr>
          <w:p>
            <w:pPr>
              <w:widowControl w:val="0"/>
              <w:rPr>
                <w:bCs/>
              </w:rPr>
            </w:pPr>
          </w:p>
        </w:tc>
        <w:tc>
          <w:tcPr>
            <w:tcW w:w="4403" w:type="dxa"/>
          </w:tcPr>
          <w:p>
            <w:pPr>
              <w:widowControl w:val="0"/>
            </w:pPr>
            <w:r>
              <w:t>Aprašo finansuojamai veiklai reikalavimas netaikomas.</w:t>
            </w:r>
          </w:p>
        </w:tc>
      </w:tr>
      <w:tr>
        <w:trPr>
          <w:trHeight w:val="20"/>
        </w:trPr>
        <w:tc>
          <w:tcPr>
            <w:tcW w:w="2388" w:type="dxa"/>
            <w:vMerge/>
          </w:tcPr>
          <w:p>
            <w:pPr>
              <w:widowControl w:val="0"/>
            </w:pPr>
          </w:p>
        </w:tc>
        <w:tc>
          <w:tcPr>
            <w:tcW w:w="2520" w:type="dxa"/>
            <w:vMerge w:val="restart"/>
          </w:tcPr>
          <w:p>
            <w:pPr>
              <w:widowControl w:val="0"/>
            </w:pPr>
            <w:r>
              <w:t xml:space="preserve">9.3. Projektui reikiamas finansavimas nustatytas atsižvelgiant į Tarybos reglamento (EB) Nr. 1083/2006 55 straipsnyje išdėstytus reikalavimus. </w:t>
            </w:r>
          </w:p>
          <w:p>
            <w:pPr>
              <w:widowControl w:val="0"/>
            </w:pPr>
            <w:r>
              <w:t>Grynųjų pajamų skaičiavimai turi būti atlikti vadovaujantis „Paraiškos formos B dalies pavyzdinio priedo pajamas duodantiems projektams pildymo vadovo“ nuostatomis.</w:t>
            </w:r>
          </w:p>
          <w:p>
            <w:pPr>
              <w:widowControl w:val="0"/>
            </w:pPr>
            <w:r>
              <w:t>(</w:t>
            </w:r>
            <w:r>
              <w:rPr>
                <w:i/>
                <w:iCs/>
              </w:rPr>
              <w:t>http://www.esparama.lt/2007-2013/lt/fm/metodika</w:t>
            </w:r>
            <w:r>
              <w:t>)</w:t>
            </w:r>
          </w:p>
        </w:tc>
        <w:tc>
          <w:tcPr>
            <w:tcW w:w="2523" w:type="dxa"/>
            <w:gridSpan w:val="4"/>
          </w:tcPr>
          <w:p>
            <w:pPr>
              <w:widowControl w:val="0"/>
            </w:pPr>
            <w:r>
              <w:t xml:space="preserve">9.3.1. Projekto paraiškoje teisingai nurodyta, kuriai kategorijai priklauso projektas, t. y. iš kurio: </w:t>
            </w:r>
          </w:p>
          <w:p>
            <w:pPr>
              <w:widowControl w:val="0"/>
              <w:tabs>
                <w:tab w:val="center" w:pos="4153"/>
                <w:tab w:val="right" w:pos="8306"/>
              </w:tabs>
            </w:pPr>
            <w:r>
              <w:t xml:space="preserve">9.3.1.1. negaunama pajamų; </w:t>
            </w:r>
          </w:p>
          <w:p>
            <w:pPr>
              <w:widowControl w:val="0"/>
              <w:tabs>
                <w:tab w:val="center" w:pos="4153"/>
                <w:tab w:val="right" w:pos="8306"/>
              </w:tabs>
            </w:pPr>
            <w:r>
              <w:t xml:space="preserve">9.3.1.2. gaunama pajamų, bet jų neįmanoma nustatyti iš anksto; </w:t>
            </w:r>
          </w:p>
          <w:p>
            <w:pPr>
              <w:widowControl w:val="0"/>
              <w:tabs>
                <w:tab w:val="center" w:pos="4153"/>
                <w:tab w:val="right" w:pos="8306"/>
              </w:tabs>
            </w:pPr>
            <w:r>
              <w:t>9.3.1.3. gaunama pajamų ir jos yra įvertinamos iš anksto (reglamento (EB) Nr. 1083/2006 55straipsnio 2 dalis) (taikoma projektams, kurių vertė didesnė nei 3,453 mln. Lt).</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 xml:space="preserve">Būtina įsitikinti, ar projekto vykdytojas teisingai priskyrė savo projektą prie vienos iš išvardytų kategorijų. Detalios metodologinės rekomendacijos EK pateiktos Metodinėse rekomendacijose dėl Tarybos reglamento Nr. 1083/2006 55 straipsnio: pajamas duodantys projektai </w:t>
            </w:r>
            <w:r>
              <w:rPr>
                <w:iCs/>
              </w:rPr>
              <w:t>(angl.</w:t>
            </w:r>
            <w:r>
              <w:rPr>
                <w:i/>
                <w:iCs/>
              </w:rPr>
              <w:t xml:space="preserve"> Guidance note on Art. 55, Council Regulation (EC) 1083/2006: Revenue Generating Projects</w:t>
            </w:r>
            <w:r>
              <w:rPr>
                <w:iCs/>
              </w:rPr>
              <w:t>)</w:t>
            </w:r>
            <w:r>
              <w:t xml:space="preserve">. </w:t>
            </w:r>
          </w:p>
          <w:p>
            <w:pPr>
              <w:widowControl w:val="0"/>
              <w:rPr>
                <w:i/>
                <w:iCs/>
              </w:rPr>
            </w:pPr>
          </w:p>
          <w:p>
            <w:pPr>
              <w:widowControl w:val="0"/>
              <w:rPr>
                <w:bCs/>
              </w:rPr>
            </w:pPr>
            <w:r>
              <w:rPr>
                <w:i/>
                <w:iCs/>
              </w:rPr>
              <w:t>Informacijos šaltinis – paraiškos B dalis.</w:t>
            </w:r>
          </w:p>
        </w:tc>
      </w:tr>
      <w:tr>
        <w:trPr>
          <w:trHeight w:val="20"/>
        </w:trPr>
        <w:tc>
          <w:tcPr>
            <w:tcW w:w="2388" w:type="dxa"/>
            <w:vMerge/>
          </w:tcPr>
          <w:p>
            <w:pPr>
              <w:widowControl w:val="0"/>
            </w:pPr>
          </w:p>
        </w:tc>
        <w:tc>
          <w:tcPr>
            <w:tcW w:w="2520" w:type="dxa"/>
            <w:vMerge/>
          </w:tcPr>
          <w:p>
            <w:pPr>
              <w:widowControl w:val="0"/>
            </w:pPr>
          </w:p>
        </w:tc>
        <w:tc>
          <w:tcPr>
            <w:tcW w:w="2523" w:type="dxa"/>
            <w:gridSpan w:val="4"/>
          </w:tcPr>
          <w:p>
            <w:pPr>
              <w:widowControl w:val="0"/>
            </w:pPr>
            <w:r>
              <w:t>9.3.2. Iš projekto planuojamos gauti pajamos teisingai apskaičiuotos ir teisingai nustatytas finansavimo dydis (taikoma projektams, kurių vertė didesnė nei 3,453 mln. Lt).</w:t>
            </w:r>
          </w:p>
        </w:tc>
        <w:tc>
          <w:tcPr>
            <w:tcW w:w="969" w:type="dxa"/>
          </w:tcPr>
          <w:p>
            <w:pPr>
              <w:widowControl w:val="0"/>
              <w:rPr>
                <w:bCs/>
              </w:rPr>
            </w:pPr>
          </w:p>
        </w:tc>
        <w:tc>
          <w:tcPr>
            <w:tcW w:w="831" w:type="dxa"/>
          </w:tcPr>
          <w:p>
            <w:pPr>
              <w:widowControl w:val="0"/>
              <w:rPr>
                <w:bCs/>
              </w:rPr>
            </w:pPr>
          </w:p>
        </w:tc>
        <w:tc>
          <w:tcPr>
            <w:tcW w:w="1106" w:type="dxa"/>
          </w:tcPr>
          <w:p>
            <w:pPr>
              <w:widowControl w:val="0"/>
              <w:ind w:firstLine="60"/>
              <w:rPr>
                <w:bCs/>
              </w:rPr>
            </w:pPr>
          </w:p>
        </w:tc>
        <w:tc>
          <w:tcPr>
            <w:tcW w:w="4403" w:type="dxa"/>
          </w:tcPr>
          <w:p>
            <w:pPr>
              <w:widowControl w:val="0"/>
            </w:pPr>
            <w:r>
              <w:t xml:space="preserve">Būtina įsitikinti, kad iš projekto planuojamos gauti grynosios pajamos apskaičiuotos ir priskirtos prie </w:t>
            </w:r>
          </w:p>
          <w:p>
            <w:pPr>
              <w:widowControl w:val="0"/>
              <w:ind w:firstLine="67"/>
            </w:pPr>
            <w:r>
              <w:t xml:space="preserve">Tinkamų ir netinkamų projekto išlaidų teisingai. Taip pat būtina įsitikinti, kad projektui reikiamo finansavimo dydis yra apskaičiuotas grynųjų pajamų dydžiu sumažinus projekto EK tinkamų deklaruoti išlaidų sumą taip, kaip nustatyta Tarybos reglamento (EB) Nr. 1083/2006 55 straipsnio 2 dalyje. Detalios metodologinės rekomendacijos EK pateiktos Metodinėse rekomendacijose dėl Tarybos Reglamento Nr. 1083/2006 55 straipsnio: pajamas duodantys projektai </w:t>
            </w:r>
            <w:r>
              <w:rPr>
                <w:iCs/>
              </w:rPr>
              <w:t>(angl.</w:t>
            </w:r>
            <w:r>
              <w:rPr>
                <w:i/>
                <w:iCs/>
              </w:rPr>
              <w:t xml:space="preserve"> Guidance note on Art. 55, Council Regulation (EC) 1083/2006: Revenue Generating Projects</w:t>
            </w:r>
            <w:r>
              <w:rPr>
                <w:iCs/>
              </w:rPr>
              <w:t>)</w:t>
            </w:r>
            <w:r>
              <w:t xml:space="preserve">. </w:t>
            </w:r>
          </w:p>
          <w:p>
            <w:pPr>
              <w:widowControl w:val="0"/>
              <w:tabs>
                <w:tab w:val="left" w:pos="2847"/>
              </w:tabs>
            </w:pPr>
            <w:r>
              <w:rPr>
                <w:i/>
                <w:iCs/>
              </w:rPr>
              <w:t>Informacijos šaltinis – paraiškos B dalis.</w:t>
            </w:r>
          </w:p>
        </w:tc>
      </w:tr>
      <w:tr>
        <w:trPr>
          <w:trHeight w:val="20"/>
        </w:trPr>
        <w:tc>
          <w:tcPr>
            <w:tcW w:w="2388" w:type="dxa"/>
            <w:shd w:val="clear" w:color="auto" w:fill="92D050"/>
          </w:tcPr>
          <w:p>
            <w:pPr>
              <w:widowControl w:val="0"/>
            </w:pPr>
          </w:p>
        </w:tc>
        <w:tc>
          <w:tcPr>
            <w:tcW w:w="2520" w:type="dxa"/>
            <w:shd w:val="clear" w:color="auto" w:fill="92D050"/>
          </w:tcPr>
          <w:p>
            <w:pPr>
              <w:widowControl w:val="0"/>
            </w:pPr>
          </w:p>
        </w:tc>
        <w:tc>
          <w:tcPr>
            <w:tcW w:w="2523" w:type="dxa"/>
            <w:gridSpan w:val="4"/>
            <w:shd w:val="clear" w:color="auto" w:fill="92D050"/>
          </w:tcPr>
          <w:p>
            <w:pPr>
              <w:widowControl w:val="0"/>
            </w:pPr>
          </w:p>
        </w:tc>
        <w:tc>
          <w:tcPr>
            <w:tcW w:w="969" w:type="dxa"/>
            <w:shd w:val="clear" w:color="auto" w:fill="92D050"/>
          </w:tcPr>
          <w:p>
            <w:pPr>
              <w:widowControl w:val="0"/>
            </w:pPr>
          </w:p>
        </w:tc>
        <w:tc>
          <w:tcPr>
            <w:tcW w:w="831" w:type="dxa"/>
            <w:shd w:val="clear" w:color="auto" w:fill="92D050"/>
          </w:tcPr>
          <w:p>
            <w:pPr>
              <w:widowControl w:val="0"/>
            </w:pPr>
          </w:p>
        </w:tc>
        <w:tc>
          <w:tcPr>
            <w:tcW w:w="1106" w:type="dxa"/>
            <w:shd w:val="clear" w:color="auto" w:fill="92D050"/>
          </w:tcPr>
          <w:p>
            <w:pPr>
              <w:widowControl w:val="0"/>
            </w:pPr>
          </w:p>
        </w:tc>
        <w:tc>
          <w:tcPr>
            <w:tcW w:w="4403" w:type="dxa"/>
            <w:shd w:val="clear" w:color="auto" w:fill="92D050"/>
          </w:tcPr>
          <w:p>
            <w:pPr>
              <w:widowControl w:val="0"/>
            </w:pPr>
          </w:p>
        </w:tc>
      </w:tr>
      <w:tr>
        <w:trPr>
          <w:trHeight w:val="20"/>
        </w:trPr>
        <w:tc>
          <w:tcPr>
            <w:tcW w:w="5745" w:type="dxa"/>
            <w:gridSpan w:val="3"/>
            <w:tcBorders>
              <w:right w:val="nil"/>
            </w:tcBorders>
            <w:shd w:val="clear" w:color="auto" w:fill="FFFFFF"/>
          </w:tcPr>
          <w:p>
            <w:pPr>
              <w:widowControl w:val="0"/>
            </w:pPr>
            <w:r>
              <w:t>VERTINTOJO PASTABOS</w:t>
            </w:r>
          </w:p>
          <w:p>
            <w:pPr>
              <w:widowControl w:val="0"/>
            </w:pPr>
            <w:r>
              <w:t>Paraiškos vertintojas</w:t>
            </w:r>
          </w:p>
          <w:p>
            <w:pPr>
              <w:widowControl w:val="0"/>
            </w:pPr>
            <w:r>
              <w:t xml:space="preserve">(pareigos, pavardė, vardas, parašas) </w:t>
            </w:r>
          </w:p>
          <w:p>
            <w:pPr>
              <w:widowControl w:val="0"/>
            </w:pPr>
            <w:r>
              <w:t>Vertinimo data</w:t>
            </w:r>
          </w:p>
        </w:tc>
        <w:tc>
          <w:tcPr>
            <w:tcW w:w="840" w:type="dxa"/>
            <w:tcBorders>
              <w:left w:val="nil"/>
              <w:right w:val="nil"/>
            </w:tcBorders>
            <w:shd w:val="clear" w:color="auto" w:fill="FFFFFF"/>
          </w:tcPr>
          <w:p>
            <w:pPr>
              <w:widowControl w:val="0"/>
            </w:pPr>
          </w:p>
        </w:tc>
        <w:tc>
          <w:tcPr>
            <w:tcW w:w="840" w:type="dxa"/>
            <w:tcBorders>
              <w:left w:val="nil"/>
              <w:right w:val="nil"/>
            </w:tcBorders>
            <w:shd w:val="clear" w:color="auto" w:fill="FFFFFF"/>
          </w:tcPr>
          <w:p>
            <w:pPr>
              <w:widowControl w:val="0"/>
            </w:pPr>
          </w:p>
        </w:tc>
        <w:tc>
          <w:tcPr>
            <w:tcW w:w="975" w:type="dxa"/>
            <w:gridSpan w:val="2"/>
            <w:tcBorders>
              <w:left w:val="nil"/>
              <w:right w:val="nil"/>
            </w:tcBorders>
            <w:shd w:val="clear" w:color="auto" w:fill="FFFFFF"/>
          </w:tcPr>
          <w:p>
            <w:pPr>
              <w:widowControl w:val="0"/>
            </w:pPr>
          </w:p>
        </w:tc>
        <w:tc>
          <w:tcPr>
            <w:tcW w:w="825" w:type="dxa"/>
            <w:tcBorders>
              <w:left w:val="nil"/>
              <w:right w:val="nil"/>
            </w:tcBorders>
            <w:shd w:val="clear" w:color="auto" w:fill="FFFFFF"/>
          </w:tcPr>
          <w:p>
            <w:pPr>
              <w:widowControl w:val="0"/>
            </w:pPr>
          </w:p>
        </w:tc>
        <w:tc>
          <w:tcPr>
            <w:tcW w:w="1112" w:type="dxa"/>
            <w:tcBorders>
              <w:left w:val="nil"/>
              <w:right w:val="nil"/>
            </w:tcBorders>
            <w:shd w:val="clear" w:color="auto" w:fill="FFFFFF"/>
          </w:tcPr>
          <w:p>
            <w:pPr>
              <w:widowControl w:val="0"/>
            </w:pPr>
          </w:p>
        </w:tc>
        <w:tc>
          <w:tcPr>
            <w:tcW w:w="4403" w:type="dxa"/>
            <w:tcBorders>
              <w:left w:val="nil"/>
            </w:tcBorders>
            <w:shd w:val="clear" w:color="auto" w:fill="FFFFFF"/>
          </w:tcPr>
          <w:p>
            <w:pPr>
              <w:widowControl w:val="0"/>
            </w:pPr>
          </w:p>
        </w:tc>
      </w:tr>
    </w:tbl>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8595CFB09">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2010-10-06,
Žin., 2010, Nr.
124-6335 (2010-10-21); Žin., 2010, Nr.
125-0 (2010-10-23), i. k. 110301MISAK00D1-845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72ABCAACDE">
        <w:r w:rsidRPr="00532B9F">
          <w:rPr>
            <w:rFonts w:ascii="Times New Roman" w:eastAsia="MS Mincho" w:hAnsi="Times New Roman"/>
            <w:sz w:val="20"/>
            <w:i/>
            <w:iCs/>
            <w:color w:val="0000FF" w:themeColor="hyperlink"/>
            <w:u w:val="single"/>
          </w:rPr>
          <w:t>D1-157</w:t>
        </w:r>
      </w:fldSimple>
      <w:r>
        <w:rPr>
          <w:rFonts w:ascii="Times New Roman" w:eastAsia="MS Mincho" w:hAnsi="Times New Roman"/>
          <w:sz w:val="20"/>
          <w:i/>
          <w:iCs/>
        </w:rPr>
        <w:t>,
2013-02-28,
Žin., 2013, Nr.
23-1130 (2013-03-02), i. k. 113301MISAK00D1-157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dcf690c05a11e688d0ed775a2e782a">
        <w:r w:rsidRPr="00532B9F">
          <w:rPr>
            <w:rFonts w:ascii="Times New Roman" w:eastAsia="MS Mincho" w:hAnsi="Times New Roman"/>
            <w:sz w:val="20"/>
            <w:i/>
            <w:iCs/>
            <w:color w:val="0000FF" w:themeColor="hyperlink"/>
            <w:u w:val="single"/>
          </w:rPr>
          <w:t>D1-869</w:t>
        </w:r>
      </w:fldSimple>
      <w:r>
        <w:rPr>
          <w:rFonts w:ascii="Times New Roman" w:eastAsia="MS Mincho" w:hAnsi="Times New Roman"/>
          <w:sz w:val="20"/>
          <w:i/>
          <w:iCs/>
        </w:rPr>
        <w:t>,
2016-12-12,
paskelbta TAR 2016-12-12, i. k. 2016-28706            </w:t>
      </w:r>
    </w:p>
    <w:p/>
    <w:p>
      <w:pPr>
        <w:widowControl w:val="0"/>
        <w:sectPr>
          <w:pgSz w:w="16840" w:h="11907" w:orient="landscape" w:code="9"/>
          <w:pgMar w:top="1134" w:right="1134" w:bottom="1134" w:left="1134" w:header="567" w:footer="284" w:gutter="0"/>
          <w:cols w:space="1296"/>
          <w:docGrid w:linePitch="360"/>
        </w:sectPr>
      </w:pPr>
    </w:p>
    <w:p>
      <w:pPr>
        <w:widowControl w:val="0"/>
      </w:pPr>
    </w:p>
    <w:p>
      <w:pPr>
        <w:widowControl w:val="0"/>
        <w:tabs>
          <w:tab w:val="center" w:pos="4153"/>
          <w:tab w:val="right" w:pos="8306"/>
        </w:tabs>
        <w:ind w:left="4535"/>
      </w:pPr>
      <w:r>
        <w:t xml:space="preserve">Priemonės „Atliekų tvarkymo sistemos </w:t>
      </w:r>
    </w:p>
    <w:p>
      <w:pPr>
        <w:widowControl w:val="0"/>
        <w:tabs>
          <w:tab w:val="center" w:pos="4153"/>
          <w:tab w:val="right" w:pos="8306"/>
        </w:tabs>
        <w:ind w:left="4535"/>
      </w:pPr>
      <w:r>
        <w:t>sukūrimas“ veiklos „</w:t>
      </w:r>
      <w:r>
        <w:rPr>
          <w:color w:val="000000"/>
          <w:szCs w:val="24"/>
          <w:lang w:eastAsia="lt-LT"/>
        </w:rPr>
        <w:t>Komunalinių atliekų tvarkymo sistemų infrastruktūros plėtra – biologiškai skaidžių atliekų tvarkymo ir antrinių žaliavų surinkimo infrastruktūros sukūrimas</w:t>
      </w:r>
      <w:r>
        <w:t xml:space="preserve">“ projektų </w:t>
      </w:r>
    </w:p>
    <w:p>
      <w:pPr>
        <w:widowControl w:val="0"/>
        <w:tabs>
          <w:tab w:val="center" w:pos="4153"/>
          <w:tab w:val="right" w:pos="8306"/>
        </w:tabs>
        <w:ind w:left="4535"/>
      </w:pPr>
      <w:r>
        <w:t>finansavimo sąlygų aprašo</w:t>
      </w:r>
    </w:p>
    <w:p>
      <w:pPr>
        <w:widowControl w:val="0"/>
        <w:ind w:left="4535"/>
      </w:pPr>
      <w:r>
        <w:t>3 priedas</w:t>
      </w:r>
    </w:p>
    <w:p>
      <w:pPr>
        <w:widowControl w:val="0"/>
        <w:jc w:val="center"/>
        <w:rPr>
          <w:color w:val="000000"/>
        </w:rPr>
      </w:pPr>
    </w:p>
    <w:p>
      <w:pPr>
        <w:widowControl w:val="0"/>
        <w:jc w:val="center"/>
        <w:rPr>
          <w:sz w:val="20"/>
        </w:rPr>
      </w:pPr>
      <w:r>
        <w:rPr>
          <w:sz w:val="20"/>
          <w:lang w:eastAsia="lt-LT"/>
        </w:rPr>
        <w:drawing>
          <wp:inline distT="0" distB="0" distL="0" distR="0">
            <wp:extent cx="2705100" cy="11144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5100" cy="1114425"/>
                    </a:xfrm>
                    <a:prstGeom prst="rect">
                      <a:avLst/>
                    </a:prstGeom>
                    <a:noFill/>
                    <a:ln>
                      <a:noFill/>
                    </a:ln>
                  </pic:spPr>
                </pic:pic>
              </a:graphicData>
            </a:graphic>
          </wp:inline>
        </w:drawing>
      </w:r>
    </w:p>
    <w:p>
      <w:pPr>
        <w:widowControl w:val="0"/>
        <w:jc w:val="center"/>
        <w:rPr>
          <w:i/>
          <w:vanish/>
          <w:color w:val="000000"/>
        </w:rPr>
      </w:pPr>
      <w:r>
        <w:rPr>
          <w:i/>
          <w:vanish/>
        </w:rPr>
        <w:t>(Kuriame Lietuvos ateitį)</w:t>
      </w:r>
    </w:p>
    <w:p>
      <w:pPr>
        <w:rPr>
          <w:b/>
        </w:rPr>
      </w:pPr>
    </w:p>
    <w:p>
      <w:pPr>
        <w:widowControl w:val="0"/>
        <w:suppressAutoHyphens/>
        <w:jc w:val="center"/>
        <w:rPr>
          <w:b/>
          <w:bCs/>
        </w:rPr>
      </w:pPr>
      <w:r>
        <w:rPr>
          <w:b/>
          <w:bCs/>
        </w:rPr>
        <w:t>PARAIŠKOS DĖL PROJEKTO FINANSAVIMO SPECIALIOJI (B) DALIS</w:t>
      </w:r>
    </w:p>
    <w:p>
      <w:pPr>
        <w:widowControl w:val="0"/>
        <w:suppressAutoHyphens/>
      </w:pPr>
    </w:p>
    <w:p>
      <w:pPr>
        <w:widowControl w:val="0"/>
        <w:suppressAutoHyphens/>
        <w:ind w:firstLine="567"/>
        <w:jc w:val="both"/>
      </w:pPr>
      <w:r>
        <w:t>Teikiant paraišką projekto finansavimui gauti pagal 2007–2013 m. Sanglaudos skatinimo veiksmų programos 3 prioriteto „Aplinka ir darnus vystymasis“ priemonės „Atliekų tvarkymo sistemos sukūrimas“ veiklą „</w:t>
      </w:r>
      <w:r>
        <w:rPr>
          <w:color w:val="000000"/>
          <w:szCs w:val="24"/>
          <w:lang w:eastAsia="lt-LT"/>
        </w:rPr>
        <w:t>Komunalinių atliekų tvarkymo sistemų infrastruktūros plėtra – biologiškai skaidžių atliekų tvarkymo ir antrinių žaliavų surinkimo infrastruktūros sukūrimas</w:t>
      </w:r>
      <w:r>
        <w:t>“, turi būti pateikiama ši informacija.</w:t>
      </w:r>
    </w:p>
    <w:p>
      <w:pPr>
        <w:widowControl w:val="0"/>
        <w:suppressAutoHyphens/>
      </w:pPr>
    </w:p>
    <w:p>
      <w:pPr>
        <w:widowControl w:val="0"/>
        <w:suppressAutoHyphens/>
        <w:jc w:val="both"/>
        <w:rPr>
          <w:b/>
          <w:bCs/>
        </w:rPr>
      </w:pPr>
      <w:r>
        <w:rPr>
          <w:b/>
          <w:bCs/>
        </w:rPr>
        <w:t>1</w:t>
      </w:r>
      <w:r>
        <w:rPr>
          <w:b/>
          <w:bCs/>
        </w:rPr>
        <w:t>. PAREIŠKĖJO TINKAMUMO IR PAJĖGUMO REIKALAVIMAI</w:t>
      </w:r>
    </w:p>
    <w:p>
      <w:pPr>
        <w:widowControl w:val="0"/>
        <w:suppressAutoHyphen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9923" w:type="dxa"/>
            <w:shd w:val="clear" w:color="auto" w:fill="CCCCCC"/>
          </w:tcPr>
          <w:p>
            <w:pPr>
              <w:widowControl w:val="0"/>
              <w:suppressAutoHyphens/>
              <w:rPr>
                <w:b/>
              </w:rPr>
            </w:pPr>
            <w:r>
              <w:rPr>
                <w:b/>
              </w:rPr>
              <w:t>Pareiškėjo gebėjimai administruoti projektą</w:t>
            </w:r>
          </w:p>
        </w:tc>
      </w:tr>
      <w:tr>
        <w:tc>
          <w:tcPr>
            <w:tcW w:w="9923" w:type="dxa"/>
          </w:tcPr>
          <w:p>
            <w:pPr>
              <w:widowControl w:val="0"/>
              <w:suppressAutoHyphens/>
              <w:rPr>
                <w:i/>
                <w:iCs/>
              </w:rPr>
            </w:pPr>
            <w:r>
              <w:rPr>
                <w:i/>
                <w:iCs/>
              </w:rPr>
              <w:t>Nurodyti asmenis, kurie vykdys projekto vadovo, finansininko ir atliekų tvarkymo specialisto darbus. Pridėti jų atitikties šio Aprašo 2 priedo 7.2.2 punkto reikalavimams aprašymą, t. y. gyvenimo aprašymus ir juose minimų dokumentų kopijas.</w:t>
            </w:r>
          </w:p>
        </w:tc>
      </w:tr>
    </w:tbl>
    <w:p>
      <w:pPr>
        <w:widowControl w:val="0"/>
        <w:suppressAutoHyphens/>
      </w:pPr>
    </w:p>
    <w:p>
      <w:pPr>
        <w:widowControl w:val="0"/>
        <w:suppressAutoHyphens/>
        <w:ind w:firstLine="5812"/>
      </w:pPr>
      <w:r>
        <w:t>Pareiškėjo parašas ___________</w:t>
      </w:r>
    </w:p>
    <w:p>
      <w:pPr>
        <w:widowControl w:val="0"/>
        <w:suppressAutoHyphens/>
      </w:pPr>
    </w:p>
    <w:p>
      <w:pPr>
        <w:widowControl w:val="0"/>
        <w:suppressAutoHyphens/>
        <w:jc w:val="both"/>
        <w:rPr>
          <w:b/>
          <w:bCs/>
        </w:rPr>
      </w:pPr>
      <w:r>
        <w:rPr>
          <w:b/>
          <w:bCs/>
        </w:rPr>
        <w:t>2</w:t>
      </w:r>
      <w:r>
        <w:rPr>
          <w:b/>
          <w:bCs/>
        </w:rPr>
        <w:t>. PROJEKTAS ATITINKA „DEMARKACINIUS REIKALAVIMUS“</w:t>
      </w:r>
    </w:p>
    <w:p>
      <w:pPr>
        <w:widowControl w:val="0"/>
        <w:suppressAutoHyphens/>
        <w:ind w:left="360"/>
        <w:rPr>
          <w:b/>
        </w:rPr>
      </w:pPr>
    </w:p>
    <w:tbl>
      <w:tblPr>
        <w:tblW w:w="907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29"/>
        <w:gridCol w:w="210"/>
        <w:gridCol w:w="3347"/>
        <w:gridCol w:w="4535"/>
      </w:tblGrid>
      <w:tr>
        <w:trPr>
          <w:trHeight w:val="20"/>
        </w:trPr>
        <w:tc>
          <w:tcPr>
            <w:tcW w:w="5000" w:type="pct"/>
            <w:gridSpan w:val="5"/>
            <w:shd w:val="pct15" w:color="auto" w:fill="auto"/>
            <w:vAlign w:val="center"/>
          </w:tcPr>
          <w:p>
            <w:pPr>
              <w:widowControl w:val="0"/>
              <w:suppressAutoHyphens/>
              <w:rPr>
                <w:b/>
              </w:rPr>
            </w:pPr>
            <w:r>
              <w:rPr>
                <w:b/>
              </w:rPr>
              <w:t>Ar buvo pateikta paraiška dėl paramos šiam projektui arba jo daliai iš bet kokio kito Bendrijos, Lietuvos Respublikos ar kitų finansavimo šaltinių (Europos regioninio plėtros fondo, Sanglaudos fondo, kito Bendrijos finansavimo šaltinio, valstybės ar savivaldybės programų, Europos ekonominės erdvės paramos ar pan.)</w:t>
            </w:r>
          </w:p>
        </w:tc>
      </w:tr>
      <w:tr>
        <w:trPr>
          <w:trHeight w:val="20"/>
        </w:trPr>
        <w:tc>
          <w:tcPr>
            <w:tcW w:w="539" w:type="pct"/>
            <w:gridSpan w:val="2"/>
            <w:vAlign w:val="center"/>
          </w:tcPr>
          <w:p>
            <w:pPr>
              <w:widowControl w:val="0"/>
              <w:suppressAutoHyphens/>
            </w:pPr>
            <w:r>
              <w:sym w:font="Wingdings 2" w:char="F0A3"/>
            </w:r>
            <w:r>
              <w:rPr>
                <w:vanish/>
                <w:lang w:val="en-US"/>
              </w:rPr>
              <w:t>[]</w:t>
            </w:r>
            <w:r>
              <w:t xml:space="preserve"> Taip</w:t>
            </w:r>
          </w:p>
        </w:tc>
        <w:tc>
          <w:tcPr>
            <w:tcW w:w="4461" w:type="pct"/>
            <w:gridSpan w:val="3"/>
            <w:shd w:val="clear" w:color="auto" w:fill="FFFFFF"/>
          </w:tcPr>
          <w:p>
            <w:pPr>
              <w:widowControl w:val="0"/>
              <w:suppressAutoHyphens/>
            </w:pPr>
            <w:r>
              <w:t>Jei taip, prašome išsamiai aprašyti (nurodyti susijusią finansinę priemonę, nuorodų numerius, datas, prašytas sumas, suteiktas sumas ir kt.)</w:t>
            </w:r>
          </w:p>
        </w:tc>
      </w:tr>
      <w:tr>
        <w:trPr>
          <w:trHeight w:val="20"/>
        </w:trPr>
        <w:tc>
          <w:tcPr>
            <w:tcW w:w="2500" w:type="pct"/>
            <w:gridSpan w:val="4"/>
            <w:tcBorders>
              <w:bottom w:val="single" w:sz="4" w:space="0" w:color="auto"/>
              <w:right w:val="nil"/>
            </w:tcBorders>
            <w:vAlign w:val="center"/>
          </w:tcPr>
          <w:p>
            <w:pPr>
              <w:widowControl w:val="0"/>
              <w:suppressAutoHyphens/>
            </w:pPr>
            <w:r>
              <w:sym w:font="Wingdings 2" w:char="F0A3"/>
            </w:r>
            <w:r>
              <w:rPr>
                <w:vanish/>
                <w:lang w:val="en-US"/>
              </w:rPr>
              <w:t>[]</w:t>
            </w:r>
            <w:r>
              <w:rPr>
                <w:sz w:val="20"/>
              </w:rPr>
              <w:t xml:space="preserve"> </w:t>
            </w:r>
            <w:r>
              <w:t>Ne</w:t>
            </w:r>
          </w:p>
        </w:tc>
        <w:tc>
          <w:tcPr>
            <w:tcW w:w="2500" w:type="pct"/>
            <w:tcBorders>
              <w:left w:val="nil"/>
              <w:bottom w:val="single" w:sz="4" w:space="0" w:color="auto"/>
            </w:tcBorders>
            <w:vAlign w:val="center"/>
          </w:tcPr>
          <w:p>
            <w:pPr>
              <w:widowControl w:val="0"/>
              <w:suppressAutoHyphens/>
            </w:pPr>
          </w:p>
        </w:tc>
      </w:tr>
      <w:tr>
        <w:trPr>
          <w:trHeight w:val="20"/>
        </w:trPr>
        <w:tc>
          <w:tcPr>
            <w:tcW w:w="5000" w:type="pct"/>
            <w:gridSpan w:val="5"/>
            <w:shd w:val="pct15" w:color="auto" w:fill="auto"/>
            <w:vAlign w:val="center"/>
          </w:tcPr>
          <w:p>
            <w:pPr>
              <w:widowControl w:val="0"/>
              <w:suppressAutoHyphens/>
              <w:rPr>
                <w:b/>
              </w:rPr>
            </w:pPr>
            <w:r>
              <w:rPr>
                <w:b/>
              </w:rPr>
              <w:t>Ar šis projektas ar jo dalis papildo kokį nors kitą projektą, kuris jau finansuojamas ar bus finansuojamas iš Europos regioninės plėtros fondo, Sanglaudos fondo, kito Bendrijos finansavimo šaltinio, valstybės ar savivaldybės programų, Europos ekonominės erdvės paramos ar pan.</w:t>
            </w:r>
          </w:p>
        </w:tc>
      </w:tr>
      <w:tr>
        <w:trPr>
          <w:trHeight w:val="20"/>
        </w:trPr>
        <w:tc>
          <w:tcPr>
            <w:tcW w:w="539" w:type="pct"/>
            <w:gridSpan w:val="2"/>
            <w:vAlign w:val="center"/>
          </w:tcPr>
          <w:p>
            <w:pPr>
              <w:widowControl w:val="0"/>
              <w:suppressAutoHyphens/>
            </w:pPr>
            <w:r>
              <w:sym w:font="Wingdings 2" w:char="F0A3"/>
            </w:r>
            <w:r>
              <w:rPr>
                <w:vanish/>
                <w:lang w:val="en-US"/>
              </w:rPr>
              <w:t>[]</w:t>
            </w:r>
            <w:r>
              <w:t xml:space="preserve"> Taip</w:t>
            </w:r>
          </w:p>
        </w:tc>
        <w:tc>
          <w:tcPr>
            <w:tcW w:w="4461" w:type="pct"/>
            <w:gridSpan w:val="3"/>
            <w:shd w:val="clear" w:color="auto" w:fill="FFFFFF"/>
          </w:tcPr>
          <w:p>
            <w:pPr>
              <w:widowControl w:val="0"/>
              <w:suppressAutoHyphens/>
            </w:pPr>
            <w:r>
              <w:t xml:space="preserve">Jei taip, prašome išsamiai aprašyti (nurodyti tikslius duomenis, nuorodų numerius, datas, prašytas sumas, gautas sumas ir kt.) </w:t>
            </w:r>
          </w:p>
        </w:tc>
      </w:tr>
      <w:tr>
        <w:trPr>
          <w:trHeight w:val="20"/>
        </w:trPr>
        <w:tc>
          <w:tcPr>
            <w:tcW w:w="2500" w:type="pct"/>
            <w:gridSpan w:val="4"/>
            <w:tcBorders>
              <w:bottom w:val="single" w:sz="4" w:space="0" w:color="auto"/>
              <w:right w:val="nil"/>
            </w:tcBorders>
            <w:vAlign w:val="center"/>
          </w:tcPr>
          <w:p>
            <w:pPr>
              <w:widowControl w:val="0"/>
              <w:suppressAutoHyphens/>
            </w:pPr>
            <w:r>
              <w:sym w:font="Wingdings 2" w:char="F0A3"/>
            </w:r>
            <w:r>
              <w:rPr>
                <w:vanish/>
                <w:lang w:val="en-US"/>
              </w:rPr>
              <w:t>[]</w:t>
            </w:r>
            <w:r>
              <w:rPr>
                <w:sz w:val="20"/>
              </w:rPr>
              <w:t xml:space="preserve"> </w:t>
            </w:r>
            <w:r>
              <w:t>Ne</w:t>
            </w:r>
          </w:p>
        </w:tc>
        <w:tc>
          <w:tcPr>
            <w:tcW w:w="2500" w:type="pct"/>
            <w:tcBorders>
              <w:left w:val="nil"/>
              <w:bottom w:val="single" w:sz="4" w:space="0" w:color="auto"/>
            </w:tcBorders>
            <w:vAlign w:val="center"/>
          </w:tcPr>
          <w:p>
            <w:pPr>
              <w:widowControl w:val="0"/>
              <w:suppressAutoHyphens/>
            </w:pPr>
          </w:p>
        </w:tc>
      </w:tr>
      <w:tr>
        <w:trPr>
          <w:trHeight w:val="20"/>
        </w:trPr>
        <w:tc>
          <w:tcPr>
            <w:tcW w:w="5000" w:type="pct"/>
            <w:gridSpan w:val="5"/>
            <w:shd w:val="pct15" w:color="auto" w:fill="auto"/>
            <w:vAlign w:val="center"/>
          </w:tcPr>
          <w:p>
            <w:pPr>
              <w:widowControl w:val="0"/>
              <w:suppressAutoHyphens/>
              <w:rPr>
                <w:b/>
              </w:rPr>
            </w:pPr>
            <w:r>
              <w:rPr>
                <w:b/>
              </w:rPr>
              <w:t xml:space="preserve">Ar buvo pateikta paraiška dėl paramos iš bet kokio kito Bendrijos, Lietuvos Respublikos ar kitų finansavimo šaltinių (Europos regioninės plėtros fondo, Sanglaudos fondo, kito Bendrijos finansavimo šaltinio, valstybės ar savivaldybės programų, Europos ekonominės erdvės paramos ar pan.) ankstesniam šio projekto ar jo dalies etapui (įskaitant galimybių studijos ir parengiamuosius etapus) </w:t>
            </w:r>
          </w:p>
        </w:tc>
      </w:tr>
      <w:tr>
        <w:trPr>
          <w:trHeight w:val="20"/>
        </w:trPr>
        <w:tc>
          <w:tcPr>
            <w:tcW w:w="655" w:type="pct"/>
            <w:gridSpan w:val="3"/>
            <w:vAlign w:val="center"/>
          </w:tcPr>
          <w:p>
            <w:pPr>
              <w:widowControl w:val="0"/>
              <w:suppressAutoHyphens/>
            </w:pPr>
            <w:r>
              <w:sym w:font="Wingdings 2" w:char="F0A3"/>
            </w:r>
            <w:r>
              <w:rPr>
                <w:vanish/>
                <w:lang w:val="en-US"/>
              </w:rPr>
              <w:t>[]</w:t>
            </w:r>
            <w:r>
              <w:t xml:space="preserve"> Taip</w:t>
            </w:r>
          </w:p>
        </w:tc>
        <w:tc>
          <w:tcPr>
            <w:tcW w:w="4345" w:type="pct"/>
            <w:gridSpan w:val="2"/>
            <w:shd w:val="clear" w:color="auto" w:fill="FFFFFF"/>
          </w:tcPr>
          <w:p>
            <w:pPr>
              <w:widowControl w:val="0"/>
              <w:suppressAutoHyphens/>
            </w:pPr>
            <w:r>
              <w:t>Jei taip, prašome išsamiai aprašyti (nurodyti susijusią finansinę priemonę, nuorodų numerius, datas, prašytas sumas, suteiktas sumas ir kt.)</w:t>
            </w:r>
          </w:p>
        </w:tc>
      </w:tr>
      <w:tr>
        <w:trPr>
          <w:trHeight w:val="20"/>
        </w:trPr>
        <w:tc>
          <w:tcPr>
            <w:tcW w:w="2500" w:type="pct"/>
            <w:gridSpan w:val="4"/>
            <w:tcBorders>
              <w:bottom w:val="single" w:sz="4" w:space="0" w:color="auto"/>
              <w:right w:val="nil"/>
            </w:tcBorders>
            <w:vAlign w:val="center"/>
          </w:tcPr>
          <w:p>
            <w:pPr>
              <w:widowControl w:val="0"/>
              <w:suppressAutoHyphens/>
            </w:pPr>
            <w:r>
              <w:sym w:font="Wingdings 2" w:char="F0A3"/>
            </w:r>
            <w:r>
              <w:rPr>
                <w:vanish/>
                <w:lang w:val="en-US"/>
              </w:rPr>
              <w:t>[]</w:t>
            </w:r>
            <w:r>
              <w:rPr>
                <w:sz w:val="20"/>
              </w:rPr>
              <w:t xml:space="preserve"> </w:t>
            </w:r>
            <w:r>
              <w:t>Ne</w:t>
            </w:r>
          </w:p>
        </w:tc>
        <w:tc>
          <w:tcPr>
            <w:tcW w:w="2500" w:type="pct"/>
            <w:tcBorders>
              <w:left w:val="nil"/>
              <w:bottom w:val="single" w:sz="4" w:space="0" w:color="auto"/>
            </w:tcBorders>
            <w:vAlign w:val="center"/>
          </w:tcPr>
          <w:p>
            <w:pPr>
              <w:widowControl w:val="0"/>
              <w:suppressAutoHyphens/>
            </w:pPr>
          </w:p>
        </w:tc>
      </w:tr>
      <w:tr>
        <w:trPr>
          <w:trHeight w:val="20"/>
        </w:trPr>
        <w:tc>
          <w:tcPr>
            <w:tcW w:w="5000" w:type="pct"/>
            <w:gridSpan w:val="5"/>
            <w:shd w:val="pct15" w:color="auto" w:fill="auto"/>
            <w:vAlign w:val="center"/>
          </w:tcPr>
          <w:p>
            <w:pPr>
              <w:widowControl w:val="0"/>
              <w:suppressAutoHyphens/>
            </w:pPr>
            <w:r>
              <w:rPr>
                <w:b/>
              </w:rPr>
              <w:t>Ar Aprašo finansuojama veikla neapima veiklos „Žaliųjų atliekų kompostavimo aikštelių įrengimas“, kuri finansuojama pagal Aplinkos ministerijos VP3-3.2-AM-01-V priemonę „Atliekų tvarkymo sistemos sukūrimas“</w:t>
            </w:r>
          </w:p>
        </w:tc>
      </w:tr>
      <w:tr>
        <w:trPr>
          <w:trHeight w:val="20"/>
        </w:trPr>
        <w:tc>
          <w:tcPr>
            <w:tcW w:w="539" w:type="pct"/>
            <w:gridSpan w:val="2"/>
            <w:vAlign w:val="center"/>
          </w:tcPr>
          <w:p>
            <w:pPr>
              <w:widowControl w:val="0"/>
              <w:suppressAutoHyphens/>
            </w:pPr>
            <w:r>
              <w:sym w:font="Wingdings 2" w:char="F0A3"/>
            </w:r>
            <w:r>
              <w:rPr>
                <w:vanish/>
                <w:lang w:val="en-US"/>
              </w:rPr>
              <w:t>[]</w:t>
            </w:r>
            <w:r>
              <w:rPr>
                <w:sz w:val="20"/>
              </w:rPr>
              <w:t xml:space="preserve"> </w:t>
            </w:r>
            <w:r>
              <w:t>Taip</w:t>
            </w:r>
          </w:p>
        </w:tc>
        <w:tc>
          <w:tcPr>
            <w:tcW w:w="4461" w:type="pct"/>
            <w:gridSpan w:val="3"/>
          </w:tcPr>
          <w:p>
            <w:pPr>
              <w:widowControl w:val="0"/>
              <w:suppressAutoHyphens/>
            </w:pPr>
            <w:r>
              <w:t>Jei taip, prašome išsamiai aprašyti (nurodyti, kuri projekto dalis apima veiklą „Žaliųjų atliekų kompostavimo aikštelių įrengimas“ ir kt.)</w:t>
            </w:r>
          </w:p>
        </w:tc>
      </w:tr>
      <w:tr>
        <w:trPr>
          <w:trHeight w:val="20"/>
        </w:trPr>
        <w:tc>
          <w:tcPr>
            <w:tcW w:w="2500" w:type="pct"/>
            <w:gridSpan w:val="4"/>
            <w:tcBorders>
              <w:bottom w:val="single" w:sz="4" w:space="0" w:color="auto"/>
              <w:right w:val="nil"/>
            </w:tcBorders>
            <w:vAlign w:val="center"/>
          </w:tcPr>
          <w:p>
            <w:pPr>
              <w:widowControl w:val="0"/>
              <w:suppressAutoHyphens/>
            </w:pPr>
            <w:r>
              <w:sym w:font="Wingdings 2" w:char="F0A3"/>
            </w:r>
            <w:r>
              <w:rPr>
                <w:vanish/>
                <w:lang w:val="en-US"/>
              </w:rPr>
              <w:t>[]</w:t>
            </w:r>
            <w:r>
              <w:rPr>
                <w:sz w:val="20"/>
              </w:rPr>
              <w:t xml:space="preserve"> </w:t>
            </w:r>
            <w:r>
              <w:t>Ne</w:t>
            </w:r>
          </w:p>
        </w:tc>
        <w:tc>
          <w:tcPr>
            <w:tcW w:w="2500" w:type="pct"/>
            <w:tcBorders>
              <w:left w:val="nil"/>
              <w:bottom w:val="single" w:sz="4" w:space="0" w:color="auto"/>
            </w:tcBorders>
            <w:vAlign w:val="center"/>
          </w:tcPr>
          <w:p>
            <w:pPr>
              <w:widowControl w:val="0"/>
              <w:suppressAutoHyphens/>
            </w:pPr>
          </w:p>
        </w:tc>
      </w:tr>
      <w:tr>
        <w:trPr>
          <w:trHeight w:val="20"/>
        </w:trPr>
        <w:tc>
          <w:tcPr>
            <w:tcW w:w="5000" w:type="pct"/>
            <w:gridSpan w:val="5"/>
            <w:tcBorders>
              <w:top w:val="single" w:sz="4" w:space="0" w:color="auto"/>
              <w:left w:val="single" w:sz="4" w:space="0" w:color="auto"/>
              <w:bottom w:val="single" w:sz="4" w:space="0" w:color="auto"/>
              <w:right w:val="single" w:sz="4" w:space="0" w:color="auto"/>
            </w:tcBorders>
            <w:shd w:val="pct15" w:color="auto" w:fill="auto"/>
            <w:vAlign w:val="center"/>
          </w:tcPr>
          <w:p>
            <w:pPr>
              <w:widowControl w:val="0"/>
              <w:suppressAutoHyphens/>
              <w:rPr>
                <w:b/>
              </w:rPr>
            </w:pPr>
            <w:r>
              <w:rPr>
                <w:b/>
              </w:rPr>
              <w:t xml:space="preserve">Ar Aprašo finansuojama veikla neapima Ūkio ministerijos administruojamos VP3-3.4-ŪM-02-K priemonės „Atsinaujinančių energijos išteklių panaudojimas energijos gamybai“ </w:t>
            </w:r>
          </w:p>
        </w:tc>
      </w:tr>
      <w:tr>
        <w:trPr>
          <w:trHeight w:val="20"/>
        </w:trPr>
        <w:tc>
          <w:tcPr>
            <w:tcW w:w="523" w:type="pct"/>
            <w:vAlign w:val="center"/>
          </w:tcPr>
          <w:p>
            <w:pPr>
              <w:widowControl w:val="0"/>
              <w:suppressAutoHyphens/>
            </w:pPr>
            <w:r>
              <w:sym w:font="Wingdings 2" w:char="F0A3"/>
            </w:r>
            <w:r>
              <w:rPr>
                <w:vanish/>
                <w:lang w:val="en-US"/>
              </w:rPr>
              <w:t>[]</w:t>
            </w:r>
            <w:r>
              <w:rPr>
                <w:sz w:val="20"/>
              </w:rPr>
              <w:t xml:space="preserve"> </w:t>
            </w:r>
            <w:r>
              <w:t>Taip</w:t>
            </w:r>
          </w:p>
        </w:tc>
        <w:tc>
          <w:tcPr>
            <w:tcW w:w="4477" w:type="pct"/>
            <w:gridSpan w:val="4"/>
            <w:shd w:val="clear" w:color="auto" w:fill="FFFFFF"/>
          </w:tcPr>
          <w:p>
            <w:pPr>
              <w:widowControl w:val="0"/>
              <w:suppressAutoHyphens/>
            </w:pPr>
            <w:r>
              <w:t>Jei taip, prašome išsamiai aprašyti (nurodyti, kuri projekto dalis apima priemonę „Atsinaujinančių energijos išteklių panaudojimas energijos gamybai“ ir kt.)</w:t>
            </w:r>
          </w:p>
        </w:tc>
      </w:tr>
      <w:tr>
        <w:trPr>
          <w:trHeight w:val="20"/>
        </w:trPr>
        <w:tc>
          <w:tcPr>
            <w:tcW w:w="2500" w:type="pct"/>
            <w:gridSpan w:val="4"/>
            <w:tcBorders>
              <w:bottom w:val="single" w:sz="4" w:space="0" w:color="auto"/>
              <w:right w:val="nil"/>
            </w:tcBorders>
            <w:vAlign w:val="center"/>
          </w:tcPr>
          <w:p>
            <w:pPr>
              <w:widowControl w:val="0"/>
              <w:suppressAutoHyphens/>
            </w:pPr>
            <w:r>
              <w:sym w:font="Wingdings 2" w:char="F0A3"/>
            </w:r>
            <w:r>
              <w:rPr>
                <w:vanish/>
                <w:lang w:val="en-US"/>
              </w:rPr>
              <w:t>[]</w:t>
            </w:r>
            <w:r>
              <w:rPr>
                <w:sz w:val="20"/>
              </w:rPr>
              <w:t xml:space="preserve"> </w:t>
            </w:r>
            <w:r>
              <w:t>Ne</w:t>
            </w:r>
          </w:p>
        </w:tc>
        <w:tc>
          <w:tcPr>
            <w:tcW w:w="2500" w:type="pct"/>
            <w:tcBorders>
              <w:left w:val="nil"/>
              <w:bottom w:val="single" w:sz="4" w:space="0" w:color="auto"/>
            </w:tcBorders>
            <w:vAlign w:val="center"/>
          </w:tcPr>
          <w:p>
            <w:pPr>
              <w:widowControl w:val="0"/>
              <w:suppressAutoHyphens/>
            </w:pPr>
          </w:p>
        </w:tc>
      </w:tr>
    </w:tbl>
    <w:p>
      <w:pPr>
        <w:widowControl w:val="0"/>
        <w:suppressAutoHyphens/>
      </w:pPr>
    </w:p>
    <w:p>
      <w:pPr>
        <w:widowControl w:val="0"/>
        <w:suppressAutoHyphens/>
        <w:ind w:firstLine="5812"/>
      </w:pPr>
      <w:r>
        <w:t>Pareiškėjo parašas ___________</w:t>
      </w:r>
    </w:p>
    <w:p>
      <w:pPr>
        <w:widowControl w:val="0"/>
        <w:suppressAutoHyphens/>
      </w:pPr>
    </w:p>
    <w:p>
      <w:pPr>
        <w:widowControl w:val="0"/>
        <w:suppressAutoHyphens/>
        <w:jc w:val="both"/>
        <w:rPr>
          <w:b/>
          <w:bCs/>
        </w:rPr>
      </w:pPr>
      <w:r>
        <w:rPr>
          <w:b/>
          <w:bCs/>
        </w:rPr>
        <w:t>3</w:t>
      </w:r>
      <w:r>
        <w:rPr>
          <w:b/>
          <w:bCs/>
        </w:rPr>
        <w:t xml:space="preserve">. PROJEKTAS </w:t>
      </w:r>
      <w:r>
        <w:rPr>
          <w:b/>
          <w:bCs/>
          <w:caps/>
        </w:rPr>
        <w:t>atitinka Stebėsenos komiteto patvirtintus sPECIALIUOSIUS PROJEKTŲ atitikties kriterijus</w:t>
      </w:r>
    </w:p>
    <w:p>
      <w:pPr>
        <w:widowControl w:val="0"/>
        <w:suppressAutoHyphen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9995" w:type="dxa"/>
            <w:shd w:val="clear" w:color="auto" w:fill="CCCCCC"/>
          </w:tcPr>
          <w:p>
            <w:pPr>
              <w:widowControl w:val="0"/>
              <w:suppressAutoHyphens/>
              <w:rPr>
                <w:b/>
              </w:rPr>
            </w:pPr>
            <w:r>
              <w:rPr>
                <w:b/>
              </w:rPr>
              <w:t>Trumpas projekto atitikties 2010 m. vasario 25 d. Stebėsenos komiteto nutarimu Nr. 21 patvirtintiems specialiesiems projektų atitikties kriterijams aprašymas</w:t>
            </w:r>
          </w:p>
        </w:tc>
      </w:tr>
      <w:tr>
        <w:tc>
          <w:tcPr>
            <w:tcW w:w="9995" w:type="dxa"/>
          </w:tcPr>
          <w:p>
            <w:pPr>
              <w:widowControl w:val="0"/>
              <w:suppressAutoHyphens/>
              <w:rPr>
                <w:i/>
                <w:iCs/>
              </w:rPr>
            </w:pPr>
            <w:r>
              <w:rPr>
                <w:i/>
                <w:iCs/>
              </w:rPr>
              <w:t>Išdėstyti, kaip:</w:t>
            </w:r>
          </w:p>
          <w:p>
            <w:pPr>
              <w:widowControl w:val="0"/>
              <w:suppressAutoHyphens/>
              <w:rPr>
                <w:i/>
                <w:iCs/>
              </w:rPr>
            </w:pPr>
            <w:r>
              <w:rPr>
                <w:rFonts w:ascii="Palemonas" w:hAnsi="Palemonas"/>
                <w:i/>
                <w:iCs/>
              </w:rPr>
              <w:t>•</w:t>
            </w:r>
            <w:r>
              <w:rPr>
                <w:i/>
                <w:iCs/>
              </w:rPr>
              <w:t xml:space="preserve"> Projekte numatytos veiklos ir sprendiniai apima regiono ar regionų grupės atliekų tvarkymą ir atitinka atitinkamo regiono atliekų tvarkymo plano nuostatas. </w:t>
            </w:r>
          </w:p>
          <w:p>
            <w:pPr>
              <w:widowControl w:val="0"/>
              <w:suppressAutoHyphens/>
              <w:ind w:left="390"/>
              <w:rPr>
                <w:i/>
                <w:iCs/>
              </w:rPr>
            </w:pPr>
            <w:r>
              <w:rPr>
                <w:bCs/>
                <w:i/>
                <w:iCs/>
              </w:rPr>
              <w:t>Projekte numatoma sukurti tokią komunalinių atliekų tvarkymo infrastruktūrą, kurios pajėgumai užtikrins ne mažiau kaip atitinkamame k</w:t>
            </w:r>
            <w:r>
              <w:rPr>
                <w:i/>
                <w:iCs/>
              </w:rPr>
              <w:t>omunalinių atliekų tvarkymo regione ar regionų grupėje susidarančių atliekų tvarkymą.</w:t>
            </w:r>
          </w:p>
          <w:p/>
          <w:p>
            <w:pPr>
              <w:widowControl w:val="0"/>
              <w:suppressAutoHyphens/>
              <w:ind w:left="390"/>
              <w:rPr>
                <w:i/>
                <w:iCs/>
              </w:rPr>
            </w:pPr>
            <w:r>
              <w:rPr>
                <w:bCs/>
                <w:i/>
                <w:iCs/>
              </w:rPr>
              <w:t xml:space="preserve">Projektas turi atitikti galiojančias atitinkamo regiono atliekų tvarkymo plano nuostatas. Tais atvejais, kai projekte numatyta veikla ir sprendiniai nesuplanuoti regiono atliekų tvarkymo plane, jiems turi pritarti regiono plėtros taryba. </w:t>
            </w:r>
            <w:r>
              <w:rPr>
                <w:i/>
                <w:iCs/>
              </w:rPr>
              <w:t>Tuo atveju, kai komunalinių atliekų tvarkymo regionas nesutampa su apskrities teritorija, jiems turi pritarti apskrities, kurioje gyvena didžioji atliekų tvarkymo regiono gyventojų dalis, regiono plėtros taryba ir kitų apskričių, į kurias įeina atliekų tvarkymo regiono dalys, regionų plėtros tarybos.</w:t>
            </w:r>
          </w:p>
          <w:p/>
          <w:p>
            <w:pPr>
              <w:widowControl w:val="0"/>
              <w:suppressAutoHyphens/>
              <w:ind w:left="390"/>
              <w:rPr>
                <w:bCs/>
                <w:i/>
                <w:iCs/>
              </w:rPr>
            </w:pPr>
            <w:r>
              <w:rPr>
                <w:i/>
                <w:iCs/>
              </w:rPr>
              <w:t xml:space="preserve">Komunalinių atliekų tvarkymo regionas suprantamas kaip teritorija, apimanti daugiau negu vienos savivaldybės teritoriją, kurioje savivaldybės bendru sutarimu įsteigusios juridinį asmenį bendradarbiauja, siekdamos užtikrinti efektyvų atliekų tvarkymo sistemos funkcionavimą, </w:t>
            </w:r>
            <w:r>
              <w:rPr>
                <w:bCs/>
                <w:i/>
                <w:iCs/>
              </w:rPr>
              <w:t>kokybiškų ir prieinamų komunalinių atliekų tvarkymo paslaugų tiekimą visiems regiono komunalinių atliekų turėtojams. Lietuvoje yra dešimt komunalinių atliekų tvarkymo regionų:</w:t>
            </w:r>
          </w:p>
          <w:p/>
          <w:p>
            <w:pPr>
              <w:widowControl w:val="0"/>
              <w:suppressAutoHyphens/>
              <w:ind w:left="390"/>
              <w:rPr>
                <w:bCs/>
                <w:i/>
                <w:iCs/>
              </w:rPr>
            </w:pPr>
            <w:r>
              <w:rPr>
                <w:bCs/>
                <w:i/>
                <w:iCs/>
              </w:rPr>
              <w:t>1. Alytaus komunalinių atliekų tvarkymo regionas, kurį sudaro Alytaus miesto, Alytaus rajono, Birštono, Druskininkų, Lazdijų rajono, Prienų rajono ir Varėnos rajono savivaldybės;</w:t>
            </w:r>
          </w:p>
          <w:p/>
          <w:p>
            <w:pPr>
              <w:widowControl w:val="0"/>
              <w:suppressAutoHyphens/>
              <w:ind w:left="390"/>
              <w:rPr>
                <w:bCs/>
                <w:i/>
                <w:iCs/>
              </w:rPr>
            </w:pPr>
            <w:r>
              <w:rPr>
                <w:bCs/>
                <w:i/>
                <w:iCs/>
              </w:rPr>
              <w:t>2. Kauno komunalinių atliekų tvarkymo regionas, kurį sudaro Jonavos rajono, Kauno miesto, Kauno rajono, Kaišiadorių rajono, Kėdainių rajono ir Raseinių rajono savivaldybės;</w:t>
            </w:r>
          </w:p>
          <w:p/>
          <w:p>
            <w:pPr>
              <w:widowControl w:val="0"/>
              <w:suppressAutoHyphens/>
              <w:ind w:left="390"/>
              <w:rPr>
                <w:bCs/>
                <w:i/>
                <w:iCs/>
              </w:rPr>
            </w:pPr>
            <w:r>
              <w:rPr>
                <w:bCs/>
                <w:i/>
                <w:iCs/>
              </w:rPr>
              <w:t>3. Klaipėdos komunalinių atliekų tvarkymo regionas, kurį sudaro Klaipėdos miesto, Klaipėdos rajono, Kretingos rajono, Neringos, Palangos miesto, Skuodo rajono ir Šilutės rajono savivaldybės;</w:t>
            </w:r>
          </w:p>
          <w:p/>
          <w:p>
            <w:pPr>
              <w:widowControl w:val="0"/>
              <w:suppressAutoHyphens/>
              <w:ind w:left="390"/>
              <w:rPr>
                <w:bCs/>
                <w:i/>
                <w:iCs/>
              </w:rPr>
            </w:pPr>
            <w:r>
              <w:rPr>
                <w:bCs/>
                <w:i/>
                <w:iCs/>
              </w:rPr>
              <w:t>4. Marijampolės komunalinių atliekų tvarkymo regionas, kurį sudaro Kazlų Rūdos, Kalvarijos, Marijampolės, Šakių rajono ir Vilkaviškio rajono savivaldybės;</w:t>
            </w:r>
          </w:p>
          <w:p/>
          <w:p>
            <w:pPr>
              <w:widowControl w:val="0"/>
              <w:suppressAutoHyphens/>
              <w:ind w:left="390"/>
              <w:rPr>
                <w:bCs/>
                <w:i/>
                <w:iCs/>
              </w:rPr>
            </w:pPr>
            <w:r>
              <w:rPr>
                <w:bCs/>
                <w:i/>
                <w:iCs/>
              </w:rPr>
              <w:t>5. Panevėžio komunalinių atliekų tvarkymo regionas, kurį sudaro Biržų rajono, Kupiškio rajono, Panevėžio miesto, Panevėžio rajono, Pasvalio rajono ir Rokiškio rajono savivaldybės;</w:t>
            </w:r>
          </w:p>
          <w:p/>
          <w:p>
            <w:pPr>
              <w:widowControl w:val="0"/>
              <w:suppressAutoHyphens/>
              <w:ind w:left="390"/>
              <w:rPr>
                <w:bCs/>
                <w:i/>
                <w:iCs/>
              </w:rPr>
            </w:pPr>
            <w:r>
              <w:rPr>
                <w:bCs/>
                <w:i/>
                <w:iCs/>
              </w:rPr>
              <w:t>6. Šiaulių komunalinių atliekų tvarkymo regionas, kurį sudaro Akmenės rajono, Joniškio rajono, Kelmės rajono, Šiaulių miesto, Šiaulių rajono, Pakruojo rajono ir Radviliškio rajono savivaldybės;</w:t>
            </w:r>
          </w:p>
          <w:p/>
          <w:p>
            <w:pPr>
              <w:widowControl w:val="0"/>
              <w:suppressAutoHyphens/>
              <w:ind w:left="390"/>
              <w:rPr>
                <w:bCs/>
                <w:i/>
                <w:iCs/>
              </w:rPr>
            </w:pPr>
            <w:r>
              <w:rPr>
                <w:bCs/>
                <w:i/>
                <w:iCs/>
              </w:rPr>
              <w:t>7. Tauragės komunalinių atliekų tvarkymo regionas, kurį sudaro Jurbarko rajono, Pagėgių, Šilalės rajono ir Tauragės rajono savivaldybės;</w:t>
            </w:r>
          </w:p>
          <w:p/>
          <w:p>
            <w:pPr>
              <w:widowControl w:val="0"/>
              <w:suppressAutoHyphens/>
              <w:ind w:left="390"/>
              <w:rPr>
                <w:bCs/>
                <w:i/>
                <w:iCs/>
              </w:rPr>
            </w:pPr>
            <w:r>
              <w:rPr>
                <w:bCs/>
                <w:i/>
                <w:iCs/>
              </w:rPr>
              <w:t>8. Telšių komunalinių atliekų tvarkymo regionas, kurį sudaro Mažeikių rajono, Plungės rajono, Rietavo ir Telšių rajono savivaldybės;</w:t>
            </w:r>
          </w:p>
          <w:p/>
          <w:p>
            <w:pPr>
              <w:widowControl w:val="0"/>
              <w:suppressAutoHyphens/>
              <w:ind w:left="390"/>
              <w:rPr>
                <w:bCs/>
                <w:i/>
                <w:iCs/>
              </w:rPr>
            </w:pPr>
            <w:r>
              <w:rPr>
                <w:bCs/>
                <w:i/>
                <w:iCs/>
              </w:rPr>
              <w:t>9. Utenos komunalinių atliekų tvarkymo regionas, kurį sudaro Anykščių rajono, Ignalinos rajono, Molėtų rajono, Utenos rajono, Visagino ir Zarasų rajono savivaldybės;</w:t>
            </w:r>
          </w:p>
          <w:p/>
          <w:p>
            <w:pPr>
              <w:widowControl w:val="0"/>
              <w:suppressAutoHyphens/>
              <w:ind w:left="390"/>
              <w:rPr>
                <w:bCs/>
                <w:i/>
                <w:iCs/>
              </w:rPr>
            </w:pPr>
            <w:r>
              <w:rPr>
                <w:bCs/>
                <w:i/>
                <w:iCs/>
              </w:rPr>
              <w:t>10. Vilniaus komunalinių atliekų tvarkymo regionas, kurį sudaro Elektrėnų, Šalčininkų rajono, Širvintų rajono, Švenčionių rajono, Trakų rajono, Vilniaus miesto, Vilniaus rajono ir Ukmergės rajono savivaldybės.</w:t>
            </w:r>
          </w:p>
          <w:p/>
          <w:p>
            <w:pPr>
              <w:widowControl w:val="0"/>
              <w:suppressAutoHyphens/>
              <w:ind w:left="390"/>
              <w:rPr>
                <w:bCs/>
                <w:i/>
                <w:iCs/>
              </w:rPr>
            </w:pPr>
            <w:r>
              <w:rPr>
                <w:bCs/>
                <w:i/>
                <w:iCs/>
              </w:rPr>
              <w:t>Regionų grupė – du ar daugiau komunalinių atliekų tvarkymo regionų, kurie bendru sutarimu (regioninių atliekų tvarkymo centrų tarpusavio partnerystės sutarties ar kitu pagrindu) diegia tam tikrų komunalinių atliekų srautų tvarkymo infrastruktūrą.</w:t>
            </w:r>
          </w:p>
          <w:p/>
          <w:p>
            <w:pPr>
              <w:widowControl w:val="0"/>
              <w:suppressAutoHyphens/>
              <w:rPr>
                <w:i/>
                <w:iCs/>
              </w:rPr>
            </w:pPr>
            <w:r>
              <w:rPr>
                <w:i/>
                <w:iCs/>
              </w:rPr>
              <w:t>Pagrindžiamos pasirinktos atliekų tvarkymo alternatyvos.</w:t>
            </w:r>
          </w:p>
          <w:p/>
          <w:p>
            <w:pPr>
              <w:widowControl w:val="0"/>
              <w:suppressAutoHyphens/>
              <w:ind w:left="390"/>
              <w:rPr>
                <w:i/>
                <w:iCs/>
              </w:rPr>
            </w:pPr>
            <w:r>
              <w:rPr>
                <w:i/>
                <w:iCs/>
              </w:rPr>
              <w:t>Planuojant atliekų tvarkymo sistemos plėtros modelį, be kitų galimų alternatyvų, turi būti išnagrinėtos šios alternatyvos:</w:t>
            </w:r>
          </w:p>
          <w:p/>
          <w:p>
            <w:pPr>
              <w:widowControl w:val="0"/>
              <w:suppressAutoHyphens/>
              <w:ind w:left="390"/>
              <w:rPr>
                <w:i/>
                <w:iCs/>
              </w:rPr>
            </w:pPr>
            <w:r>
              <w:rPr>
                <w:i/>
                <w:iCs/>
              </w:rPr>
              <w:t>1. biologiškai skaidžias atliekas tvarkyti kartu su nuotekų dumblu ir kitos ūkinės veiklos metu susidarančiomis atliekomis esamuose ir/ar kitų subjektų suplanuotuose statyti atliekų apdorojimo įrenginiuose;</w:t>
            </w:r>
          </w:p>
          <w:p/>
          <w:p>
            <w:pPr>
              <w:widowControl w:val="0"/>
              <w:suppressAutoHyphens/>
              <w:ind w:left="390"/>
              <w:rPr>
                <w:i/>
                <w:iCs/>
                <w:u w:val="single"/>
              </w:rPr>
            </w:pPr>
            <w:r>
              <w:rPr>
                <w:i/>
                <w:iCs/>
              </w:rPr>
              <w:t>2. komunalines atliekas tvarkyti esamuose ir/ar kitų subjektų suplanuotuose statyti atliekų apdorojimo įrenginiuose.</w:t>
            </w:r>
          </w:p>
          <w:p/>
          <w:p>
            <w:pPr>
              <w:widowControl w:val="0"/>
              <w:suppressAutoHyphens/>
              <w:ind w:left="390"/>
              <w:rPr>
                <w:i/>
                <w:iCs/>
              </w:rPr>
            </w:pPr>
            <w:r>
              <w:rPr>
                <w:i/>
                <w:iCs/>
              </w:rPr>
              <w:t>Pasirinktos alternatyvos įgyvendinimo sprendiniai pagrįsti ir užtikrina atliekų tvarkymo sistemos prioritetų, nustatytų Valstybiniame strateginiame atliekų tvarkymo plane, patvirtintame Lietuvos Respublikos Vyriausybės 2002 m. balandžio 12 d. nutarimu Nr. 519, laikymąsi:</w:t>
            </w:r>
          </w:p>
          <w:p/>
          <w:p>
            <w:pPr>
              <w:widowControl w:val="0"/>
              <w:suppressAutoHyphens/>
              <w:ind w:left="391"/>
              <w:rPr>
                <w:i/>
                <w:iCs/>
              </w:rPr>
            </w:pPr>
            <w:r>
              <w:rPr>
                <w:i/>
                <w:iCs/>
              </w:rPr>
              <w:t>1. atliekų prevencija;</w:t>
            </w:r>
          </w:p>
          <w:p/>
          <w:p>
            <w:pPr>
              <w:widowControl w:val="0"/>
              <w:suppressAutoHyphens/>
              <w:ind w:left="391"/>
              <w:rPr>
                <w:i/>
                <w:iCs/>
              </w:rPr>
            </w:pPr>
            <w:r>
              <w:rPr>
                <w:i/>
                <w:iCs/>
              </w:rPr>
              <w:t>2. gaminių pakartotinis naudojimas;</w:t>
            </w:r>
          </w:p>
          <w:p/>
          <w:p>
            <w:pPr>
              <w:widowControl w:val="0"/>
              <w:suppressAutoHyphens/>
              <w:ind w:left="391"/>
              <w:rPr>
                <w:i/>
                <w:iCs/>
              </w:rPr>
            </w:pPr>
            <w:r>
              <w:rPr>
                <w:i/>
                <w:iCs/>
              </w:rPr>
              <w:t>3. atliekų perdirbimas;</w:t>
            </w:r>
          </w:p>
          <w:p/>
          <w:p>
            <w:pPr>
              <w:widowControl w:val="0"/>
              <w:suppressAutoHyphens/>
              <w:ind w:left="391"/>
              <w:rPr>
                <w:i/>
                <w:iCs/>
              </w:rPr>
            </w:pPr>
            <w:r>
              <w:rPr>
                <w:i/>
                <w:iCs/>
              </w:rPr>
              <w:t>4. kitoks atliekų naudojimas;</w:t>
            </w:r>
          </w:p>
          <w:p/>
          <w:p>
            <w:pPr>
              <w:widowControl w:val="0"/>
              <w:suppressAutoHyphens/>
              <w:ind w:left="391"/>
              <w:rPr>
                <w:b/>
                <w:i/>
                <w:iCs/>
                <w:u w:val="single"/>
              </w:rPr>
            </w:pPr>
            <w:r>
              <w:rPr>
                <w:i/>
                <w:iCs/>
              </w:rPr>
              <w:t>5. atliekų šalinimas.</w:t>
            </w:r>
          </w:p>
          <w:p/>
          <w:p>
            <w:pPr>
              <w:widowControl w:val="0"/>
              <w:suppressAutoHyphens/>
              <w:rPr>
                <w:i/>
                <w:iCs/>
              </w:rPr>
            </w:pPr>
            <w:r>
              <w:rPr>
                <w:rFonts w:ascii="Palemonas" w:hAnsi="Palemonas"/>
                <w:i/>
                <w:iCs/>
              </w:rPr>
              <w:t>•</w:t>
            </w:r>
            <w:r>
              <w:rPr>
                <w:i/>
                <w:iCs/>
              </w:rPr>
              <w:t xml:space="preserve">  </w:t>
            </w:r>
            <w:r>
              <w:rPr>
                <w:i/>
                <w:iCs/>
                <w:spacing w:val="-6"/>
              </w:rPr>
              <w:t>Projektas užtikrina ne mažiau kaip 50 proc. komunalinių atliekų tvarkymo regiono ar regionų grupės teritorijoje susidarančių komunalinių biologiškai skaidžių atliekų perdirbimą ir (ar) kitokį naudojimą.</w:t>
            </w:r>
          </w:p>
          <w:p/>
          <w:p>
            <w:pPr>
              <w:widowControl w:val="0"/>
              <w:suppressAutoHyphens/>
              <w:ind w:left="390"/>
              <w:rPr>
                <w:i/>
                <w:iCs/>
              </w:rPr>
            </w:pPr>
            <w:r>
              <w:rPr>
                <w:i/>
                <w:iCs/>
              </w:rPr>
              <w:t>Projekte numatytos veiklos ir sprendiniai užtikrina ne mažiau kaip 50 proc. regiono ar regionų grupės teritorijoje susidariusių komunalinių biologiškai skaidžių atliekų kiekio perdirbimą ir (ar) kitokį naudojimą.</w:t>
            </w:r>
          </w:p>
          <w:p/>
          <w:p>
            <w:pPr>
              <w:widowControl w:val="0"/>
              <w:suppressAutoHyphens/>
              <w:rPr>
                <w:i/>
                <w:iCs/>
              </w:rPr>
            </w:pPr>
            <w:r>
              <w:rPr>
                <w:rFonts w:ascii="Palemonas" w:hAnsi="Palemonas"/>
                <w:i/>
                <w:iCs/>
              </w:rPr>
              <w:t>•</w:t>
            </w:r>
            <w:r>
              <w:rPr>
                <w:i/>
                <w:iCs/>
              </w:rPr>
              <w:t xml:space="preserve"> Projektas užtikrina ne mažiau kaip 50 proc. regiono ar regionų grupės teritorijoje susidarančių komunalinių atliekų perdirbimą ir (ar) kitokį panaudojimą.</w:t>
            </w:r>
          </w:p>
          <w:p/>
          <w:p>
            <w:pPr>
              <w:widowControl w:val="0"/>
              <w:suppressAutoHyphens/>
              <w:ind w:left="390"/>
              <w:rPr>
                <w:i/>
                <w:iCs/>
              </w:rPr>
            </w:pPr>
            <w:r>
              <w:rPr>
                <w:i/>
                <w:iCs/>
              </w:rPr>
              <w:t>Projekte numatytos veiklos ir sprendiniai užtikrina ne mažiau kaip 50 proc. regiono ar regionų grupės teritorijoje susidarančių komunalinių atliekų perdirbimą ir (ar) kitokį panaudojimą ir ne daugiau kaip 50 proc. komunalinių atliekų šalinimą.</w:t>
            </w:r>
          </w:p>
          <w:p/>
          <w:p>
            <w:pPr>
              <w:widowControl w:val="0"/>
              <w:suppressAutoHyphens/>
              <w:ind w:left="390"/>
              <w:rPr>
                <w:i/>
                <w:iCs/>
              </w:rPr>
            </w:pPr>
            <w:r>
              <w:rPr>
                <w:i/>
                <w:iCs/>
              </w:rPr>
              <w:t xml:space="preserve">Projekto sprendiniai sudaro prielaidas gaminių ir pakuočių atliekų naudojimo ir (ar) perdirbimo 2007–2012 metų užduočių, nustatytų LR Vyriausybės 2006 m. lapkričio 24 d. nutarimu Nr. 1168 „Dėl apmokestinamųjų gaminių ir pakuočių atliekų naudojimo ir (ar) perdirbimo 2007–2012 metų užduočių patvirtinimo“ (Žin., 2006, Nr. </w:t>
            </w:r>
            <w:hyperlink r:id="rId54" w:tgtFrame="_blank" w:history="1">
              <w:r>
                <w:rPr>
                  <w:i/>
                  <w:iCs/>
                  <w:color w:val="0000FF" w:themeColor="hyperlink"/>
                  <w:u w:val="single"/>
                </w:rPr>
                <w:t>130-4897</w:t>
              </w:r>
            </w:hyperlink>
            <w:r>
              <w:rPr>
                <w:i/>
                <w:iCs/>
              </w:rPr>
              <w:t>), įgyvendinimui.</w:t>
            </w:r>
          </w:p>
          <w:p/>
          <w:p>
            <w:pPr>
              <w:widowControl w:val="0"/>
              <w:suppressAutoHyphens/>
              <w:ind w:left="390"/>
              <w:rPr>
                <w:i/>
                <w:iCs/>
              </w:rPr>
            </w:pPr>
            <w:r>
              <w:rPr>
                <w:i/>
                <w:iCs/>
              </w:rPr>
              <w:t xml:space="preserve">Projektas sudaro prielaidas ne mažiau kaip 50 proc. regione susidarančių namų ūkių atliekų (popierius, metalas, plastikas, stiklas ir kitos kilmės atliekos, jei šių atliekų srautai panašūs į namų ūkių atliekas) paruošimui pakartotinai naudoti ir perdirbti. </w:t>
            </w:r>
          </w:p>
          <w:p/>
          <w:p>
            <w:pPr>
              <w:widowControl w:val="0"/>
              <w:suppressAutoHyphens/>
              <w:rPr>
                <w:i/>
                <w:iCs/>
              </w:rPr>
            </w:pPr>
            <w:r>
              <w:rPr>
                <w:rFonts w:ascii="Palemonas" w:hAnsi="Palemonas"/>
                <w:i/>
                <w:iCs/>
              </w:rPr>
              <w:t>•</w:t>
            </w:r>
            <w:r>
              <w:rPr>
                <w:i/>
                <w:iCs/>
              </w:rPr>
              <w:t xml:space="preserve"> Projekte numatytos įgyvendinti veiklos skatina atskirą biologiškai skaidžių atliekų surinkimą ir šių atliekų individualų kompostavimą jų susidarymo vietoje.</w:t>
            </w:r>
          </w:p>
          <w:p/>
          <w:p>
            <w:pPr>
              <w:widowControl w:val="0"/>
              <w:suppressAutoHyphens/>
              <w:ind w:left="390"/>
              <w:rPr>
                <w:i/>
                <w:iCs/>
              </w:rPr>
            </w:pPr>
            <w:r>
              <w:rPr>
                <w:i/>
                <w:iCs/>
              </w:rPr>
              <w:t>Įvertinus vietos sąlygas, specifiškumą, technines galimybes ir ekonomiškumą, projekte numatoma dalyje ar visoje teritorijoje:</w:t>
            </w:r>
          </w:p>
          <w:p/>
          <w:p>
            <w:pPr>
              <w:widowControl w:val="0"/>
              <w:suppressAutoHyphens/>
              <w:ind w:left="390"/>
              <w:rPr>
                <w:i/>
                <w:iCs/>
              </w:rPr>
            </w:pPr>
            <w:r>
              <w:rPr>
                <w:i/>
                <w:iCs/>
              </w:rPr>
              <w:t>1. atsižvelgiant į apdorojimo metu gaunamo galutinio produkto kokybę ir panaudojimo galimybes, diegti ir/ar plėtoti atskirą biologiškai skaidžių atliekų surinkimą, pradedant šių atliekų surinkimu iš viešojo maitinimo įstaigų, valgyklų, restoranų, viešbučių ir pan.;</w:t>
            </w:r>
          </w:p>
          <w:p/>
          <w:p>
            <w:pPr>
              <w:widowControl w:val="0"/>
              <w:suppressAutoHyphens/>
              <w:ind w:left="390"/>
              <w:rPr>
                <w:i/>
                <w:iCs/>
              </w:rPr>
            </w:pPr>
            <w:r>
              <w:rPr>
                <w:i/>
                <w:iCs/>
              </w:rPr>
              <w:t xml:space="preserve">2. siekiant sumažinti komunalinių atliekų tvarkymo kaštus ir tam tikroms atliekų turėtojų grupėms (pvz., individualių valdų savininkams) atpiginti atliekų tvarkymo paslaugą, biologiškai skaidžias atliekas kompostuojantiems jų susidarymo vietoje asmenims  taikyti motyvavimo priemones (pvz., diferencijuotos įmokos, nuperkami spec. konteineriai ir pan.).</w:t>
            </w:r>
          </w:p>
          <w:p/>
          <w:p>
            <w:pPr>
              <w:widowControl w:val="0"/>
              <w:suppressAutoHyphens/>
              <w:rPr>
                <w:i/>
                <w:iCs/>
              </w:rPr>
            </w:pPr>
            <w:r>
              <w:rPr>
                <w:rFonts w:ascii="Palemonas" w:hAnsi="Palemonas"/>
                <w:i/>
                <w:iCs/>
              </w:rPr>
              <w:t>•</w:t>
            </w:r>
            <w:r>
              <w:rPr>
                <w:i/>
                <w:iCs/>
              </w:rPr>
              <w:t xml:space="preserve"> Projektas, kuriuo užtikrinamas sąnaudų susigrąžinimo, mokumo ir „teršėjas moka“ principų įgyvendinimas.</w:t>
            </w:r>
          </w:p>
          <w:p/>
          <w:p>
            <w:pPr>
              <w:widowControl w:val="0"/>
              <w:suppressAutoHyphens/>
              <w:ind w:left="390"/>
              <w:rPr>
                <w:i/>
                <w:iCs/>
              </w:rPr>
            </w:pPr>
            <w:r>
              <w:rPr>
                <w:i/>
                <w:iCs/>
              </w:rPr>
              <w:t>Įgyvendinus projektą:</w:t>
            </w:r>
          </w:p>
          <w:p/>
          <w:p>
            <w:pPr>
              <w:widowControl w:val="0"/>
              <w:suppressAutoHyphens/>
              <w:ind w:left="390"/>
              <w:rPr>
                <w:i/>
                <w:iCs/>
              </w:rPr>
            </w:pPr>
            <w:r>
              <w:rPr>
                <w:i/>
                <w:iCs/>
              </w:rPr>
              <w:t>1. turi būti užtikrintas ilgalaikis atliekų tvarkymo sistemos finansavimas, t. y. visas atliekų tvarkymo sąnaudas turi padengti teršėjas;</w:t>
            </w:r>
          </w:p>
          <w:p/>
          <w:p>
            <w:pPr>
              <w:widowControl w:val="0"/>
              <w:suppressAutoHyphens/>
              <w:ind w:left="390"/>
              <w:rPr>
                <w:i/>
                <w:iCs/>
              </w:rPr>
            </w:pPr>
            <w:r>
              <w:rPr>
                <w:i/>
                <w:iCs/>
              </w:rPr>
              <w:t xml:space="preserve">2. turi būti užtikrinamas atliekų tvarkymo paslaugų įperkamumas, t. y. paslaugų kaina po projekto įgyvendinimo turi būti ne didesnė kaip 1 proc.  vidutinių šeimos pajamų, vertinant visas atliekų tvarkymo sistemos sąnaudas/pajamas, įskaitant ir atliekų apdorojimo metu susidarančių produktų ar atliekų realizavimo/sutvarkymo kainą.</w:t>
            </w:r>
          </w:p>
        </w:tc>
      </w:tr>
    </w:tbl>
    <w:p>
      <w:pPr>
        <w:widowControl w:val="0"/>
        <w:suppressAutoHyphens/>
      </w:pPr>
    </w:p>
    <w:p>
      <w:pPr>
        <w:widowControl w:val="0"/>
        <w:suppressAutoHyphens/>
        <w:ind w:firstLine="5812"/>
      </w:pPr>
      <w:r>
        <w:t>Pareiškėjo parašas ___________</w:t>
      </w:r>
    </w:p>
    <w:p>
      <w:pPr>
        <w:widowControl w:val="0"/>
        <w:suppressAutoHyphens/>
      </w:pPr>
    </w:p>
    <w:p>
      <w:pPr>
        <w:widowControl w:val="0"/>
        <w:suppressAutoHyphens/>
        <w:jc w:val="both"/>
        <w:rPr>
          <w:b/>
          <w:bCs/>
        </w:rPr>
      </w:pPr>
      <w:r>
        <w:rPr>
          <w:b/>
          <w:bCs/>
        </w:rPr>
        <w:t>4</w:t>
      </w:r>
      <w:r>
        <w:rPr>
          <w:b/>
          <w:bCs/>
        </w:rPr>
        <w:t xml:space="preserve">. PROJEKTO ĮGYVENDINAMOS VEIKLOS ATITINKA TINKAMOMS FINANSUOTI IŠLAIDOMS IR PROJEKTŲ ĮGYVENDINIMUI KELIAMUS REIKALAVIMUS </w:t>
      </w:r>
    </w:p>
    <w:p>
      <w:pPr>
        <w:widowControl w:val="0"/>
        <w:suppressAutoHyphen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9995" w:type="dxa"/>
            <w:shd w:val="clear" w:color="auto" w:fill="CCCCCC"/>
          </w:tcPr>
          <w:p>
            <w:pPr>
              <w:widowControl w:val="0"/>
              <w:suppressAutoHyphens/>
              <w:rPr>
                <w:b/>
              </w:rPr>
            </w:pPr>
            <w:r>
              <w:rPr>
                <w:b/>
              </w:rPr>
              <w:t>Trumpas projekto atitikties tinkamoms finansuoti išlaidoms ir projektų įgyvendinimo reikalavimams aprašymas</w:t>
            </w:r>
          </w:p>
        </w:tc>
      </w:tr>
      <w:tr>
        <w:tc>
          <w:tcPr>
            <w:tcW w:w="9995" w:type="dxa"/>
          </w:tcPr>
          <w:p>
            <w:pPr>
              <w:widowControl w:val="0"/>
              <w:suppressAutoHyphens/>
              <w:rPr>
                <w:i/>
                <w:iCs/>
              </w:rPr>
            </w:pPr>
            <w:r>
              <w:rPr>
                <w:i/>
                <w:iCs/>
              </w:rPr>
              <w:t xml:space="preserve">Išdėstyti, kaip projektas atitiks tinkamoms  finansuoti projekto išlaidoms ir projektų įgyvendinimui keliamus reikalavimus pagal šio Aprašo III ir IV skyriuose pateiktus reikalavimus. </w:t>
            </w:r>
          </w:p>
        </w:tc>
      </w:tr>
    </w:tbl>
    <w:p>
      <w:pPr>
        <w:widowControl w:val="0"/>
        <w:suppressAutoHyphens/>
      </w:pPr>
    </w:p>
    <w:p>
      <w:pPr>
        <w:widowControl w:val="0"/>
        <w:suppressAutoHyphens/>
        <w:ind w:firstLine="5812"/>
      </w:pPr>
      <w:r>
        <w:t>Pareiškėjo parašas ___________</w:t>
      </w:r>
    </w:p>
    <w:p>
      <w:pPr>
        <w:widowControl w:val="0"/>
        <w:suppressAutoHyphens/>
      </w:pPr>
    </w:p>
    <w:p>
      <w:pPr>
        <w:widowControl w:val="0"/>
        <w:suppressAutoHyphens/>
        <w:jc w:val="both"/>
        <w:rPr>
          <w:b/>
          <w:bCs/>
        </w:rPr>
      </w:pPr>
      <w:r>
        <w:rPr>
          <w:b/>
          <w:bCs/>
        </w:rPr>
        <w:t>5</w:t>
      </w:r>
      <w:r>
        <w:rPr>
          <w:b/>
          <w:bCs/>
        </w:rPr>
        <w:t>. PROJEKTAS SUDERINAMAS SU ES APLINKOSAUGOS POLITIKOS NUOSTATOMIS</w:t>
      </w:r>
    </w:p>
    <w:p>
      <w:pPr>
        <w:widowControl w:val="0"/>
        <w:suppressAutoHyphen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9995" w:type="dxa"/>
            <w:shd w:val="clear" w:color="auto" w:fill="CCCCCC"/>
          </w:tcPr>
          <w:p>
            <w:pPr>
              <w:widowControl w:val="0"/>
              <w:suppressAutoHyphens/>
              <w:rPr>
                <w:b/>
              </w:rPr>
            </w:pPr>
            <w:r>
              <w:rPr>
                <w:b/>
              </w:rPr>
              <w:t>Trumpas projekto atitikties ES aplinkosaugos politikos nuostatoms aprašymas.</w:t>
            </w:r>
          </w:p>
        </w:tc>
      </w:tr>
      <w:tr>
        <w:tc>
          <w:tcPr>
            <w:tcW w:w="9995" w:type="dxa"/>
          </w:tcPr>
          <w:p>
            <w:pPr>
              <w:widowControl w:val="0"/>
              <w:suppressAutoHyphens/>
              <w:rPr>
                <w:i/>
                <w:iCs/>
              </w:rPr>
            </w:pPr>
            <w:r>
              <w:rPr>
                <w:i/>
                <w:iCs/>
              </w:rPr>
              <w:t>Išdėstyti, kaip projektas atitiks:</w:t>
            </w:r>
          </w:p>
          <w:p>
            <w:pPr>
              <w:widowControl w:val="0"/>
              <w:suppressAutoHyphens/>
              <w:rPr>
                <w:i/>
                <w:iCs/>
              </w:rPr>
            </w:pPr>
            <w:r>
              <w:rPr>
                <w:i/>
                <w:iCs/>
              </w:rPr>
              <w:t>- 2008 m. lapkričio 19 d. Europos Parlamento ir Tarybos direktyvos dėl atliekų ir panaikinanti kai kurias direktyvas Nr. 2008/98/EB nuostatas;</w:t>
            </w:r>
          </w:p>
          <w:p>
            <w:pPr>
              <w:widowControl w:val="0"/>
              <w:suppressAutoHyphens/>
              <w:rPr>
                <w:i/>
                <w:iCs/>
              </w:rPr>
            </w:pPr>
            <w:r>
              <w:rPr>
                <w:i/>
                <w:iCs/>
              </w:rPr>
              <w:t>- 2006 m. balandžio 5 d. Europos Parlamento ir Tarybos direktyvą dėl atliekų Nr. 2006/12/EB;</w:t>
            </w:r>
          </w:p>
          <w:p>
            <w:pPr>
              <w:widowControl w:val="0"/>
              <w:suppressAutoHyphens/>
              <w:rPr>
                <w:i/>
                <w:iCs/>
              </w:rPr>
            </w:pPr>
            <w:r>
              <w:rPr>
                <w:i/>
                <w:iCs/>
              </w:rPr>
              <w:t>- 1999 m. balandžio 26 d. Tarybos direktyvą dėl atliekų sąvartynų Nr. 1999/31/EB.</w:t>
            </w:r>
          </w:p>
        </w:tc>
      </w:tr>
    </w:tbl>
    <w:p>
      <w:pPr>
        <w:widowControl w:val="0"/>
        <w:suppressAutoHyphens/>
        <w:rPr>
          <w:b/>
          <w:bCs/>
        </w:rPr>
      </w:pPr>
    </w:p>
    <w:p>
      <w:pPr>
        <w:widowControl w:val="0"/>
        <w:suppressAutoHyphens/>
        <w:jc w:val="both"/>
        <w:rPr>
          <w:b/>
          <w:bCs/>
        </w:rPr>
      </w:pPr>
      <w:r>
        <w:rPr>
          <w:b/>
          <w:bCs/>
        </w:rPr>
        <w:t>6</w:t>
      </w:r>
      <w:r>
        <w:rPr>
          <w:b/>
          <w:bCs/>
        </w:rPr>
        <w:t>. FINANSINĖ IR SĄNAUDŲ-NAUDOS ANALIZĖS (nepildoma didelės apimties projektams)</w:t>
      </w:r>
    </w:p>
    <w:p>
      <w:pPr>
        <w:widowControl w:val="0"/>
        <w:suppressAutoHyphens/>
        <w:rPr>
          <w:b/>
          <w:bCs/>
        </w:rPr>
      </w:pPr>
    </w:p>
    <w:tbl>
      <w:tblPr>
        <w:tblW w:w="9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3"/>
        <w:gridCol w:w="1594"/>
        <w:gridCol w:w="2373"/>
        <w:gridCol w:w="1902"/>
        <w:gridCol w:w="2008"/>
      </w:tblGrid>
      <w:tr>
        <w:tc>
          <w:tcPr>
            <w:tcW w:w="9995" w:type="dxa"/>
            <w:gridSpan w:val="5"/>
            <w:tcBorders>
              <w:top w:val="single" w:sz="4" w:space="0" w:color="auto"/>
              <w:bottom w:val="single" w:sz="4" w:space="0" w:color="auto"/>
            </w:tcBorders>
            <w:shd w:val="clear" w:color="auto" w:fill="CCCCCC"/>
          </w:tcPr>
          <w:p>
            <w:pPr>
              <w:widowControl w:val="0"/>
              <w:suppressAutoHyphens/>
              <w:rPr>
                <w:i/>
                <w:iCs/>
              </w:rPr>
            </w:pPr>
            <w:r>
              <w:rPr>
                <w:b/>
                <w:iCs/>
              </w:rPr>
              <w:t>6.1. Pagrindiniai finansinės analizės rezultatai</w:t>
            </w:r>
          </w:p>
        </w:tc>
      </w:tr>
      <w:tr>
        <w:tc>
          <w:tcPr>
            <w:tcW w:w="9995" w:type="dxa"/>
            <w:gridSpan w:val="5"/>
            <w:tcBorders>
              <w:bottom w:val="single" w:sz="4" w:space="0" w:color="auto"/>
            </w:tcBorders>
          </w:tcPr>
          <w:p>
            <w:pPr>
              <w:widowControl w:val="0"/>
              <w:suppressAutoHyphens/>
              <w:rPr>
                <w:i/>
              </w:rPr>
            </w:pPr>
            <w:r>
              <w:rPr>
                <w:i/>
                <w:iCs/>
              </w:rPr>
              <w:t>Finansinė analizė turi būti atlikta vadovaujantis „Ekonominės naudos analizės atlikimo metodinių gairių“ (Europos Komisijos darbo dokumentas Nr. 4) nuostatomis (gairės lietuvių ir anglų kalbomis pateiktos interneto tinklalapyje http://www.esparama.lt/2007-2013/lt/ena</w:t>
            </w:r>
            <w:r>
              <w:rPr>
                <w:i/>
                <w:iCs/>
                <w:color w:val="0000FF"/>
              </w:rPr>
              <w:t>)</w:t>
            </w:r>
            <w:r>
              <w:rPr>
                <w:i/>
                <w:iCs/>
              </w:rPr>
              <w:t>, ir „</w:t>
            </w:r>
            <w:r>
              <w:rPr>
                <w:i/>
              </w:rPr>
              <w:t>Investicinių projektų kaštų-naudos analizės gairių“ nuostatomis (gairės anglų kalba pateiktos interneto tinklalapyje http://www.esparama.lt/2007-2013/lt/pareiskejams/cba).</w:t>
            </w:r>
          </w:p>
          <w:p>
            <w:pPr>
              <w:widowControl w:val="0"/>
              <w:suppressAutoHyphens/>
            </w:pPr>
          </w:p>
          <w:p>
            <w:pPr>
              <w:widowControl w:val="0"/>
              <w:suppressAutoHyphens/>
              <w:rPr>
                <w:i/>
                <w:iCs/>
              </w:rPr>
            </w:pPr>
            <w:r>
              <w:rPr>
                <w:i/>
              </w:rPr>
              <w:t>Prie Paraiškos pridėti finansinės analizės skaičiavimus, o pagrindinius rezultatus pateikti užpildant šią lentelę.</w:t>
            </w:r>
          </w:p>
        </w:tc>
      </w:tr>
      <w:tr>
        <w:tblPrEx>
          <w:tblBorders>
            <w:insideH w:val="single" w:sz="4" w:space="0" w:color="auto"/>
            <w:insideV w:val="single" w:sz="4" w:space="0" w:color="auto"/>
          </w:tblBorders>
        </w:tblPrEx>
        <w:tc>
          <w:tcPr>
            <w:tcW w:w="1220" w:type="dxa"/>
            <w:shd w:val="clear" w:color="auto" w:fill="FFFFFF"/>
          </w:tcPr>
          <w:p>
            <w:pPr>
              <w:widowControl w:val="0"/>
              <w:suppressAutoHyphens/>
              <w:jc w:val="center"/>
            </w:pPr>
            <w:r>
              <w:t>Diskonto norma, %</w:t>
            </w:r>
          </w:p>
        </w:tc>
        <w:tc>
          <w:tcPr>
            <w:tcW w:w="1723" w:type="dxa"/>
            <w:shd w:val="clear" w:color="auto" w:fill="FFFFFF"/>
          </w:tcPr>
          <w:p>
            <w:pPr>
              <w:widowControl w:val="0"/>
              <w:suppressAutoHyphens/>
              <w:jc w:val="center"/>
            </w:pPr>
            <w:r>
              <w:t>Grynoji dabartinė vertė (prieš paramą), Lt</w:t>
            </w:r>
          </w:p>
        </w:tc>
        <w:tc>
          <w:tcPr>
            <w:tcW w:w="2694" w:type="dxa"/>
            <w:shd w:val="clear" w:color="auto" w:fill="FFFFFF"/>
          </w:tcPr>
          <w:p>
            <w:pPr>
              <w:widowControl w:val="0"/>
              <w:suppressAutoHyphens/>
              <w:jc w:val="center"/>
            </w:pPr>
            <w:r>
              <w:t>Grynoji dabartinė vertė (po paramos), Lt</w:t>
            </w:r>
          </w:p>
        </w:tc>
        <w:tc>
          <w:tcPr>
            <w:tcW w:w="2126" w:type="dxa"/>
            <w:shd w:val="clear" w:color="auto" w:fill="FFFFFF"/>
          </w:tcPr>
          <w:p>
            <w:pPr>
              <w:widowControl w:val="0"/>
              <w:suppressAutoHyphens/>
              <w:jc w:val="center"/>
            </w:pPr>
            <w:r>
              <w:t>Vidinė grąžos norma (prieš paramą), %</w:t>
            </w:r>
          </w:p>
        </w:tc>
        <w:tc>
          <w:tcPr>
            <w:tcW w:w="2232" w:type="dxa"/>
            <w:shd w:val="clear" w:color="auto" w:fill="FFFFFF"/>
          </w:tcPr>
          <w:p>
            <w:pPr>
              <w:keepNext/>
              <w:widowControl w:val="0"/>
              <w:suppressAutoHyphens/>
              <w:jc w:val="center"/>
            </w:pPr>
            <w:r>
              <w:t>Vidinė grąžos norma (po paramos), %</w:t>
            </w:r>
          </w:p>
        </w:tc>
      </w:tr>
      <w:tr>
        <w:tblPrEx>
          <w:tblBorders>
            <w:insideH w:val="single" w:sz="4" w:space="0" w:color="auto"/>
            <w:insideV w:val="single" w:sz="4" w:space="0" w:color="auto"/>
          </w:tblBorders>
        </w:tblPrEx>
        <w:tc>
          <w:tcPr>
            <w:tcW w:w="1220" w:type="dxa"/>
          </w:tcPr>
          <w:p>
            <w:pPr>
              <w:widowControl w:val="0"/>
              <w:suppressAutoHyphens/>
              <w:jc w:val="center"/>
            </w:pPr>
          </w:p>
        </w:tc>
        <w:tc>
          <w:tcPr>
            <w:tcW w:w="1723" w:type="dxa"/>
          </w:tcPr>
          <w:p>
            <w:pPr>
              <w:widowControl w:val="0"/>
              <w:suppressAutoHyphens/>
              <w:jc w:val="center"/>
            </w:pPr>
          </w:p>
        </w:tc>
        <w:tc>
          <w:tcPr>
            <w:tcW w:w="2694" w:type="dxa"/>
          </w:tcPr>
          <w:p>
            <w:pPr>
              <w:widowControl w:val="0"/>
              <w:suppressAutoHyphens/>
              <w:jc w:val="center"/>
            </w:pPr>
          </w:p>
        </w:tc>
        <w:tc>
          <w:tcPr>
            <w:tcW w:w="2126" w:type="dxa"/>
          </w:tcPr>
          <w:p>
            <w:pPr>
              <w:widowControl w:val="0"/>
              <w:suppressAutoHyphens/>
              <w:jc w:val="center"/>
            </w:pPr>
          </w:p>
        </w:tc>
        <w:tc>
          <w:tcPr>
            <w:tcW w:w="2232" w:type="dxa"/>
          </w:tcPr>
          <w:p>
            <w:pPr>
              <w:widowControl w:val="0"/>
              <w:suppressAutoHyphens/>
              <w:jc w:val="center"/>
            </w:pPr>
          </w:p>
        </w:tc>
      </w:tr>
    </w:tbl>
    <w:p>
      <w:pPr>
        <w:widowControl w:val="0"/>
        <w:suppressAutoHyphens/>
        <w:jc w:val="both"/>
      </w:pPr>
    </w:p>
    <w:tbl>
      <w:tblPr>
        <w:tblW w:w="9070" w:type="dxa"/>
        <w:tblLayout w:type="fixed"/>
        <w:tblCellMar>
          <w:left w:w="0" w:type="dxa"/>
          <w:right w:w="0" w:type="dxa"/>
        </w:tblCellMar>
        <w:tblLook w:val="04A0" w:firstRow="1" w:lastRow="0" w:firstColumn="1" w:lastColumn="0" w:noHBand="0" w:noVBand="1"/>
      </w:tblPr>
      <w:tblGrid>
        <w:gridCol w:w="6148"/>
        <w:gridCol w:w="2922"/>
      </w:tblGrid>
      <w:tr>
        <w:trPr>
          <w:trHeight w:val="409"/>
        </w:trPr>
        <w:tc>
          <w:tcPr>
            <w:tcW w:w="9070"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pPr>
              <w:widowControl w:val="0"/>
              <w:suppressAutoHyphens/>
            </w:pPr>
            <w:r>
              <w:rPr>
                <w:b/>
                <w:bCs/>
              </w:rPr>
              <w:t>6.2. Europos Komisijai tinkamų deklaruoti projekto išlaidų dalies skaičiavimai (taikoma projektams, kurių vertė didesnė nei 3,453 mln. Lt)</w:t>
            </w:r>
          </w:p>
        </w:tc>
      </w:tr>
      <w:tr>
        <w:tc>
          <w:tcPr>
            <w:tcW w:w="9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pPr>
              <w:widowControl w:val="0"/>
              <w:suppressAutoHyphens/>
            </w:pPr>
            <w:r>
              <w:rPr>
                <w:i/>
                <w:iCs/>
              </w:rPr>
              <w:t>Skaičiavimai reikalaujami pagal Tarybos reglamento Nr. 1083/2006 55 straipsnio nuostatas.</w:t>
            </w:r>
          </w:p>
          <w:p/>
          <w:p>
            <w:pPr>
              <w:widowControl w:val="0"/>
              <w:suppressAutoHyphens/>
            </w:pPr>
            <w:r>
              <w:rPr>
                <w:i/>
                <w:iCs/>
              </w:rPr>
              <w:t>Prašome pažymėti, kuriai kategorijai priskiriamas projektas, dėl kurio finansavimo teikiama paraiška.</w:t>
            </w:r>
          </w:p>
          <w:p>
            <w:pPr>
              <w:widowControl w:val="0"/>
              <w:suppressAutoHyphens/>
              <w:ind w:firstLine="60"/>
            </w:pPr>
          </w:p>
          <w:p>
            <w:pPr>
              <w:widowControl w:val="0"/>
              <w:suppressAutoHyphens/>
            </w:pPr>
            <w:r>
              <w:t>Projekto priskyrimas kategorijai pagal gaunamas pajamas:</w:t>
            </w:r>
          </w:p>
          <w:p>
            <w:pPr>
              <w:widowControl w:val="0"/>
              <w:suppressAutoHyphens/>
              <w:ind w:left="360" w:firstLine="567"/>
            </w:pPr>
            <w:r>
              <w:sym w:font="Wingdings 2" w:char="F0A3"/>
            </w:r>
            <w:r>
              <w:rPr>
                <w:vanish/>
              </w:rPr>
              <w:t>[]</w:t>
            </w:r>
            <w:r>
              <w:t xml:space="preserve"> negaunama pajamų;</w:t>
            </w:r>
          </w:p>
          <w:p>
            <w:pPr>
              <w:widowControl w:val="0"/>
              <w:suppressAutoHyphens/>
              <w:ind w:left="360" w:firstLine="567"/>
            </w:pPr>
            <w:r>
              <w:sym w:font="Wingdings 2" w:char="F0A3"/>
            </w:r>
            <w:r>
              <w:rPr>
                <w:vanish/>
              </w:rPr>
              <w:t>[]</w:t>
            </w:r>
            <w:r>
              <w:t xml:space="preserve"> gaunama pajamų, bet jų neįmanoma nustatyti iš anksto;</w:t>
            </w:r>
          </w:p>
          <w:p>
            <w:pPr>
              <w:widowControl w:val="0"/>
              <w:suppressAutoHyphens/>
              <w:ind w:left="360" w:firstLine="567"/>
            </w:pPr>
            <w:r>
              <w:sym w:font="Wingdings 2" w:char="F0A3"/>
            </w:r>
            <w:r>
              <w:rPr>
                <w:vanish/>
              </w:rPr>
              <w:t>[]</w:t>
            </w:r>
            <w:r>
              <w:t xml:space="preserve"> gaunama pajamų ir jos yra įvertinamos iš anksto.</w:t>
            </w:r>
          </w:p>
          <w:p>
            <w:pPr>
              <w:widowControl w:val="0"/>
              <w:suppressAutoHyphens/>
              <w:ind w:firstLine="60"/>
            </w:pPr>
          </w:p>
          <w:p>
            <w:pPr>
              <w:widowControl w:val="0"/>
              <w:suppressAutoHyphens/>
            </w:pPr>
            <w:r>
              <w:rPr>
                <w:i/>
                <w:iCs/>
              </w:rPr>
              <w:t xml:space="preserve">Jeigu pažymimas 3 punktas, Europos Komisijai tinkamų deklaruoti projekto išlaidų dalies skaičiavimai turi būti atlikti vadovaujantis „Paraiškos formos B dalies pavyzdinio priedo pajamas duodantiems projektams pildymo vadovas“, „Metodinės rekomendacijos dėl Tarybos reglamento Nr. 1083/2006 55 straipsnio: pajamas duodantys projektai“ (angl. Guidance note on Art. 55, Council Regulation (EC) 1083/2006: Revenue Generating Projects) ir „Ekonominės naudos analizės atlikimo metodinės gairės“ (angl. Guidance On The Methodology For Carrying Out Cost–Benefit Analysis, Working Document No. 4) nuostatomis. Šis vadovas pateiktas interneto tinklalapyje </w:t>
            </w:r>
            <w:r>
              <w:rPr>
                <w:i/>
                <w:iCs/>
                <w:color w:val="000000"/>
              </w:rPr>
              <w:t>http://www.esparama.lt/2007-2013/lt/gaires/pajamu</w:t>
            </w:r>
            <w:r>
              <w:rPr>
                <w:color w:val="000000"/>
              </w:rPr>
              <w:t xml:space="preserve">. </w:t>
            </w:r>
          </w:p>
          <w:p/>
          <w:p>
            <w:pPr>
              <w:widowControl w:val="0"/>
              <w:suppressAutoHyphens/>
            </w:pPr>
            <w:r>
              <w:rPr>
                <w:i/>
                <w:iCs/>
              </w:rPr>
              <w:t xml:space="preserve">Lentelė pildoma Excel formatu. </w:t>
            </w:r>
          </w:p>
        </w:tc>
      </w:tr>
      <w:tr>
        <w:trPr>
          <w:trHeight w:val="300"/>
        </w:trPr>
        <w:tc>
          <w:tcPr>
            <w:tcW w:w="9070" w:type="dxa"/>
            <w:gridSpan w:val="2"/>
            <w:tcBorders>
              <w:top w:val="single" w:sz="4" w:space="0" w:color="auto"/>
              <w:left w:val="single" w:sz="4" w:space="0" w:color="auto"/>
              <w:bottom w:val="single" w:sz="4" w:space="0" w:color="auto"/>
              <w:right w:val="single" w:sz="4" w:space="0" w:color="auto"/>
            </w:tcBorders>
            <w:shd w:val="pct15" w:color="auto" w:fill="auto"/>
            <w:noWrap/>
            <w:tcMar>
              <w:top w:w="0" w:type="dxa"/>
              <w:left w:w="108" w:type="dxa"/>
              <w:bottom w:w="0" w:type="dxa"/>
              <w:right w:w="108" w:type="dxa"/>
            </w:tcMar>
            <w:vAlign w:val="bottom"/>
          </w:tcPr>
          <w:p>
            <w:pPr>
              <w:widowControl w:val="0"/>
              <w:suppressAutoHyphens/>
            </w:pPr>
            <w:r>
              <w:rPr>
                <w:b/>
                <w:bCs/>
                <w:color w:val="000000"/>
              </w:rPr>
              <w:t>6.2.1. Bendrai finansuoto iš Europos Sąjungos fondų lėšų projekto duomenys</w:t>
            </w:r>
          </w:p>
        </w:tc>
      </w:tr>
      <w:tr>
        <w:trPr>
          <w:trHeight w:val="300"/>
        </w:trPr>
        <w:tc>
          <w:tcPr>
            <w:tcW w:w="614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Projekto pavadinimas</w:t>
            </w:r>
          </w:p>
        </w:tc>
        <w:tc>
          <w:tcPr>
            <w:tcW w:w="2922"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r>
      <w:tr>
        <w:trPr>
          <w:trHeight w:val="220"/>
        </w:trPr>
        <w:tc>
          <w:tcPr>
            <w:tcW w:w="6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pPr>
              <w:widowControl w:val="0"/>
              <w:suppressAutoHyphens/>
            </w:pPr>
            <w:r>
              <w:rPr>
                <w:bCs/>
                <w:color w:val="000000"/>
              </w:rPr>
              <w:t>Projekto investicijų ataskaitinis laikotarpis, metų skaičius</w:t>
            </w:r>
          </w:p>
        </w:tc>
        <w:tc>
          <w:tcPr>
            <w:tcW w:w="29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r>
      <w:tr>
        <w:trPr>
          <w:trHeight w:val="300"/>
        </w:trPr>
        <w:tc>
          <w:tcPr>
            <w:tcW w:w="6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pPr>
              <w:widowControl w:val="0"/>
              <w:suppressAutoHyphens/>
            </w:pPr>
            <w:r>
              <w:rPr>
                <w:bCs/>
                <w:color w:val="000000"/>
              </w:rPr>
              <w:t>Diskonto norma, proc.</w:t>
            </w:r>
          </w:p>
        </w:tc>
        <w:tc>
          <w:tcPr>
            <w:tcW w:w="29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r>
      <w:tr>
        <w:trPr>
          <w:trHeight w:val="300"/>
        </w:trPr>
        <w:tc>
          <w:tcPr>
            <w:tcW w:w="6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Tinkamos finansuoti projekto išlaidos, Lt</w:t>
            </w:r>
          </w:p>
        </w:tc>
        <w:tc>
          <w:tcPr>
            <w:tcW w:w="29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r>
    </w:tbl>
    <w:p/>
    <w:tbl>
      <w:tblPr>
        <w:tblW w:w="9070" w:type="dxa"/>
        <w:tblLayout w:type="fixed"/>
        <w:tblCellMar>
          <w:left w:w="0" w:type="dxa"/>
          <w:right w:w="0" w:type="dxa"/>
        </w:tblCellMar>
        <w:tblLook w:val="04A0" w:firstRow="1" w:lastRow="0" w:firstColumn="1" w:lastColumn="0" w:noHBand="0" w:noVBand="1"/>
      </w:tblPr>
      <w:tblGrid>
        <w:gridCol w:w="3656"/>
        <w:gridCol w:w="2445"/>
        <w:gridCol w:w="701"/>
        <w:gridCol w:w="541"/>
        <w:gridCol w:w="436"/>
        <w:gridCol w:w="522"/>
        <w:gridCol w:w="769"/>
      </w:tblGrid>
      <w:tr>
        <w:trPr>
          <w:trHeight w:val="300"/>
        </w:trPr>
        <w:tc>
          <w:tcPr>
            <w:tcW w:w="9070" w:type="dxa"/>
            <w:gridSpan w:val="7"/>
            <w:tcBorders>
              <w:top w:val="single" w:sz="4" w:space="0" w:color="auto"/>
              <w:left w:val="single" w:sz="4" w:space="0" w:color="auto"/>
              <w:bottom w:val="single" w:sz="4" w:space="0" w:color="auto"/>
              <w:right w:val="single" w:sz="4" w:space="0" w:color="auto"/>
            </w:tcBorders>
            <w:shd w:val="pct15" w:color="auto" w:fill="auto"/>
            <w:noWrap/>
            <w:tcMar>
              <w:top w:w="0" w:type="dxa"/>
              <w:left w:w="108" w:type="dxa"/>
              <w:bottom w:w="0" w:type="dxa"/>
              <w:right w:w="108" w:type="dxa"/>
            </w:tcMar>
            <w:vAlign w:val="bottom"/>
          </w:tcPr>
          <w:p>
            <w:pPr>
              <w:widowControl w:val="0"/>
              <w:suppressAutoHyphens/>
            </w:pPr>
            <w:r>
              <w:rPr>
                <w:b/>
                <w:bCs/>
                <w:color w:val="000000"/>
              </w:rPr>
              <w:t>6.2.2. Prognozuoti finansiniai srautai</w:t>
            </w:r>
          </w:p>
        </w:tc>
      </w:tr>
      <w:tr>
        <w:trPr>
          <w:trHeight w:val="20"/>
        </w:trPr>
        <w:tc>
          <w:tcPr>
            <w:tcW w:w="365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pPr>
              <w:widowControl w:val="0"/>
              <w:suppressAutoHyphens/>
            </w:pPr>
            <w:r>
              <w:rPr>
                <w:bCs/>
                <w:color w:val="000000"/>
              </w:rPr>
              <w:t>Nr.</w:t>
            </w:r>
          </w:p>
        </w:tc>
        <w:tc>
          <w:tcPr>
            <w:tcW w:w="24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pPr>
              <w:widowControl w:val="0"/>
              <w:suppressAutoHyphens/>
            </w:pPr>
          </w:p>
        </w:tc>
        <w:tc>
          <w:tcPr>
            <w:tcW w:w="296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pPr>
              <w:widowControl w:val="0"/>
              <w:suppressAutoHyphens/>
              <w:jc w:val="center"/>
            </w:pPr>
            <w:r>
              <w:rPr>
                <w:bCs/>
                <w:color w:val="000000"/>
              </w:rPr>
              <w:t>Metai</w:t>
            </w:r>
          </w:p>
        </w:tc>
      </w:tr>
      <w:tr>
        <w:trPr>
          <w:trHeight w:val="20"/>
        </w:trPr>
        <w:tc>
          <w:tcPr>
            <w:tcW w:w="3656" w:type="dxa"/>
            <w:vMerge/>
            <w:tcBorders>
              <w:top w:val="single" w:sz="8" w:space="0" w:color="auto"/>
              <w:left w:val="single" w:sz="8" w:space="0" w:color="auto"/>
              <w:bottom w:val="single" w:sz="8" w:space="0" w:color="000000"/>
              <w:right w:val="single" w:sz="8" w:space="0" w:color="auto"/>
            </w:tcBorders>
            <w:vAlign w:val="center"/>
          </w:tcPr>
          <w:p>
            <w:pPr>
              <w:widowControl w:val="0"/>
              <w:suppressAutoHyphens/>
            </w:pPr>
          </w:p>
        </w:tc>
        <w:tc>
          <w:tcPr>
            <w:tcW w:w="2445" w:type="dxa"/>
            <w:vMerge/>
            <w:tcBorders>
              <w:top w:val="single" w:sz="8" w:space="0" w:color="auto"/>
              <w:left w:val="nil"/>
              <w:bottom w:val="single" w:sz="8" w:space="0" w:color="auto"/>
              <w:right w:val="single" w:sz="8" w:space="0" w:color="auto"/>
            </w:tcBorders>
            <w:vAlign w:val="center"/>
          </w:tcPr>
          <w:p>
            <w:pPr>
              <w:widowControl w:val="0"/>
              <w:suppressAutoHyphens/>
            </w:pPr>
          </w:p>
        </w:tc>
        <w:tc>
          <w:tcPr>
            <w:tcW w:w="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pPr>
              <w:widowControl w:val="0"/>
              <w:suppressAutoHyphens/>
              <w:jc w:val="center"/>
            </w:pPr>
            <w:r>
              <w:rPr>
                <w:bCs/>
                <w:color w:val="000000"/>
              </w:rPr>
              <w:t>0</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tcPr>
          <w:p>
            <w:pPr>
              <w:widowControl w:val="0"/>
              <w:suppressAutoHyphens/>
              <w:jc w:val="center"/>
            </w:pPr>
            <w:r>
              <w:rPr>
                <w:bCs/>
                <w:color w:val="000000"/>
              </w:rPr>
              <w:t>1</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vAlign w:val="bottom"/>
          </w:tcPr>
          <w:p>
            <w:pPr>
              <w:widowControl w:val="0"/>
              <w:suppressAutoHyphens/>
              <w:jc w:val="center"/>
            </w:pPr>
            <w:r>
              <w:rPr>
                <w:bCs/>
                <w:color w:val="000000"/>
              </w:rPr>
              <w:t>2</w:t>
            </w: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pPr>
              <w:widowControl w:val="0"/>
              <w:suppressAutoHyphens/>
              <w:jc w:val="center"/>
            </w:pPr>
            <w:r>
              <w:rPr>
                <w:bCs/>
                <w:color w:val="000000"/>
              </w:rPr>
              <w:t>3</w:t>
            </w:r>
          </w:p>
        </w:tc>
        <w:tc>
          <w:tcPr>
            <w:tcW w:w="769" w:type="dxa"/>
            <w:tcBorders>
              <w:top w:val="nil"/>
              <w:left w:val="nil"/>
              <w:bottom w:val="single" w:sz="8" w:space="0" w:color="auto"/>
              <w:right w:val="single" w:sz="8" w:space="0" w:color="auto"/>
            </w:tcBorders>
            <w:noWrap/>
            <w:tcMar>
              <w:top w:w="0" w:type="dxa"/>
              <w:left w:w="108" w:type="dxa"/>
              <w:bottom w:w="0" w:type="dxa"/>
              <w:right w:w="108" w:type="dxa"/>
            </w:tcMar>
            <w:vAlign w:val="bottom"/>
          </w:tcPr>
          <w:p>
            <w:pPr>
              <w:widowControl w:val="0"/>
              <w:suppressAutoHyphens/>
              <w:jc w:val="center"/>
            </w:pPr>
            <w:r>
              <w:rPr>
                <w:bCs/>
                <w:color w:val="000000"/>
              </w:rPr>
              <w:t>4</w:t>
            </w: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1.</w:t>
            </w:r>
          </w:p>
        </w:tc>
        <w:tc>
          <w:tcPr>
            <w:tcW w:w="2445" w:type="dxa"/>
            <w:tcBorders>
              <w:top w:val="nil"/>
              <w:left w:val="nil"/>
              <w:bottom w:val="single" w:sz="8" w:space="0" w:color="auto"/>
              <w:right w:val="single" w:sz="8" w:space="0" w:color="000000"/>
            </w:tcBorders>
            <w:noWrap/>
            <w:tcMar>
              <w:top w:w="0" w:type="dxa"/>
              <w:left w:w="108" w:type="dxa"/>
              <w:bottom w:w="0" w:type="dxa"/>
              <w:right w:w="108" w:type="dxa"/>
            </w:tcMar>
            <w:vAlign w:val="bottom"/>
          </w:tcPr>
          <w:p>
            <w:pPr>
              <w:widowControl w:val="0"/>
              <w:suppressAutoHyphens/>
            </w:pPr>
            <w:r>
              <w:rPr>
                <w:bCs/>
                <w:color w:val="000000"/>
              </w:rPr>
              <w:t>Projekto investicijų išlaidos, Lt</w:t>
            </w: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1.1.</w:t>
            </w:r>
          </w:p>
        </w:tc>
        <w:tc>
          <w:tcPr>
            <w:tcW w:w="2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pPr>
              <w:widowControl w:val="0"/>
              <w:suppressAutoHyphens/>
            </w:pPr>
            <w:r>
              <w:rPr>
                <w:bCs/>
                <w:color w:val="000000"/>
              </w:rPr>
              <w:t>Tinkamos finansuoti projekto investicijų išlaidos, Lt</w:t>
            </w: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1.2.</w:t>
            </w:r>
          </w:p>
        </w:tc>
        <w:tc>
          <w:tcPr>
            <w:tcW w:w="2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pPr>
              <w:widowControl w:val="0"/>
              <w:suppressAutoHyphens/>
            </w:pPr>
            <w:r>
              <w:rPr>
                <w:bCs/>
                <w:color w:val="000000"/>
              </w:rPr>
              <w:t xml:space="preserve">Netinkamos finansuoti </w:t>
            </w:r>
            <w:r>
              <w:rPr>
                <w:bCs/>
                <w:color w:val="000000"/>
                <w:lang w:eastAsia="lt-LT"/>
              </w:rPr>
              <mc:AlternateContent>
                <mc:Choice Requires="wps">
                  <w:drawing>
                    <wp:anchor distT="0" distB="0" distL="114300" distR="114300" simplePos="0" relativeHeight="251661312" behindDoc="0" locked="0" layoutInCell="1" allowOverlap="1">
                      <wp:simplePos x="0" y="0"/>
                      <wp:positionH relativeFrom="page">
                        <wp:posOffset>5669915</wp:posOffset>
                      </wp:positionH>
                      <wp:positionV relativeFrom="page">
                        <wp:posOffset>89535</wp:posOffset>
                      </wp:positionV>
                      <wp:extent cx="4388485" cy="7225030"/>
                      <wp:effectExtent l="254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85" cy="722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6.45pt;margin-top:7.05pt;width:345.55pt;height:56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p6WahgIAABcFAAAOAAAAZHJzL2Uyb0RvYy54bWysVNuO2yAQfa/Uf0C8Z31ZZ2Nb66z20lSV thdptx9AAMeoGCiQ2Nuq/94BJ2m6baWqqh8wMMNhZs4ZLq/GXqIdt05o1eDsLMWIK6qZUJsGf3xc zUqMnCeKEakVb/ATd/hq+fLF5WBqnutOS8YtAhDl6sE0uPPe1EniaMd74s604QqMrbY98bC0m4RZ MgB6L5M8TS+SQVtmrKbcOdi9m4x4GfHbllP/vm0d90g2GGLzcbRxXIcxWV6SemOJ6QTdh0H+IYqe CAWXHqHuiCdoa8UvUL2gVjvd+jOq+0S3raA85gDZZOmzbB46YnjMBYrjzLFM7v/B0ne7DxYJ1uA5 Ror0QNEjHz260SPKQ3UG42pwejDg5kfYBpZjps7ca/rJIaVvO6I2/NpaPXScMIguCyeTk6MTjgsg 6+GtZnAN2XodgcbW9qF0UAwE6MDS05GZEAqFzeK8LIsSQqRgW+T5PD2P3CWkPhw31vnXXPcoTBps gfoIT3b3zodwSH1wCbc5LQVbCSnjwm7Wt9KiHQGZrOIXM3jmJlVwVjocmxCnHYgS7gi2EG+k/WuV 5UV6k1ez1UW5mBWrYj6rFmk5S7PqprpIi6q4W30LAWZF3QnGuLoXih8kmBV/R/G+GSbxRBGiocHV PJ9PHP0xyTR+v0uyFx46Uoq+weXRidSB2VeKQdqk9kTIaZ78HH6sMtTg8I9ViToI1E8i8ON6jII7 ymut2RMIw2qgDdiH1wQmnbZfMBqgMxvsPm+J5RjJNwrEVWVFEVo5Lor5IoeFPbWsTy1EUYBqsMdo mt76qf23xopNBzdNclb6GgTZiiiVoNwpqr2MoftiTvuXIrT36Tp6/XjPlt8BAAD//wMAUEsDBBQA BgAIAAAAIQD2S55E3wAAAAwBAAAPAAAAZHJzL2Rvd25yZXYueG1sTI/BboMwEETvlfoP1lbqpWoM ESRAMVFbqVWvSfMBC3YAFa8RdgL5+25O7W1H8zQ7U+4WO4iLmXzvSEG8ikAYapzuqVVw/P54zkD4 gKRxcGQUXI2HXXV/V2Kh3Ux7czmEVnAI+QIVdCGMhZS+6YxFv3KjIfZObrIYWE6t1BPOHG4HuY6i jbTYE3/ocDTvnWl+Dmer4PQ1P6X5XH+G43afbN6w39buqtTjw/L6AiKYJfzBcKvP1aHiTrU7k/Zi UJDl65xRNpIYxA1Is4TX1XzFaZyDrEr5f0T1CwAA//8DAFBLAQItABQABgAIAAAAIQC2gziS/gAA AOEBAAATAAAAAAAAAAAAAAAAAAAAAABbQ29udGVudF9UeXBlc10ueG1sUEsBAi0AFAAGAAgAAAAh ADj9If/WAAAAlAEAAAsAAAAAAAAAAAAAAAAALwEAAF9yZWxzLy5yZWxzUEsBAi0AFAAGAAgAAAAh ALynpZqGAgAAFwUAAA4AAAAAAAAAAAAAAAAALgIAAGRycy9lMm9Eb2MueG1sUEsBAi0AFAAGAAgA AAAhAPZLnkTfAAAADAEAAA8AAAAAAAAAAAAAAAAA4AQAAGRycy9kb3ducmV2LnhtbFBLBQYAAAAA BAAEAPMAAADsBQAAAAA= " stroked="f">
                      <v:textbox>
                        <w:txbxContent>
                          <w:p/>
                        </w:txbxContent>
                      </v:textbox>
                      <w10:wrap anchorx="page" anchory="page"/>
                    </v:shape>
                  </w:pict>
                </mc:Fallback>
              </mc:AlternateContent>
            </w:r>
            <w:r>
              <w:rPr>
                <w:bCs/>
                <w:color w:val="000000"/>
              </w:rPr>
              <w:t>projekto investicijų išlaidos, Lt</w:t>
            </w: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2.</w:t>
            </w:r>
          </w:p>
        </w:tc>
        <w:tc>
          <w:tcPr>
            <w:tcW w:w="2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Projekto veiklos išlaidos, Lt</w:t>
            </w: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2.1.</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2.2.</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2.n.</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3.</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r>
              <w:rPr>
                <w:bCs/>
                <w:color w:val="000000"/>
              </w:rPr>
              <w:t>Projekto veiklos pajamos, Lt</w:t>
            </w: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3.1.</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3.2.</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color w:val="000000"/>
              </w:rPr>
              <w:t>...</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color w:val="000000"/>
              </w:rPr>
              <w:t>...</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3.n.</w:t>
            </w:r>
          </w:p>
        </w:tc>
        <w:tc>
          <w:tcPr>
            <w:tcW w:w="24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p>
        </w:tc>
      </w:tr>
      <w:tr>
        <w:trPr>
          <w:trHeight w:val="20"/>
        </w:trPr>
        <w:tc>
          <w:tcPr>
            <w:tcW w:w="365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4.</w:t>
            </w:r>
          </w:p>
        </w:tc>
        <w:tc>
          <w:tcPr>
            <w:tcW w:w="2445" w:type="dxa"/>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r>
              <w:rPr>
                <w:bCs/>
                <w:color w:val="000000"/>
              </w:rPr>
              <w:t>Grynosios pajamos, Lt</w:t>
            </w:r>
          </w:p>
        </w:tc>
        <w:tc>
          <w:tcPr>
            <w:tcW w:w="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5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43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52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c>
          <w:tcPr>
            <w:tcW w:w="76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jc w:val="center"/>
            </w:pPr>
            <w:r>
              <w:rPr>
                <w:color w:val="000000"/>
              </w:rPr>
              <w:t>0</w:t>
            </w:r>
          </w:p>
        </w:tc>
      </w:tr>
      <w:tr>
        <w:trPr>
          <w:trHeight w:val="20"/>
        </w:trPr>
        <w:tc>
          <w:tcPr>
            <w:tcW w:w="365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pPr>
              <w:widowControl w:val="0"/>
              <w:suppressAutoHyphens/>
            </w:pPr>
            <w:r>
              <w:rPr>
                <w:bCs/>
                <w:color w:val="000000"/>
              </w:rPr>
              <w:t>5.</w:t>
            </w:r>
          </w:p>
        </w:tc>
        <w:tc>
          <w:tcPr>
            <w:tcW w:w="2445"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tcPr>
          <w:p>
            <w:pPr>
              <w:widowControl w:val="0"/>
              <w:suppressAutoHyphens/>
            </w:pPr>
            <w:r>
              <w:rPr>
                <w:bCs/>
                <w:color w:val="000000"/>
              </w:rPr>
              <w:t>Turto likutinė vertė, Lt</w:t>
            </w:r>
          </w:p>
        </w:tc>
        <w:tc>
          <w:tcPr>
            <w:tcW w:w="701" w:type="dxa"/>
            <w:tcBorders>
              <w:top w:val="single" w:sz="8" w:space="0" w:color="auto"/>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pPr>
              <w:widowControl w:val="0"/>
              <w:suppressAutoHyphens/>
            </w:pPr>
          </w:p>
        </w:tc>
        <w:tc>
          <w:tcPr>
            <w:tcW w:w="541" w:type="dxa"/>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tcPr>
          <w:p>
            <w:pPr>
              <w:widowControl w:val="0"/>
              <w:suppressAutoHyphens/>
            </w:pPr>
          </w:p>
        </w:tc>
        <w:tc>
          <w:tcPr>
            <w:tcW w:w="436" w:type="dxa"/>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tcPr>
          <w:p>
            <w:pPr>
              <w:widowControl w:val="0"/>
              <w:suppressAutoHyphens/>
            </w:pPr>
          </w:p>
        </w:tc>
        <w:tc>
          <w:tcPr>
            <w:tcW w:w="522" w:type="dxa"/>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tcPr>
          <w:p>
            <w:pPr>
              <w:widowControl w:val="0"/>
              <w:suppressAutoHyphens/>
            </w:pPr>
          </w:p>
        </w:tc>
        <w:tc>
          <w:tcPr>
            <w:tcW w:w="769" w:type="dxa"/>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tcPr>
          <w:p>
            <w:pPr>
              <w:widowControl w:val="0"/>
              <w:suppressAutoHyphens/>
            </w:pPr>
          </w:p>
        </w:tc>
      </w:tr>
    </w:tbl>
    <w:p/>
    <w:tbl>
      <w:tblPr>
        <w:tblW w:w="9070" w:type="dxa"/>
        <w:tblLayout w:type="fixed"/>
        <w:tblCellMar>
          <w:left w:w="0" w:type="dxa"/>
          <w:right w:w="0" w:type="dxa"/>
        </w:tblCellMar>
        <w:tblLook w:val="04A0" w:firstRow="1" w:lastRow="0" w:firstColumn="1" w:lastColumn="0" w:noHBand="0" w:noVBand="1"/>
      </w:tblPr>
      <w:tblGrid>
        <w:gridCol w:w="5673"/>
        <w:gridCol w:w="3397"/>
      </w:tblGrid>
      <w:tr>
        <w:trPr>
          <w:trHeight w:val="300"/>
        </w:trPr>
        <w:tc>
          <w:tcPr>
            <w:tcW w:w="9070" w:type="dxa"/>
            <w:gridSpan w:val="2"/>
            <w:tcBorders>
              <w:top w:val="single" w:sz="4" w:space="0" w:color="auto"/>
              <w:left w:val="single" w:sz="4" w:space="0" w:color="auto"/>
              <w:bottom w:val="single" w:sz="4" w:space="0" w:color="auto"/>
              <w:right w:val="single" w:sz="4" w:space="0" w:color="auto"/>
            </w:tcBorders>
            <w:shd w:val="pct15" w:color="auto" w:fill="auto"/>
            <w:noWrap/>
            <w:tcMar>
              <w:top w:w="0" w:type="dxa"/>
              <w:left w:w="108" w:type="dxa"/>
              <w:bottom w:w="0" w:type="dxa"/>
              <w:right w:w="108" w:type="dxa"/>
            </w:tcMar>
            <w:vAlign w:val="bottom"/>
          </w:tcPr>
          <w:p>
            <w:pPr>
              <w:widowControl w:val="0"/>
              <w:suppressAutoHyphens/>
            </w:pPr>
            <w:r>
              <w:rPr>
                <w:b/>
                <w:bCs/>
                <w:color w:val="000000"/>
              </w:rPr>
              <w:t>6.2.3. Atliktos finansinės analizės rezultatai</w:t>
            </w:r>
          </w:p>
        </w:tc>
      </w:tr>
      <w:tr>
        <w:trPr>
          <w:trHeight w:val="300"/>
        </w:trPr>
        <w:tc>
          <w:tcPr>
            <w:tcW w:w="5673" w:type="dxa"/>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tcPr>
          <w:p>
            <w:pPr>
              <w:widowControl w:val="0"/>
              <w:suppressAutoHyphens/>
            </w:pPr>
            <w:r>
              <w:rPr>
                <w:bCs/>
                <w:color w:val="000000"/>
              </w:rPr>
              <w:t>Projekto investicijų dabartinė vertė, Lt</w:t>
            </w:r>
          </w:p>
        </w:tc>
        <w:tc>
          <w:tcPr>
            <w:tcW w:w="3397"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bottom"/>
          </w:tcPr>
          <w:p>
            <w:pPr>
              <w:widowControl w:val="0"/>
              <w:suppressAutoHyphens/>
              <w:jc w:val="center"/>
            </w:pPr>
            <w:r>
              <w:rPr>
                <w:color w:val="000000"/>
              </w:rPr>
              <w:t>0</w:t>
            </w:r>
          </w:p>
        </w:tc>
      </w:tr>
      <w:tr>
        <w:trPr>
          <w:trHeight w:val="300"/>
        </w:trPr>
        <w:tc>
          <w:tcPr>
            <w:tcW w:w="5673" w:type="dxa"/>
            <w:tcBorders>
              <w:top w:val="nil"/>
              <w:left w:val="single" w:sz="8" w:space="0" w:color="auto"/>
              <w:bottom w:val="single" w:sz="4" w:space="0" w:color="auto"/>
              <w:right w:val="single" w:sz="8" w:space="0" w:color="000000"/>
            </w:tcBorders>
            <w:tcMar>
              <w:top w:w="0" w:type="dxa"/>
              <w:left w:w="108" w:type="dxa"/>
              <w:bottom w:w="0" w:type="dxa"/>
              <w:right w:w="108" w:type="dxa"/>
            </w:tcMar>
            <w:vAlign w:val="bottom"/>
          </w:tcPr>
          <w:p>
            <w:pPr>
              <w:widowControl w:val="0"/>
              <w:suppressAutoHyphens/>
            </w:pPr>
            <w:r>
              <w:rPr>
                <w:bCs/>
                <w:color w:val="000000"/>
              </w:rPr>
              <w:t>Dabartinė turto likutinė vertė, Lt</w:t>
            </w:r>
          </w:p>
        </w:tc>
        <w:tc>
          <w:tcPr>
            <w:tcW w:w="3397" w:type="dxa"/>
            <w:tcBorders>
              <w:top w:val="single" w:sz="8" w:space="0" w:color="auto"/>
              <w:left w:val="nil"/>
              <w:bottom w:val="single" w:sz="4" w:space="0" w:color="auto"/>
              <w:right w:val="single" w:sz="8" w:space="0" w:color="000000"/>
            </w:tcBorders>
            <w:shd w:val="clear" w:color="auto" w:fill="auto"/>
            <w:tcMar>
              <w:top w:w="0" w:type="dxa"/>
              <w:left w:w="108" w:type="dxa"/>
              <w:bottom w:w="0" w:type="dxa"/>
              <w:right w:w="108" w:type="dxa"/>
            </w:tcMar>
            <w:vAlign w:val="bottom"/>
          </w:tcPr>
          <w:p>
            <w:pPr>
              <w:widowControl w:val="0"/>
              <w:suppressAutoHyphens/>
              <w:jc w:val="center"/>
            </w:pPr>
            <w:r>
              <w:rPr>
                <w:color w:val="000000"/>
              </w:rPr>
              <w:t>0</w:t>
            </w:r>
          </w:p>
        </w:tc>
      </w:tr>
      <w:tr>
        <w:trPr>
          <w:trHeight w:val="300"/>
        </w:trPr>
        <w:tc>
          <w:tcPr>
            <w:tcW w:w="567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tcPr>
          <w:p>
            <w:pPr>
              <w:widowControl w:val="0"/>
              <w:suppressAutoHyphens/>
            </w:pPr>
            <w:r>
              <w:rPr>
                <w:bCs/>
                <w:color w:val="000000"/>
              </w:rPr>
              <w:t>Grynųjų projekto pajamų dabartinė vertė, Lt</w:t>
            </w:r>
          </w:p>
        </w:tc>
        <w:tc>
          <w:tcPr>
            <w:tcW w:w="339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pPr>
              <w:widowControl w:val="0"/>
              <w:suppressAutoHyphens/>
              <w:jc w:val="center"/>
            </w:pPr>
            <w:r>
              <w:rPr>
                <w:color w:val="000000"/>
              </w:rPr>
              <w:t>0</w:t>
            </w:r>
          </w:p>
        </w:tc>
      </w:tr>
    </w:tbl>
    <w:p/>
    <w:tbl>
      <w:tblPr>
        <w:tblW w:w="9070" w:type="dxa"/>
        <w:tblLayout w:type="fixed"/>
        <w:tblCellMar>
          <w:left w:w="0" w:type="dxa"/>
          <w:right w:w="0" w:type="dxa"/>
        </w:tblCellMar>
        <w:tblLook w:val="04A0" w:firstRow="1" w:lastRow="0" w:firstColumn="1" w:lastColumn="0" w:noHBand="0" w:noVBand="1"/>
      </w:tblPr>
      <w:tblGrid>
        <w:gridCol w:w="5172"/>
        <w:gridCol w:w="3898"/>
      </w:tblGrid>
      <w:tr>
        <w:trPr>
          <w:trHeight w:val="300"/>
        </w:trPr>
        <w:tc>
          <w:tcPr>
            <w:tcW w:w="9070" w:type="dxa"/>
            <w:gridSpan w:val="2"/>
            <w:tcBorders>
              <w:top w:val="single" w:sz="4" w:space="0" w:color="auto"/>
              <w:left w:val="single" w:sz="4" w:space="0" w:color="auto"/>
              <w:bottom w:val="single" w:sz="4" w:space="0" w:color="auto"/>
              <w:right w:val="single" w:sz="4" w:space="0" w:color="auto"/>
            </w:tcBorders>
            <w:shd w:val="pct15" w:color="auto" w:fill="auto"/>
            <w:noWrap/>
            <w:tcMar>
              <w:top w:w="0" w:type="dxa"/>
              <w:left w:w="108" w:type="dxa"/>
              <w:bottom w:w="0" w:type="dxa"/>
              <w:right w:w="108" w:type="dxa"/>
            </w:tcMar>
            <w:vAlign w:val="bottom"/>
          </w:tcPr>
          <w:p>
            <w:pPr>
              <w:widowControl w:val="0"/>
              <w:suppressAutoHyphens/>
            </w:pPr>
            <w:r>
              <w:rPr>
                <w:b/>
                <w:bCs/>
                <w:color w:val="000000"/>
              </w:rPr>
              <w:t>6.2.4. Europos Komisijai tinkamos deklaruoti projekto išlaidos</w:t>
            </w:r>
          </w:p>
        </w:tc>
      </w:tr>
      <w:tr>
        <w:trPr>
          <w:trHeight w:val="429"/>
        </w:trPr>
        <w:tc>
          <w:tcPr>
            <w:tcW w:w="5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widowControl w:val="0"/>
              <w:suppressAutoHyphens/>
            </w:pPr>
            <w:r>
              <w:rPr>
                <w:bCs/>
                <w:color w:val="000000"/>
              </w:rPr>
              <w:t>Europos Komisijai tinkamų deklaruoti projekto išlaidų dalis (trūkstamo finansavimo santykis)</w:t>
            </w:r>
          </w:p>
        </w:tc>
        <w:tc>
          <w:tcPr>
            <w:tcW w:w="3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pPr>
              <w:widowControl w:val="0"/>
              <w:suppressAutoHyphens/>
              <w:jc w:val="center"/>
            </w:pPr>
          </w:p>
        </w:tc>
      </w:tr>
      <w:tr>
        <w:trPr>
          <w:trHeight w:val="469"/>
        </w:trPr>
        <w:tc>
          <w:tcPr>
            <w:tcW w:w="5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pPr>
              <w:widowControl w:val="0"/>
              <w:suppressAutoHyphens/>
            </w:pPr>
            <w:r>
              <w:rPr>
                <w:bCs/>
                <w:color w:val="000000"/>
              </w:rPr>
              <w:t>Numatomos gauti grynosios pajamos, kuriomis mažinama Europos Komisijai tinkamų deklaruoti projekto išlaidų suma, Lt</w:t>
            </w:r>
          </w:p>
        </w:tc>
        <w:tc>
          <w:tcPr>
            <w:tcW w:w="3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pPr>
              <w:widowControl w:val="0"/>
              <w:suppressAutoHyphens/>
              <w:jc w:val="center"/>
            </w:pPr>
          </w:p>
        </w:tc>
      </w:tr>
      <w:tr>
        <w:trPr>
          <w:trHeight w:val="218"/>
        </w:trPr>
        <w:tc>
          <w:tcPr>
            <w:tcW w:w="5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pPr>
              <w:widowControl w:val="0"/>
              <w:suppressAutoHyphens/>
            </w:pPr>
            <w:r>
              <w:rPr>
                <w:bCs/>
                <w:color w:val="000000"/>
              </w:rPr>
              <w:t>Europos Komisijai tinkamų deklaruoti išlaidų suma, Lt</w:t>
            </w:r>
          </w:p>
        </w:tc>
        <w:tc>
          <w:tcPr>
            <w:tcW w:w="3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pPr>
              <w:widowControl w:val="0"/>
              <w:suppressAutoHyphens/>
              <w:jc w:val="center"/>
            </w:pPr>
          </w:p>
        </w:tc>
      </w:tr>
    </w:tbl>
    <w:p/>
    <w:tbl>
      <w:tblPr>
        <w:tblW w:w="9070" w:type="dxa"/>
        <w:tblLayout w:type="fixed"/>
        <w:tblCellMar>
          <w:left w:w="0" w:type="dxa"/>
          <w:right w:w="0" w:type="dxa"/>
        </w:tblCellMar>
        <w:tblLook w:val="04A0" w:firstRow="1" w:lastRow="0" w:firstColumn="1" w:lastColumn="0" w:noHBand="0" w:noVBand="1"/>
      </w:tblPr>
      <w:tblGrid>
        <w:gridCol w:w="3023"/>
        <w:gridCol w:w="2917"/>
        <w:gridCol w:w="3130"/>
      </w:tblGrid>
      <w:tr>
        <w:trPr>
          <w:trHeight w:val="356"/>
        </w:trPr>
        <w:tc>
          <w:tcPr>
            <w:tcW w:w="3308" w:type="dxa"/>
            <w:noWrap/>
            <w:tcMar>
              <w:top w:w="0" w:type="dxa"/>
              <w:left w:w="108" w:type="dxa"/>
              <w:bottom w:w="0" w:type="dxa"/>
              <w:right w:w="108" w:type="dxa"/>
            </w:tcMar>
            <w:vAlign w:val="bottom"/>
          </w:tcPr>
          <w:p>
            <w:r>
              <w:t>______________</w:t>
            </w:r>
          </w:p>
          <w:p>
            <w:pPr>
              <w:widowControl w:val="0"/>
              <w:suppressAutoHyphens/>
            </w:pPr>
            <w:r>
              <w:rPr>
                <w:color w:val="000000"/>
              </w:rPr>
              <w:t>(projekto vykdytojo atsakingo asmens pareigos)</w:t>
            </w:r>
          </w:p>
        </w:tc>
        <w:tc>
          <w:tcPr>
            <w:tcW w:w="3190" w:type="dxa"/>
            <w:tcMar>
              <w:top w:w="0" w:type="dxa"/>
              <w:left w:w="108" w:type="dxa"/>
              <w:bottom w:w="0" w:type="dxa"/>
              <w:right w:w="108" w:type="dxa"/>
            </w:tcMar>
          </w:tcPr>
          <w:p>
            <w:pPr>
              <w:jc w:val="center"/>
            </w:pPr>
            <w:r>
              <w:t>__________</w:t>
            </w:r>
          </w:p>
          <w:p>
            <w:pPr>
              <w:widowControl w:val="0"/>
              <w:suppressAutoHyphens/>
              <w:jc w:val="center"/>
            </w:pPr>
            <w:r>
              <w:rPr>
                <w:color w:val="000000"/>
              </w:rPr>
              <w:t>(parašas)</w:t>
            </w:r>
          </w:p>
        </w:tc>
        <w:tc>
          <w:tcPr>
            <w:tcW w:w="3425" w:type="dxa"/>
            <w:tcMar>
              <w:top w:w="0" w:type="dxa"/>
              <w:left w:w="108" w:type="dxa"/>
              <w:bottom w:w="0" w:type="dxa"/>
              <w:right w:w="108" w:type="dxa"/>
            </w:tcMar>
          </w:tcPr>
          <w:p>
            <w:pPr>
              <w:jc w:val="right"/>
            </w:pPr>
            <w:r>
              <w:t>_______________</w:t>
            </w:r>
          </w:p>
          <w:p>
            <w:pPr>
              <w:widowControl w:val="0"/>
              <w:suppressAutoHyphens/>
              <w:jc w:val="right"/>
            </w:pPr>
            <w:r>
              <w:rPr>
                <w:color w:val="000000"/>
              </w:rPr>
              <w:t>(vardas ir pavardė)</w:t>
            </w:r>
          </w:p>
        </w:tc>
      </w:tr>
    </w:tbl>
    <w:p/>
    <w:tbl>
      <w:tblPr>
        <w:tblW w:w="9070" w:type="dxa"/>
        <w:tblCellMar>
          <w:left w:w="0" w:type="dxa"/>
          <w:right w:w="0" w:type="dxa"/>
        </w:tblCellMar>
        <w:tblLook w:val="04A0" w:firstRow="1" w:lastRow="0" w:firstColumn="1" w:lastColumn="0" w:noHBand="0" w:noVBand="1"/>
      </w:tblPr>
      <w:tblGrid>
        <w:gridCol w:w="4627"/>
        <w:gridCol w:w="4443"/>
      </w:tblGrid>
      <w:tr>
        <w:trPr>
          <w:trHeight w:val="169"/>
        </w:trPr>
        <w:tc>
          <w:tcPr>
            <w:tcW w:w="9917"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pPr>
              <w:widowControl w:val="0"/>
              <w:suppressAutoHyphens/>
              <w:rPr>
                <w:b/>
              </w:rPr>
            </w:pPr>
            <w:r>
              <w:br w:type="page"/>
            </w:r>
            <w:r>
              <w:rPr>
                <w:b/>
                <w:bCs/>
              </w:rPr>
              <w:t>6.3. Pagrindinių skaičiavimų prielaidų pagrindimas</w:t>
            </w:r>
          </w:p>
        </w:tc>
      </w:tr>
      <w:tr>
        <w:trPr>
          <w:trHeight w:val="316"/>
        </w:trPr>
        <w:tc>
          <w:tcPr>
            <w:tcW w:w="4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pPr>
            <w:r>
              <w:rPr>
                <w:bCs/>
              </w:rPr>
              <w:t>Projekto investicijų ataskaitinis laikotarpis</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pPr>
            <w:r>
              <w:rPr>
                <w:bCs/>
              </w:rPr>
              <w:t>Pasirinkto projekto investicijų ataskaitinio laikotarpio pagrindimas</w:t>
            </w:r>
          </w:p>
        </w:tc>
      </w:tr>
      <w:tr>
        <w:trPr>
          <w:trHeight w:val="124"/>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28"/>
        </w:trPr>
        <w:tc>
          <w:tcPr>
            <w:tcW w:w="4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pPr>
            <w:r>
              <w:rPr>
                <w:bCs/>
              </w:rPr>
              <w:t>Diskonto norma</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pPr>
            <w:r>
              <w:rPr>
                <w:bCs/>
              </w:rPr>
              <w:t>Pasirinktos diskonto normos pagrindimas</w:t>
            </w:r>
          </w:p>
        </w:tc>
      </w:tr>
      <w:tr>
        <w:trPr>
          <w:trHeight w:val="173"/>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36"/>
        </w:trPr>
        <w:tc>
          <w:tcPr>
            <w:tcW w:w="4627" w:type="dxa"/>
            <w:tcBorders>
              <w:top w:val="single" w:sz="8"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tcPr>
          <w:p>
            <w:pPr>
              <w:widowControl w:val="0"/>
              <w:suppressAutoHyphens/>
            </w:pPr>
            <w:r>
              <w:rPr>
                <w:bCs/>
              </w:rPr>
              <w:t>Projekto investicijų išlaidos</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pPr>
            <w:r>
              <w:rPr>
                <w:bCs/>
              </w:rPr>
              <w:t>Projekto investicijų išlaidų apimties pagrindimas</w:t>
            </w:r>
          </w:p>
        </w:tc>
      </w:tr>
      <w:tr>
        <w:trPr>
          <w:trHeight w:val="81"/>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86"/>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348"/>
        </w:trPr>
        <w:tc>
          <w:tcPr>
            <w:tcW w:w="4627" w:type="dxa"/>
            <w:tcBorders>
              <w:top w:val="single" w:sz="8"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tcPr>
          <w:p>
            <w:pPr>
              <w:widowControl w:val="0"/>
              <w:suppressAutoHyphens/>
            </w:pPr>
            <w:r>
              <w:rPr>
                <w:bCs/>
              </w:rPr>
              <w:t xml:space="preserve">Projekto veiklos išlaidos </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pPr>
            <w:r>
              <w:rPr>
                <w:bCs/>
              </w:rPr>
              <w:t>Projekto veiklos išlaidų apimties ir priskyrimo prie projekto pagrindimas</w:t>
            </w:r>
          </w:p>
        </w:tc>
      </w:tr>
      <w:tr>
        <w:trPr>
          <w:trHeight w:val="239"/>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202"/>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64"/>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12"/>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216"/>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78"/>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26"/>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402"/>
        </w:trPr>
        <w:tc>
          <w:tcPr>
            <w:tcW w:w="4627" w:type="dxa"/>
            <w:tcBorders>
              <w:top w:val="single" w:sz="8"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tcPr>
          <w:p>
            <w:pPr>
              <w:widowControl w:val="0"/>
              <w:suppressAutoHyphens/>
            </w:pPr>
            <w:r>
              <w:rPr>
                <w:bCs/>
              </w:rPr>
              <w:t xml:space="preserve">Projekto veiklos pajamos </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pPr>
            <w:r>
              <w:rPr>
                <w:bCs/>
              </w:rPr>
              <w:t>Projekto veiklos pajamų apimties ir priskyrimo prie projekto pagrindimas</w:t>
            </w:r>
          </w:p>
        </w:tc>
      </w:tr>
      <w:tr>
        <w:trPr>
          <w:trHeight w:val="179"/>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72"/>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217"/>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209"/>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200"/>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203"/>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180"/>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r>
        <w:trPr>
          <w:trHeight w:val="258"/>
        </w:trPr>
        <w:tc>
          <w:tcPr>
            <w:tcW w:w="4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pPr>
            <w:r>
              <w:rPr>
                <w:bCs/>
              </w:rPr>
              <w:t>Turto likutinė vertė</w:t>
            </w:r>
          </w:p>
        </w:tc>
        <w:tc>
          <w:tcPr>
            <w:tcW w:w="5290"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tcPr>
          <w:p>
            <w:pPr>
              <w:widowControl w:val="0"/>
              <w:suppressAutoHyphens/>
            </w:pPr>
            <w:r>
              <w:rPr>
                <w:bCs/>
              </w:rPr>
              <w:t>Turto likutinės vertės apskaičiavimo pagrindimas</w:t>
            </w:r>
          </w:p>
        </w:tc>
      </w:tr>
      <w:tr>
        <w:trPr>
          <w:trHeight w:val="218"/>
        </w:trPr>
        <w:tc>
          <w:tcPr>
            <w:tcW w:w="4627"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tcPr>
          <w:p>
            <w:pPr>
              <w:widowControl w:val="0"/>
              <w:suppressAutoHyphens/>
            </w:pPr>
            <w:r>
              <w:t>0</w:t>
            </w:r>
          </w:p>
        </w:tc>
        <w:tc>
          <w:tcPr>
            <w:tcW w:w="5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widowControl w:val="0"/>
              <w:suppressAutoHyphens/>
              <w:ind w:firstLine="60"/>
            </w:pPr>
          </w:p>
        </w:tc>
      </w:tr>
    </w:tbl>
    <w:p/>
    <w:tbl>
      <w:tblPr>
        <w:tblW w:w="9070" w:type="dxa"/>
        <w:tblLayout w:type="fixed"/>
        <w:tblCellMar>
          <w:left w:w="0" w:type="dxa"/>
          <w:right w:w="0" w:type="dxa"/>
        </w:tblCellMar>
        <w:tblLook w:val="04A0" w:firstRow="1" w:lastRow="0" w:firstColumn="1" w:lastColumn="0" w:noHBand="0" w:noVBand="1"/>
      </w:tblPr>
      <w:tblGrid>
        <w:gridCol w:w="3023"/>
        <w:gridCol w:w="2917"/>
        <w:gridCol w:w="3130"/>
      </w:tblGrid>
      <w:tr>
        <w:trPr>
          <w:trHeight w:val="356"/>
        </w:trPr>
        <w:tc>
          <w:tcPr>
            <w:tcW w:w="3308" w:type="dxa"/>
            <w:noWrap/>
            <w:tcMar>
              <w:top w:w="0" w:type="dxa"/>
              <w:left w:w="108" w:type="dxa"/>
              <w:bottom w:w="0" w:type="dxa"/>
              <w:right w:w="108" w:type="dxa"/>
            </w:tcMar>
            <w:vAlign w:val="bottom"/>
          </w:tcPr>
          <w:p>
            <w:r>
              <w:t>______________</w:t>
            </w:r>
          </w:p>
          <w:p>
            <w:pPr>
              <w:widowControl w:val="0"/>
              <w:suppressAutoHyphens/>
            </w:pPr>
            <w:r>
              <w:t>(pareiškėjo/projekto vykdytojo atsakingo asmens pareigos)</w:t>
            </w:r>
          </w:p>
        </w:tc>
        <w:tc>
          <w:tcPr>
            <w:tcW w:w="3190" w:type="dxa"/>
            <w:tcMar>
              <w:top w:w="0" w:type="dxa"/>
              <w:left w:w="108" w:type="dxa"/>
              <w:bottom w:w="0" w:type="dxa"/>
              <w:right w:w="108" w:type="dxa"/>
            </w:tcMar>
          </w:tcPr>
          <w:p>
            <w:pPr>
              <w:jc w:val="center"/>
            </w:pPr>
            <w:r>
              <w:t>__________</w:t>
            </w:r>
          </w:p>
          <w:p>
            <w:pPr>
              <w:widowControl w:val="0"/>
              <w:suppressAutoHyphens/>
              <w:jc w:val="center"/>
            </w:pPr>
            <w:r>
              <w:rPr>
                <w:color w:val="000000"/>
              </w:rPr>
              <w:t>(parašas)</w:t>
            </w:r>
          </w:p>
        </w:tc>
        <w:tc>
          <w:tcPr>
            <w:tcW w:w="3425" w:type="dxa"/>
            <w:tcMar>
              <w:top w:w="0" w:type="dxa"/>
              <w:left w:w="108" w:type="dxa"/>
              <w:bottom w:w="0" w:type="dxa"/>
              <w:right w:w="108" w:type="dxa"/>
            </w:tcMar>
          </w:tcPr>
          <w:p>
            <w:pPr>
              <w:jc w:val="right"/>
            </w:pPr>
            <w:r>
              <w:t>_______________</w:t>
            </w:r>
          </w:p>
          <w:p>
            <w:pPr>
              <w:widowControl w:val="0"/>
              <w:suppressAutoHyphens/>
              <w:jc w:val="right"/>
            </w:pPr>
            <w:r>
              <w:rPr>
                <w:color w:val="000000"/>
              </w:rPr>
              <w:t>(vardas ir pavardė)</w:t>
            </w:r>
          </w:p>
        </w:tc>
      </w:tr>
    </w:tbl>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2"/>
        <w:gridCol w:w="2128"/>
        <w:gridCol w:w="2302"/>
        <w:gridCol w:w="2748"/>
      </w:tblGrid>
      <w:tr>
        <w:tc>
          <w:tcPr>
            <w:tcW w:w="9817" w:type="dxa"/>
            <w:gridSpan w:val="4"/>
            <w:tcBorders>
              <w:top w:val="single" w:sz="4" w:space="0" w:color="auto"/>
              <w:bottom w:val="single" w:sz="4" w:space="0" w:color="auto"/>
            </w:tcBorders>
            <w:shd w:val="clear" w:color="auto" w:fill="CCCCCC"/>
          </w:tcPr>
          <w:p>
            <w:pPr>
              <w:widowControl w:val="0"/>
              <w:suppressAutoHyphens/>
              <w:rPr>
                <w:i/>
                <w:iCs/>
              </w:rPr>
            </w:pPr>
            <w:r>
              <w:rPr>
                <w:b/>
                <w:iCs/>
              </w:rPr>
              <w:t>6.4. Pagrindiniai sąnaudų-naudos analizės rezultatai</w:t>
            </w:r>
          </w:p>
        </w:tc>
      </w:tr>
      <w:tr>
        <w:tc>
          <w:tcPr>
            <w:tcW w:w="9817" w:type="dxa"/>
            <w:gridSpan w:val="4"/>
            <w:tcBorders>
              <w:bottom w:val="single" w:sz="4" w:space="0" w:color="auto"/>
            </w:tcBorders>
          </w:tcPr>
          <w:p>
            <w:pPr>
              <w:widowControl w:val="0"/>
              <w:suppressAutoHyphens/>
              <w:rPr>
                <w:i/>
                <w:iCs/>
              </w:rPr>
            </w:pPr>
            <w:r>
              <w:rPr>
                <w:i/>
              </w:rPr>
              <w:t>Prie Paraiškos pridėti sąnaudų-naudos analizės skaičiavimus, o pagrindinius rezultatus pateikti užpildant šią lentelę.</w:t>
            </w:r>
          </w:p>
        </w:tc>
      </w:tr>
      <w:tr>
        <w:tblPrEx>
          <w:tblBorders>
            <w:top w:val="none" w:sz="0" w:space="0" w:color="auto"/>
            <w:left w:val="none" w:sz="0" w:space="0" w:color="auto"/>
            <w:bottom w:val="none" w:sz="0" w:space="0" w:color="auto"/>
            <w:right w:val="none" w:sz="0" w:space="0" w:color="auto"/>
          </w:tblBorders>
        </w:tblPrEx>
        <w:tc>
          <w:tcPr>
            <w:tcW w:w="2027" w:type="dxa"/>
            <w:tcBorders>
              <w:top w:val="single" w:sz="4" w:space="0" w:color="auto"/>
              <w:left w:val="single" w:sz="4" w:space="0" w:color="auto"/>
              <w:bottom w:val="single" w:sz="4" w:space="0" w:color="auto"/>
              <w:right w:val="single" w:sz="4" w:space="0" w:color="auto"/>
            </w:tcBorders>
          </w:tcPr>
          <w:p>
            <w:pPr>
              <w:widowControl w:val="0"/>
              <w:suppressAutoHyphens/>
              <w:jc w:val="center"/>
            </w:pPr>
            <w:r>
              <w:t>Socialinė diskonto norma, %</w:t>
            </w:r>
          </w:p>
        </w:tc>
        <w:tc>
          <w:tcPr>
            <w:tcW w:w="2268" w:type="dxa"/>
            <w:tcBorders>
              <w:top w:val="single" w:sz="4" w:space="0" w:color="auto"/>
              <w:left w:val="single" w:sz="4" w:space="0" w:color="auto"/>
              <w:bottom w:val="single" w:sz="4" w:space="0" w:color="auto"/>
              <w:right w:val="single" w:sz="4" w:space="0" w:color="auto"/>
            </w:tcBorders>
          </w:tcPr>
          <w:p>
            <w:pPr>
              <w:widowControl w:val="0"/>
              <w:suppressAutoHyphens/>
              <w:jc w:val="center"/>
            </w:pPr>
            <w:r>
              <w:t>Ekonominė grąžos norma, %</w:t>
            </w:r>
          </w:p>
        </w:tc>
        <w:tc>
          <w:tcPr>
            <w:tcW w:w="2472" w:type="dxa"/>
            <w:tcBorders>
              <w:top w:val="single" w:sz="4" w:space="0" w:color="auto"/>
              <w:left w:val="single" w:sz="4" w:space="0" w:color="auto"/>
              <w:bottom w:val="single" w:sz="4" w:space="0" w:color="auto"/>
              <w:right w:val="single" w:sz="4" w:space="0" w:color="auto"/>
            </w:tcBorders>
          </w:tcPr>
          <w:p>
            <w:pPr>
              <w:widowControl w:val="0"/>
              <w:suppressAutoHyphens/>
              <w:jc w:val="center"/>
            </w:pPr>
            <w:r>
              <w:t>Ekonominė grynoji dabartinė vertė, Lt</w:t>
            </w:r>
          </w:p>
        </w:tc>
        <w:tc>
          <w:tcPr>
            <w:tcW w:w="3050" w:type="dxa"/>
            <w:tcBorders>
              <w:top w:val="single" w:sz="4" w:space="0" w:color="auto"/>
              <w:left w:val="single" w:sz="4" w:space="0" w:color="auto"/>
              <w:bottom w:val="single" w:sz="4" w:space="0" w:color="auto"/>
              <w:right w:val="single" w:sz="4" w:space="0" w:color="auto"/>
            </w:tcBorders>
          </w:tcPr>
          <w:p>
            <w:pPr>
              <w:widowControl w:val="0"/>
              <w:suppressAutoHyphens/>
              <w:jc w:val="center"/>
            </w:pPr>
            <w:r>
              <w:t>Naudos ir išlaidų santykis</w:t>
            </w:r>
          </w:p>
        </w:tc>
      </w:tr>
      <w:tr>
        <w:tblPrEx>
          <w:tblBorders>
            <w:top w:val="none" w:sz="0" w:space="0" w:color="auto"/>
            <w:left w:val="none" w:sz="0" w:space="0" w:color="auto"/>
            <w:bottom w:val="none" w:sz="0" w:space="0" w:color="auto"/>
            <w:right w:val="none" w:sz="0" w:space="0" w:color="auto"/>
          </w:tblBorders>
        </w:tblPrEx>
        <w:tc>
          <w:tcPr>
            <w:tcW w:w="2027" w:type="dxa"/>
            <w:tcBorders>
              <w:top w:val="single" w:sz="4" w:space="0" w:color="auto"/>
              <w:left w:val="single" w:sz="4" w:space="0" w:color="auto"/>
              <w:bottom w:val="single" w:sz="4" w:space="0" w:color="auto"/>
              <w:right w:val="single" w:sz="4" w:space="0" w:color="auto"/>
            </w:tcBorders>
          </w:tcPr>
          <w:p>
            <w:pPr>
              <w:widowControl w:val="0"/>
              <w:suppressAutoHyphens/>
              <w:jc w:val="center"/>
            </w:pPr>
          </w:p>
        </w:tc>
        <w:tc>
          <w:tcPr>
            <w:tcW w:w="2268" w:type="dxa"/>
            <w:tcBorders>
              <w:top w:val="single" w:sz="4" w:space="0" w:color="auto"/>
              <w:left w:val="single" w:sz="4" w:space="0" w:color="auto"/>
              <w:bottom w:val="single" w:sz="4" w:space="0" w:color="auto"/>
              <w:right w:val="single" w:sz="4" w:space="0" w:color="auto"/>
            </w:tcBorders>
          </w:tcPr>
          <w:p>
            <w:pPr>
              <w:widowControl w:val="0"/>
              <w:suppressAutoHyphens/>
              <w:jc w:val="center"/>
            </w:pPr>
          </w:p>
        </w:tc>
        <w:tc>
          <w:tcPr>
            <w:tcW w:w="2472" w:type="dxa"/>
            <w:tcBorders>
              <w:top w:val="single" w:sz="4" w:space="0" w:color="auto"/>
              <w:left w:val="single" w:sz="4" w:space="0" w:color="auto"/>
              <w:bottom w:val="single" w:sz="4" w:space="0" w:color="auto"/>
              <w:right w:val="single" w:sz="4" w:space="0" w:color="auto"/>
            </w:tcBorders>
          </w:tcPr>
          <w:p>
            <w:pPr>
              <w:widowControl w:val="0"/>
              <w:suppressAutoHyphens/>
              <w:jc w:val="center"/>
            </w:pPr>
          </w:p>
        </w:tc>
        <w:tc>
          <w:tcPr>
            <w:tcW w:w="3050" w:type="dxa"/>
            <w:tcBorders>
              <w:top w:val="single" w:sz="4" w:space="0" w:color="auto"/>
              <w:left w:val="single" w:sz="4" w:space="0" w:color="auto"/>
              <w:bottom w:val="single" w:sz="4" w:space="0" w:color="auto"/>
              <w:right w:val="single" w:sz="4" w:space="0" w:color="auto"/>
            </w:tcBorders>
          </w:tcPr>
          <w:p>
            <w:pPr>
              <w:widowControl w:val="0"/>
              <w:suppressAutoHyphens/>
              <w:jc w:val="center"/>
            </w:pPr>
          </w:p>
        </w:tc>
      </w:tr>
    </w:tbl>
    <w:p>
      <w:pPr>
        <w:widowControl w:val="0"/>
        <w:suppressAutoHyphens/>
      </w:pPr>
    </w:p>
    <w:p>
      <w:pPr>
        <w:widowControl w:val="0"/>
        <w:suppressAutoHyphens/>
        <w:ind w:firstLine="5812"/>
      </w:pPr>
      <w:r>
        <w:t>Pareiškėjo parašas ___________</w:t>
      </w:r>
    </w:p>
    <w:p>
      <w:pPr>
        <w:widowControl w:val="0"/>
        <w:suppressAutoHyphens/>
      </w:pPr>
    </w:p>
    <w:p>
      <w:pPr>
        <w:widowControl w:val="0"/>
        <w:suppressAutoHyphens/>
        <w:jc w:val="both"/>
        <w:rPr>
          <w:b/>
          <w:bCs/>
        </w:rPr>
      </w:pPr>
      <w:r>
        <w:rPr>
          <w:b/>
          <w:bCs/>
        </w:rPr>
        <w:t>7</w:t>
      </w:r>
      <w:r>
        <w:rPr>
          <w:b/>
          <w:bCs/>
        </w:rPr>
        <w:t>. IŠLAIDŲ PAGRINDIMAS</w:t>
      </w:r>
    </w:p>
    <w:p>
      <w:pPr>
        <w:widowControl w:val="0"/>
        <w:suppressAutoHyphens/>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1374"/>
        <w:gridCol w:w="997"/>
        <w:gridCol w:w="240"/>
        <w:gridCol w:w="248"/>
        <w:gridCol w:w="1170"/>
        <w:gridCol w:w="2745"/>
      </w:tblGrid>
      <w:tr>
        <w:tc>
          <w:tcPr>
            <w:tcW w:w="9070" w:type="dxa"/>
            <w:gridSpan w:val="7"/>
          </w:tcPr>
          <w:p>
            <w:pPr>
              <w:widowControl w:val="0"/>
              <w:suppressAutoHyphens/>
              <w:rPr>
                <w:b/>
                <w:bCs/>
                <w:i/>
                <w:iCs/>
              </w:rPr>
            </w:pPr>
            <w:r>
              <w:rPr>
                <w:i/>
                <w:iCs/>
              </w:rPr>
              <w:t>Trumpas išlaidų, kurios susijusios su projekto veiklų įgyvendinimu, pagrindimas. Rekomenduojame išlaidų pagrindimą pateikti vadovaujantis „Rekomendacijomis dėl projektų išlaidų atitikties Europos regioninės plėtros ir Sanglaudos fondo finansavimo reikalavimams“, kurios pateiktos interneto tinklalapyje www.esparama.lt.</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296" w:type="dxa"/>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Projekto biudžeto eilutės Nr.*</w:t>
            </w:r>
          </w:p>
        </w:tc>
        <w:tc>
          <w:tcPr>
            <w:tcW w:w="1374" w:type="dxa"/>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 xml:space="preserve">Veiklos Nr. </w:t>
            </w:r>
          </w:p>
        </w:tc>
        <w:tc>
          <w:tcPr>
            <w:tcW w:w="1485" w:type="dxa"/>
            <w:gridSpan w:val="3"/>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Išlaidų pavadinimas</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Suma, Lt</w:t>
            </w:r>
          </w:p>
        </w:tc>
        <w:tc>
          <w:tcPr>
            <w:tcW w:w="2745" w:type="dxa"/>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Išlaidų pagrindimas nurodant, kaip apskaičiuojama prašoma finansavimo suma kiekvienai veiklai atskirai</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29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374"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85" w:type="dxa"/>
            <w:gridSpan w:val="3"/>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170"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2745" w:type="dxa"/>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29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374"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85" w:type="dxa"/>
            <w:gridSpan w:val="3"/>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170"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2745" w:type="dxa"/>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296" w:type="dxa"/>
            <w:tcBorders>
              <w:top w:val="single" w:sz="4" w:space="0" w:color="000000"/>
              <w:left w:val="single" w:sz="4" w:space="0" w:color="000000"/>
              <w:bottom w:val="single" w:sz="4" w:space="0" w:color="auto"/>
              <w:right w:val="single" w:sz="4" w:space="0" w:color="000000"/>
            </w:tcBorders>
          </w:tcPr>
          <w:p>
            <w:pPr>
              <w:widowControl w:val="0"/>
              <w:suppressAutoHyphens/>
            </w:pPr>
          </w:p>
        </w:tc>
        <w:tc>
          <w:tcPr>
            <w:tcW w:w="1374" w:type="dxa"/>
            <w:tcBorders>
              <w:top w:val="single" w:sz="4" w:space="0" w:color="000000"/>
              <w:left w:val="single" w:sz="4" w:space="0" w:color="000000"/>
              <w:bottom w:val="single" w:sz="4" w:space="0" w:color="auto"/>
              <w:right w:val="single" w:sz="4" w:space="0" w:color="000000"/>
            </w:tcBorders>
          </w:tcPr>
          <w:p>
            <w:pPr>
              <w:widowControl w:val="0"/>
              <w:suppressAutoHyphens/>
            </w:pPr>
          </w:p>
        </w:tc>
        <w:tc>
          <w:tcPr>
            <w:tcW w:w="1485" w:type="dxa"/>
            <w:gridSpan w:val="3"/>
            <w:tcBorders>
              <w:top w:val="single" w:sz="4" w:space="0" w:color="000000"/>
              <w:left w:val="single" w:sz="4" w:space="0" w:color="000000"/>
              <w:bottom w:val="single" w:sz="4" w:space="0" w:color="auto"/>
              <w:right w:val="single" w:sz="4" w:space="0" w:color="000000"/>
            </w:tcBorders>
          </w:tcPr>
          <w:p>
            <w:pPr>
              <w:widowControl w:val="0"/>
              <w:suppressAutoHyphens/>
            </w:pPr>
          </w:p>
        </w:tc>
        <w:tc>
          <w:tcPr>
            <w:tcW w:w="1170" w:type="dxa"/>
            <w:tcBorders>
              <w:top w:val="single" w:sz="4" w:space="0" w:color="000000"/>
              <w:left w:val="single" w:sz="4" w:space="0" w:color="000000"/>
              <w:bottom w:val="single" w:sz="4" w:space="0" w:color="auto"/>
              <w:right w:val="single" w:sz="4" w:space="0" w:color="000000"/>
            </w:tcBorders>
          </w:tcPr>
          <w:p>
            <w:pPr>
              <w:widowControl w:val="0"/>
              <w:suppressAutoHyphens/>
            </w:pPr>
          </w:p>
        </w:tc>
        <w:tc>
          <w:tcPr>
            <w:tcW w:w="2745" w:type="dxa"/>
            <w:tcBorders>
              <w:top w:val="single" w:sz="4" w:space="0" w:color="000000"/>
              <w:left w:val="single" w:sz="4" w:space="0" w:color="000000"/>
              <w:bottom w:val="single" w:sz="4" w:space="0" w:color="auto"/>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667" w:type="dxa"/>
            <w:gridSpan w:val="3"/>
            <w:tcBorders>
              <w:top w:val="single" w:sz="4" w:space="0" w:color="auto"/>
              <w:left w:val="single" w:sz="4" w:space="0" w:color="auto"/>
              <w:bottom w:val="single" w:sz="4" w:space="0" w:color="auto"/>
              <w:right w:val="nil"/>
            </w:tcBorders>
          </w:tcPr>
          <w:p>
            <w:pPr>
              <w:widowControl w:val="0"/>
              <w:suppressAutoHyphens/>
            </w:pPr>
            <w:r>
              <w:rPr>
                <w:i/>
                <w:iCs/>
              </w:rPr>
              <w:t>* Iš paraiškos A dalies 8.1 lentelės.</w:t>
            </w:r>
          </w:p>
        </w:tc>
        <w:tc>
          <w:tcPr>
            <w:tcW w:w="240" w:type="dxa"/>
            <w:tcBorders>
              <w:top w:val="single" w:sz="4" w:space="0" w:color="auto"/>
              <w:left w:val="nil"/>
              <w:bottom w:val="single" w:sz="4" w:space="0" w:color="auto"/>
              <w:right w:val="nil"/>
            </w:tcBorders>
          </w:tcPr>
          <w:p>
            <w:pPr>
              <w:widowControl w:val="0"/>
              <w:suppressAutoHyphens/>
            </w:pPr>
          </w:p>
        </w:tc>
        <w:tc>
          <w:tcPr>
            <w:tcW w:w="248" w:type="dxa"/>
            <w:tcBorders>
              <w:top w:val="single" w:sz="4" w:space="0" w:color="auto"/>
              <w:left w:val="nil"/>
              <w:bottom w:val="single" w:sz="4" w:space="0" w:color="auto"/>
              <w:right w:val="nil"/>
            </w:tcBorders>
          </w:tcPr>
          <w:p>
            <w:pPr>
              <w:widowControl w:val="0"/>
              <w:suppressAutoHyphens/>
            </w:pPr>
          </w:p>
        </w:tc>
        <w:tc>
          <w:tcPr>
            <w:tcW w:w="1170" w:type="dxa"/>
            <w:tcBorders>
              <w:top w:val="single" w:sz="4" w:space="0" w:color="auto"/>
              <w:left w:val="nil"/>
              <w:bottom w:val="single" w:sz="4" w:space="0" w:color="auto"/>
              <w:right w:val="nil"/>
            </w:tcBorders>
          </w:tcPr>
          <w:p>
            <w:pPr>
              <w:widowControl w:val="0"/>
              <w:suppressAutoHyphens/>
            </w:pPr>
          </w:p>
        </w:tc>
        <w:tc>
          <w:tcPr>
            <w:tcW w:w="2745" w:type="dxa"/>
            <w:tcBorders>
              <w:top w:val="single" w:sz="4" w:space="0" w:color="auto"/>
              <w:left w:val="nil"/>
              <w:bottom w:val="single" w:sz="4" w:space="0" w:color="auto"/>
              <w:right w:val="single" w:sz="4" w:space="0" w:color="auto"/>
            </w:tcBorders>
          </w:tcPr>
          <w:p>
            <w:pPr>
              <w:widowControl w:val="0"/>
              <w:suppressAutoHyphens/>
            </w:pPr>
          </w:p>
        </w:tc>
      </w:tr>
    </w:tbl>
    <w:p>
      <w:pPr>
        <w:widowControl w:val="0"/>
        <w:suppressAutoHyphens/>
      </w:pPr>
    </w:p>
    <w:p>
      <w:pPr>
        <w:widowControl w:val="0"/>
        <w:suppressAutoHyphens/>
        <w:ind w:firstLine="5812"/>
      </w:pPr>
      <w:r>
        <w:t>Pareiškėjo parašas ___________</w:t>
      </w:r>
    </w:p>
    <w:p>
      <w:pPr>
        <w:widowControl w:val="0"/>
        <w:suppressAutoHyphens/>
      </w:pPr>
    </w:p>
    <w:p>
      <w:pPr>
        <w:widowControl w:val="0"/>
        <w:suppressAutoHyphens/>
        <w:jc w:val="both"/>
      </w:pPr>
    </w:p>
    <w:p>
      <w:pPr>
        <w:widowControl w:val="0"/>
        <w:suppressAutoHyphens/>
        <w:jc w:val="both"/>
        <w:rPr>
          <w:b/>
          <w:bCs/>
        </w:rPr>
      </w:pPr>
      <w:r>
        <w:rPr>
          <w:b/>
          <w:bCs/>
        </w:rPr>
        <w:t>8</w:t>
      </w:r>
      <w:r>
        <w:rPr>
          <w:b/>
          <w:bCs/>
        </w:rPr>
        <w:t>. ALTERNATYVŲ ANALIZĖ (nepildoma didelės apimties projektams)</w:t>
      </w:r>
    </w:p>
    <w:p>
      <w:pPr>
        <w:widowControl w:val="0"/>
        <w:suppressAutoHyphen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9394" w:type="dxa"/>
          </w:tcPr>
          <w:p>
            <w:pPr>
              <w:widowControl w:val="0"/>
              <w:suppressAutoHyphens/>
            </w:pPr>
            <w:r>
              <w:rPr>
                <w:i/>
                <w:color w:val="000000"/>
              </w:rPr>
              <w:t>Suformuluokite reikalavimus techniniam projekto sprendimui (techniniai reikalavimai planuojamam objektui pagal jo paskirtį, eksploatacijos sąlygas; projektavimo, įrengimo ir veiklos principai, procesai ir pan.). Projektui pagrįsti turėtų būti svarstomos bent dvi alternatyvos: „nulinė“ alternatyva (alternatyva, kai projektas nėra įgyvendinamas) ir kitos alternatyvos (projektas paremtas alternatyvia technologija ar pan.). Turi būti atskleista, kad visos realios projekto įgyvendinimo alternatyvos buvo svarstytos arba kad kitas alternatyvas, išskyrus nagrinėjamas, netikslinga svarstyti. Jeigu vertinant projekto įgyvendinimo galimybes išskiriamos kelios projekto įgyvendinimo alternatyvos, vertinant kiekvienai alternatyvai turi būti naudojami tie patys vertinimo kriterijai. Alternatyvos turi būti įvertintos išsamiai ir korektiškai. Pasirinkta alternatyva turi būti optimali, atsižvelgiant į esamus apribojimus.</w:t>
            </w:r>
          </w:p>
        </w:tc>
      </w:tr>
    </w:tbl>
    <w:p>
      <w:pPr>
        <w:widowControl w:val="0"/>
        <w:suppressAutoHyphens/>
      </w:pPr>
    </w:p>
    <w:p>
      <w:pPr>
        <w:widowControl w:val="0"/>
        <w:suppressAutoHyphens/>
        <w:ind w:firstLine="5812"/>
      </w:pPr>
      <w:r>
        <w:t>Pareiškėjo parašas ___________</w:t>
      </w:r>
    </w:p>
    <w:p>
      <w:pPr>
        <w:widowControl w:val="0"/>
        <w:suppressAutoHyphens/>
      </w:pPr>
    </w:p>
    <w:p>
      <w:pPr>
        <w:widowControl w:val="0"/>
        <w:suppressAutoHyphens/>
        <w:jc w:val="both"/>
        <w:rPr>
          <w:b/>
          <w:bCs/>
          <w:caps/>
        </w:rPr>
      </w:pPr>
      <w:r>
        <w:rPr>
          <w:b/>
          <w:bCs/>
          <w:caps/>
        </w:rPr>
        <w:t>9</w:t>
      </w:r>
      <w:r>
        <w:rPr>
          <w:b/>
          <w:bCs/>
          <w:caps/>
        </w:rPr>
        <w:t>. Projekto rizikos ir jų valdymas (</w:t>
      </w:r>
      <w:r>
        <w:rPr>
          <w:b/>
          <w:bCs/>
        </w:rPr>
        <w:t xml:space="preserve">nepildoma  didelės apimties projektams</w:t>
      </w:r>
      <w:r>
        <w:rPr>
          <w:b/>
          <w:bCs/>
          <w:caps/>
        </w:rPr>
        <w:t>)</w:t>
      </w:r>
    </w:p>
    <w:p>
      <w:pPr>
        <w:widowControl w:val="0"/>
        <w:suppressAutoHyphen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1637"/>
        <w:gridCol w:w="1476"/>
        <w:gridCol w:w="2420"/>
        <w:gridCol w:w="236"/>
        <w:gridCol w:w="236"/>
        <w:gridCol w:w="236"/>
      </w:tblGrid>
      <w:tr>
        <w:tc>
          <w:tcPr>
            <w:tcW w:w="9070" w:type="dxa"/>
            <w:gridSpan w:val="7"/>
          </w:tcPr>
          <w:p>
            <w:pPr>
              <w:widowControl w:val="0"/>
              <w:suppressAutoHyphens/>
            </w:pPr>
            <w:r>
              <w:rPr>
                <w:i/>
              </w:rPr>
              <w:t>Pateikite projekto rizikos vertinimą, užpildydami toliau pateikiamą lentelę. Detalizuokite rizikos pobūdį/aspektus ir nurodykite, kokios numatomos rizikos valdymo (mažinimo) priemonės.</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Rizikos aprašymas</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Tikimybė*</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Poveikis*</w:t>
            </w:r>
          </w:p>
        </w:tc>
        <w:tc>
          <w:tcPr>
            <w:tcW w:w="3128" w:type="dxa"/>
            <w:gridSpan w:val="4"/>
            <w:tcBorders>
              <w:top w:val="single" w:sz="4" w:space="0" w:color="000000"/>
              <w:left w:val="single" w:sz="4" w:space="0" w:color="000000"/>
              <w:bottom w:val="single" w:sz="4" w:space="0" w:color="000000"/>
              <w:right w:val="single" w:sz="4" w:space="0" w:color="000000"/>
            </w:tcBorders>
            <w:shd w:val="clear" w:color="auto" w:fill="D9D9D9"/>
          </w:tcPr>
          <w:p>
            <w:pPr>
              <w:widowControl w:val="0"/>
              <w:suppressAutoHyphens/>
            </w:pPr>
            <w:r>
              <w:t>Rizikos valdymo priemonės / veiksmai</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r>
              <w:t>Politinė rizika</w:t>
            </w: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r>
              <w:t>Socialinė rizika</w:t>
            </w: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r>
              <w:t>Ekonominė rizika</w:t>
            </w: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r>
              <w:t>Finansinė rizika</w:t>
            </w: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60"/>
        </w:trPr>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r>
              <w:t>Institucinė rizika</w:t>
            </w: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000000"/>
              <w:right w:val="single" w:sz="4" w:space="0" w:color="000000"/>
            </w:tcBorders>
          </w:tcPr>
          <w:p>
            <w:pPr>
              <w:widowControl w:val="0"/>
              <w:suppressAutoHyphens/>
            </w:pPr>
            <w:r>
              <w:t>Technologinė rizika</w:t>
            </w:r>
          </w:p>
        </w:tc>
        <w:tc>
          <w:tcPr>
            <w:tcW w:w="1637"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000000"/>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000000"/>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829" w:type="dxa"/>
            <w:tcBorders>
              <w:top w:val="single" w:sz="4" w:space="0" w:color="000000"/>
              <w:left w:val="single" w:sz="4" w:space="0" w:color="000000"/>
              <w:bottom w:val="single" w:sz="4" w:space="0" w:color="auto"/>
              <w:right w:val="single" w:sz="4" w:space="0" w:color="000000"/>
            </w:tcBorders>
          </w:tcPr>
          <w:p>
            <w:pPr>
              <w:widowControl w:val="0"/>
              <w:suppressAutoHyphens/>
            </w:pPr>
          </w:p>
        </w:tc>
        <w:tc>
          <w:tcPr>
            <w:tcW w:w="1637" w:type="dxa"/>
            <w:tcBorders>
              <w:top w:val="single" w:sz="4" w:space="0" w:color="000000"/>
              <w:left w:val="single" w:sz="4" w:space="0" w:color="000000"/>
              <w:bottom w:val="single" w:sz="4" w:space="0" w:color="auto"/>
              <w:right w:val="single" w:sz="4" w:space="0" w:color="000000"/>
            </w:tcBorders>
          </w:tcPr>
          <w:p>
            <w:pPr>
              <w:widowControl w:val="0"/>
              <w:suppressAutoHyphens/>
            </w:pPr>
          </w:p>
        </w:tc>
        <w:tc>
          <w:tcPr>
            <w:tcW w:w="1476" w:type="dxa"/>
            <w:tcBorders>
              <w:top w:val="single" w:sz="4" w:space="0" w:color="000000"/>
              <w:left w:val="single" w:sz="4" w:space="0" w:color="000000"/>
              <w:bottom w:val="single" w:sz="4" w:space="0" w:color="auto"/>
              <w:right w:val="single" w:sz="4" w:space="0" w:color="000000"/>
            </w:tcBorders>
          </w:tcPr>
          <w:p>
            <w:pPr>
              <w:widowControl w:val="0"/>
              <w:suppressAutoHyphens/>
            </w:pPr>
          </w:p>
        </w:tc>
        <w:tc>
          <w:tcPr>
            <w:tcW w:w="3128" w:type="dxa"/>
            <w:gridSpan w:val="4"/>
            <w:tcBorders>
              <w:top w:val="single" w:sz="4" w:space="0" w:color="000000"/>
              <w:left w:val="single" w:sz="4" w:space="0" w:color="000000"/>
              <w:bottom w:val="single" w:sz="4" w:space="0" w:color="auto"/>
              <w:right w:val="single" w:sz="4" w:space="0" w:color="000000"/>
            </w:tcBorders>
          </w:tcPr>
          <w:p>
            <w:pPr>
              <w:widowControl w:val="0"/>
              <w:suppressAutoHyphens/>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362" w:type="dxa"/>
            <w:gridSpan w:val="4"/>
            <w:tcBorders>
              <w:top w:val="single" w:sz="4" w:space="0" w:color="auto"/>
              <w:left w:val="single" w:sz="4" w:space="0" w:color="auto"/>
              <w:bottom w:val="single" w:sz="4" w:space="0" w:color="auto"/>
              <w:right w:val="nil"/>
            </w:tcBorders>
          </w:tcPr>
          <w:p>
            <w:pPr>
              <w:widowControl w:val="0"/>
              <w:suppressAutoHyphens/>
            </w:pPr>
            <w:r>
              <w:rPr>
                <w:i/>
              </w:rPr>
              <w:t>*Vertinimo skalė: maža (-as) / vidutinė (-is) / didelė (-is)</w:t>
            </w:r>
          </w:p>
        </w:tc>
        <w:tc>
          <w:tcPr>
            <w:tcW w:w="236" w:type="dxa"/>
            <w:tcBorders>
              <w:top w:val="single" w:sz="4" w:space="0" w:color="auto"/>
              <w:left w:val="nil"/>
              <w:bottom w:val="single" w:sz="4" w:space="0" w:color="auto"/>
              <w:right w:val="nil"/>
            </w:tcBorders>
          </w:tcPr>
          <w:p>
            <w:pPr>
              <w:widowControl w:val="0"/>
              <w:suppressAutoHyphens/>
            </w:pPr>
          </w:p>
        </w:tc>
        <w:tc>
          <w:tcPr>
            <w:tcW w:w="236" w:type="dxa"/>
            <w:tcBorders>
              <w:top w:val="single" w:sz="4" w:space="0" w:color="auto"/>
              <w:left w:val="nil"/>
              <w:bottom w:val="single" w:sz="4" w:space="0" w:color="auto"/>
              <w:right w:val="nil"/>
            </w:tcBorders>
          </w:tcPr>
          <w:p>
            <w:pPr>
              <w:widowControl w:val="0"/>
              <w:suppressAutoHyphens/>
            </w:pPr>
          </w:p>
        </w:tc>
        <w:tc>
          <w:tcPr>
            <w:tcW w:w="236" w:type="dxa"/>
            <w:tcBorders>
              <w:top w:val="single" w:sz="4" w:space="0" w:color="auto"/>
              <w:left w:val="nil"/>
              <w:bottom w:val="single" w:sz="4" w:space="0" w:color="auto"/>
              <w:right w:val="single" w:sz="4" w:space="0" w:color="auto"/>
            </w:tcBorders>
          </w:tcPr>
          <w:p>
            <w:pPr>
              <w:widowControl w:val="0"/>
              <w:suppressAutoHyphens/>
            </w:pPr>
          </w:p>
        </w:tc>
      </w:tr>
    </w:tbl>
    <w:p>
      <w:pPr>
        <w:widowControl w:val="0"/>
        <w:suppressAutoHyphens/>
      </w:pPr>
    </w:p>
    <w:p>
      <w:pPr>
        <w:widowControl w:val="0"/>
        <w:suppressAutoHyphens/>
        <w:ind w:firstLine="5812"/>
      </w:pPr>
      <w:r>
        <w:t>Pareiškėjo parašas ___________</w:t>
      </w:r>
    </w:p>
    <w:p>
      <w:pPr>
        <w:widowControl w:val="0"/>
        <w:suppressAutoHyphens/>
      </w:pPr>
    </w:p>
    <w:p>
      <w:pPr>
        <w:widowControl w:val="0"/>
        <w:suppressAutoHyphens/>
        <w:jc w:val="both"/>
        <w:rPr>
          <w:b/>
          <w:bCs/>
        </w:rPr>
      </w:pPr>
      <w:r>
        <w:rPr>
          <w:b/>
          <w:bCs/>
        </w:rPr>
        <w:t>10</w:t>
      </w:r>
      <w:r>
        <w:rPr>
          <w:b/>
          <w:bCs/>
        </w:rPr>
        <w:t xml:space="preserve">. POVEIKIO APLINKAI VERTINIMAS </w:t>
      </w:r>
      <w:r>
        <w:rPr>
          <w:b/>
          <w:bCs/>
          <w:caps/>
        </w:rPr>
        <w:t>(</w:t>
      </w:r>
      <w:r>
        <w:rPr>
          <w:b/>
          <w:bCs/>
        </w:rPr>
        <w:t xml:space="preserve">nepildoma  didelės apimties projektams</w:t>
      </w:r>
      <w:r>
        <w:rPr>
          <w:b/>
          <w:bCs/>
          <w:caps/>
        </w:rPr>
        <w:t>)</w:t>
      </w:r>
    </w:p>
    <w:p>
      <w:pPr>
        <w:widowControl w:val="0"/>
        <w:suppressAutoHyphens/>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tc>
          <w:tcPr>
            <w:tcW w:w="9854" w:type="dxa"/>
            <w:shd w:val="clear" w:color="auto" w:fill="CCCCCC"/>
          </w:tcPr>
          <w:p>
            <w:pPr>
              <w:widowControl w:val="0"/>
              <w:suppressAutoHyphens/>
              <w:rPr>
                <w:b/>
              </w:rPr>
            </w:pPr>
            <w:r>
              <w:rPr>
                <w:b/>
              </w:rPr>
              <w:t>Informacija apie poveikio aplinkai vertinimą</w:t>
            </w:r>
          </w:p>
        </w:tc>
      </w:tr>
      <w:tr>
        <w:tc>
          <w:tcPr>
            <w:tcW w:w="9854" w:type="dxa"/>
          </w:tcPr>
          <w:p>
            <w:pPr>
              <w:widowControl w:val="0"/>
              <w:suppressAutoHyphens/>
              <w:rPr>
                <w:i/>
                <w:spacing w:val="-3"/>
              </w:rPr>
            </w:pPr>
            <w:r>
              <w:rPr>
                <w:i/>
                <w:spacing w:val="-3"/>
              </w:rPr>
              <w:t>Pažymėkite atitinkamą langelį:</w:t>
            </w:r>
          </w:p>
          <w:p>
            <w:pPr>
              <w:widowControl w:val="0"/>
              <w:suppressAutoHyphens/>
              <w:rPr>
                <w:i/>
                <w:spacing w:val="-3"/>
              </w:rPr>
            </w:pPr>
            <w:r>
              <w:rPr>
                <w:spacing w:val="-3"/>
              </w:rPr>
              <w:t xml:space="preserve">Ar projekte numatyta ūkinė veikla yra įrašyta į </w:t>
            </w:r>
            <w:r>
              <w:rPr>
                <w:i/>
                <w:iCs/>
              </w:rPr>
              <w:t>Planuojamos ūkinės veiklos poveikio aplinkai vertinimo įstatymo (Žin., 2005, Nr. 84-3105</w:t>
            </w:r>
            <w:r>
              <w:rPr>
                <w:iCs/>
              </w:rPr>
              <w:t>) 1 ir 2 prieduose pateiktus sąrašus</w:t>
            </w:r>
            <w:r>
              <w:rPr>
                <w:spacing w:val="-3"/>
              </w:rPr>
              <w:t xml:space="preserve">? </w:t>
            </w:r>
          </w:p>
          <w:p>
            <w:pPr>
              <w:widowControl w:val="0"/>
              <w:suppressAutoHyphens/>
            </w:pPr>
            <w:r>
              <w:rPr>
                <w:spacing w:val="-3"/>
              </w:rPr>
              <w:sym w:font="Wingdings 2" w:char="F0A3"/>
            </w:r>
            <w:r>
              <w:rPr>
                <w:vanish/>
                <w:spacing w:val="-3"/>
                <w:lang w:val="fr-FR"/>
              </w:rPr>
              <w:t>[]</w:t>
            </w:r>
            <w:r>
              <w:rPr>
                <w:spacing w:val="-3"/>
              </w:rPr>
              <w:t xml:space="preserve"> Taip:</w:t>
            </w:r>
            <w:r>
              <w:t xml:space="preserve">   </w:t>
            </w:r>
            <w:r>
              <w:rPr>
                <w:spacing w:val="-3"/>
              </w:rPr>
              <w:sym w:font="Wingdings 2" w:char="F0A3"/>
            </w:r>
            <w:r>
              <w:rPr>
                <w:vanish/>
                <w:spacing w:val="-3"/>
                <w:lang w:val="fr-FR"/>
              </w:rPr>
              <w:t>[]</w:t>
            </w:r>
            <w:r>
              <w:rPr>
                <w:spacing w:val="-3"/>
              </w:rPr>
              <w:t xml:space="preserve"> 1 priede;   </w:t>
              <w:sym w:font="Wingdings 2" w:char="F0A3"/>
            </w:r>
            <w:r>
              <w:rPr>
                <w:vanish/>
                <w:spacing w:val="-3"/>
                <w:lang w:val="fr-FR"/>
              </w:rPr>
              <w:t>[]</w:t>
            </w:r>
            <w:r>
              <w:rPr>
                <w:spacing w:val="-3"/>
              </w:rPr>
              <w:t xml:space="preserve"> 2 priede.</w:t>
            </w:r>
          </w:p>
          <w:p>
            <w:pPr>
              <w:widowControl w:val="0"/>
              <w:suppressAutoHyphens/>
            </w:pPr>
            <w:r>
              <w:rPr>
                <w:spacing w:val="-3"/>
              </w:rPr>
              <w:sym w:font="Wingdings 2" w:char="F0A3"/>
            </w:r>
            <w:r>
              <w:rPr>
                <w:vanish/>
                <w:spacing w:val="-3"/>
                <w:lang w:val="fr-FR"/>
              </w:rPr>
              <w:t>[]</w:t>
            </w:r>
            <w:r>
              <w:rPr>
                <w:spacing w:val="-3"/>
              </w:rPr>
              <w:t xml:space="preserve"> Ne</w:t>
            </w:r>
            <w:r>
              <w:t>.</w:t>
            </w:r>
          </w:p>
          <w:p>
            <w:pPr>
              <w:widowControl w:val="0"/>
              <w:suppressAutoHyphens/>
              <w:rPr>
                <w:i/>
              </w:rPr>
            </w:pPr>
            <w:r>
              <w:rPr>
                <w:i/>
              </w:rPr>
              <w:t xml:space="preserve">Jei pažymimi langeliai „Taip“ ir „1 priede“: </w:t>
            </w:r>
          </w:p>
          <w:p>
            <w:pPr>
              <w:widowControl w:val="0"/>
              <w:suppressAutoHyphens/>
              <w:rPr>
                <w:i/>
                <w:spacing w:val="-3"/>
              </w:rPr>
            </w:pPr>
            <w:r>
              <w:rPr>
                <w:i/>
                <w:spacing w:val="-3"/>
              </w:rPr>
              <w:t>pateikiamas atsakingos institucijos sprendimas, ar planuojama ūkinė veikla leistina, ir kita poveikio aplinkai</w:t>
            </w:r>
          </w:p>
          <w:p>
            <w:pPr>
              <w:widowControl w:val="0"/>
              <w:suppressAutoHyphens/>
              <w:rPr>
                <w:i/>
                <w:spacing w:val="-3"/>
              </w:rPr>
            </w:pPr>
            <w:r>
              <w:rPr>
                <w:i/>
                <w:spacing w:val="-3"/>
              </w:rPr>
              <w:t>vertinimo atlikimo dokumentacija.</w:t>
            </w:r>
          </w:p>
          <w:p>
            <w:pPr>
              <w:widowControl w:val="0"/>
              <w:suppressAutoHyphens/>
              <w:ind w:left="360" w:hanging="360"/>
              <w:rPr>
                <w:i/>
                <w:spacing w:val="-3"/>
              </w:rPr>
            </w:pPr>
            <w:r>
              <w:rPr>
                <w:i/>
                <w:spacing w:val="-3"/>
              </w:rPr>
              <w:t>Jei pažymimi langeliai „Taip“ ir „2 priede“:</w:t>
            </w:r>
          </w:p>
          <w:p>
            <w:pPr>
              <w:widowControl w:val="0"/>
              <w:suppressAutoHyphens/>
              <w:rPr>
                <w:i/>
                <w:spacing w:val="-3"/>
              </w:rPr>
            </w:pPr>
            <w:r>
              <w:rPr>
                <w:i/>
                <w:spacing w:val="-3"/>
              </w:rPr>
              <w:t>pateikiama atrankos dėl poveikio aplinkai vertinimo išvada ir, jei išvadoje nustatyta, kad poveikio aplinkai vertinimas privalomas, – atsakingos institucijos sprendimas, ar planuojama ūkinė veikla leistina, ir kita poveikio aplinkai vertinimo</w:t>
            </w:r>
          </w:p>
          <w:p>
            <w:pPr>
              <w:widowControl w:val="0"/>
              <w:suppressAutoHyphens/>
              <w:rPr>
                <w:iCs/>
              </w:rPr>
            </w:pPr>
            <w:r>
              <w:rPr>
                <w:i/>
                <w:spacing w:val="-3"/>
              </w:rPr>
              <w:t>atlikimo dokumentacija.</w:t>
            </w:r>
          </w:p>
        </w:tc>
      </w:tr>
      <w:tr>
        <w:trPr>
          <w:trHeight w:val="209"/>
        </w:trPr>
        <w:tc>
          <w:tcPr>
            <w:tcW w:w="9854" w:type="dxa"/>
            <w:shd w:val="clear" w:color="auto" w:fill="C0C0C0"/>
            <w:vAlign w:val="center"/>
          </w:tcPr>
          <w:p>
            <w:pPr>
              <w:widowControl w:val="0"/>
              <w:suppressAutoHyphens/>
              <w:rPr>
                <w:b/>
                <w:iCs/>
              </w:rPr>
            </w:pPr>
            <w:r>
              <w:rPr>
                <w:b/>
                <w:iCs/>
              </w:rPr>
              <w:t>Informacija apie poveikį „Natura 2000“ teritorijoms</w:t>
            </w:r>
          </w:p>
        </w:tc>
      </w:tr>
      <w:tr>
        <w:tc>
          <w:tcPr>
            <w:tcW w:w="9854" w:type="dxa"/>
          </w:tcPr>
          <w:p>
            <w:pPr>
              <w:widowControl w:val="0"/>
              <w:suppressAutoHyphens/>
              <w:rPr>
                <w:i/>
                <w:iCs/>
              </w:rPr>
            </w:pPr>
            <w:r>
              <w:rPr>
                <w:i/>
                <w:iCs/>
              </w:rPr>
              <w:t>Pažymėkite atitinkamą langelį:</w:t>
            </w:r>
          </w:p>
          <w:p>
            <w:pPr>
              <w:widowControl w:val="0"/>
              <w:suppressAutoHyphens/>
              <w:rPr>
                <w:iCs/>
              </w:rPr>
            </w:pPr>
            <w:r>
              <w:rPr>
                <w:iCs/>
              </w:rPr>
              <w:t xml:space="preserve">Ar projektas bus įgyvendinamas įsteigtoje ar potencialioje „Natura 2000“ teritorijoje arba šalia jos? </w:t>
            </w:r>
          </w:p>
          <w:p>
            <w:pPr>
              <w:widowControl w:val="0"/>
              <w:suppressAutoHyphens/>
              <w:ind w:firstLine="567"/>
              <w:rPr>
                <w:iCs/>
              </w:rPr>
            </w:pPr>
            <w:r>
              <w:rPr>
                <w:spacing w:val="-3"/>
              </w:rPr>
              <w:sym w:font="Wingdings 2" w:char="F0A3"/>
            </w:r>
            <w:r>
              <w:rPr>
                <w:vanish/>
                <w:spacing w:val="-3"/>
                <w:lang w:val="fr-FR"/>
              </w:rPr>
              <w:t>[]</w:t>
            </w:r>
            <w:r>
              <w:rPr>
                <w:iCs/>
              </w:rPr>
              <w:t xml:space="preserve"> Taip</w:t>
            </w:r>
          </w:p>
          <w:p>
            <w:pPr>
              <w:widowControl w:val="0"/>
              <w:suppressAutoHyphens/>
              <w:ind w:firstLine="567"/>
              <w:rPr>
                <w:iCs/>
              </w:rPr>
            </w:pPr>
            <w:r>
              <w:rPr>
                <w:spacing w:val="-3"/>
              </w:rPr>
              <w:sym w:font="Wingdings 2" w:char="F0A3"/>
            </w:r>
            <w:r>
              <w:rPr>
                <w:vanish/>
                <w:spacing w:val="-3"/>
                <w:lang w:val="fr-FR"/>
              </w:rPr>
              <w:t>[]</w:t>
            </w:r>
            <w:r>
              <w:rPr>
                <w:iCs/>
              </w:rPr>
              <w:t xml:space="preserve"> Ne.</w:t>
            </w:r>
          </w:p>
          <w:p>
            <w:pPr>
              <w:widowControl w:val="0"/>
              <w:suppressAutoHyphens/>
              <w:rPr>
                <w:i/>
                <w:iCs/>
              </w:rPr>
            </w:pPr>
            <w:r>
              <w:rPr>
                <w:i/>
                <w:iCs/>
              </w:rPr>
              <w:t xml:space="preserve">Jei pažymimas langelis „Taip“: </w:t>
            </w:r>
          </w:p>
          <w:p>
            <w:pPr>
              <w:widowControl w:val="0"/>
              <w:suppressAutoHyphens/>
              <w:rPr>
                <w:i/>
                <w:iCs/>
              </w:rPr>
            </w:pPr>
            <w:r>
              <w:rPr>
                <w:i/>
                <w:iCs/>
              </w:rPr>
              <w:t xml:space="preserve">pateikiama už „Natura 2000“ teritorijų stebėseną atsakingos institucijos deklaracija. </w:t>
            </w:r>
          </w:p>
        </w:tc>
      </w:tr>
    </w:tbl>
    <w:p>
      <w:pPr>
        <w:widowControl w:val="0"/>
        <w:suppressAutoHyphens/>
      </w:pPr>
    </w:p>
    <w:p>
      <w:pPr>
        <w:widowControl w:val="0"/>
        <w:suppressAutoHyphens/>
        <w:ind w:firstLine="5812"/>
      </w:pPr>
      <w:r>
        <w:t>Pareiškėjo parašas ___________</w:t>
      </w:r>
    </w:p>
    <w:p>
      <w:pPr>
        <w:widowControl w:val="0"/>
        <w:suppressAutoHyphens/>
      </w:pPr>
    </w:p>
    <w:p>
      <w:pPr>
        <w:jc w:val="both"/>
        <w:rPr>
          <w:b/>
        </w:rPr>
      </w:pPr>
      <w:r>
        <w:rPr>
          <w:b/>
        </w:rPr>
        <w:t>11</w:t>
      </w:r>
      <w:r>
        <w:rPr>
          <w:b/>
        </w:rPr>
        <w:t>. PAREIŠKĖJO PATVIRTINIMAS</w:t>
      </w:r>
    </w:p>
    <w:p>
      <w:pPr>
        <w:widowControl w:val="0"/>
        <w:suppressAutoHyphens/>
      </w:pPr>
    </w:p>
    <w:p>
      <w:pPr>
        <w:widowControl w:val="0"/>
        <w:suppressAutoHyphens/>
      </w:pPr>
      <w:r>
        <w:t>Patvirtinu, kad šioje formoje pateikta informacija yra tiksli ir teisinga.</w:t>
      </w:r>
    </w:p>
    <w:tbl>
      <w:tblPr>
        <w:tblW w:w="9070" w:type="dxa"/>
        <w:tblLayout w:type="fixed"/>
        <w:tblCellMar>
          <w:left w:w="0" w:type="dxa"/>
          <w:right w:w="0" w:type="dxa"/>
        </w:tblCellMar>
        <w:tblLook w:val="04A0" w:firstRow="1" w:lastRow="0" w:firstColumn="1" w:lastColumn="0" w:noHBand="0" w:noVBand="1"/>
      </w:tblPr>
      <w:tblGrid>
        <w:gridCol w:w="3023"/>
        <w:gridCol w:w="2917"/>
        <w:gridCol w:w="3130"/>
      </w:tblGrid>
      <w:tr>
        <w:trPr>
          <w:trHeight w:val="356"/>
        </w:trPr>
        <w:tc>
          <w:tcPr>
            <w:tcW w:w="3308" w:type="dxa"/>
            <w:noWrap/>
            <w:tcMar>
              <w:top w:w="0" w:type="dxa"/>
              <w:left w:w="108" w:type="dxa"/>
              <w:bottom w:w="0" w:type="dxa"/>
              <w:right w:w="108" w:type="dxa"/>
            </w:tcMar>
            <w:vAlign w:val="bottom"/>
          </w:tcPr>
          <w:p>
            <w:r>
              <w:t>______________</w:t>
            </w:r>
          </w:p>
          <w:p>
            <w:pPr>
              <w:widowControl w:val="0"/>
              <w:suppressAutoHyphens/>
            </w:pPr>
            <w:r>
              <w:t>(Pareiškėjo atsakingo asmens pareigos)</w:t>
            </w:r>
          </w:p>
        </w:tc>
        <w:tc>
          <w:tcPr>
            <w:tcW w:w="3190" w:type="dxa"/>
            <w:tcMar>
              <w:top w:w="0" w:type="dxa"/>
              <w:left w:w="108" w:type="dxa"/>
              <w:bottom w:w="0" w:type="dxa"/>
              <w:right w:w="108" w:type="dxa"/>
            </w:tcMar>
          </w:tcPr>
          <w:p>
            <w:pPr>
              <w:jc w:val="center"/>
            </w:pPr>
            <w:r>
              <w:t>__________</w:t>
            </w:r>
          </w:p>
          <w:p>
            <w:pPr>
              <w:widowControl w:val="0"/>
              <w:suppressAutoHyphens/>
              <w:jc w:val="center"/>
            </w:pPr>
            <w:r>
              <w:rPr>
                <w:color w:val="000000"/>
              </w:rPr>
              <w:t>(Parašas)</w:t>
            </w:r>
          </w:p>
        </w:tc>
        <w:tc>
          <w:tcPr>
            <w:tcW w:w="3425" w:type="dxa"/>
            <w:tcMar>
              <w:top w:w="0" w:type="dxa"/>
              <w:left w:w="108" w:type="dxa"/>
              <w:bottom w:w="0" w:type="dxa"/>
              <w:right w:w="108" w:type="dxa"/>
            </w:tcMar>
          </w:tcPr>
          <w:p>
            <w:pPr>
              <w:jc w:val="right"/>
            </w:pPr>
            <w:r>
              <w:t>_______________</w:t>
            </w:r>
          </w:p>
          <w:p>
            <w:pPr>
              <w:widowControl w:val="0"/>
              <w:suppressAutoHyphens/>
              <w:jc w:val="right"/>
            </w:pPr>
            <w:r>
              <w:rPr>
                <w:color w:val="000000"/>
              </w:rPr>
              <w:t>(Vardas ir pavardė)</w:t>
            </w:r>
          </w:p>
        </w:tc>
      </w:tr>
    </w:tbl>
    <w:p>
      <w:pPr>
        <w:widowControl w:val="0"/>
        <w:suppressAutoHyphens/>
        <w:ind w:firstLine="2090"/>
      </w:pPr>
      <w:r>
        <w:t>A.V.</w:t>
      </w:r>
    </w:p>
    <w:p>
      <w:pPr>
        <w:widowControl w:val="0"/>
        <w:suppressAutoHyphens/>
      </w:pPr>
    </w:p>
    <w:p>
      <w:pPr>
        <w:widowControl w:val="0"/>
        <w:suppressAutoHyphens/>
        <w:jc w:val="center"/>
        <w:rPr>
          <w:sz w:val="22"/>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widowControl w:val="0"/>
        <w:suppressAutoHyphens/>
        <w:ind w:left="4535"/>
        <w:rPr>
          <w:iCs/>
        </w:rPr>
      </w:pPr>
      <w:r>
        <w:rPr>
          <w:iCs/>
        </w:rPr>
        <w:br w:type="page"/>
        <w:t xml:space="preserve">Paraiškos dėl projekto finansavimo </w:t>
      </w:r>
    </w:p>
    <w:p>
      <w:pPr>
        <w:widowControl w:val="0"/>
        <w:suppressAutoHyphens/>
        <w:ind w:left="4535"/>
        <w:rPr>
          <w:iCs/>
        </w:rPr>
      </w:pPr>
      <w:r>
        <w:rPr>
          <w:iCs/>
        </w:rPr>
        <w:t>specialiosios (B) dalies</w:t>
      </w:r>
    </w:p>
    <w:p>
      <w:pPr>
        <w:widowControl w:val="0"/>
        <w:suppressAutoHyphens/>
        <w:ind w:left="4535"/>
        <w:rPr>
          <w:b/>
          <w:bCs/>
        </w:rPr>
      </w:pPr>
      <w:r>
        <w:t>1 priedas</w:t>
      </w:r>
    </w:p>
    <w:p>
      <w:pPr>
        <w:widowControl w:val="0"/>
        <w:suppressAutoHyphens/>
        <w:jc w:val="center"/>
        <w:rPr>
          <w:b/>
          <w:bCs/>
        </w:rPr>
      </w:pPr>
    </w:p>
    <w:p>
      <w:pPr>
        <w:widowControl w:val="0"/>
        <w:suppressAutoHyphens/>
        <w:jc w:val="center"/>
        <w:rPr>
          <w:b/>
          <w:bCs/>
        </w:rPr>
      </w:pPr>
      <w:r>
        <w:rPr>
          <w:b/>
          <w:bCs/>
        </w:rPr>
        <w:t>R</w:t>
      </w:r>
      <w:r>
        <w:rPr>
          <w:b/>
          <w:bCs/>
        </w:rPr>
        <w:t>EIKALAUJAMŲ PATEIKTI DOKUMENTŲ SĄRAŠAS</w:t>
      </w:r>
    </w:p>
    <w:p>
      <w:pPr>
        <w:widowControl w:val="0"/>
        <w:suppressAutoHyphens/>
        <w:ind w:firstLine="567"/>
        <w:jc w:val="both"/>
      </w:pPr>
    </w:p>
    <w:p>
      <w:pPr>
        <w:widowControl w:val="0"/>
        <w:suppressAutoHyphens/>
        <w:ind w:firstLine="567"/>
        <w:jc w:val="both"/>
      </w:pPr>
      <w:r>
        <w:t>1</w:t>
      </w:r>
      <w:r>
        <w:t>. Dokumentai, įrodantys, kad projektas atitinka Aprašo 2 priedo 6.1.2 punkto reikalavimus.</w:t>
      </w:r>
    </w:p>
    <w:p>
      <w:pPr>
        <w:widowControl w:val="0"/>
        <w:suppressAutoHyphens/>
        <w:ind w:firstLine="567"/>
        <w:jc w:val="both"/>
      </w:pPr>
      <w:r>
        <w:t>2</w:t>
      </w:r>
      <w:r>
        <w:t>. Įgaliojimas, jeigu paraišką pasirašė pareiškėjo įgaliotas asmuo.</w:t>
      </w:r>
    </w:p>
    <w:p>
      <w:pPr>
        <w:widowControl w:val="0"/>
        <w:suppressAutoHyphens/>
        <w:ind w:firstLine="567"/>
        <w:jc w:val="both"/>
      </w:pPr>
      <w:r>
        <w:t>3</w:t>
      </w:r>
      <w:r>
        <w:t>. Detali techninė, finansinė, ekonominė ir institucinė investicijų projekto įgyvendinimo galimybių studija.</w:t>
      </w:r>
    </w:p>
    <w:p>
      <w:pPr>
        <w:widowControl w:val="0"/>
        <w:suppressAutoHyphens/>
        <w:ind w:firstLine="567"/>
        <w:jc w:val="both"/>
        <w:rPr>
          <w:bCs/>
        </w:rPr>
      </w:pPr>
      <w:r>
        <w:rPr>
          <w:bCs/>
        </w:rPr>
        <w:t>4</w:t>
      </w:r>
      <w:r>
        <w:rPr>
          <w:bCs/>
        </w:rPr>
        <w:t xml:space="preserve">. </w:t>
      </w:r>
      <w:r>
        <w:t>Dokumentai, įrodantys</w:t>
      </w:r>
      <w:r>
        <w:rPr>
          <w:bCs/>
        </w:rPr>
        <w:t>, kad pareiškėjas atitinka šio Aprašo 97 punkto reikalavimus.</w:t>
      </w:r>
    </w:p>
    <w:p>
      <w:pPr>
        <w:widowControl w:val="0"/>
        <w:suppressAutoHyphens/>
        <w:ind w:firstLine="567"/>
        <w:jc w:val="both"/>
      </w:pPr>
      <w:r>
        <w:t>5</w:t>
      </w:r>
      <w:r>
        <w:t>. Dokumentai, įrodantys, kad projektas atitinka šio Aprašo 2 priedo 9.2.1 punkto reikalavimus.</w:t>
      </w:r>
    </w:p>
    <w:p>
      <w:pPr>
        <w:widowControl w:val="0"/>
        <w:suppressAutoHyphens/>
        <w:ind w:firstLine="567"/>
        <w:jc w:val="both"/>
      </w:pPr>
      <w:r>
        <w:t>6</w:t>
      </w:r>
      <w:r>
        <w:t>. Dokumentai, įrodantys, kad pareiškėjas atitinka šio Aprašo 2 priedo 7.1.3 punkto reikalavimus.</w:t>
      </w:r>
    </w:p>
    <w:p>
      <w:pPr>
        <w:widowControl w:val="0"/>
        <w:suppressAutoHyphens/>
        <w:ind w:firstLine="567"/>
        <w:jc w:val="both"/>
      </w:pPr>
      <w:r>
        <w:t>7</w:t>
      </w:r>
      <w:r>
        <w:t>. Dokumentai, įrodantys, kad projektas atitinka šio aprašo 2 priedo 6.1.1 punkto reikalavimus.</w:t>
      </w:r>
    </w:p>
    <w:p>
      <w:pPr>
        <w:widowControl w:val="0"/>
        <w:suppressAutoHyphens/>
        <w:ind w:firstLine="567"/>
        <w:jc w:val="both"/>
      </w:pPr>
      <w:r>
        <w:t>8</w:t>
      </w:r>
      <w:r>
        <w:t>. Pareiškėjo įgyvendintų projektų sąrašas ir tai liudijantys dokumentai.</w:t>
      </w:r>
    </w:p>
    <w:p>
      <w:pPr>
        <w:widowControl w:val="0"/>
        <w:suppressAutoHyphens/>
        <w:ind w:firstLine="567"/>
        <w:jc w:val="both"/>
      </w:pPr>
      <w:r>
        <w:t>9</w:t>
      </w:r>
      <w:r>
        <w:t>. Patvirtinimas apie pareiškėjo galimybes apmokėti numatytą projekto išlaidų dalį (banko sąskaitos išrašas, paskolos sutartis, garantinis banko raštas ir kt.).</w:t>
      </w:r>
    </w:p>
    <w:p>
      <w:pPr>
        <w:widowControl w:val="0"/>
        <w:suppressAutoHyphens/>
        <w:ind w:firstLine="567"/>
        <w:jc w:val="both"/>
      </w:pPr>
      <w:r>
        <w:t>10</w:t>
      </w:r>
      <w:r>
        <w:t>. Pareiškėjo įsipareigojimas padengti netinkamas finansuoti, tačiau šiam projektui įgyvendinti būtinas išlaidas.</w:t>
      </w:r>
    </w:p>
    <w:p>
      <w:pPr>
        <w:widowControl w:val="0"/>
        <w:suppressAutoHyphens/>
        <w:ind w:firstLine="567"/>
        <w:jc w:val="both"/>
      </w:pPr>
      <w:r>
        <w:t>11</w:t>
      </w:r>
      <w:r>
        <w:t>. Pateiktas mokėjimų prašymų teikimo Agentūrai grafikas.</w:t>
      </w:r>
    </w:p>
    <w:p>
      <w:pPr>
        <w:widowControl w:val="0"/>
        <w:suppressAutoHyphens/>
        <w:ind w:firstLine="567"/>
        <w:jc w:val="both"/>
      </w:pPr>
      <w:r>
        <w:t>12</w:t>
      </w:r>
      <w:r>
        <w:t>. Regiono plėtros tarybos ar savivaldybių pritarimas arba suderinimas (regiono plėtros tarybos, savivaldybės Tarybos spendimas, savivaldybės administracijos direktoriaus įsakymas ir pan.), kad pareiškėjas gali organizuoti darbus atitinkamo regiono ir savivaldybės teritorijoje.</w:t>
      </w:r>
    </w:p>
    <w:p>
      <w:pPr>
        <w:widowControl w:val="0"/>
        <w:suppressAutoHyphens/>
        <w:ind w:firstLine="567"/>
        <w:jc w:val="both"/>
      </w:pPr>
      <w:r>
        <w:t>13</w:t>
      </w:r>
      <w:r>
        <w:t>. Dokumentai, įrodantys, kad gautas planavimo sąlygų sąvadas, t. y. pradėtos detalaus planavimo procedūros.</w:t>
      </w:r>
    </w:p>
    <w:p>
      <w:pPr>
        <w:widowControl w:val="0"/>
        <w:suppressAutoHyphens/>
        <w:ind w:firstLine="567"/>
        <w:jc w:val="both"/>
      </w:pPr>
      <w:r>
        <w:t>14</w:t>
      </w:r>
      <w:r>
        <w:t>. Finansinės ir sąnaudų-naudos analizių skaičiavimai.</w:t>
      </w:r>
    </w:p>
    <w:p>
      <w:pPr>
        <w:widowControl w:val="0"/>
        <w:suppressAutoHyphens/>
        <w:ind w:firstLine="567"/>
        <w:jc w:val="both"/>
      </w:pPr>
      <w:r>
        <w:t>15</w:t>
      </w:r>
      <w:r>
        <w:t>. Institucijos, atsakingos už saugomų teritorijų apsaugos ir tvarkymo organizavimą, išvados dėl poveikio įsteigtoms ar potencialioms „Natura 2000“ teritorijoms reikšmingumo kopija.</w:t>
      </w:r>
    </w:p>
    <w:p>
      <w:pPr>
        <w:widowControl w:val="0"/>
        <w:suppressAutoHyphens/>
        <w:ind w:firstLine="567"/>
        <w:jc w:val="both"/>
      </w:pPr>
      <w:r>
        <w:t>16</w:t>
      </w:r>
      <w:r>
        <w:t>. Jungtinės veiklos (partnerystės) sutartis (jei taikoma).</w:t>
      </w:r>
    </w:p>
    <w:p>
      <w:pPr>
        <w:widowControl w:val="0"/>
        <w:suppressAutoHyphens/>
        <w:ind w:firstLine="567"/>
        <w:jc w:val="both"/>
      </w:pPr>
      <w:r>
        <w:t>17</w:t>
      </w:r>
      <w:r>
        <w:t>. Įmonės registracijos pažymėjimo kopija.</w:t>
      </w:r>
    </w:p>
    <w:p>
      <w:pPr>
        <w:widowControl w:val="0"/>
        <w:suppressAutoHyphens/>
        <w:rPr>
          <w:b/>
          <w:bCs/>
        </w:rPr>
      </w:pPr>
    </w:p>
    <w:p>
      <w:pPr>
        <w:widowControl w:val="0"/>
        <w:suppressAutoHyphens/>
        <w:jc w:val="center"/>
      </w:pPr>
      <w:r>
        <w:rPr>
          <w:b/>
          <w:b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
      <w:pPr>
        <w:widowControl w:val="0"/>
        <w:suppressAutoHyphens/>
        <w:ind w:left="4535"/>
        <w:rPr>
          <w:iCs/>
        </w:rPr>
      </w:pPr>
      <w:r>
        <w:rPr>
          <w:iCs/>
        </w:rPr>
        <w:br w:type="page"/>
        <w:t xml:space="preserve">Paraiškos dėl projekto finansavimo </w:t>
      </w:r>
    </w:p>
    <w:p>
      <w:pPr>
        <w:widowControl w:val="0"/>
        <w:suppressAutoHyphens/>
        <w:ind w:left="4535"/>
        <w:rPr>
          <w:iCs/>
        </w:rPr>
      </w:pPr>
      <w:r>
        <w:rPr>
          <w:iCs/>
        </w:rPr>
        <w:t>specialiosios (B) dalies</w:t>
      </w:r>
    </w:p>
    <w:p>
      <w:pPr>
        <w:widowControl w:val="0"/>
        <w:suppressAutoHyphens/>
        <w:ind w:left="4535"/>
        <w:rPr>
          <w:b/>
          <w:bCs/>
        </w:rPr>
      </w:pPr>
      <w:r>
        <w:t>2</w:t>
      </w:r>
      <w:r>
        <w:t xml:space="preserve"> priedas</w:t>
      </w:r>
    </w:p>
    <w:p>
      <w:pPr>
        <w:widowControl w:val="0"/>
        <w:suppressAutoHyphens/>
        <w:jc w:val="center"/>
      </w:pPr>
    </w:p>
    <w:p>
      <w:pPr>
        <w:widowControl w:val="0"/>
        <w:suppressAutoHyphens/>
        <w:jc w:val="center"/>
        <w:rPr>
          <w:b/>
          <w:bCs/>
        </w:rPr>
      </w:pPr>
      <w:r>
        <w:rPr>
          <w:b/>
          <w:bCs/>
        </w:rPr>
        <w:t>MOKĖJIMŲ PRAŠYMUI TEIKIMO APLINKOS PROJEKTŲ VALDYMO AGENTŪRAI GRAFIKAS</w:t>
      </w:r>
    </w:p>
    <w:p>
      <w:pPr>
        <w:widowControl w:val="0"/>
        <w:suppressAutoHyphens/>
        <w:jc w:val="center"/>
        <w:rPr>
          <w:b/>
          <w:bCs/>
        </w:rPr>
      </w:pPr>
    </w:p>
    <w:tbl>
      <w:tblPr>
        <w:tblW w:w="9070" w:type="dxa"/>
        <w:tblInd w:w="2" w:type="dxa"/>
        <w:tblLayout w:type="fixed"/>
        <w:tblCellMar>
          <w:left w:w="0" w:type="dxa"/>
          <w:right w:w="0" w:type="dxa"/>
        </w:tblCellMar>
        <w:tblLook w:val="0000" w:firstRow="0" w:lastRow="0" w:firstColumn="0" w:lastColumn="0" w:noHBand="0" w:noVBand="0"/>
      </w:tblPr>
      <w:tblGrid>
        <w:gridCol w:w="1292"/>
        <w:gridCol w:w="1160"/>
        <w:gridCol w:w="774"/>
        <w:gridCol w:w="774"/>
        <w:gridCol w:w="683"/>
        <w:gridCol w:w="683"/>
        <w:gridCol w:w="827"/>
        <w:gridCol w:w="683"/>
        <w:gridCol w:w="683"/>
        <w:gridCol w:w="828"/>
        <w:gridCol w:w="683"/>
      </w:tblGrid>
      <w:tr>
        <w:trPr>
          <w:cantSplit/>
          <w:trHeight w:val="255"/>
        </w:trPr>
        <w:tc>
          <w:tcPr>
            <w:tcW w:w="1423" w:type="dxa"/>
            <w:vMerge w:val="restart"/>
            <w:tcBorders>
              <w:top w:val="single" w:sz="4" w:space="0" w:color="auto"/>
              <w:left w:val="single" w:sz="4" w:space="0" w:color="auto"/>
              <w:right w:val="single" w:sz="4" w:space="0" w:color="auto"/>
            </w:tcBorders>
            <w:shd w:val="clear" w:color="auto" w:fill="FFFFFF"/>
            <w:noWrap/>
            <w:vAlign w:val="center"/>
          </w:tcPr>
          <w:p>
            <w:pPr>
              <w:widowControl w:val="0"/>
              <w:suppressAutoHyphens/>
              <w:jc w:val="center"/>
              <w:rPr>
                <w:bCs/>
              </w:rPr>
            </w:pPr>
            <w:r>
              <w:rPr>
                <w:bCs/>
              </w:rPr>
              <w:t>Išlaidų pavadinimas</w:t>
            </w:r>
          </w:p>
        </w:tc>
        <w:tc>
          <w:tcPr>
            <w:tcW w:w="1276" w:type="dxa"/>
            <w:vMerge w:val="restart"/>
            <w:tcBorders>
              <w:top w:val="single" w:sz="4" w:space="0" w:color="auto"/>
              <w:left w:val="single" w:sz="4" w:space="0" w:color="auto"/>
              <w:right w:val="single" w:sz="4" w:space="0" w:color="auto"/>
            </w:tcBorders>
            <w:shd w:val="clear" w:color="auto" w:fill="FFFFFF"/>
            <w:vAlign w:val="center"/>
          </w:tcPr>
          <w:p>
            <w:pPr>
              <w:widowControl w:val="0"/>
              <w:suppressAutoHyphens/>
              <w:jc w:val="center"/>
              <w:rPr>
                <w:bCs/>
              </w:rPr>
            </w:pPr>
            <w:r>
              <w:rPr>
                <w:bCs/>
              </w:rPr>
              <w:t>Bendra tinkamų finansuoti išlaidų suma, Lt</w:t>
            </w:r>
          </w:p>
        </w:tc>
        <w:tc>
          <w:tcPr>
            <w:tcW w:w="7270" w:type="dxa"/>
            <w:gridSpan w:val="9"/>
            <w:tcBorders>
              <w:top w:val="single" w:sz="4" w:space="0" w:color="auto"/>
              <w:left w:val="single" w:sz="4" w:space="0" w:color="auto"/>
              <w:bottom w:val="single" w:sz="4" w:space="0" w:color="000000"/>
              <w:right w:val="single" w:sz="4" w:space="0" w:color="auto"/>
            </w:tcBorders>
            <w:shd w:val="clear" w:color="auto" w:fill="FFFFFF"/>
          </w:tcPr>
          <w:p>
            <w:pPr>
              <w:widowControl w:val="0"/>
              <w:suppressAutoHyphens/>
              <w:jc w:val="center"/>
              <w:rPr>
                <w:bCs/>
              </w:rPr>
            </w:pPr>
            <w:r>
              <w:rPr>
                <w:bCs/>
              </w:rPr>
              <w:t>Bendra tinkamų finansuoti išlaidų suma, Lt</w:t>
            </w:r>
          </w:p>
        </w:tc>
      </w:tr>
      <w:tr>
        <w:trPr>
          <w:cantSplit/>
          <w:trHeight w:val="255"/>
        </w:trPr>
        <w:tc>
          <w:tcPr>
            <w:tcW w:w="1423" w:type="dxa"/>
            <w:vMerge/>
            <w:tcBorders>
              <w:left w:val="single" w:sz="4" w:space="0" w:color="auto"/>
              <w:right w:val="single" w:sz="4" w:space="0" w:color="auto"/>
            </w:tcBorders>
            <w:shd w:val="clear" w:color="auto" w:fill="FFFFFF"/>
            <w:noWrap/>
            <w:vAlign w:val="center"/>
          </w:tcPr>
          <w:p>
            <w:pPr>
              <w:widowControl w:val="0"/>
              <w:suppressAutoHyphens/>
              <w:jc w:val="center"/>
              <w:rPr>
                <w:bCs/>
              </w:rPr>
            </w:pPr>
          </w:p>
        </w:tc>
        <w:tc>
          <w:tcPr>
            <w:tcW w:w="1276" w:type="dxa"/>
            <w:vMerge/>
            <w:tcBorders>
              <w:left w:val="single" w:sz="4" w:space="0" w:color="auto"/>
              <w:right w:val="single" w:sz="4" w:space="0" w:color="auto"/>
            </w:tcBorders>
            <w:shd w:val="clear" w:color="auto" w:fill="FFFFFF"/>
            <w:vAlign w:val="center"/>
          </w:tcPr>
          <w:p>
            <w:pPr>
              <w:widowControl w:val="0"/>
              <w:suppressAutoHyphens/>
              <w:jc w:val="center"/>
              <w:rPr>
                <w:bCs/>
              </w:rPr>
            </w:pPr>
          </w:p>
        </w:tc>
        <w:tc>
          <w:tcPr>
            <w:tcW w:w="2451" w:type="dxa"/>
            <w:gridSpan w:val="3"/>
            <w:tcBorders>
              <w:top w:val="single" w:sz="4" w:space="0" w:color="auto"/>
              <w:left w:val="single" w:sz="4" w:space="0" w:color="auto"/>
              <w:bottom w:val="single" w:sz="4" w:space="0" w:color="000000"/>
              <w:right w:val="single" w:sz="4" w:space="0" w:color="auto"/>
            </w:tcBorders>
            <w:shd w:val="clear" w:color="auto" w:fill="FFFFFF"/>
          </w:tcPr>
          <w:p>
            <w:pPr>
              <w:widowControl w:val="0"/>
              <w:suppressAutoHyphens/>
              <w:jc w:val="center"/>
              <w:rPr>
                <w:bCs/>
              </w:rPr>
            </w:pPr>
            <w:r>
              <w:rPr>
                <w:bCs/>
              </w:rPr>
              <w:t>N metai</w:t>
            </w:r>
          </w:p>
        </w:tc>
        <w:tc>
          <w:tcPr>
            <w:tcW w:w="2409" w:type="dxa"/>
            <w:gridSpan w:val="3"/>
            <w:tcBorders>
              <w:top w:val="single" w:sz="4" w:space="0" w:color="auto"/>
              <w:left w:val="single" w:sz="4" w:space="0" w:color="auto"/>
              <w:bottom w:val="single" w:sz="4" w:space="0" w:color="000000"/>
              <w:right w:val="single" w:sz="4" w:space="0" w:color="auto"/>
            </w:tcBorders>
            <w:shd w:val="clear" w:color="auto" w:fill="FFFFFF"/>
          </w:tcPr>
          <w:p>
            <w:pPr>
              <w:widowControl w:val="0"/>
              <w:suppressAutoHyphens/>
              <w:jc w:val="center"/>
              <w:rPr>
                <w:bCs/>
              </w:rPr>
            </w:pPr>
            <w:r>
              <w:rPr>
                <w:bCs/>
              </w:rPr>
              <w:t>N+1 metai</w:t>
            </w:r>
          </w:p>
        </w:tc>
        <w:tc>
          <w:tcPr>
            <w:tcW w:w="2410" w:type="dxa"/>
            <w:gridSpan w:val="3"/>
            <w:tcBorders>
              <w:top w:val="single" w:sz="4" w:space="0" w:color="auto"/>
              <w:left w:val="single" w:sz="4" w:space="0" w:color="auto"/>
              <w:bottom w:val="single" w:sz="4" w:space="0" w:color="000000"/>
              <w:right w:val="single" w:sz="4" w:space="0" w:color="auto"/>
            </w:tcBorders>
            <w:shd w:val="clear" w:color="auto" w:fill="FFFFFF"/>
          </w:tcPr>
          <w:p>
            <w:pPr>
              <w:widowControl w:val="0"/>
              <w:suppressAutoHyphens/>
              <w:jc w:val="center"/>
              <w:rPr>
                <w:bCs/>
              </w:rPr>
            </w:pPr>
            <w:r>
              <w:rPr>
                <w:bCs/>
              </w:rPr>
              <w:t>N+... metai</w:t>
            </w:r>
          </w:p>
        </w:tc>
      </w:tr>
      <w:tr>
        <w:trPr>
          <w:cantSplit/>
          <w:trHeight w:val="1140"/>
        </w:trPr>
        <w:tc>
          <w:tcPr>
            <w:tcW w:w="1423" w:type="dxa"/>
            <w:vMerge/>
            <w:tcBorders>
              <w:left w:val="single" w:sz="4" w:space="0" w:color="auto"/>
              <w:bottom w:val="single" w:sz="4" w:space="0" w:color="auto"/>
              <w:right w:val="single" w:sz="4" w:space="0" w:color="auto"/>
            </w:tcBorders>
            <w:vAlign w:val="center"/>
          </w:tcPr>
          <w:p>
            <w:pPr>
              <w:widowControl w:val="0"/>
              <w:suppressAutoHyphens/>
              <w:jc w:val="center"/>
              <w:rPr>
                <w:bCs/>
              </w:rPr>
            </w:pPr>
          </w:p>
        </w:tc>
        <w:tc>
          <w:tcPr>
            <w:tcW w:w="1276" w:type="dxa"/>
            <w:vMerge/>
            <w:tcBorders>
              <w:left w:val="single" w:sz="4" w:space="0" w:color="auto"/>
              <w:bottom w:val="single" w:sz="4" w:space="0" w:color="000000"/>
              <w:right w:val="single" w:sz="4" w:space="0" w:color="auto"/>
            </w:tcBorders>
            <w:vAlign w:val="center"/>
          </w:tcPr>
          <w:p>
            <w:pPr>
              <w:widowControl w:val="0"/>
              <w:suppressAutoHyphens/>
              <w:jc w:val="center"/>
              <w:rPr>
                <w:bCs/>
              </w:rPr>
            </w:pPr>
          </w:p>
        </w:tc>
        <w:tc>
          <w:tcPr>
            <w:tcW w:w="850"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 ketvirtis</w:t>
            </w:r>
          </w:p>
        </w:tc>
        <w:tc>
          <w:tcPr>
            <w:tcW w:w="851"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M+1 ketvirtis</w:t>
            </w:r>
          </w:p>
        </w:tc>
        <w:tc>
          <w:tcPr>
            <w:tcW w:w="750"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 ketvirtis</w:t>
            </w:r>
          </w:p>
        </w:tc>
        <w:tc>
          <w:tcPr>
            <w:tcW w:w="750"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 ketvirtis</w:t>
            </w:r>
          </w:p>
        </w:tc>
        <w:tc>
          <w:tcPr>
            <w:tcW w:w="909"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M+1 ketvirtis</w:t>
            </w:r>
          </w:p>
        </w:tc>
        <w:tc>
          <w:tcPr>
            <w:tcW w:w="750"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 ketvirtis</w:t>
            </w:r>
          </w:p>
        </w:tc>
        <w:tc>
          <w:tcPr>
            <w:tcW w:w="750"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 ketvirtis</w:t>
            </w:r>
          </w:p>
        </w:tc>
        <w:tc>
          <w:tcPr>
            <w:tcW w:w="910"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M+1 ketvirtis</w:t>
            </w:r>
          </w:p>
        </w:tc>
        <w:tc>
          <w:tcPr>
            <w:tcW w:w="750" w:type="dxa"/>
            <w:tcBorders>
              <w:top w:val="single" w:sz="4" w:space="0" w:color="auto"/>
              <w:left w:val="single" w:sz="4" w:space="0" w:color="auto"/>
              <w:bottom w:val="single" w:sz="4" w:space="0" w:color="000000"/>
              <w:right w:val="single" w:sz="4" w:space="0" w:color="auto"/>
            </w:tcBorders>
          </w:tcPr>
          <w:p>
            <w:pPr>
              <w:widowControl w:val="0"/>
              <w:suppressAutoHyphens/>
              <w:jc w:val="center"/>
              <w:rPr>
                <w:bCs/>
              </w:rPr>
            </w:pPr>
            <w:r>
              <w:rPr>
                <w:bCs/>
              </w:rPr>
              <w:t>M+... ketvirtis</w:t>
            </w:r>
          </w:p>
        </w:tc>
      </w:tr>
      <w:tr>
        <w:trPr>
          <w:trHeight w:val="309"/>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285"/>
        </w:trPr>
        <w:tc>
          <w:tcPr>
            <w:tcW w:w="1423" w:type="dxa"/>
            <w:tcBorders>
              <w:top w:val="nil"/>
              <w:left w:val="single" w:sz="4" w:space="0" w:color="auto"/>
              <w:bottom w:val="single" w:sz="4" w:space="0" w:color="auto"/>
              <w:right w:val="single" w:sz="4" w:space="0" w:color="auto"/>
            </w:tcBorders>
            <w:noWrap/>
            <w:vAlign w:val="bottom"/>
          </w:tcPr>
          <w:p>
            <w:pPr>
              <w:widowControl w:val="0"/>
              <w:suppressAutoHyphens/>
              <w:jc w:val="center"/>
            </w:pPr>
          </w:p>
        </w:tc>
        <w:tc>
          <w:tcPr>
            <w:tcW w:w="1276" w:type="dxa"/>
            <w:tcBorders>
              <w:top w:val="nil"/>
              <w:left w:val="nil"/>
              <w:bottom w:val="single" w:sz="4" w:space="0" w:color="auto"/>
              <w:right w:val="single" w:sz="4" w:space="0" w:color="auto"/>
            </w:tcBorders>
            <w:noWrap/>
            <w:vAlign w:val="center"/>
          </w:tcPr>
          <w:p>
            <w:pPr>
              <w:widowControl w:val="0"/>
              <w:suppressAutoHyphens/>
              <w:jc w:val="center"/>
            </w:pPr>
          </w:p>
        </w:tc>
        <w:tc>
          <w:tcPr>
            <w:tcW w:w="850" w:type="dxa"/>
            <w:tcBorders>
              <w:top w:val="nil"/>
              <w:left w:val="nil"/>
              <w:bottom w:val="single" w:sz="4" w:space="0" w:color="auto"/>
              <w:right w:val="single" w:sz="4" w:space="0" w:color="auto"/>
            </w:tcBorders>
          </w:tcPr>
          <w:p>
            <w:pPr>
              <w:widowControl w:val="0"/>
              <w:suppressAutoHyphens/>
              <w:jc w:val="center"/>
            </w:pPr>
          </w:p>
        </w:tc>
        <w:tc>
          <w:tcPr>
            <w:tcW w:w="851"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09"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1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r>
      <w:tr>
        <w:trPr>
          <w:trHeight w:val="360"/>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309"/>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285"/>
        </w:trPr>
        <w:tc>
          <w:tcPr>
            <w:tcW w:w="1423" w:type="dxa"/>
            <w:tcBorders>
              <w:top w:val="nil"/>
              <w:left w:val="single" w:sz="4" w:space="0" w:color="auto"/>
              <w:bottom w:val="single" w:sz="4" w:space="0" w:color="auto"/>
              <w:right w:val="single" w:sz="4" w:space="0" w:color="auto"/>
            </w:tcBorders>
            <w:noWrap/>
            <w:vAlign w:val="bottom"/>
          </w:tcPr>
          <w:p>
            <w:pPr>
              <w:widowControl w:val="0"/>
              <w:suppressAutoHyphens/>
              <w:jc w:val="center"/>
            </w:pPr>
          </w:p>
        </w:tc>
        <w:tc>
          <w:tcPr>
            <w:tcW w:w="1276" w:type="dxa"/>
            <w:tcBorders>
              <w:top w:val="nil"/>
              <w:left w:val="nil"/>
              <w:bottom w:val="single" w:sz="4" w:space="0" w:color="auto"/>
              <w:right w:val="single" w:sz="4" w:space="0" w:color="auto"/>
            </w:tcBorders>
            <w:noWrap/>
            <w:vAlign w:val="center"/>
          </w:tcPr>
          <w:p>
            <w:pPr>
              <w:widowControl w:val="0"/>
              <w:suppressAutoHyphens/>
              <w:jc w:val="center"/>
            </w:pPr>
          </w:p>
        </w:tc>
        <w:tc>
          <w:tcPr>
            <w:tcW w:w="850" w:type="dxa"/>
            <w:tcBorders>
              <w:top w:val="nil"/>
              <w:left w:val="nil"/>
              <w:bottom w:val="single" w:sz="4" w:space="0" w:color="auto"/>
              <w:right w:val="single" w:sz="4" w:space="0" w:color="auto"/>
            </w:tcBorders>
          </w:tcPr>
          <w:p>
            <w:pPr>
              <w:widowControl w:val="0"/>
              <w:suppressAutoHyphens/>
              <w:jc w:val="center"/>
            </w:pPr>
          </w:p>
        </w:tc>
        <w:tc>
          <w:tcPr>
            <w:tcW w:w="851"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09"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1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r>
      <w:tr>
        <w:trPr>
          <w:trHeight w:val="360"/>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309"/>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285"/>
        </w:trPr>
        <w:tc>
          <w:tcPr>
            <w:tcW w:w="1423" w:type="dxa"/>
            <w:tcBorders>
              <w:top w:val="nil"/>
              <w:left w:val="single" w:sz="4" w:space="0" w:color="auto"/>
              <w:bottom w:val="single" w:sz="4" w:space="0" w:color="auto"/>
              <w:right w:val="single" w:sz="4" w:space="0" w:color="auto"/>
            </w:tcBorders>
            <w:noWrap/>
            <w:vAlign w:val="bottom"/>
          </w:tcPr>
          <w:p>
            <w:pPr>
              <w:widowControl w:val="0"/>
              <w:suppressAutoHyphens/>
              <w:jc w:val="center"/>
            </w:pPr>
          </w:p>
        </w:tc>
        <w:tc>
          <w:tcPr>
            <w:tcW w:w="1276" w:type="dxa"/>
            <w:tcBorders>
              <w:top w:val="nil"/>
              <w:left w:val="nil"/>
              <w:bottom w:val="single" w:sz="4" w:space="0" w:color="auto"/>
              <w:right w:val="single" w:sz="4" w:space="0" w:color="auto"/>
            </w:tcBorders>
            <w:noWrap/>
            <w:vAlign w:val="center"/>
          </w:tcPr>
          <w:p>
            <w:pPr>
              <w:widowControl w:val="0"/>
              <w:suppressAutoHyphens/>
              <w:jc w:val="center"/>
            </w:pPr>
          </w:p>
        </w:tc>
        <w:tc>
          <w:tcPr>
            <w:tcW w:w="850" w:type="dxa"/>
            <w:tcBorders>
              <w:top w:val="nil"/>
              <w:left w:val="nil"/>
              <w:bottom w:val="single" w:sz="4" w:space="0" w:color="auto"/>
              <w:right w:val="single" w:sz="4" w:space="0" w:color="auto"/>
            </w:tcBorders>
          </w:tcPr>
          <w:p>
            <w:pPr>
              <w:widowControl w:val="0"/>
              <w:suppressAutoHyphens/>
              <w:jc w:val="center"/>
            </w:pPr>
          </w:p>
        </w:tc>
        <w:tc>
          <w:tcPr>
            <w:tcW w:w="851"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09"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1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r>
      <w:tr>
        <w:trPr>
          <w:trHeight w:val="360"/>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309"/>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285"/>
        </w:trPr>
        <w:tc>
          <w:tcPr>
            <w:tcW w:w="1423" w:type="dxa"/>
            <w:tcBorders>
              <w:top w:val="nil"/>
              <w:left w:val="single" w:sz="4" w:space="0" w:color="auto"/>
              <w:bottom w:val="single" w:sz="4" w:space="0" w:color="auto"/>
              <w:right w:val="single" w:sz="4" w:space="0" w:color="auto"/>
            </w:tcBorders>
            <w:noWrap/>
            <w:vAlign w:val="bottom"/>
          </w:tcPr>
          <w:p>
            <w:pPr>
              <w:widowControl w:val="0"/>
              <w:suppressAutoHyphens/>
              <w:jc w:val="center"/>
            </w:pPr>
          </w:p>
        </w:tc>
        <w:tc>
          <w:tcPr>
            <w:tcW w:w="1276" w:type="dxa"/>
            <w:tcBorders>
              <w:top w:val="nil"/>
              <w:left w:val="nil"/>
              <w:bottom w:val="single" w:sz="4" w:space="0" w:color="auto"/>
              <w:right w:val="single" w:sz="4" w:space="0" w:color="auto"/>
            </w:tcBorders>
            <w:noWrap/>
            <w:vAlign w:val="center"/>
          </w:tcPr>
          <w:p>
            <w:pPr>
              <w:widowControl w:val="0"/>
              <w:suppressAutoHyphens/>
              <w:jc w:val="center"/>
            </w:pPr>
          </w:p>
        </w:tc>
        <w:tc>
          <w:tcPr>
            <w:tcW w:w="850" w:type="dxa"/>
            <w:tcBorders>
              <w:top w:val="nil"/>
              <w:left w:val="nil"/>
              <w:bottom w:val="single" w:sz="4" w:space="0" w:color="auto"/>
              <w:right w:val="single" w:sz="4" w:space="0" w:color="auto"/>
            </w:tcBorders>
          </w:tcPr>
          <w:p>
            <w:pPr>
              <w:widowControl w:val="0"/>
              <w:suppressAutoHyphens/>
              <w:jc w:val="center"/>
            </w:pPr>
          </w:p>
        </w:tc>
        <w:tc>
          <w:tcPr>
            <w:tcW w:w="851"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09"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1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r>
      <w:tr>
        <w:trPr>
          <w:trHeight w:val="360"/>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309"/>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285"/>
        </w:trPr>
        <w:tc>
          <w:tcPr>
            <w:tcW w:w="1423" w:type="dxa"/>
            <w:tcBorders>
              <w:top w:val="nil"/>
              <w:left w:val="single" w:sz="4" w:space="0" w:color="auto"/>
              <w:bottom w:val="single" w:sz="4" w:space="0" w:color="auto"/>
              <w:right w:val="single" w:sz="4" w:space="0" w:color="auto"/>
            </w:tcBorders>
            <w:noWrap/>
            <w:vAlign w:val="bottom"/>
          </w:tcPr>
          <w:p>
            <w:pPr>
              <w:widowControl w:val="0"/>
              <w:suppressAutoHyphens/>
              <w:jc w:val="center"/>
            </w:pPr>
          </w:p>
        </w:tc>
        <w:tc>
          <w:tcPr>
            <w:tcW w:w="1276" w:type="dxa"/>
            <w:tcBorders>
              <w:top w:val="nil"/>
              <w:left w:val="nil"/>
              <w:bottom w:val="single" w:sz="4" w:space="0" w:color="auto"/>
              <w:right w:val="single" w:sz="4" w:space="0" w:color="auto"/>
            </w:tcBorders>
            <w:noWrap/>
            <w:vAlign w:val="center"/>
          </w:tcPr>
          <w:p>
            <w:pPr>
              <w:widowControl w:val="0"/>
              <w:suppressAutoHyphens/>
              <w:jc w:val="center"/>
            </w:pPr>
          </w:p>
        </w:tc>
        <w:tc>
          <w:tcPr>
            <w:tcW w:w="850" w:type="dxa"/>
            <w:tcBorders>
              <w:top w:val="nil"/>
              <w:left w:val="nil"/>
              <w:bottom w:val="single" w:sz="4" w:space="0" w:color="auto"/>
              <w:right w:val="single" w:sz="4" w:space="0" w:color="auto"/>
            </w:tcBorders>
          </w:tcPr>
          <w:p>
            <w:pPr>
              <w:widowControl w:val="0"/>
              <w:suppressAutoHyphens/>
              <w:jc w:val="center"/>
            </w:pPr>
          </w:p>
        </w:tc>
        <w:tc>
          <w:tcPr>
            <w:tcW w:w="851"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09"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1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r>
      <w:tr>
        <w:trPr>
          <w:trHeight w:val="360"/>
        </w:trPr>
        <w:tc>
          <w:tcPr>
            <w:tcW w:w="1423" w:type="dxa"/>
            <w:tcBorders>
              <w:top w:val="nil"/>
              <w:left w:val="single" w:sz="4" w:space="0" w:color="auto"/>
              <w:bottom w:val="single" w:sz="4" w:space="0" w:color="auto"/>
              <w:right w:val="single" w:sz="4" w:space="0" w:color="auto"/>
            </w:tcBorders>
          </w:tcPr>
          <w:p>
            <w:pPr>
              <w:widowControl w:val="0"/>
              <w:suppressAutoHyphens/>
              <w:jc w:val="center"/>
              <w:rPr>
                <w:bCs/>
              </w:rPr>
            </w:pP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r>
        <w:trPr>
          <w:trHeight w:val="240"/>
        </w:trPr>
        <w:tc>
          <w:tcPr>
            <w:tcW w:w="1423" w:type="dxa"/>
            <w:tcBorders>
              <w:top w:val="nil"/>
              <w:left w:val="single" w:sz="4" w:space="0" w:color="auto"/>
              <w:bottom w:val="single" w:sz="4" w:space="0" w:color="auto"/>
              <w:right w:val="single" w:sz="4" w:space="0" w:color="auto"/>
            </w:tcBorders>
          </w:tcPr>
          <w:p>
            <w:pPr>
              <w:widowControl w:val="0"/>
              <w:suppressAutoHyphens/>
              <w:jc w:val="center"/>
            </w:pPr>
          </w:p>
        </w:tc>
        <w:tc>
          <w:tcPr>
            <w:tcW w:w="1276" w:type="dxa"/>
            <w:tcBorders>
              <w:top w:val="nil"/>
              <w:left w:val="nil"/>
              <w:bottom w:val="single" w:sz="4" w:space="0" w:color="auto"/>
              <w:right w:val="single" w:sz="4" w:space="0" w:color="auto"/>
            </w:tcBorders>
            <w:vAlign w:val="center"/>
          </w:tcPr>
          <w:p>
            <w:pPr>
              <w:widowControl w:val="0"/>
              <w:suppressAutoHyphens/>
              <w:jc w:val="center"/>
            </w:pPr>
          </w:p>
        </w:tc>
        <w:tc>
          <w:tcPr>
            <w:tcW w:w="850" w:type="dxa"/>
            <w:tcBorders>
              <w:top w:val="nil"/>
              <w:left w:val="nil"/>
              <w:bottom w:val="single" w:sz="4" w:space="0" w:color="auto"/>
              <w:right w:val="single" w:sz="4" w:space="0" w:color="auto"/>
            </w:tcBorders>
          </w:tcPr>
          <w:p>
            <w:pPr>
              <w:widowControl w:val="0"/>
              <w:suppressAutoHyphens/>
              <w:jc w:val="center"/>
            </w:pPr>
          </w:p>
        </w:tc>
        <w:tc>
          <w:tcPr>
            <w:tcW w:w="851"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09"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c>
          <w:tcPr>
            <w:tcW w:w="910" w:type="dxa"/>
            <w:tcBorders>
              <w:top w:val="nil"/>
              <w:left w:val="nil"/>
              <w:bottom w:val="single" w:sz="4" w:space="0" w:color="auto"/>
              <w:right w:val="single" w:sz="4" w:space="0" w:color="auto"/>
            </w:tcBorders>
          </w:tcPr>
          <w:p>
            <w:pPr>
              <w:widowControl w:val="0"/>
              <w:suppressAutoHyphens/>
              <w:jc w:val="center"/>
            </w:pPr>
          </w:p>
        </w:tc>
        <w:tc>
          <w:tcPr>
            <w:tcW w:w="750" w:type="dxa"/>
            <w:tcBorders>
              <w:top w:val="nil"/>
              <w:left w:val="nil"/>
              <w:bottom w:val="single" w:sz="4" w:space="0" w:color="auto"/>
              <w:right w:val="single" w:sz="4" w:space="0" w:color="auto"/>
            </w:tcBorders>
          </w:tcPr>
          <w:p>
            <w:pPr>
              <w:widowControl w:val="0"/>
              <w:suppressAutoHyphens/>
              <w:jc w:val="center"/>
            </w:pPr>
          </w:p>
        </w:tc>
      </w:tr>
      <w:tr>
        <w:trPr>
          <w:trHeight w:val="300"/>
        </w:trPr>
        <w:tc>
          <w:tcPr>
            <w:tcW w:w="1423" w:type="dxa"/>
            <w:tcBorders>
              <w:top w:val="nil"/>
              <w:left w:val="single" w:sz="4" w:space="0" w:color="auto"/>
              <w:bottom w:val="single" w:sz="4" w:space="0" w:color="auto"/>
              <w:right w:val="single" w:sz="4" w:space="0" w:color="auto"/>
            </w:tcBorders>
          </w:tcPr>
          <w:p>
            <w:pPr>
              <w:widowControl w:val="0"/>
              <w:suppressAutoHyphens/>
              <w:rPr>
                <w:bCs/>
              </w:rPr>
            </w:pPr>
            <w:r>
              <w:rPr>
                <w:bCs/>
              </w:rPr>
              <w:t>IŠ VISO:</w:t>
            </w:r>
          </w:p>
        </w:tc>
        <w:tc>
          <w:tcPr>
            <w:tcW w:w="1276" w:type="dxa"/>
            <w:tcBorders>
              <w:top w:val="nil"/>
              <w:left w:val="nil"/>
              <w:bottom w:val="single" w:sz="4" w:space="0" w:color="auto"/>
              <w:right w:val="single" w:sz="4" w:space="0" w:color="auto"/>
            </w:tcBorders>
            <w:noWrap/>
            <w:vAlign w:val="center"/>
          </w:tcPr>
          <w:p>
            <w:pPr>
              <w:widowControl w:val="0"/>
              <w:suppressAutoHyphens/>
              <w:jc w:val="center"/>
              <w:rPr>
                <w:bCs/>
              </w:rPr>
            </w:pPr>
          </w:p>
        </w:tc>
        <w:tc>
          <w:tcPr>
            <w:tcW w:w="850" w:type="dxa"/>
            <w:tcBorders>
              <w:top w:val="nil"/>
              <w:left w:val="nil"/>
              <w:bottom w:val="single" w:sz="4" w:space="0" w:color="auto"/>
              <w:right w:val="single" w:sz="4" w:space="0" w:color="auto"/>
            </w:tcBorders>
          </w:tcPr>
          <w:p>
            <w:pPr>
              <w:widowControl w:val="0"/>
              <w:suppressAutoHyphens/>
              <w:jc w:val="center"/>
              <w:rPr>
                <w:bCs/>
              </w:rPr>
            </w:pPr>
          </w:p>
        </w:tc>
        <w:tc>
          <w:tcPr>
            <w:tcW w:w="851"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09"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c>
          <w:tcPr>
            <w:tcW w:w="910" w:type="dxa"/>
            <w:tcBorders>
              <w:top w:val="nil"/>
              <w:left w:val="nil"/>
              <w:bottom w:val="single" w:sz="4" w:space="0" w:color="auto"/>
              <w:right w:val="single" w:sz="4" w:space="0" w:color="auto"/>
            </w:tcBorders>
          </w:tcPr>
          <w:p>
            <w:pPr>
              <w:widowControl w:val="0"/>
              <w:suppressAutoHyphens/>
              <w:jc w:val="center"/>
              <w:rPr>
                <w:bCs/>
              </w:rPr>
            </w:pPr>
          </w:p>
        </w:tc>
        <w:tc>
          <w:tcPr>
            <w:tcW w:w="750" w:type="dxa"/>
            <w:tcBorders>
              <w:top w:val="nil"/>
              <w:left w:val="nil"/>
              <w:bottom w:val="single" w:sz="4" w:space="0" w:color="auto"/>
              <w:right w:val="single" w:sz="4" w:space="0" w:color="auto"/>
            </w:tcBorders>
          </w:tcPr>
          <w:p>
            <w:pPr>
              <w:widowControl w:val="0"/>
              <w:suppressAutoHyphens/>
              <w:jc w:val="center"/>
              <w:rPr>
                <w:bCs/>
              </w:rPr>
            </w:pPr>
          </w:p>
        </w:tc>
      </w:tr>
    </w:tbl>
    <w:p>
      <w:pPr>
        <w:widowControl w:val="0"/>
        <w:suppressAutoHyphens/>
      </w:pPr>
    </w:p>
    <w:p>
      <w:pPr>
        <w:widowControl w:val="0"/>
        <w:suppressAutoHyphens/>
        <w:ind w:firstLine="5812"/>
      </w:pPr>
      <w:r>
        <w:t>Pareiškėjo parašas ___________</w:t>
      </w:r>
    </w:p>
    <w:p>
      <w:pPr>
        <w:widowControl w:val="0"/>
      </w:pPr>
    </w:p>
    <w:p>
      <w:pPr>
        <w:widowControl w:val="0"/>
        <w:jc w:val="center"/>
        <w:rPr>
          <w:bC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
      <w:pPr>
        <w:widowControl w:val="0"/>
        <w:sectPr>
          <w:pgSz w:w="11907" w:h="16840" w:code="9"/>
          <w:pgMar w:top="1134" w:right="1134" w:bottom="1134" w:left="1701" w:header="567" w:footer="284" w:gutter="0"/>
          <w:cols w:space="1296"/>
          <w:docGrid w:linePitch="360"/>
        </w:sectPr>
      </w:pPr>
    </w:p>
    <w:p>
      <w:pPr>
        <w:widowControl w:val="0"/>
      </w:pPr>
    </w:p>
    <w:p>
      <w:pPr>
        <w:widowControl w:val="0"/>
        <w:tabs>
          <w:tab w:val="center" w:pos="4153"/>
          <w:tab w:val="right" w:pos="8306"/>
        </w:tabs>
        <w:ind w:left="9120"/>
      </w:pPr>
      <w:r>
        <w:t xml:space="preserve">Priemonės „Atliekų tvarkymo sistemos sukūrimas“ </w:t>
      </w:r>
    </w:p>
    <w:p>
      <w:pPr>
        <w:widowControl w:val="0"/>
        <w:tabs>
          <w:tab w:val="center" w:pos="4153"/>
          <w:tab w:val="right" w:pos="8306"/>
        </w:tabs>
        <w:ind w:left="9120"/>
        <w:rPr>
          <w:color w:val="000000"/>
          <w:szCs w:val="24"/>
          <w:lang w:eastAsia="lt-LT"/>
        </w:rPr>
      </w:pPr>
      <w:r>
        <w:t>veiklos „</w:t>
      </w:r>
      <w:r>
        <w:rPr>
          <w:color w:val="000000"/>
          <w:szCs w:val="24"/>
          <w:lang w:eastAsia="lt-LT"/>
        </w:rPr>
        <w:t xml:space="preserve">Komunalinių atliekų tvarkymo sistemų </w:t>
      </w:r>
    </w:p>
    <w:p>
      <w:pPr>
        <w:widowControl w:val="0"/>
        <w:tabs>
          <w:tab w:val="center" w:pos="4153"/>
          <w:tab w:val="right" w:pos="8306"/>
        </w:tabs>
        <w:ind w:left="9120"/>
        <w:rPr>
          <w:color w:val="000000"/>
          <w:szCs w:val="24"/>
          <w:lang w:eastAsia="lt-LT"/>
        </w:rPr>
      </w:pPr>
      <w:r>
        <w:rPr>
          <w:color w:val="000000"/>
          <w:szCs w:val="24"/>
          <w:lang w:eastAsia="lt-LT"/>
        </w:rPr>
        <w:t xml:space="preserve">infrastruktūros plėtra – biologiškai skaidžių atliekų </w:t>
      </w:r>
    </w:p>
    <w:p>
      <w:pPr>
        <w:widowControl w:val="0"/>
        <w:tabs>
          <w:tab w:val="center" w:pos="4153"/>
          <w:tab w:val="right" w:pos="8306"/>
        </w:tabs>
        <w:ind w:left="9120"/>
        <w:rPr>
          <w:color w:val="000000"/>
          <w:szCs w:val="24"/>
          <w:lang w:eastAsia="lt-LT"/>
        </w:rPr>
      </w:pPr>
      <w:r>
        <w:rPr>
          <w:color w:val="000000"/>
          <w:szCs w:val="24"/>
          <w:lang w:eastAsia="lt-LT"/>
        </w:rPr>
        <w:t xml:space="preserve">tvarkymo ir antrinių žaliavų surinkimo infrastruktūros </w:t>
      </w:r>
    </w:p>
    <w:p>
      <w:pPr>
        <w:widowControl w:val="0"/>
        <w:tabs>
          <w:tab w:val="center" w:pos="4153"/>
          <w:tab w:val="right" w:pos="8306"/>
        </w:tabs>
        <w:ind w:left="9120"/>
      </w:pPr>
      <w:r>
        <w:rPr>
          <w:color w:val="000000"/>
          <w:szCs w:val="24"/>
          <w:lang w:eastAsia="lt-LT"/>
        </w:rPr>
        <w:t>sukūrimas</w:t>
      </w:r>
      <w:r>
        <w:t xml:space="preserve">“ projektų </w:t>
      </w:r>
    </w:p>
    <w:p>
      <w:pPr>
        <w:widowControl w:val="0"/>
        <w:tabs>
          <w:tab w:val="center" w:pos="4153"/>
          <w:tab w:val="right" w:pos="8306"/>
        </w:tabs>
        <w:ind w:left="9120"/>
      </w:pPr>
      <w:r>
        <w:t>finansavimo sąlygų aprašo</w:t>
      </w:r>
    </w:p>
    <w:p>
      <w:pPr>
        <w:widowControl w:val="0"/>
        <w:ind w:left="9120"/>
      </w:pPr>
      <w:r>
        <w:t>4 priedas</w:t>
      </w:r>
    </w:p>
    <w:p>
      <w:pPr>
        <w:widowControl w:val="0"/>
        <w:jc w:val="center"/>
        <w:rPr>
          <w:color w:val="000000"/>
        </w:rPr>
      </w:pPr>
    </w:p>
    <w:p>
      <w:pPr>
        <w:widowControl w:val="0"/>
        <w:jc w:val="center"/>
        <w:rPr>
          <w:sz w:val="20"/>
        </w:rPr>
      </w:pPr>
      <w:r>
        <w:rPr>
          <w:sz w:val="20"/>
          <w:lang w:eastAsia="lt-LT"/>
        </w:rPr>
        <w:drawing>
          <wp:inline distT="0" distB="0" distL="0" distR="0">
            <wp:extent cx="2705100" cy="11144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5100" cy="1114425"/>
                    </a:xfrm>
                    <a:prstGeom prst="rect">
                      <a:avLst/>
                    </a:prstGeom>
                    <a:noFill/>
                    <a:ln>
                      <a:noFill/>
                    </a:ln>
                  </pic:spPr>
                </pic:pic>
              </a:graphicData>
            </a:graphic>
          </wp:inline>
        </w:drawing>
      </w:r>
    </w:p>
    <w:p>
      <w:pPr>
        <w:widowControl w:val="0"/>
        <w:jc w:val="center"/>
        <w:rPr>
          <w:i/>
          <w:vanish/>
          <w:color w:val="000000"/>
        </w:rPr>
      </w:pPr>
      <w:r>
        <w:rPr>
          <w:i/>
          <w:vanish/>
        </w:rPr>
        <w:t>(Kuriame Lietuvos ateitį)</w:t>
      </w:r>
    </w:p>
    <w:p>
      <w:pPr>
        <w:widowControl w:val="0"/>
        <w:jc w:val="center"/>
        <w:rPr>
          <w:color w:val="000000"/>
        </w:rPr>
      </w:pPr>
    </w:p>
    <w:p>
      <w:pPr>
        <w:jc w:val="center"/>
        <w:rPr>
          <w:b/>
          <w:sz w:val="20"/>
        </w:rPr>
      </w:pPr>
      <w:r>
        <w:rPr>
          <w:b/>
          <w:sz w:val="20"/>
        </w:rPr>
        <w:t>Į</w:t>
      </w:r>
      <w:r>
        <w:rPr>
          <w:b/>
          <w:sz w:val="20"/>
        </w:rPr>
        <w:t>GYVENDINIMO STEBĖSENOS RODIKLIŲ SKAIČIAVIMO IR MATAVIMO METODIKA</w:t>
      </w:r>
    </w:p>
    <w:p>
      <w:pPr>
        <w:rPr>
          <w:sz w:val="20"/>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897"/>
        <w:gridCol w:w="2027"/>
        <w:gridCol w:w="2318"/>
        <w:gridCol w:w="2173"/>
        <w:gridCol w:w="1448"/>
        <w:gridCol w:w="1738"/>
      </w:tblGrid>
      <w:tr>
        <w:trPr>
          <w:trHeight w:val="20"/>
          <w:tblHeader/>
        </w:trPr>
        <w:tc>
          <w:tcPr>
            <w:tcW w:w="2139" w:type="dxa"/>
            <w:tcMar>
              <w:top w:w="28" w:type="dxa"/>
              <w:left w:w="57" w:type="dxa"/>
              <w:bottom w:w="28" w:type="dxa"/>
              <w:right w:w="57" w:type="dxa"/>
            </w:tcMar>
            <w:vAlign w:val="center"/>
          </w:tcPr>
          <w:p>
            <w:pPr>
              <w:tabs>
                <w:tab w:val="left" w:pos="720"/>
              </w:tabs>
              <w:jc w:val="center"/>
              <w:rPr>
                <w:b/>
                <w:color w:val="000000"/>
                <w:sz w:val="20"/>
              </w:rPr>
            </w:pPr>
            <w:r>
              <w:rPr>
                <w:b/>
                <w:color w:val="000000"/>
                <w:sz w:val="20"/>
              </w:rPr>
              <w:t>Rodiklio pavadinimas</w:t>
            </w:r>
          </w:p>
        </w:tc>
        <w:tc>
          <w:tcPr>
            <w:tcW w:w="2897" w:type="dxa"/>
            <w:vAlign w:val="center"/>
          </w:tcPr>
          <w:p>
            <w:pPr>
              <w:tabs>
                <w:tab w:val="left" w:pos="720"/>
              </w:tabs>
              <w:jc w:val="center"/>
              <w:rPr>
                <w:b/>
                <w:color w:val="000000"/>
                <w:sz w:val="20"/>
              </w:rPr>
            </w:pPr>
            <w:r>
              <w:rPr>
                <w:b/>
                <w:color w:val="000000"/>
                <w:sz w:val="20"/>
              </w:rPr>
              <w:t>Rodiklio paaiškinimas</w:t>
            </w:r>
          </w:p>
        </w:tc>
        <w:tc>
          <w:tcPr>
            <w:tcW w:w="2027" w:type="dxa"/>
            <w:vAlign w:val="center"/>
          </w:tcPr>
          <w:p>
            <w:pPr>
              <w:tabs>
                <w:tab w:val="left" w:pos="720"/>
              </w:tabs>
              <w:jc w:val="center"/>
              <w:rPr>
                <w:b/>
                <w:color w:val="000000"/>
                <w:sz w:val="20"/>
              </w:rPr>
            </w:pPr>
            <w:r>
              <w:rPr>
                <w:b/>
                <w:color w:val="000000"/>
                <w:sz w:val="20"/>
              </w:rPr>
              <w:t>Matavimo vienetas</w:t>
            </w:r>
          </w:p>
        </w:tc>
        <w:tc>
          <w:tcPr>
            <w:tcW w:w="2318" w:type="dxa"/>
            <w:vAlign w:val="center"/>
          </w:tcPr>
          <w:p>
            <w:pPr>
              <w:tabs>
                <w:tab w:val="left" w:pos="720"/>
              </w:tabs>
              <w:jc w:val="center"/>
              <w:rPr>
                <w:b/>
                <w:color w:val="000000"/>
                <w:sz w:val="20"/>
              </w:rPr>
            </w:pPr>
            <w:r>
              <w:rPr>
                <w:b/>
                <w:color w:val="000000"/>
                <w:sz w:val="20"/>
              </w:rPr>
              <w:t>Skaičiavimo būdas</w:t>
            </w:r>
          </w:p>
        </w:tc>
        <w:tc>
          <w:tcPr>
            <w:tcW w:w="2173" w:type="dxa"/>
            <w:tcMar>
              <w:top w:w="28" w:type="dxa"/>
              <w:left w:w="57" w:type="dxa"/>
              <w:bottom w:w="28" w:type="dxa"/>
              <w:right w:w="57" w:type="dxa"/>
            </w:tcMar>
            <w:vAlign w:val="center"/>
          </w:tcPr>
          <w:p>
            <w:pPr>
              <w:tabs>
                <w:tab w:val="left" w:pos="720"/>
              </w:tabs>
              <w:jc w:val="center"/>
              <w:rPr>
                <w:b/>
                <w:color w:val="000000"/>
                <w:sz w:val="20"/>
              </w:rPr>
            </w:pPr>
            <w:r>
              <w:rPr>
                <w:b/>
                <w:color w:val="000000"/>
                <w:sz w:val="20"/>
              </w:rPr>
              <w:t>Informacijos šaltinis</w:t>
            </w:r>
          </w:p>
        </w:tc>
        <w:tc>
          <w:tcPr>
            <w:tcW w:w="1448" w:type="dxa"/>
            <w:vAlign w:val="center"/>
          </w:tcPr>
          <w:p>
            <w:pPr>
              <w:tabs>
                <w:tab w:val="left" w:pos="720"/>
              </w:tabs>
              <w:jc w:val="center"/>
              <w:rPr>
                <w:b/>
                <w:color w:val="000000"/>
                <w:sz w:val="20"/>
              </w:rPr>
            </w:pPr>
            <w:r>
              <w:rPr>
                <w:b/>
                <w:color w:val="000000"/>
                <w:sz w:val="20"/>
              </w:rPr>
              <w:t>Laikas</w:t>
            </w:r>
          </w:p>
        </w:tc>
        <w:tc>
          <w:tcPr>
            <w:tcW w:w="1738" w:type="dxa"/>
            <w:vAlign w:val="center"/>
          </w:tcPr>
          <w:p>
            <w:pPr>
              <w:tabs>
                <w:tab w:val="left" w:pos="720"/>
              </w:tabs>
              <w:jc w:val="center"/>
              <w:rPr>
                <w:b/>
                <w:color w:val="000000"/>
                <w:sz w:val="20"/>
              </w:rPr>
            </w:pPr>
            <w:r>
              <w:rPr>
                <w:b/>
                <w:color w:val="000000"/>
                <w:sz w:val="20"/>
              </w:rPr>
              <w:t>Atsakingas už informacijos pateikimą</w:t>
            </w:r>
          </w:p>
        </w:tc>
      </w:tr>
      <w:tr>
        <w:trPr>
          <w:trHeight w:val="20"/>
        </w:trPr>
        <w:tc>
          <w:tcPr>
            <w:tcW w:w="2139" w:type="dxa"/>
            <w:tcMar>
              <w:top w:w="28" w:type="dxa"/>
              <w:left w:w="57" w:type="dxa"/>
              <w:bottom w:w="28" w:type="dxa"/>
              <w:right w:w="57" w:type="dxa"/>
            </w:tcMar>
          </w:tcPr>
          <w:p>
            <w:pPr>
              <w:tabs>
                <w:tab w:val="left" w:pos="720"/>
              </w:tabs>
              <w:rPr>
                <w:color w:val="000000"/>
                <w:sz w:val="20"/>
              </w:rPr>
            </w:pPr>
            <w:r>
              <w:rPr>
                <w:color w:val="000000"/>
                <w:sz w:val="20"/>
              </w:rPr>
              <w:t>Į sąvartynus patenkančių komunalinių biologiškai skaidžių atliekų kiekio sumažėjimas, lyginant su 2000 metais</w:t>
            </w:r>
          </w:p>
        </w:tc>
        <w:tc>
          <w:tcPr>
            <w:tcW w:w="2897" w:type="dxa"/>
          </w:tcPr>
          <w:p>
            <w:pPr>
              <w:tabs>
                <w:tab w:val="left" w:pos="720"/>
              </w:tabs>
              <w:rPr>
                <w:color w:val="000000"/>
                <w:sz w:val="20"/>
              </w:rPr>
            </w:pPr>
            <w:r>
              <w:rPr>
                <w:color w:val="000000"/>
                <w:sz w:val="20"/>
              </w:rPr>
              <w:t xml:space="preserve">Biologiškai skaidžios atliekos – </w:t>
            </w:r>
            <w:r>
              <w:rPr>
                <w:sz w:val="20"/>
              </w:rPr>
              <w:t xml:space="preserve">bet kokios atliekos, kurios gali skaidytis ar būti suskaidytos aerobiniu ar anaerobiniu būdu. </w:t>
            </w:r>
            <w:r>
              <w:rPr>
                <w:color w:val="000000"/>
                <w:sz w:val="20"/>
              </w:rPr>
              <w:t xml:space="preserve">Sąvartynas – atliekų šalinimo įrenginys </w:t>
            </w:r>
            <w:r>
              <w:rPr>
                <w:sz w:val="20"/>
              </w:rPr>
              <w:t>ant žemės ar žemėje (po žeme</w:t>
            </w:r>
            <w:r>
              <w:rPr>
                <w:color w:val="000000"/>
                <w:sz w:val="20"/>
              </w:rPr>
              <w:t xml:space="preserve">) (LR atliekų tvarkymo </w:t>
            </w:r>
            <w:r>
              <w:rPr>
                <w:color w:val="000000"/>
                <w:spacing w:val="-6"/>
                <w:sz w:val="20"/>
              </w:rPr>
              <w:t xml:space="preserve">įstatymas; Žin., 1998, Nr. </w:t>
            </w:r>
            <w:hyperlink r:id="rId30" w:tgtFrame="_blank" w:history="1">
              <w:r>
                <w:rPr>
                  <w:color w:val="0000FF" w:themeColor="hyperlink"/>
                  <w:spacing w:val="-6"/>
                  <w:sz w:val="20"/>
                  <w:u w:val="single"/>
                </w:rPr>
                <w:t>61-1726</w:t>
              </w:r>
            </w:hyperlink>
            <w:r>
              <w:rPr>
                <w:color w:val="000000"/>
                <w:spacing w:val="-6"/>
                <w:sz w:val="20"/>
              </w:rPr>
              <w:t xml:space="preserve">; 2002, Nr. </w:t>
            </w:r>
            <w:hyperlink r:id="rId31" w:tgtFrame="_blank" w:history="1">
              <w:r>
                <w:rPr>
                  <w:color w:val="0000FF" w:themeColor="hyperlink"/>
                  <w:spacing w:val="-6"/>
                  <w:sz w:val="20"/>
                  <w:u w:val="single"/>
                </w:rPr>
                <w:t>72-3016</w:t>
              </w:r>
            </w:hyperlink>
            <w:r>
              <w:rPr>
                <w:color w:val="000000"/>
                <w:spacing w:val="-6"/>
                <w:sz w:val="20"/>
              </w:rPr>
              <w:t>).</w:t>
            </w:r>
            <w:r>
              <w:rPr>
                <w:color w:val="000000"/>
                <w:sz w:val="20"/>
              </w:rPr>
              <w:t xml:space="preserve"> 2000 m. sąvartynuose pašalintų biologiškai skaidžių atliekų kiekis – 725 200 t (Žin., 2002, Nr. </w:t>
            </w:r>
            <w:hyperlink r:id="rId32" w:tgtFrame="_blank" w:history="1">
              <w:r>
                <w:rPr>
                  <w:color w:val="0000FF" w:themeColor="hyperlink"/>
                  <w:sz w:val="20"/>
                  <w:u w:val="single"/>
                </w:rPr>
                <w:t>40-1499</w:t>
              </w:r>
            </w:hyperlink>
            <w:r>
              <w:rPr>
                <w:color w:val="000000"/>
                <w:sz w:val="20"/>
              </w:rPr>
              <w:t xml:space="preserve">; 2007, Nr. </w:t>
            </w:r>
            <w:hyperlink r:id="rId33" w:tgtFrame="_blank" w:history="1">
              <w:r>
                <w:rPr>
                  <w:color w:val="0000FF" w:themeColor="hyperlink"/>
                  <w:sz w:val="20"/>
                  <w:u w:val="single"/>
                </w:rPr>
                <w:t>122-5003</w:t>
              </w:r>
            </w:hyperlink>
            <w:r>
              <w:rPr>
                <w:color w:val="000000"/>
                <w:sz w:val="20"/>
              </w:rPr>
              <w:t>)</w:t>
            </w:r>
          </w:p>
        </w:tc>
        <w:tc>
          <w:tcPr>
            <w:tcW w:w="2027" w:type="dxa"/>
          </w:tcPr>
          <w:p>
            <w:pPr>
              <w:tabs>
                <w:tab w:val="left" w:pos="720"/>
              </w:tabs>
              <w:rPr>
                <w:color w:val="000000"/>
                <w:sz w:val="20"/>
              </w:rPr>
            </w:pPr>
            <w:r>
              <w:rPr>
                <w:color w:val="000000"/>
                <w:sz w:val="20"/>
              </w:rPr>
              <w:t>Procentiniai punktai</w:t>
            </w:r>
          </w:p>
        </w:tc>
        <w:tc>
          <w:tcPr>
            <w:tcW w:w="2318" w:type="dxa"/>
          </w:tcPr>
          <w:p>
            <w:pPr>
              <w:tabs>
                <w:tab w:val="left" w:pos="720"/>
              </w:tabs>
              <w:rPr>
                <w:color w:val="000000"/>
                <w:sz w:val="20"/>
              </w:rPr>
            </w:pPr>
            <w:r>
              <w:rPr>
                <w:color w:val="000000"/>
                <w:sz w:val="20"/>
              </w:rPr>
              <w:t>Rodiklis skaičiuojamas du kartus per 2008–2015 laikotarpį taip: 2011 m. ar 2015 m. tyrimu nustatytas biologiškai skaidžių atliekų kiekis, tūkst. t X 100 proc. / 725 200 t</w:t>
            </w:r>
          </w:p>
        </w:tc>
        <w:tc>
          <w:tcPr>
            <w:tcW w:w="2173" w:type="dxa"/>
            <w:tcMar>
              <w:top w:w="28" w:type="dxa"/>
              <w:left w:w="57" w:type="dxa"/>
              <w:bottom w:w="28" w:type="dxa"/>
              <w:right w:w="57" w:type="dxa"/>
            </w:tcMar>
          </w:tcPr>
          <w:p>
            <w:pPr>
              <w:tabs>
                <w:tab w:val="left" w:pos="720"/>
              </w:tabs>
              <w:rPr>
                <w:color w:val="000000"/>
                <w:sz w:val="20"/>
              </w:rPr>
            </w:pPr>
            <w:r>
              <w:rPr>
                <w:sz w:val="20"/>
              </w:rPr>
              <w:t xml:space="preserve">Pirminiai šaltiniai: apklausų, tyrimų išvados / duomenys.  Antriniai šaltiniai: Veiksmų programų metinė įgyvendinimo ataskaita</w:t>
            </w:r>
          </w:p>
        </w:tc>
        <w:tc>
          <w:tcPr>
            <w:tcW w:w="1448" w:type="dxa"/>
          </w:tcPr>
          <w:p>
            <w:pPr>
              <w:rPr>
                <w:sz w:val="20"/>
              </w:rPr>
            </w:pPr>
            <w:r>
              <w:rPr>
                <w:sz w:val="20"/>
              </w:rPr>
              <w:t>Kas metus</w:t>
            </w:r>
          </w:p>
        </w:tc>
        <w:tc>
          <w:tcPr>
            <w:tcW w:w="1738" w:type="dxa"/>
          </w:tcPr>
          <w:p>
            <w:pPr>
              <w:rPr>
                <w:sz w:val="20"/>
              </w:rPr>
            </w:pPr>
            <w:r>
              <w:rPr>
                <w:sz w:val="20"/>
              </w:rPr>
              <w:t>Aplinkos ministerija</w:t>
            </w:r>
          </w:p>
        </w:tc>
      </w:tr>
      <w:tr>
        <w:trPr>
          <w:trHeight w:val="20"/>
        </w:trPr>
        <w:tc>
          <w:tcPr>
            <w:tcW w:w="2139" w:type="dxa"/>
            <w:tcMar>
              <w:top w:w="28" w:type="dxa"/>
              <w:left w:w="57" w:type="dxa"/>
              <w:bottom w:w="28" w:type="dxa"/>
              <w:right w:w="57" w:type="dxa"/>
            </w:tcMar>
          </w:tcPr>
          <w:p>
            <w:pPr>
              <w:tabs>
                <w:tab w:val="left" w:pos="720"/>
              </w:tabs>
              <w:rPr>
                <w:color w:val="000000"/>
                <w:sz w:val="20"/>
              </w:rPr>
            </w:pPr>
            <w:r>
              <w:rPr>
                <w:color w:val="000000"/>
                <w:sz w:val="20"/>
              </w:rPr>
              <w:t>Sukurti komunalinių atliekų perdirbimo ir (ar) kitokio panaudojimo pajėgumai</w:t>
            </w:r>
          </w:p>
        </w:tc>
        <w:tc>
          <w:tcPr>
            <w:tcW w:w="2897" w:type="dxa"/>
          </w:tcPr>
          <w:p>
            <w:pPr>
              <w:rPr>
                <w:sz w:val="20"/>
              </w:rPr>
            </w:pPr>
            <w:r>
              <w:rPr>
                <w:color w:val="000000"/>
                <w:sz w:val="20"/>
              </w:rPr>
              <w:t>Komunalinių atliekų perdirbimo ir (ar) kitokio panaudojimo pajėgumai sukurtais laikomi pasirašius darbų, prekių ar paslaugų priėmimo–perdavimo aktą (priklausomai nuo projekto veiklos)</w:t>
            </w:r>
          </w:p>
        </w:tc>
        <w:tc>
          <w:tcPr>
            <w:tcW w:w="2027" w:type="dxa"/>
          </w:tcPr>
          <w:p>
            <w:pPr>
              <w:tabs>
                <w:tab w:val="left" w:pos="720"/>
              </w:tabs>
              <w:rPr>
                <w:color w:val="000000"/>
                <w:sz w:val="20"/>
              </w:rPr>
            </w:pPr>
            <w:r>
              <w:rPr>
                <w:color w:val="000000"/>
                <w:sz w:val="20"/>
              </w:rPr>
              <w:t>Tonos per metus</w:t>
            </w:r>
          </w:p>
        </w:tc>
        <w:tc>
          <w:tcPr>
            <w:tcW w:w="2318" w:type="dxa"/>
          </w:tcPr>
          <w:p>
            <w:pPr>
              <w:tabs>
                <w:tab w:val="left" w:pos="720"/>
              </w:tabs>
              <w:rPr>
                <w:color w:val="000000"/>
                <w:sz w:val="20"/>
              </w:rPr>
            </w:pPr>
            <w:r>
              <w:rPr>
                <w:sz w:val="20"/>
              </w:rPr>
              <w:t>Skaičiuojama visų projektų sukurtų komunalinių atliekų perdirbimo ir (ar) kitokio panaudojimo pajėgumų tonomis suma per metus</w:t>
            </w:r>
          </w:p>
        </w:tc>
        <w:tc>
          <w:tcPr>
            <w:tcW w:w="2173" w:type="dxa"/>
            <w:tcMar>
              <w:top w:w="28" w:type="dxa"/>
              <w:left w:w="57" w:type="dxa"/>
              <w:bottom w:w="28" w:type="dxa"/>
              <w:right w:w="57" w:type="dxa"/>
            </w:tcMar>
          </w:tcPr>
          <w:p>
            <w:pPr>
              <w:tabs>
                <w:tab w:val="left" w:pos="720"/>
              </w:tabs>
              <w:rPr>
                <w:sz w:val="20"/>
              </w:rPr>
            </w:pPr>
            <w:r>
              <w:rPr>
                <w:sz w:val="20"/>
              </w:rPr>
              <w:t>Pirminiai šaltiniai: darbų, prekių, paslaugų priėmimo–perdavimo aktai.</w:t>
            </w:r>
          </w:p>
          <w:p>
            <w:pPr>
              <w:tabs>
                <w:tab w:val="left" w:pos="720"/>
              </w:tabs>
              <w:rPr>
                <w:sz w:val="20"/>
              </w:rPr>
            </w:pPr>
            <w:r>
              <w:rPr>
                <w:sz w:val="20"/>
              </w:rPr>
              <w:t>Antriniai šaltiniai: mokėjimo prašymai</w:t>
            </w:r>
          </w:p>
        </w:tc>
        <w:tc>
          <w:tcPr>
            <w:tcW w:w="1448" w:type="dxa"/>
          </w:tcPr>
          <w:p>
            <w:pPr>
              <w:rPr>
                <w:sz w:val="20"/>
              </w:rPr>
            </w:pPr>
            <w:r>
              <w:rPr>
                <w:sz w:val="20"/>
              </w:rPr>
              <w:t>Kas ketvirtį su mokėjimo prašymu</w:t>
            </w:r>
          </w:p>
        </w:tc>
        <w:tc>
          <w:tcPr>
            <w:tcW w:w="1738" w:type="dxa"/>
          </w:tcPr>
          <w:p>
            <w:pPr>
              <w:rPr>
                <w:sz w:val="20"/>
              </w:rPr>
            </w:pPr>
            <w:r>
              <w:rPr>
                <w:sz w:val="20"/>
              </w:rPr>
              <w:t>Projekto vykdytojas</w:t>
            </w:r>
          </w:p>
        </w:tc>
      </w:tr>
      <w:tr>
        <w:trPr>
          <w:trHeight w:val="20"/>
        </w:trPr>
        <w:tc>
          <w:tcPr>
            <w:tcW w:w="2139" w:type="dxa"/>
            <w:tcMar>
              <w:top w:w="28" w:type="dxa"/>
              <w:left w:w="57" w:type="dxa"/>
              <w:bottom w:w="28" w:type="dxa"/>
              <w:right w:w="57" w:type="dxa"/>
            </w:tcMar>
          </w:tcPr>
          <w:p>
            <w:pPr>
              <w:tabs>
                <w:tab w:val="left" w:pos="720"/>
              </w:tabs>
              <w:rPr>
                <w:color w:val="000000"/>
                <w:sz w:val="20"/>
              </w:rPr>
            </w:pPr>
            <w:r>
              <w:rPr>
                <w:color w:val="000000"/>
                <w:sz w:val="20"/>
                <w:lang w:eastAsia="lt-LT"/>
              </w:rPr>
              <w:t>Individualiose valdose pastatyti biologiškai skaidžių atliekų ir antrinių žaliavų konteineriai</w:t>
            </w:r>
          </w:p>
        </w:tc>
        <w:tc>
          <w:tcPr>
            <w:tcW w:w="2897" w:type="dxa"/>
          </w:tcPr>
          <w:p>
            <w:pPr>
              <w:rPr>
                <w:color w:val="000000"/>
                <w:sz w:val="20"/>
              </w:rPr>
            </w:pPr>
            <w:r>
              <w:rPr>
                <w:color w:val="000000"/>
                <w:sz w:val="20"/>
                <w:lang w:eastAsia="lt-LT"/>
              </w:rPr>
              <w:t xml:space="preserve">Rodiklis laikomas pasiektu pasirašius konteinerių perdavimo sutartis su individualių namų valdų savininkais </w:t>
            </w:r>
          </w:p>
        </w:tc>
        <w:tc>
          <w:tcPr>
            <w:tcW w:w="2027" w:type="dxa"/>
          </w:tcPr>
          <w:p>
            <w:pPr>
              <w:tabs>
                <w:tab w:val="left" w:pos="720"/>
              </w:tabs>
              <w:rPr>
                <w:color w:val="000000"/>
                <w:sz w:val="20"/>
              </w:rPr>
            </w:pPr>
            <w:r>
              <w:rPr>
                <w:color w:val="000000"/>
                <w:sz w:val="20"/>
                <w:lang w:eastAsia="lt-LT"/>
              </w:rPr>
              <w:t>Skaičius</w:t>
            </w:r>
          </w:p>
        </w:tc>
        <w:tc>
          <w:tcPr>
            <w:tcW w:w="2318" w:type="dxa"/>
          </w:tcPr>
          <w:p>
            <w:pPr>
              <w:tabs>
                <w:tab w:val="left" w:pos="720"/>
              </w:tabs>
              <w:rPr>
                <w:sz w:val="20"/>
              </w:rPr>
            </w:pPr>
            <w:r>
              <w:rPr>
                <w:color w:val="000000"/>
                <w:sz w:val="20"/>
                <w:lang w:eastAsia="lt-LT"/>
              </w:rPr>
              <w:t>Skaičiuojama visų projektų individualiose namų valdose pastatytų biologiškai skaidžių atliekų ir antrinių žaliavų konteinerių suma</w:t>
            </w:r>
          </w:p>
        </w:tc>
        <w:tc>
          <w:tcPr>
            <w:tcW w:w="2173" w:type="dxa"/>
            <w:tcMar>
              <w:top w:w="28" w:type="dxa"/>
              <w:left w:w="57" w:type="dxa"/>
              <w:bottom w:w="28" w:type="dxa"/>
              <w:right w:w="57" w:type="dxa"/>
            </w:tcMar>
          </w:tcPr>
          <w:p>
            <w:pPr>
              <w:tabs>
                <w:tab w:val="left" w:pos="720"/>
              </w:tabs>
              <w:rPr>
                <w:sz w:val="20"/>
              </w:rPr>
            </w:pPr>
            <w:r>
              <w:rPr>
                <w:color w:val="000000"/>
                <w:sz w:val="20"/>
                <w:lang w:eastAsia="lt-LT"/>
              </w:rPr>
              <w:t>Pirminiai šaltiniai: sutartys su individualių namų valdų savininkais. Antriniai šaltiniai: darbų, prekių, paslaugų priėmimo-perdavimo aktai, mokėjimo prašymai</w:t>
            </w:r>
          </w:p>
        </w:tc>
        <w:tc>
          <w:tcPr>
            <w:tcW w:w="1448" w:type="dxa"/>
          </w:tcPr>
          <w:p>
            <w:pPr>
              <w:rPr>
                <w:sz w:val="20"/>
              </w:rPr>
            </w:pPr>
            <w:r>
              <w:rPr>
                <w:color w:val="000000"/>
                <w:sz w:val="20"/>
                <w:lang w:eastAsia="lt-LT"/>
              </w:rPr>
              <w:t>Kas ketvirtį su mokėjimo prašymu</w:t>
            </w:r>
          </w:p>
        </w:tc>
        <w:tc>
          <w:tcPr>
            <w:tcW w:w="1738" w:type="dxa"/>
          </w:tcPr>
          <w:p>
            <w:pPr>
              <w:rPr>
                <w:sz w:val="20"/>
              </w:rPr>
            </w:pPr>
            <w:r>
              <w:rPr>
                <w:color w:val="000000"/>
                <w:sz w:val="20"/>
                <w:lang w:eastAsia="lt-LT"/>
              </w:rPr>
              <w:t>Projekto vykdytojas</w:t>
            </w:r>
          </w:p>
        </w:tc>
      </w:tr>
    </w:tbl>
    <w:p>
      <w:pPr>
        <w:widowControl w:val="0"/>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04795698B4">
        <w:r w:rsidRPr="00532B9F">
          <w:rPr>
            <w:rFonts w:ascii="Times New Roman" w:eastAsia="MS Mincho" w:hAnsi="Times New Roman"/>
            <w:sz w:val="20"/>
            <w:i/>
            <w:iCs/>
            <w:color w:val="0000FF" w:themeColor="hyperlink"/>
            <w:u w:val="single"/>
          </w:rPr>
          <w:t>D1-192</w:t>
        </w:r>
      </w:fldSimple>
      <w:r>
        <w:rPr>
          <w:rFonts w:ascii="Times New Roman" w:eastAsia="MS Mincho" w:hAnsi="Times New Roman"/>
          <w:sz w:val="20"/>
          <w:i/>
          <w:iCs/>
        </w:rPr>
        <w:t>,
2012-03-01,
Žin., 2012, Nr.
30-1413 (2012-03-10), i. k. 112301MISAK00D1-192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4E5616BC43">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2013-12-16,
Žin., 2013, Nr.
131-6706 (2013-12-20), i. k. 113301MISAK00D1-930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188595CFB09">
        <w:r w:rsidRPr="00532B9F">
          <w:rPr>
            <w:rFonts w:ascii="Times New Roman" w:eastAsia="MS Mincho" w:hAnsi="Times New Roman"/>
            <w:sz w:val="20"/>
            <w:iCs/>
            <w:color w:val="0000FF" w:themeColor="hyperlink"/>
            <w:u w:val="single"/>
          </w:rPr>
          <w:t>D1-845</w:t>
        </w:r>
      </w:fldSimple>
      <w:r>
        <w:rPr>
          <w:rFonts w:ascii="Times New Roman" w:eastAsia="MS Mincho" w:hAnsi="Times New Roman"/>
          <w:sz w:val="20"/>
          <w:iCs/>
        </w:rPr>
        <w:t>,
2010-10-06,
Žin., 2010, Nr.
124-6335 (2010-10-21); Žin., 2010, Nr.
125-0 (2010-10-23), i. k. 110301MISAK00D1-845                </w:t>
      </w:r>
    </w:p>
    <w:p>
      <w:pPr>
        <w:jc w:val="both"/>
        <w:rPr>
          <w:rFonts w:ascii="Times New Roman" w:hAnsi="Times New Roman"/>
        </w:rPr>
      </w:pPr>
      <w:r>
        <w:rPr>
          <w:rFonts w:ascii="Times New Roman" w:hAnsi="Times New Roman"/>
          <w:sz w:val="20"/>
        </w:rPr>
        <w:t>Dėl Lietuvos Respublikos aplinkos ministro 2010 m. kovo 29 d. įsakymo Nr. D1-248 "Dėl Priemonės "Atliekų tvarkymo sistemos sukūrimas" veiklos "Komunalinių atliekų tvarkymo infrastruktūros plėtra, sukuriant biologiškai skaidžių atliekų infrastruktūrą ir (ar) atliekų naudojimo energijai gauti pajėgumus"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AC9D9A46035">
        <w:r w:rsidRPr="00532B9F">
          <w:rPr>
            <w:rFonts w:ascii="Times New Roman" w:eastAsia="MS Mincho" w:hAnsi="Times New Roman"/>
            <w:sz w:val="20"/>
            <w:iCs/>
            <w:color w:val="0000FF" w:themeColor="hyperlink"/>
            <w:u w:val="single"/>
          </w:rPr>
          <w:t>D1-1001</w:t>
        </w:r>
      </w:fldSimple>
      <w:r>
        <w:rPr>
          <w:rFonts w:ascii="Times New Roman" w:eastAsia="MS Mincho" w:hAnsi="Times New Roman"/>
          <w:sz w:val="20"/>
          <w:iCs/>
        </w:rPr>
        <w:t>,
2010-12-15,
Žin., 2010, Nr.
152-7751 (2010-12-23), i. k. 110301MISAK0D1-1001                </w:t>
      </w:r>
    </w:p>
    <w:p>
      <w:pPr>
        <w:jc w:val="both"/>
        <w:rPr>
          <w:rFonts w:ascii="Times New Roman" w:hAnsi="Times New Roman"/>
        </w:rPr>
      </w:pPr>
      <w:r>
        <w:rPr>
          <w:rFonts w:ascii="Times New Roman" w:hAnsi="Times New Roman"/>
          <w:sz w:val="20"/>
        </w:rPr>
        <w:t>Dėl Lietuvos Respublikos aplinkos ministro 2010 m. kovo 29 d. įsakymo Nr. D1-248 "Dėl priemonės Nr. VP3-3.2-AM-01-V "Atliekų tvarkymo sistemos sukūrimas" veiklos "Komunalinių atliekų tvarkymo infrastruktūros plėtra, sukuriant biologiškai skaidžių atliekų tvarkymo infrastruktūrą ir (ar) atliekų naudojimo energijai gauti pajėgumus" projektų finansavimo sąlygų aprašopatvirtinimo"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04795698B4">
        <w:r w:rsidRPr="00532B9F">
          <w:rPr>
            <w:rFonts w:ascii="Times New Roman" w:eastAsia="MS Mincho" w:hAnsi="Times New Roman"/>
            <w:sz w:val="20"/>
            <w:iCs/>
            <w:color w:val="0000FF" w:themeColor="hyperlink"/>
            <w:u w:val="single"/>
          </w:rPr>
          <w:t>D1-192</w:t>
        </w:r>
      </w:fldSimple>
      <w:r>
        <w:rPr>
          <w:rFonts w:ascii="Times New Roman" w:eastAsia="MS Mincho" w:hAnsi="Times New Roman"/>
          <w:sz w:val="20"/>
          <w:iCs/>
        </w:rPr>
        <w:t>,
2012-03-01,
Žin., 2012, Nr.
30-1413 (2012-03-10), i. k. 112301MISAK00D1-192                </w:t>
      </w:r>
    </w:p>
    <w:p>
      <w:pPr>
        <w:jc w:val="both"/>
        <w:rPr>
          <w:rFonts w:ascii="Times New Roman" w:hAnsi="Times New Roman"/>
        </w:rPr>
      </w:pPr>
      <w:r>
        <w:rPr>
          <w:rFonts w:ascii="Times New Roman" w:hAnsi="Times New Roman"/>
          <w:sz w:val="20"/>
        </w:rPr>
        <w:t>Dėl Lietuvos Respublikos aplinkos ministro 2010 m. kovo 29 d. įsakymo Nr. D1-248 „Dėl Priemonės „Atliekų tvarkymo sistemos sukūrimas“ veiklos „Komunalinių atliekų tvarkymo infrastruktūros plėtra, sukuriant biologiškai skaidžių atliekų tvarkymo infrastruktūrą ir (ar) atliekų naudojimo energijai gauti pajėgumus“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0E4AC32735">
        <w:r w:rsidRPr="00532B9F">
          <w:rPr>
            <w:rFonts w:ascii="Times New Roman" w:eastAsia="MS Mincho" w:hAnsi="Times New Roman"/>
            <w:sz w:val="20"/>
            <w:iCs/>
            <w:color w:val="0000FF" w:themeColor="hyperlink"/>
            <w:u w:val="single"/>
          </w:rPr>
          <w:t>D1-59</w:t>
        </w:r>
      </w:fldSimple>
      <w:r>
        <w:rPr>
          <w:rFonts w:ascii="Times New Roman" w:eastAsia="MS Mincho" w:hAnsi="Times New Roman"/>
          <w:sz w:val="20"/>
          <w:iCs/>
        </w:rPr>
        <w:t>,
2013-01-29,
Žin., 2013, Nr.
14-680 (2013-02-07), i. k. 113301MISAK000D1-59                </w:t>
      </w:r>
    </w:p>
    <w:p>
      <w:pPr>
        <w:jc w:val="both"/>
        <w:rPr>
          <w:rFonts w:ascii="Times New Roman" w:hAnsi="Times New Roman"/>
        </w:rPr>
      </w:pPr>
      <w:r>
        <w:rPr>
          <w:rFonts w:ascii="Times New Roman" w:hAnsi="Times New Roman"/>
          <w:sz w:val="20"/>
        </w:rPr>
        <w:t>Dėl Lietuvos Respublikos aplinkos ministro 2010 m. kovo 29 d. įsakymo Nr. D1-248 "Dėl VP3-3.2-AM-01-V priemonės "Atliekų tvarkymo sistemos sukūrimas" veiklos "Komunalinių atliekų tvarkymo sistemų infrastruktūros plėtra – biologiškai skaidžių atliekų tvarkymo sistemų infrastruktūros sukūrimas"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72ABCAACDE">
        <w:r w:rsidRPr="00532B9F">
          <w:rPr>
            <w:rFonts w:ascii="Times New Roman" w:eastAsia="MS Mincho" w:hAnsi="Times New Roman"/>
            <w:sz w:val="20"/>
            <w:iCs/>
            <w:color w:val="0000FF" w:themeColor="hyperlink"/>
            <w:u w:val="single"/>
          </w:rPr>
          <w:t>D1-157</w:t>
        </w:r>
      </w:fldSimple>
      <w:r>
        <w:rPr>
          <w:rFonts w:ascii="Times New Roman" w:eastAsia="MS Mincho" w:hAnsi="Times New Roman"/>
          <w:sz w:val="20"/>
          <w:iCs/>
        </w:rPr>
        <w:t>,
2013-02-28,
Žin., 2013, Nr.
23-1130 (2013-03-02), i. k. 113301MISAK00D1-157                </w:t>
      </w:r>
    </w:p>
    <w:p>
      <w:pPr>
        <w:jc w:val="both"/>
        <w:rPr>
          <w:rFonts w:ascii="Times New Roman" w:hAnsi="Times New Roman"/>
        </w:rPr>
      </w:pPr>
      <w:r>
        <w:rPr>
          <w:rFonts w:ascii="Times New Roman" w:hAnsi="Times New Roman"/>
          <w:sz w:val="20"/>
        </w:rPr>
        <w:t>Dėl Lietuvos Respublikos aplinkos ministro 2010 m. kovo 29 d. įsakymo Nr. D1-248 "Dėl VP3-3.2-AM-01-V priemonės "Atliekų tvarkymo sistemos sukūrimas" veiklos "Komunalinių atliekų tvarkymo sistemų infrastruktūros plėtra – biologiškai skaidžių atliekų tvarkymo sistemų infrastruktūros sukūrimas"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4E5616BC43">
        <w:r w:rsidRPr="00532B9F">
          <w:rPr>
            <w:rFonts w:ascii="Times New Roman" w:eastAsia="MS Mincho" w:hAnsi="Times New Roman"/>
            <w:sz w:val="20"/>
            <w:iCs/>
            <w:color w:val="0000FF" w:themeColor="hyperlink"/>
            <w:u w:val="single"/>
          </w:rPr>
          <w:t>D1-930</w:t>
        </w:r>
      </w:fldSimple>
      <w:r>
        <w:rPr>
          <w:rFonts w:ascii="Times New Roman" w:eastAsia="MS Mincho" w:hAnsi="Times New Roman"/>
          <w:sz w:val="20"/>
          <w:iCs/>
        </w:rPr>
        <w:t>,
2013-12-16,
Žin., 2013, Nr.
131-6706 (2013-12-20), i. k. 113301MISAK00D1-930                </w:t>
      </w:r>
    </w:p>
    <w:p>
      <w:pPr>
        <w:jc w:val="both"/>
        <w:rPr>
          <w:rFonts w:ascii="Times New Roman" w:hAnsi="Times New Roman"/>
        </w:rPr>
      </w:pPr>
      <w:r>
        <w:rPr>
          <w:rFonts w:ascii="Times New Roman" w:hAnsi="Times New Roman"/>
          <w:sz w:val="20"/>
        </w:rPr>
        <w:t>Dėl Lietuvos Respublikos aplinkos ministro 2010 m. kovo 29 d. įsakymo Nr. D1-248 "Dėl VP3-3.2-AM-01-V priemonės "Atliekų tvarkymo sistemos sukūrimas" veiklos "Komunalinių atliekų tvarkymo sistemų infrastruktūros plėtra – biologiškai skaidžių atliekų tvarkymo sistemų infrastruktūros sukūrimas"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f256880586111e5825682aa0fc6b8d5">
        <w:r w:rsidRPr="00532B9F">
          <w:rPr>
            <w:rFonts w:ascii="Times New Roman" w:eastAsia="MS Mincho" w:hAnsi="Times New Roman"/>
            <w:sz w:val="20"/>
            <w:iCs/>
            <w:color w:val="0000FF" w:themeColor="hyperlink"/>
            <w:u w:val="single"/>
          </w:rPr>
          <w:t>D1-644</w:t>
        </w:r>
      </w:fldSimple>
      <w:r>
        <w:rPr>
          <w:rFonts w:ascii="Times New Roman" w:eastAsia="MS Mincho" w:hAnsi="Times New Roman"/>
          <w:sz w:val="20"/>
          <w:iCs/>
        </w:rPr>
        <w:t>,
2015-09-10,
paskelbta TAR 2015-09-11, i. k. 2015-13764                </w:t>
      </w:r>
    </w:p>
    <w:p>
      <w:pPr>
        <w:jc w:val="both"/>
        <w:rPr>
          <w:rFonts w:ascii="Times New Roman" w:hAnsi="Times New Roman"/>
        </w:rPr>
      </w:pPr>
      <w:r>
        <w:rPr>
          <w:rFonts w:ascii="Times New Roman" w:hAnsi="Times New Roman"/>
          <w:sz w:val="20"/>
        </w:rPr>
        <w:t>Dėl Lietuvos Respublikos aplinkos ministro 2010 m. kovo 29 d. įsakymo Nr. D1-248 „Dėl VP3-3.2-AM-01-V priemonės „Atliekų tvarkymo sistemos sukūrimas“ veiklos „Komunalinių atliekų tvarkymo sistemų infrastruktūros plėtra – biologiškai skaidžių atliekų tvarkymo ir antrinių žaliavų surinkimo infrastruktūros sukūrimas“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82b14068e111e58e1ab2c84776483b">
        <w:r w:rsidRPr="00532B9F">
          <w:rPr>
            <w:rFonts w:ascii="Times New Roman" w:eastAsia="MS Mincho" w:hAnsi="Times New Roman"/>
            <w:sz w:val="20"/>
            <w:iCs/>
            <w:color w:val="0000FF" w:themeColor="hyperlink"/>
            <w:u w:val="single"/>
          </w:rPr>
          <w:t>D1-698</w:t>
        </w:r>
      </w:fldSimple>
      <w:r>
        <w:rPr>
          <w:rFonts w:ascii="Times New Roman" w:eastAsia="MS Mincho" w:hAnsi="Times New Roman"/>
          <w:sz w:val="20"/>
          <w:iCs/>
        </w:rPr>
        <w:t>,
2015-10-02,
paskelbta TAR 2015-10-02, i. k. 2015-14689                </w:t>
      </w:r>
    </w:p>
    <w:p>
      <w:pPr>
        <w:jc w:val="both"/>
        <w:rPr>
          <w:rFonts w:ascii="Times New Roman" w:hAnsi="Times New Roman"/>
        </w:rPr>
      </w:pPr>
      <w:r>
        <w:rPr>
          <w:rFonts w:ascii="Times New Roman" w:hAnsi="Times New Roman"/>
          <w:sz w:val="20"/>
        </w:rPr>
        <w:t>Dėl Lietuvos Respublikos aplinkos ministro 2010 m. kovo 29 d. įsakymo Nr. D1-248 „Dėl VP3-3.2-AM-01-V priemonės „Atliekų tvarkymo sistemos sukūrimas“ veiklos „Komunalinių atliekų tvarkymo sistemų infrastruktūros plėtra – biologiškai skaidžių atliekų tvarkymo ir antrinių žaliavų surinkimo infrastruktūros sukūrimas“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7dcf690c05a11e688d0ed775a2e782a">
        <w:r w:rsidRPr="00532B9F">
          <w:rPr>
            <w:rFonts w:ascii="Times New Roman" w:eastAsia="MS Mincho" w:hAnsi="Times New Roman"/>
            <w:sz w:val="20"/>
            <w:iCs/>
            <w:color w:val="0000FF" w:themeColor="hyperlink"/>
            <w:u w:val="single"/>
          </w:rPr>
          <w:t>D1-869</w:t>
        </w:r>
      </w:fldSimple>
      <w:r>
        <w:rPr>
          <w:rFonts w:ascii="Times New Roman" w:eastAsia="MS Mincho" w:hAnsi="Times New Roman"/>
          <w:sz w:val="20"/>
          <w:iCs/>
        </w:rPr>
        <w:t>,
2016-12-12,
paskelbta TAR 2016-12-12, i. k. 2016-28706                </w:t>
      </w:r>
    </w:p>
    <w:p>
      <w:pPr>
        <w:jc w:val="both"/>
        <w:rPr>
          <w:rFonts w:ascii="Times New Roman" w:hAnsi="Times New Roman"/>
        </w:rPr>
      </w:pPr>
      <w:r>
        <w:rPr>
          <w:rFonts w:ascii="Times New Roman" w:hAnsi="Times New Roman"/>
          <w:sz w:val="20"/>
        </w:rPr>
        <w:t>Dėl Lietuvos Respublikos aplinkos ministro 2010 m. kovo 29 d. įsakymo Nr. D1-248 „Dėl VP3-3.2-AM-01-V priemonės „Atliekų tvarkymo sistemos sukūrimas“ veiklos „Komunalinių atliekų tvarkymo sistemų infrastruktūros plėtra – biologiškai skaidžių atliekų tvarkymo ir antrinių žaliavų surinkimo infrastruktūros sukūrimas“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dbaa180566711e7846ef01bfffb9b64">
        <w:r w:rsidRPr="00532B9F">
          <w:rPr>
            <w:rFonts w:ascii="Times New Roman" w:eastAsia="MS Mincho" w:hAnsi="Times New Roman"/>
            <w:sz w:val="20"/>
            <w:iCs/>
            <w:color w:val="0000FF" w:themeColor="hyperlink"/>
            <w:u w:val="single"/>
          </w:rPr>
          <w:t>D1-529</w:t>
        </w:r>
      </w:fldSimple>
      <w:r>
        <w:rPr>
          <w:rFonts w:ascii="Times New Roman" w:eastAsia="MS Mincho" w:hAnsi="Times New Roman"/>
          <w:sz w:val="20"/>
          <w:iCs/>
        </w:rPr>
        <w:t>,
2017-06-21,
paskelbta TAR 2017-06-21, i. k. 2017-10373                </w:t>
      </w:r>
    </w:p>
    <w:p>
      <w:pPr>
        <w:jc w:val="both"/>
        <w:rPr>
          <w:rFonts w:ascii="Times New Roman" w:hAnsi="Times New Roman"/>
        </w:rPr>
      </w:pPr>
      <w:r>
        <w:rPr>
          <w:rFonts w:ascii="Times New Roman" w:hAnsi="Times New Roman"/>
          <w:sz w:val="20"/>
        </w:rPr>
        <w:t>Dėl Lietuvos Respublikos aplinkos ministro 2010 m. kovo 29 d. įsakymo Nr. D1-248 „Dėl VP3-3.2-AM-01-V priemonės „Atliekų tvarkymo sistemos sukūrimas“ veiklos „Komunalinių atliekų tvarkymo sistemų infrastruktūros plėtra – biologiškai skaidžių atliekų tvarkymo ir antrinių žaliavų surinkimo infrastruktūros sukūrimas“ projektų finansavimo sąlygų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Palemona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E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02BA76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2C314E38AAA6"/>
  <Relationship Id="rId12" Type="http://schemas.openxmlformats.org/officeDocument/2006/relationships/hyperlink" TargetMode="External" Target="https://www.e-tar.lt/portal/lt/legalAct/TAR.1A75EB4857A2"/>
  <Relationship Id="rId13" Type="http://schemas.openxmlformats.org/officeDocument/2006/relationships/image" Target="media/image1.emf"/>
  <Relationship Id="rId14" Type="http://schemas.openxmlformats.org/officeDocument/2006/relationships/image" Target="media/image3.emf"/>
  <Relationship Id="rId15" Type="http://schemas.openxmlformats.org/officeDocument/2006/relationships/hyperlink" TargetMode="External" Target="https://www.e-tar.lt/portal/lt/legalAct/TAR.0539E2FEB29E"/>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12.xml"/>
  <Relationship Id="rId21" Type="http://schemas.openxmlformats.org/officeDocument/2006/relationships/footer" Target="footer12.xml"/>
  <Relationship Id="rId22" Type="http://schemas.openxmlformats.org/officeDocument/2006/relationships/image" Target="media/image4.emf"/>
  <Relationship Id="rId23" Type="http://schemas.openxmlformats.org/officeDocument/2006/relationships/hyperlink" TargetMode="External" Target="https://www.e-tar.lt/portal/lt/legalAct/TAR.C54AFFAA7622"/>
  <Relationship Id="rId24" Type="http://schemas.openxmlformats.org/officeDocument/2006/relationships/hyperlink" TargetMode="External" Target="https://www.e-tar.lt/portal/lt/legalAct/TAR.C0DE35FFA738"/>
  <Relationship Id="rId25" Type="http://schemas.openxmlformats.org/officeDocument/2006/relationships/hyperlink" TargetMode="External" Target="https://www.e-tar.lt/portal/lt/legalAct/TAR.0539E2FEB29E"/>
  <Relationship Id="rId26" Type="http://schemas.openxmlformats.org/officeDocument/2006/relationships/hyperlink" TargetMode="External" Target="https://www.e-tar.lt/portal/lt/legalAct/TAR.31B97FA44915"/>
  <Relationship Id="rId27" Type="http://schemas.openxmlformats.org/officeDocument/2006/relationships/hyperlink" TargetMode="External" Target="https://www.e-tar.lt/portal/lt/legalAct/TAR.AD901DBFF0F5"/>
  <Relationship Id="rId28" Type="http://schemas.openxmlformats.org/officeDocument/2006/relationships/image" Target="media/image5.emf"/>
  <Relationship Id="rId29" Type="http://schemas.openxmlformats.org/officeDocument/2006/relationships/image" Target="media/image6.emf"/>
  <Relationship Id="rId3" Type="http://schemas.openxmlformats.org/officeDocument/2006/relationships/footnotes" Target="footnotes.xml"/>
  <Relationship Id="rId30" Type="http://schemas.openxmlformats.org/officeDocument/2006/relationships/hyperlink" TargetMode="External" Target="https://www.e-tar.lt/portal/lt/legalAct/TAR.8D38517814F1"/>
  <Relationship Id="rId31" Type="http://schemas.openxmlformats.org/officeDocument/2006/relationships/hyperlink" TargetMode="External" Target="https://www.e-tar.lt/portal/lt/legalAct/TAR.4D5E88FF9E5A"/>
  <Relationship Id="rId32" Type="http://schemas.openxmlformats.org/officeDocument/2006/relationships/hyperlink" TargetMode="External" Target="https://www.e-tar.lt/portal/lt/legalAct/TAR.9945210D6571"/>
  <Relationship Id="rId33" Type="http://schemas.openxmlformats.org/officeDocument/2006/relationships/hyperlink" TargetMode="External" Target="https://www.e-tar.lt/portal/lt/legalAct/TAR.D6E09DE0D6BF"/>
  <Relationship Id="rId34" Type="http://schemas.openxmlformats.org/officeDocument/2006/relationships/hyperlink" TargetMode="External" Target="https://www.e-tar.lt/portal/lt/legalAct/TAR.003203091F72"/>
  <Relationship Id="rId35" Type="http://schemas.openxmlformats.org/officeDocument/2006/relationships/hyperlink" TargetMode="External" Target="https://www.e-tar.lt/portal/lt/legalAct/TAR.AD901DBFF0F5"/>
  <Relationship Id="rId36" Type="http://schemas.openxmlformats.org/officeDocument/2006/relationships/hyperlink" TargetMode="External" Target="https://www.e-tar.lt/portal/lt/legalAct/TAR.2C314E38AAA6"/>
  <Relationship Id="rId37" Type="http://schemas.openxmlformats.org/officeDocument/2006/relationships/hyperlink" TargetMode="External" Target="https://www.e-tar.lt/portal/lt/legalAct/TAR.B2C4287B0BDD"/>
  <Relationship Id="rId38" Type="http://schemas.openxmlformats.org/officeDocument/2006/relationships/hyperlink" TargetMode="External" Target="https://www.e-tar.lt/portal/lt/legalAct/TAR.ACEDA28DBDD1"/>
  <Relationship Id="rId39" Type="http://schemas.openxmlformats.org/officeDocument/2006/relationships/hyperlink" TargetMode="External" Target="https://www.e-tar.lt/portal/lt/legalAct/TAR.8D38517814F1"/>
  <Relationship Id="rId4" Type="http://schemas.openxmlformats.org/officeDocument/2006/relationships/settings" Target="settings.xml"/>
  <Relationship Id="rId40" Type="http://schemas.openxmlformats.org/officeDocument/2006/relationships/hyperlink" TargetMode="External" Target="https://www.e-tar.lt/portal/lt/legalAct/TAR.4D5E88FF9E5A"/>
  <Relationship Id="rId41" Type="http://schemas.openxmlformats.org/officeDocument/2006/relationships/hyperlink" TargetMode="External" Target="https://www.e-tar.lt/portal/lt/legalAct/TAR.6A449FCC534B"/>
  <Relationship Id="rId42" Type="http://schemas.openxmlformats.org/officeDocument/2006/relationships/hyperlink" TargetMode="External" Target="https://www.e-tar.lt/portal/lt/legalAct/TAR.5947BABF19A2"/>
  <Relationship Id="rId43" Type="http://schemas.openxmlformats.org/officeDocument/2006/relationships/hyperlink" TargetMode="External" Target="https://www.e-tar.lt/portal/lt/legalAct/TAR.C54AFFAA7622"/>
  <Relationship Id="rId44" Type="http://schemas.openxmlformats.org/officeDocument/2006/relationships/hyperlink" TargetMode="External" Target="https://www.e-tar.lt/portal/lt/legalAct/TAR.C0DE35FFA738"/>
  <Relationship Id="rId45" Type="http://schemas.openxmlformats.org/officeDocument/2006/relationships/hyperlink" TargetMode="External" Target="https://www.e-tar.lt/portal/lt/legalAct/TAR.C7E57DF3CEC5"/>
  <Relationship Id="rId46" Type="http://schemas.openxmlformats.org/officeDocument/2006/relationships/hyperlink" TargetMode="External" Target="https://www.e-tar.lt/portal/lt/legalAct/TAR.8A39C83848CB"/>
  <Relationship Id="rId47" Type="http://schemas.openxmlformats.org/officeDocument/2006/relationships/hyperlink" TargetMode="External" Target="https://www.e-tar.lt/portal/lt/legalAct/TAR.EECA40CA2BED"/>
  <Relationship Id="rId48" Type="http://schemas.openxmlformats.org/officeDocument/2006/relationships/hyperlink" TargetMode="External" Target="https://www.e-tar.lt/portal/lt/legalAct/TAR.C6F0D28B6744"/>
  <Relationship Id="rId49" Type="http://schemas.openxmlformats.org/officeDocument/2006/relationships/hyperlink" TargetMode="External" Target="https://www.e-tar.lt/portal/lt/legalAct/TAR.ACEDA28DBDD1"/>
  <Relationship Id="rId5" Type="http://schemas.openxmlformats.org/officeDocument/2006/relationships/styles" Target="styles.xml"/>
  <Relationship Id="rId50" Type="http://schemas.openxmlformats.org/officeDocument/2006/relationships/hyperlink" TargetMode="External" Target="https://www.e-tar.lt/portal/lt/legalAct/TAR.ACEDA28DBDD1"/>
  <Relationship Id="rId51" Type="http://schemas.openxmlformats.org/officeDocument/2006/relationships/hyperlink" TargetMode="External" Target="https://www.e-tar.lt/portal/lt/legalAct/TAR.B8AA2D1523FA"/>
  <Relationship Id="rId52" Type="http://schemas.openxmlformats.org/officeDocument/2006/relationships/hyperlink" TargetMode="External" Target="https://www.e-tar.lt/portal/lt/legalAct/TAR.0BDFFD850A66"/>
  <Relationship Id="rId53" Type="http://schemas.openxmlformats.org/officeDocument/2006/relationships/hyperlink" TargetMode="External" Target="https://www.e-tar.lt/portal/lt/legalAct/TAR.5A31960C1A92"/>
  <Relationship Id="rId54" Type="http://schemas.openxmlformats.org/officeDocument/2006/relationships/hyperlink" TargetMode="External" Target="https://www.e-tar.lt/portal/lt/legalAct/TAR.A1F22FD1F195"/>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126</TotalTime>
  <Pages>60</Pages>
  <Words>75994</Words>
  <Characters>43318</Characters>
  <Application>Microsoft Office Word</Application>
  <DocSecurity>0</DocSecurity>
  <Lines>360</Lines>
  <Paragraphs>238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119074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2015-09-15T00:22:00Z</dcterms:created>
  <dc:creator>Sandra</dc:creator>
  <lastModifiedBy>GRUNDAITĖ Aistė</lastModifiedBy>
  <dcterms:modified xsi:type="dcterms:W3CDTF">2017-06-22T07:20:00Z</dcterms:modified>
  <revision>17</revision>
  <dc:title>LIETUVOS RESPUBLIKOS APLINKOS MINISTRO</dc:title>
</coreProperties>
</file>