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A616A3C01CAD">
        <w:r w:rsidRPr="00532B9F">
          <w:rPr>
            <w:rFonts w:ascii="Times New Roman" w:eastAsia="MS Mincho" w:hAnsi="Times New Roman"/>
            <w:sz w:val="20"/>
            <w:i/>
            <w:iCs/>
            <w:color w:val="0000FF" w:themeColor="hyperlink"/>
            <w:u w:val="single"/>
          </w:rPr>
          <w:t>39-1925</w:t>
        </w:r>
      </w:fldSimple>
      <w:r>
        <w:rPr>
          <w:rFonts w:ascii="Times New Roman" w:eastAsia="MS Mincho" w:hAnsi="Times New Roman"/>
          <w:sz w:val="20"/>
          <w:i/>
          <w:iCs/>
        </w:rPr>
        <w:t>, i. k. 113301MISAK00D1-244</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APLINKOS MINISTRO</w:t>
      </w:r>
    </w:p>
    <w:p>
      <w:pPr>
        <w:widowControl w:val="0"/>
        <w:jc w:val="center"/>
        <w:rPr>
          <w:color w:val="000000"/>
          <w:szCs w:val="24"/>
          <w:lang w:eastAsia="lt-LT"/>
        </w:rPr>
      </w:pPr>
      <w:r>
        <w:rPr>
          <w:color w:val="000000"/>
          <w:szCs w:val="24"/>
          <w:lang w:eastAsia="lt-LT"/>
        </w:rPr>
        <w:t>Į S A K Y M A 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IŠMETAMŲ TERŠALŲ IŠ KURĄ DEGINANČIŲ ĮRENGINIŲ NORMŲ LAND 43</w:t>
        <w:noBreakHyphen/>
        <w:t>2013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2013 m. balandžio 10 d. Nr. D1-244</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ind w:firstLine="567"/>
        <w:jc w:val="both"/>
        <w:rPr>
          <w:color w:val="000000"/>
          <w:szCs w:val="24"/>
          <w:lang w:eastAsia="lt-LT"/>
        </w:rPr>
      </w:pPr>
      <w:r>
        <w:rPr>
          <w:color w:val="000000"/>
          <w:szCs w:val="24"/>
          <w:lang w:eastAsia="lt-LT"/>
        </w:rPr>
        <w:t xml:space="preserve">Vadovaudamasis Lietuvos Respublikos aplinkos apsaugos įstatymo </w:t>
      </w:r>
      <w:r>
        <w:rPr>
          <w:szCs w:val="24"/>
          <w:lang w:eastAsia="lt-LT"/>
        </w:rPr>
        <w:t>6 straipsnio 5 dalies 4 ir 8 punktais, Lietuvos Respublikos aplinkos oro apsaugos įstatymo 15 straipsnio 3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f579509dec11e79127a823199cc174">
        <w:r w:rsidRPr="00532B9F">
          <w:rPr>
            <w:rFonts w:ascii="Times New Roman" w:eastAsia="MS Mincho" w:hAnsi="Times New Roman"/>
            <w:sz w:val="20"/>
            <w:i/>
            <w:iCs/>
            <w:color w:val="0000FF" w:themeColor="hyperlink"/>
            <w:u w:val="single"/>
          </w:rPr>
          <w:t>D1-779</w:t>
        </w:r>
      </w:fldSimple>
      <w:r>
        <w:rPr>
          <w:rFonts w:ascii="Times New Roman" w:eastAsia="MS Mincho" w:hAnsi="Times New Roman"/>
          <w:sz w:val="20"/>
          <w:i/>
          <w:iCs/>
        </w:rPr>
        <w:t>,
2017-09-18,
paskelbta TAR 2017-09-20, i. k. 2017-14853            </w:t>
      </w:r>
    </w:p>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w:t>
      </w:r>
      <w:r>
        <w:rPr>
          <w:color w:val="000000"/>
          <w:spacing w:val="33"/>
          <w:szCs w:val="24"/>
          <w:lang w:eastAsia="lt-LT"/>
        </w:rPr>
        <w:t>Tvirtinu</w:t>
      </w:r>
      <w:r>
        <w:rPr>
          <w:color w:val="000000"/>
          <w:szCs w:val="24"/>
          <w:lang w:eastAsia="lt-LT"/>
        </w:rPr>
        <w:t xml:space="preserve"> Išmetamų teršalų iš kurą deginančių įrenginių normas LAND 43-2013 (pridedama).</w:t>
      </w:r>
    </w:p>
    <w:p>
      <w:pPr>
        <w:suppressAutoHyphens/>
        <w:ind w:firstLine="567"/>
        <w:jc w:val="both"/>
        <w:rPr>
          <w:color w:val="000000"/>
          <w:szCs w:val="24"/>
          <w:lang w:eastAsia="lt-LT"/>
        </w:rPr>
      </w:pPr>
      <w:r>
        <w:rPr>
          <w:lang w:eastAsia="lt-LT"/>
        </w:rPr>
        <w:t>2</w:t>
      </w:r>
      <w:r>
        <w:rPr>
          <w:lang w:eastAsia="lt-LT"/>
        </w:rPr>
        <w:t>. Pavedu Aplinkos apsaugos agentūrai registruoti į Įsakymo taikymo sritį patenkančius kurą deginančius įrenginius, kurių vardinė (nominali) šiluminė galia lygi arba didesnė kaip 1 MW, bet nesiekia 50 MW, rinkti, kaupti, sisteminti ir viešinti pagal Išmetamų teršalų iš kurą deginančių įrenginių normų LAND 43-2013 30 punktą vykdomos šiuose įrenginiuose sunaudoto kuro ir iš jų į aplinkos orą išmesto teršalų kiekio apskaitos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e44580a39b11e3aeb49a67165e3ad3">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2014-03-04,
paskelbta TAR 2014-03-04, i. k. 2014-02538        </w:t>
      </w:r>
    </w:p>
    <w:p/>
    <w:p>
      <w:pPr>
        <w:ind w:firstLine="567"/>
        <w:jc w:val="both"/>
        <w:rPr>
          <w:szCs w:val="24"/>
          <w:lang w:eastAsia="lt-LT"/>
        </w:rPr>
      </w:pPr>
      <w:r>
        <w:rPr>
          <w:szCs w:val="24"/>
          <w:lang w:eastAsia="lt-LT"/>
        </w:rPr>
        <w:t>2</w:t>
      </w:r>
      <w:r>
        <w:rPr>
          <w:szCs w:val="24"/>
          <w:vertAlign w:val="superscript"/>
          <w:lang w:eastAsia="lt-LT"/>
        </w:rPr>
        <w:t>1</w:t>
      </w:r>
      <w:r>
        <w:rPr>
          <w:szCs w:val="24"/>
          <w:lang w:eastAsia="lt-LT"/>
        </w:rPr>
        <w:t xml:space="preserve">. </w:t>
      </w:r>
      <w:r>
        <w:rPr>
          <w:spacing w:val="60"/>
          <w:szCs w:val="24"/>
          <w:lang w:eastAsia="lt-LT"/>
        </w:rPr>
        <w:t>Nustata</w:t>
      </w:r>
      <w:r>
        <w:rPr>
          <w:szCs w:val="24"/>
          <w:lang w:eastAsia="lt-LT"/>
        </w:rPr>
        <w:t>u, kad šio įsakymo 1 punktu patvirtintos Normos netaikomos nuo:</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vertAlign w:val="superscript"/>
          <w:lang w:eastAsia="lt-LT"/>
        </w:rPr>
        <w:t>1</w:t>
      </w:r>
      <w:r>
        <w:rPr>
          <w:szCs w:val="24"/>
          <w:lang w:eastAsia="lt-LT"/>
        </w:rPr>
        <w:t>.1</w:t>
      </w:r>
      <w:r>
        <w:rPr>
          <w:szCs w:val="24"/>
          <w:lang w:eastAsia="lt-LT"/>
        </w:rPr>
        <w:t>. 2018 m. gruodžio 20 d. pradedamiems naujai eksploatuoti kurą deginantiems įrenginiams arba įrenginiams, kurių eksploatavimui taršos leidimas pagal Taršos leidimų išdavimo, pakeitimo ir galiojimo panaikinimo taisykles, patvirtintas Lietuvos Respublikos aplinkos ministro 2014 m. kovo 6 d. įsakymu D1-259 „Dėl Taršos leidimų išdavimo, pakeitimo ir galiojimo panaikinimo taisyklių patvirtinimo“, išduotas ne anksčiau nei 2017 m. gruodžio 19 d., išskyrus kurą deginančius įrenginius, kurių vardinė (nominali) šiluminė galia lygi ar didesnė kaip 0,12 MW, bet mažesnė kaip 1 MW;</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vertAlign w:val="superscript"/>
          <w:lang w:eastAsia="lt-LT"/>
        </w:rPr>
        <w:t>1</w:t>
      </w:r>
      <w:r>
        <w:rPr>
          <w:szCs w:val="24"/>
          <w:lang w:eastAsia="lt-LT"/>
        </w:rPr>
        <w:t>.2</w:t>
      </w:r>
      <w:r>
        <w:rPr>
          <w:szCs w:val="24"/>
          <w:lang w:eastAsia="lt-LT"/>
        </w:rPr>
        <w:t>. 2025 m. sausio 1 d. kurą deginantiems įrenginiams, kurių vardinė (nominali) šiluminė galia yra didesnė kaip 5 MW;</w:t>
      </w:r>
    </w:p>
    <w:p>
      <w:pPr>
        <w:ind w:firstLine="567"/>
        <w:jc w:val="both"/>
        <w:rPr>
          <w:color w:val="000000"/>
          <w:szCs w:val="24"/>
          <w:lang w:eastAsia="lt-LT"/>
        </w:rPr>
      </w:pPr>
      <w:r>
        <w:rPr>
          <w:szCs w:val="24"/>
          <w:lang w:eastAsia="lt-LT"/>
        </w:rPr>
        <w:t>2</w:t>
      </w:r>
      <w:r>
        <w:rPr>
          <w:szCs w:val="24"/>
          <w:vertAlign w:val="superscript"/>
          <w:lang w:eastAsia="lt-LT"/>
        </w:rPr>
        <w:t>1</w:t>
      </w:r>
      <w:r>
        <w:rPr>
          <w:szCs w:val="24"/>
          <w:lang w:eastAsia="lt-LT"/>
        </w:rPr>
        <w:t>.3</w:t>
      </w:r>
      <w:r>
        <w:rPr>
          <w:szCs w:val="24"/>
          <w:lang w:eastAsia="lt-LT"/>
        </w:rPr>
        <w:t>. 2030 m. sausio 1 d. kurą deginantiems įrenginiams, kurių vardinė (nominali) šiluminė galia yra 5 MW ar mažesnė, bet lygi ar didesnė kaip 1 MW.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f579509dec11e79127a823199cc174">
        <w:r w:rsidRPr="00532B9F">
          <w:rPr>
            <w:rFonts w:ascii="Times New Roman" w:eastAsia="MS Mincho" w:hAnsi="Times New Roman"/>
            <w:sz w:val="20"/>
            <w:i/>
            <w:iCs/>
            <w:color w:val="0000FF" w:themeColor="hyperlink"/>
            <w:u w:val="single"/>
          </w:rPr>
          <w:t>D1-779</w:t>
        </w:r>
      </w:fldSimple>
      <w:r>
        <w:rPr>
          <w:rFonts w:ascii="Times New Roman" w:eastAsia="MS Mincho" w:hAnsi="Times New Roman"/>
          <w:sz w:val="20"/>
          <w:i/>
          <w:iCs/>
        </w:rPr>
        <w:t>,
2017-09-18,
paskelbta TAR 2017-09-20, i. k. 2017-14853        </w:t>
      </w:r>
    </w:p>
    <w:p/>
    <w:p>
      <w:pPr>
        <w:ind w:firstLine="567"/>
        <w:jc w:val="both"/>
        <w:rPr>
          <w:color w:val="000000"/>
          <w:szCs w:val="24"/>
          <w:lang w:eastAsia="lt-LT"/>
        </w:rPr>
      </w:pPr>
      <w:r>
        <w:rPr>
          <w:szCs w:val="24"/>
        </w:rPr>
        <w:t>3</w:t>
      </w:r>
      <w:r>
        <w:rPr>
          <w:szCs w:val="24"/>
        </w:rPr>
        <w:t>. P a v e d u Aplinkos apsaugos departamentui prie Aplinkos ministerijos kontroliuoti jų laikymąsi.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724e0755611e8ae2bfd1913d66d57">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2018-06-21,
paskelbta TAR 2018-06-21, i. k. 2018-10237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e44580a39b11e3aeb49a67165e3ad3">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2014-03-04,
paskelbta TAR 2014-03-04, i. k. 2014-02538        </w:t>
      </w:r>
    </w:p>
    <w:p/>
    <w:p>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w:t>
      </w:r>
      <w:r>
        <w:rPr>
          <w:color w:val="000000"/>
          <w:spacing w:val="33"/>
          <w:szCs w:val="24"/>
          <w:lang w:eastAsia="lt-LT"/>
        </w:rPr>
        <w:t xml:space="preserve">Nustatau, </w:t>
      </w:r>
      <w:r>
        <w:rPr>
          <w:color w:val="000000"/>
          <w:szCs w:val="24"/>
          <w:lang w:eastAsia="lt-LT"/>
        </w:rPr>
        <w:t>kad šis įsakymas įsigalioja 2013 m. balandžio 15 d.</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e44580a39b11e3aeb49a67165e3ad3">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2014-03-04,
paskelbta TAR 2014-03-04, i. k. 2014-02538        </w:t>
      </w:r>
    </w:p>
    <w:p/>
    <w:p>
      <w:pPr>
        <w:widowControl w:val="0"/>
        <w:tabs>
          <w:tab w:val="right" w:pos="9071"/>
        </w:tabs>
        <w:rPr>
          <w:caps/>
          <w:color w:val="000000"/>
          <w:szCs w:val="24"/>
          <w:lang w:eastAsia="lt-LT"/>
        </w:rPr>
      </w:pPr>
    </w:p>
    <w:p>
      <w:pPr>
        <w:widowControl w:val="0"/>
        <w:tabs>
          <w:tab w:val="right" w:pos="9071"/>
        </w:tabs>
        <w:rPr>
          <w:caps/>
          <w:color w:val="000000"/>
          <w:szCs w:val="24"/>
          <w:lang w:eastAsia="lt-LT"/>
        </w:rPr>
      </w:pPr>
    </w:p>
    <w:p>
      <w:pPr>
        <w:widowControl w:val="0"/>
        <w:tabs>
          <w:tab w:val="right" w:pos="9071"/>
        </w:tabs>
        <w:rPr>
          <w:caps/>
          <w:color w:val="000000"/>
          <w:szCs w:val="24"/>
          <w:lang w:eastAsia="lt-LT"/>
        </w:rPr>
      </w:pPr>
    </w:p>
    <w:p>
      <w:pPr>
        <w:widowControl w:val="0"/>
        <w:tabs>
          <w:tab w:val="right" w:pos="9071"/>
        </w:tabs>
        <w:rPr>
          <w:color w:val="000000"/>
          <w:szCs w:val="24"/>
          <w:lang w:eastAsia="lt-LT"/>
        </w:rPr>
      </w:pPr>
      <w:r>
        <w:rPr>
          <w:caps/>
          <w:color w:val="000000"/>
          <w:szCs w:val="24"/>
          <w:lang w:eastAsia="lt-LT"/>
        </w:rPr>
        <w:t>Aplinkos ministras</w:t>
        <w:tab/>
        <w:t>Valentinas Mazuronis</w:t>
      </w:r>
    </w:p>
    <w:p>
      <w:pPr>
        <w:widowControl w:val="0"/>
        <w:ind w:left="4535"/>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aplinkos ministro 2013 m. balandžio 10 d. įsakymu Nr. D1-244</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IŠMETAMŲ TERŠALŲ IŠ KURĄ DEGINANČIŲ ĮRENGINIŲ NORMOS</w:t>
      </w:r>
    </w:p>
    <w:p>
      <w:pPr>
        <w:widowControl w:val="0"/>
        <w:jc w:val="center"/>
        <w:rPr>
          <w:b/>
          <w:bCs/>
          <w:caps/>
          <w:color w:val="000000"/>
          <w:szCs w:val="24"/>
          <w:lang w:eastAsia="lt-LT"/>
        </w:rPr>
      </w:pPr>
      <w:r>
        <w:rPr>
          <w:b/>
          <w:bCs/>
          <w:caps/>
          <w:color w:val="000000"/>
          <w:szCs w:val="24"/>
          <w:lang w:eastAsia="lt-LT"/>
        </w:rPr>
        <w:t>LAND 43-2013</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Išmetamų teršalų iš kurą deginančių įrenginių normos LAND 43-2013 (toliau – Normos) nustato kurą deginančių įrenginių išmetamųjų dujų šalinimo per kaminą reikalavimus, į aplinkos orą išmetamo sieros dioksido (SO</w:t>
      </w:r>
      <w:r>
        <w:rPr>
          <w:color w:val="000000"/>
          <w:szCs w:val="24"/>
          <w:vertAlign w:val="subscript"/>
          <w:lang w:eastAsia="lt-LT"/>
        </w:rPr>
        <w:t>2</w:t>
      </w:r>
      <w:r>
        <w:rPr>
          <w:color w:val="000000"/>
          <w:szCs w:val="24"/>
          <w:lang w:eastAsia="lt-LT"/>
        </w:rPr>
        <w:t>), azoto oksidų (NO</w:t>
      </w:r>
      <w:r>
        <w:rPr>
          <w:color w:val="000000"/>
          <w:szCs w:val="24"/>
          <w:vertAlign w:val="subscript"/>
          <w:lang w:eastAsia="lt-LT"/>
        </w:rPr>
        <w:t>x</w:t>
      </w:r>
      <w:r>
        <w:rPr>
          <w:color w:val="000000"/>
          <w:szCs w:val="24"/>
          <w:lang w:eastAsia="lt-LT"/>
        </w:rPr>
        <w:t>), anglies monoksido (CO) ir kietųjų dalelių (KD) ribines vertes, jų laikymosi ir kontrolės reikalavimus.</w:t>
      </w:r>
    </w:p>
    <w:p>
      <w:pPr>
        <w:widowControl w:val="0"/>
        <w:ind w:firstLine="567"/>
        <w:jc w:val="both"/>
        <w:rPr>
          <w:color w:val="000000"/>
          <w:szCs w:val="24"/>
          <w:lang w:eastAsia="lt-LT"/>
        </w:rPr>
      </w:pPr>
      <w:r>
        <w:rPr>
          <w:color w:val="000000"/>
          <w:szCs w:val="24"/>
          <w:lang w:eastAsia="lt-LT"/>
        </w:rPr>
        <w:t>2</w:t>
      </w:r>
      <w:r>
        <w:rPr>
          <w:color w:val="000000"/>
          <w:szCs w:val="24"/>
          <w:lang w:eastAsia="lt-LT"/>
        </w:rPr>
        <w:t>. Normos taikomos kurą deginantiems įrenginiams, kurių vardinė (nominali) šiluminė galia lygi arba didesnė kaip 0,12 MW, bet nesiekia 50 MW.</w:t>
      </w:r>
    </w:p>
    <w:p>
      <w:pPr>
        <w:widowControl w:val="0"/>
        <w:ind w:firstLine="567"/>
        <w:jc w:val="both"/>
        <w:rPr>
          <w:color w:val="000000"/>
          <w:szCs w:val="24"/>
          <w:lang w:eastAsia="lt-LT"/>
        </w:rPr>
      </w:pPr>
      <w:r>
        <w:rPr>
          <w:color w:val="000000"/>
          <w:szCs w:val="24"/>
          <w:lang w:eastAsia="lt-LT"/>
        </w:rPr>
        <w:t>3</w:t>
      </w:r>
      <w:r>
        <w:rPr>
          <w:color w:val="000000"/>
          <w:szCs w:val="24"/>
          <w:lang w:eastAsia="lt-LT"/>
        </w:rPr>
        <w:t>. Normos netaikomos:</w:t>
      </w:r>
    </w:p>
    <w:p>
      <w:pPr>
        <w:widowControl w:val="0"/>
        <w:ind w:firstLine="567"/>
        <w:jc w:val="both"/>
        <w:rPr>
          <w:color w:val="000000"/>
          <w:szCs w:val="24"/>
          <w:lang w:eastAsia="lt-LT"/>
        </w:rPr>
      </w:pPr>
      <w:r>
        <w:rPr>
          <w:color w:val="000000"/>
          <w:szCs w:val="24"/>
          <w:lang w:eastAsia="lt-LT"/>
        </w:rPr>
        <w:t>3.1</w:t>
      </w:r>
      <w:r>
        <w:rPr>
          <w:color w:val="000000"/>
          <w:szCs w:val="24"/>
          <w:lang w:eastAsia="lt-LT"/>
        </w:rPr>
        <w:t>. įrenginiams, gamybos procese naudojantiems degimo produktus tiesioginiam daiktų ar medžiagų šildymui, džiovinimui ar kitokiam apdorojimui, t. y. technologiniams įrenginiams, iš kurių į aplinkos orą išmetami kuro deginimo metu susidarę teršalai su vykdomo technologinio proceso metu susidariusiais teršalais;</w:t>
      </w:r>
    </w:p>
    <w:p>
      <w:pPr>
        <w:widowControl w:val="0"/>
        <w:ind w:firstLine="567"/>
        <w:jc w:val="both"/>
        <w:rPr>
          <w:color w:val="000000"/>
          <w:szCs w:val="24"/>
          <w:lang w:eastAsia="lt-LT"/>
        </w:rPr>
      </w:pPr>
      <w:r>
        <w:rPr>
          <w:color w:val="000000"/>
          <w:szCs w:val="24"/>
          <w:lang w:eastAsia="lt-LT"/>
        </w:rPr>
        <w:t>3.2</w:t>
      </w:r>
      <w:r>
        <w:rPr>
          <w:color w:val="000000"/>
          <w:szCs w:val="24"/>
          <w:lang w:eastAsia="lt-LT"/>
        </w:rPr>
        <w:t>. antrinio deginimo įrenginiams, t. y. techniniams įrenginiams, skirtiems valyti išmetamąsias dujas jas deginant, kai jie neeksploatuojami kaip atskiri kurą deginantys įrenginiai;</w:t>
      </w:r>
    </w:p>
    <w:p>
      <w:pPr>
        <w:widowControl w:val="0"/>
        <w:ind w:firstLine="567"/>
        <w:jc w:val="both"/>
        <w:rPr>
          <w:color w:val="000000"/>
          <w:szCs w:val="24"/>
          <w:lang w:eastAsia="lt-LT"/>
        </w:rPr>
      </w:pPr>
      <w:r>
        <w:rPr>
          <w:color w:val="000000"/>
          <w:szCs w:val="24"/>
          <w:lang w:eastAsia="lt-LT"/>
        </w:rPr>
        <w:t>3.3</w:t>
      </w:r>
      <w:r>
        <w:rPr>
          <w:color w:val="000000"/>
          <w:szCs w:val="24"/>
          <w:lang w:eastAsia="lt-LT"/>
        </w:rPr>
        <w:t>. katalizinio skaidymo katalizatorių regeneravimo įrenginiams;</w:t>
      </w:r>
    </w:p>
    <w:p>
      <w:pPr>
        <w:widowControl w:val="0"/>
        <w:ind w:firstLine="567"/>
        <w:jc w:val="both"/>
        <w:rPr>
          <w:color w:val="000000"/>
          <w:szCs w:val="24"/>
          <w:lang w:eastAsia="lt-LT"/>
        </w:rPr>
      </w:pPr>
      <w:r>
        <w:rPr>
          <w:color w:val="000000"/>
          <w:szCs w:val="24"/>
          <w:lang w:eastAsia="lt-LT"/>
        </w:rPr>
        <w:t>3.4</w:t>
      </w:r>
      <w:r>
        <w:rPr>
          <w:color w:val="000000"/>
          <w:szCs w:val="24"/>
          <w:lang w:eastAsia="lt-LT"/>
        </w:rPr>
        <w:t>. sieros vandenilio perdirbimo į sierą įrenginiams;</w:t>
      </w:r>
    </w:p>
    <w:p>
      <w:pPr>
        <w:widowControl w:val="0"/>
        <w:ind w:firstLine="567"/>
        <w:jc w:val="both"/>
        <w:rPr>
          <w:color w:val="000000"/>
          <w:szCs w:val="24"/>
          <w:lang w:eastAsia="lt-LT"/>
        </w:rPr>
      </w:pPr>
      <w:r>
        <w:rPr>
          <w:color w:val="000000"/>
          <w:szCs w:val="24"/>
          <w:lang w:eastAsia="lt-LT"/>
        </w:rPr>
        <w:t>3.5</w:t>
      </w:r>
      <w:r>
        <w:rPr>
          <w:color w:val="000000"/>
          <w:szCs w:val="24"/>
          <w:lang w:eastAsia="lt-LT"/>
        </w:rPr>
        <w:t>. chemijos pramonėje naudojamiems reaktoriams;</w:t>
      </w:r>
    </w:p>
    <w:p>
      <w:pPr>
        <w:widowControl w:val="0"/>
        <w:ind w:firstLine="567"/>
        <w:jc w:val="both"/>
        <w:rPr>
          <w:color w:val="000000"/>
          <w:szCs w:val="24"/>
          <w:lang w:eastAsia="lt-LT"/>
        </w:rPr>
      </w:pPr>
      <w:r>
        <w:rPr>
          <w:color w:val="000000"/>
          <w:szCs w:val="24"/>
          <w:lang w:eastAsia="lt-LT"/>
        </w:rPr>
        <w:t>3.6</w:t>
      </w:r>
      <w:r>
        <w:rPr>
          <w:color w:val="000000"/>
          <w:szCs w:val="24"/>
          <w:lang w:eastAsia="lt-LT"/>
        </w:rPr>
        <w:t>. kokso krosnims;</w:t>
      </w:r>
    </w:p>
    <w:p>
      <w:pPr>
        <w:widowControl w:val="0"/>
        <w:ind w:firstLine="567"/>
        <w:jc w:val="both"/>
        <w:rPr>
          <w:color w:val="000000"/>
          <w:szCs w:val="24"/>
          <w:lang w:eastAsia="lt-LT"/>
        </w:rPr>
      </w:pPr>
      <w:r>
        <w:rPr>
          <w:color w:val="000000"/>
          <w:szCs w:val="24"/>
          <w:lang w:eastAsia="lt-LT"/>
        </w:rPr>
        <w:t>3.7</w:t>
      </w:r>
      <w:r>
        <w:rPr>
          <w:color w:val="000000"/>
          <w:szCs w:val="24"/>
          <w:lang w:eastAsia="lt-LT"/>
        </w:rPr>
        <w:t>. regeneraciniams oro šildytuvams;</w:t>
      </w:r>
    </w:p>
    <w:p>
      <w:pPr>
        <w:widowControl w:val="0"/>
        <w:ind w:firstLine="567"/>
        <w:jc w:val="both"/>
        <w:rPr>
          <w:color w:val="000000"/>
          <w:szCs w:val="24"/>
          <w:lang w:eastAsia="lt-LT"/>
        </w:rPr>
      </w:pPr>
      <w:r>
        <w:rPr>
          <w:color w:val="000000"/>
          <w:szCs w:val="24"/>
          <w:lang w:eastAsia="lt-LT"/>
        </w:rPr>
        <w:t>3.8</w:t>
      </w:r>
      <w:r>
        <w:rPr>
          <w:color w:val="000000"/>
          <w:szCs w:val="24"/>
          <w:lang w:eastAsia="lt-LT"/>
        </w:rPr>
        <w:t>. automobilių, laivų, lėktuvų varikliams;</w:t>
      </w:r>
    </w:p>
    <w:p>
      <w:pPr>
        <w:widowControl w:val="0"/>
        <w:ind w:firstLine="567"/>
        <w:jc w:val="both"/>
        <w:rPr>
          <w:color w:val="000000"/>
          <w:szCs w:val="24"/>
          <w:lang w:eastAsia="lt-LT"/>
        </w:rPr>
      </w:pPr>
      <w:r>
        <w:rPr>
          <w:color w:val="000000"/>
          <w:szCs w:val="24"/>
          <w:lang w:eastAsia="lt-LT"/>
        </w:rPr>
        <w:t>3.9</w:t>
      </w:r>
      <w:r>
        <w:rPr>
          <w:color w:val="000000"/>
          <w:szCs w:val="24"/>
          <w:lang w:eastAsia="lt-LT"/>
        </w:rPr>
        <w:t>. jūros platformose naudojamoms dujų turbinoms;</w:t>
      </w:r>
    </w:p>
    <w:p>
      <w:pPr>
        <w:widowControl w:val="0"/>
        <w:ind w:firstLine="567"/>
        <w:jc w:val="both"/>
        <w:rPr>
          <w:color w:val="000000"/>
          <w:szCs w:val="24"/>
          <w:lang w:eastAsia="lt-LT"/>
        </w:rPr>
      </w:pPr>
      <w:r>
        <w:rPr>
          <w:color w:val="000000"/>
          <w:szCs w:val="24"/>
          <w:lang w:eastAsia="lt-LT"/>
        </w:rPr>
        <w:t>3.10</w:t>
      </w:r>
      <w:r>
        <w:rPr>
          <w:color w:val="000000"/>
          <w:szCs w:val="24"/>
          <w:lang w:eastAsia="lt-LT"/>
        </w:rPr>
        <w:t>. įrenginiams, kuriuose naudojami dyzeliniai, benzininiai ar dujiniai varikliai, ir dujų turbinoms;</w:t>
      </w:r>
    </w:p>
    <w:p>
      <w:pPr>
        <w:widowControl w:val="0"/>
        <w:ind w:firstLine="567"/>
        <w:jc w:val="both"/>
        <w:rPr>
          <w:color w:val="000000"/>
          <w:szCs w:val="24"/>
          <w:lang w:eastAsia="lt-LT"/>
        </w:rPr>
      </w:pPr>
      <w:r>
        <w:rPr>
          <w:color w:val="000000"/>
          <w:szCs w:val="24"/>
          <w:lang w:eastAsia="lt-LT"/>
        </w:rPr>
        <w:t>3.11</w:t>
      </w:r>
      <w:r>
        <w:rPr>
          <w:color w:val="000000"/>
          <w:szCs w:val="24"/>
          <w:lang w:eastAsia="lt-LT"/>
        </w:rPr>
        <w:t>. atliekų deginimo įrenginiams, kuriems taikomi Atliekų deginimo aplinkosauginiai reikalavimai, patvirtinti Lietuvos Respublikos aplinkos ministro 2002 m. gruodžio 31 d. įsakymu Nr. 699 (Žin., 2003, Nr. </w:t>
      </w:r>
      <w:hyperlink r:id="rId15" w:tgtFrame="_blank" w:history="1">
        <w:r>
          <w:rPr>
            <w:color w:val="0000FF" w:themeColor="hyperlink"/>
            <w:szCs w:val="24"/>
            <w:u w:val="single"/>
            <w:lang w:eastAsia="lt-LT"/>
          </w:rPr>
          <w:t>31-1290</w:t>
        </w:r>
      </w:hyperlink>
      <w:r>
        <w:rPr>
          <w:color w:val="000000"/>
          <w:szCs w:val="24"/>
          <w:lang w:eastAsia="lt-LT"/>
        </w:rPr>
        <w:t>).</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SĄVOKOS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Normose vartojamos sąvokos:</w:t>
      </w:r>
    </w:p>
    <w:p>
      <w:pPr>
        <w:widowControl w:val="0"/>
        <w:ind w:firstLine="567"/>
        <w:jc w:val="both"/>
        <w:rPr>
          <w:color w:val="000000"/>
          <w:szCs w:val="24"/>
          <w:lang w:eastAsia="lt-LT"/>
        </w:rPr>
      </w:pPr>
      <w:r>
        <w:rPr>
          <w:b/>
          <w:bCs/>
          <w:color w:val="000000"/>
          <w:szCs w:val="24"/>
          <w:lang w:eastAsia="lt-LT"/>
        </w:rPr>
        <w:t xml:space="preserve">dūmavamzdžių katilas – </w:t>
      </w:r>
      <w:r>
        <w:rPr>
          <w:color w:val="000000"/>
          <w:szCs w:val="24"/>
          <w:lang w:eastAsia="lt-LT"/>
        </w:rPr>
        <w:t>katilas, kuris sukonstruotas taip, kad degimo produktai (dūmai) tekėtų vamzdžių, kurių išorėje yra vanduo, garai arba vandens ir garų mišinys, vidumi;</w:t>
      </w:r>
    </w:p>
    <w:p>
      <w:pPr>
        <w:widowControl w:val="0"/>
        <w:ind w:firstLine="567"/>
        <w:jc w:val="both"/>
        <w:rPr>
          <w:color w:val="000000"/>
          <w:szCs w:val="24"/>
          <w:lang w:eastAsia="lt-LT"/>
        </w:rPr>
      </w:pPr>
      <w:r>
        <w:rPr>
          <w:b/>
          <w:bCs/>
          <w:color w:val="000000"/>
          <w:szCs w:val="24"/>
          <w:lang w:eastAsia="lt-LT"/>
        </w:rPr>
        <w:t>išmetamosios dujos</w:t>
      </w:r>
      <w:r>
        <w:rPr>
          <w:color w:val="000000"/>
          <w:szCs w:val="24"/>
          <w:lang w:eastAsia="lt-LT"/>
        </w:rPr>
        <w:t> – iš kurą deginančio įrenginio kamino išmetamos dujos, turinčios kietų, skystų ar dujinių teršalų;</w:t>
      </w:r>
    </w:p>
    <w:p>
      <w:pPr>
        <w:widowControl w:val="0"/>
        <w:ind w:firstLine="567"/>
        <w:jc w:val="both"/>
        <w:rPr>
          <w:strike/>
          <w:color w:val="000000"/>
          <w:szCs w:val="24"/>
          <w:lang w:eastAsia="lt-LT"/>
        </w:rPr>
      </w:pPr>
      <w:r>
        <w:rPr>
          <w:b/>
          <w:bCs/>
          <w:color w:val="000000"/>
          <w:szCs w:val="24"/>
          <w:lang w:eastAsia="lt-LT"/>
        </w:rPr>
        <w:t>išmetamo teršalo ribinė vertė</w:t>
      </w:r>
      <w:r>
        <w:rPr>
          <w:color w:val="000000"/>
          <w:szCs w:val="24"/>
          <w:lang w:eastAsia="lt-LT"/>
        </w:rPr>
        <w:t> – iš kurą deginančio įrenginio kamino į aplinkos orą išmetamo teršalo kiekis, išreikštas koncentracija, kurios negalima viršyti per vieną arba kelis laikotarpius;</w:t>
      </w:r>
    </w:p>
    <w:p>
      <w:pPr>
        <w:widowControl w:val="0"/>
        <w:ind w:firstLine="567"/>
        <w:jc w:val="both"/>
        <w:rPr>
          <w:color w:val="000000"/>
          <w:szCs w:val="24"/>
          <w:lang w:eastAsia="lt-LT"/>
        </w:rPr>
      </w:pPr>
      <w:r>
        <w:rPr>
          <w:b/>
          <w:bCs/>
          <w:color w:val="000000"/>
          <w:szCs w:val="24"/>
          <w:lang w:eastAsia="lt-LT"/>
        </w:rPr>
        <w:t>įvairų kurą deginantis įrenginys</w:t>
      </w:r>
      <w:r>
        <w:rPr>
          <w:color w:val="000000"/>
          <w:szCs w:val="24"/>
          <w:lang w:eastAsia="lt-LT"/>
        </w:rPr>
        <w:t> – kurą deginantis įrenginys, kuriame vienu metu arba pakaitomis gali būti deginamas dviejų arba daugiau rūšių kuras;</w:t>
      </w:r>
    </w:p>
    <w:p>
      <w:pPr>
        <w:widowControl w:val="0"/>
        <w:ind w:firstLine="567"/>
        <w:jc w:val="both"/>
        <w:rPr>
          <w:b/>
          <w:bCs/>
          <w:color w:val="000000"/>
          <w:szCs w:val="24"/>
          <w:lang w:eastAsia="lt-LT"/>
        </w:rPr>
      </w:pPr>
      <w:r>
        <w:rPr>
          <w:b/>
          <w:bCs/>
          <w:color w:val="000000"/>
          <w:szCs w:val="24"/>
          <w:lang w:eastAsia="lt-LT"/>
        </w:rPr>
        <w:t xml:space="preserve">kaminas – </w:t>
      </w:r>
      <w:r>
        <w:rPr>
          <w:color w:val="000000"/>
          <w:szCs w:val="24"/>
          <w:lang w:eastAsia="lt-LT"/>
        </w:rPr>
        <w:t>statinys (konstrukcija), kuriame yra vienas arba daugiau dūmtakių, per kuriuos išmetamosios dujos išleidžiamos į aplinkos orą;</w:t>
      </w:r>
    </w:p>
    <w:p>
      <w:pPr>
        <w:widowControl w:val="0"/>
        <w:ind w:firstLine="567"/>
        <w:jc w:val="both"/>
        <w:rPr>
          <w:strike/>
          <w:color w:val="000000"/>
          <w:szCs w:val="24"/>
          <w:lang w:eastAsia="lt-LT"/>
        </w:rPr>
      </w:pPr>
      <w:r>
        <w:rPr>
          <w:b/>
          <w:bCs/>
          <w:color w:val="000000"/>
          <w:szCs w:val="24"/>
          <w:lang w:eastAsia="lt-LT"/>
        </w:rPr>
        <w:t>kuras</w:t>
      </w:r>
      <w:r>
        <w:rPr>
          <w:color w:val="000000"/>
          <w:szCs w:val="24"/>
          <w:lang w:eastAsia="lt-LT"/>
        </w:rPr>
        <w:t> – dujinė, skysta arba kieta degioji medžiaga, naudojama energijai gauti degimo įrenginiuose, išskyrus pavojingąsias atliekas ir iš anksto neapdorotas komunalines atliekas, neatsižvelgiant į tai, ar jose yra degiųjų medžiagų;</w:t>
      </w:r>
    </w:p>
    <w:p>
      <w:pPr>
        <w:widowControl w:val="0"/>
        <w:ind w:firstLine="567"/>
        <w:jc w:val="both"/>
        <w:rPr>
          <w:color w:val="000000"/>
          <w:szCs w:val="24"/>
          <w:lang w:eastAsia="lt-LT"/>
        </w:rPr>
      </w:pPr>
      <w:r>
        <w:rPr>
          <w:b/>
          <w:bCs/>
          <w:color w:val="000000"/>
          <w:szCs w:val="24"/>
          <w:lang w:eastAsia="lt-LT"/>
        </w:rPr>
        <w:t>kurą deginantis įrenginys</w:t>
      </w:r>
      <w:r>
        <w:rPr>
          <w:color w:val="000000"/>
          <w:szCs w:val="24"/>
          <w:lang w:eastAsia="lt-LT"/>
        </w:rPr>
        <w:t> – katilas arba katilų grupė, kuriuose kuras oksiduojamas norint panaudoti deginimo proceso metu gaunamą šilumos energiją, o išmetamosios dujos į aplinkos orą išmetamos pro vieną kaminą;</w:t>
      </w:r>
    </w:p>
    <w:p>
      <w:pPr>
        <w:widowControl w:val="0"/>
        <w:ind w:firstLine="567"/>
        <w:jc w:val="both"/>
        <w:rPr>
          <w:color w:val="000000"/>
          <w:szCs w:val="24"/>
          <w:lang w:eastAsia="lt-LT"/>
        </w:rPr>
      </w:pPr>
      <w:r>
        <w:rPr>
          <w:b/>
          <w:bCs/>
          <w:color w:val="000000"/>
          <w:szCs w:val="24"/>
          <w:lang w:eastAsia="lt-LT"/>
        </w:rPr>
        <w:t>naujas kurą deginantis įrenginys</w:t>
      </w:r>
      <w:r>
        <w:rPr>
          <w:color w:val="000000"/>
          <w:szCs w:val="24"/>
          <w:lang w:eastAsia="lt-LT"/>
        </w:rPr>
        <w:t> – kurą deginantis įrenginys, kuriam leidimas statyti arba statybą leidžiantis dokumentas išduotas 1998-07-01 arba vėliau. Nauju kurą deginančiu įrenginiu laikomas ir kurą deginantis įrenginys, kurio nominali (vardinė) šiluminė galia po rekonstrukcijos, atliktos įsigaliojus Normoms, padidėjo 50 % ar daugiau.</w:t>
      </w:r>
    </w:p>
    <w:p>
      <w:pPr>
        <w:widowControl w:val="0"/>
        <w:ind w:firstLine="567"/>
        <w:jc w:val="both"/>
        <w:rPr>
          <w:color w:val="000000"/>
          <w:szCs w:val="24"/>
          <w:lang w:eastAsia="lt-LT"/>
        </w:rPr>
      </w:pPr>
      <w:r>
        <w:rPr>
          <w:color w:val="000000"/>
          <w:szCs w:val="24"/>
          <w:lang w:eastAsia="lt-LT"/>
        </w:rPr>
        <w:t>Sąvoka „</w:t>
      </w:r>
      <w:r>
        <w:rPr>
          <w:b/>
          <w:bCs/>
          <w:color w:val="000000"/>
          <w:szCs w:val="24"/>
          <w:lang w:eastAsia="lt-LT"/>
        </w:rPr>
        <w:t>vardinė (nominali) šiluminė galia</w:t>
      </w:r>
      <w:r>
        <w:rPr>
          <w:color w:val="000000"/>
          <w:szCs w:val="24"/>
          <w:lang w:eastAsia="lt-LT"/>
        </w:rPr>
        <w:t>“ (toliau – nominali šiluminė galia) suprantama, kaip apibrėžta Lietuvos Respublikos energetikos įstatymo (Žin., 2002, Nr. </w:t>
      </w:r>
      <w:hyperlink r:id="rId16" w:tgtFrame="_blank" w:history="1">
        <w:r>
          <w:rPr>
            <w:color w:val="0000FF" w:themeColor="hyperlink"/>
            <w:szCs w:val="24"/>
            <w:u w:val="single"/>
            <w:lang w:eastAsia="lt-LT"/>
          </w:rPr>
          <w:t>56-2224</w:t>
        </w:r>
      </w:hyperlink>
      <w:r>
        <w:rPr>
          <w:color w:val="000000"/>
          <w:szCs w:val="24"/>
          <w:lang w:eastAsia="lt-LT"/>
        </w:rPr>
        <w:t>; 2011, Nr. </w:t>
      </w:r>
      <w:hyperlink r:id="rId17" w:tgtFrame="_blank" w:history="1">
        <w:r>
          <w:rPr>
            <w:color w:val="0000FF" w:themeColor="hyperlink"/>
            <w:szCs w:val="24"/>
            <w:u w:val="single"/>
            <w:lang w:eastAsia="lt-LT"/>
          </w:rPr>
          <w:t>160-7576</w:t>
        </w:r>
      </w:hyperlink>
      <w:r>
        <w:rPr>
          <w:color w:val="000000"/>
          <w:szCs w:val="24"/>
          <w:lang w:eastAsia="lt-LT"/>
        </w:rPr>
        <w:t>) (toliau – Energetikos įstatymas) 2 straipsnio 30 punkte. Nominalią šiluminę galią patvirtinančiu dokumentu laikomas įrenginio (katilo) gamintojo išduotas dokumentas arba pagal Energetikos įstatymą Lietuvos Respublikos energetikos ministerijos nustatyta tvarka kompetentingos institucijos išduotas dokumentas.</w:t>
      </w:r>
    </w:p>
    <w:p>
      <w:pPr>
        <w:widowControl w:val="0"/>
        <w:ind w:firstLine="567"/>
        <w:jc w:val="both"/>
        <w:rPr>
          <w:color w:val="000000"/>
          <w:szCs w:val="24"/>
          <w:lang w:eastAsia="lt-LT"/>
        </w:rPr>
      </w:pPr>
      <w:r>
        <w:rPr>
          <w:color w:val="000000"/>
          <w:szCs w:val="24"/>
          <w:lang w:eastAsia="lt-LT"/>
        </w:rPr>
        <w:t>Sąvokos „</w:t>
      </w:r>
      <w:r>
        <w:rPr>
          <w:b/>
          <w:bCs/>
          <w:color w:val="000000"/>
          <w:szCs w:val="24"/>
          <w:lang w:eastAsia="lt-LT"/>
        </w:rPr>
        <w:t>pavojingosios atliekos</w:t>
      </w:r>
      <w:r>
        <w:rPr>
          <w:color w:val="000000"/>
          <w:szCs w:val="24"/>
          <w:lang w:eastAsia="lt-LT"/>
        </w:rPr>
        <w:t>“ ir „</w:t>
      </w:r>
      <w:r>
        <w:rPr>
          <w:b/>
          <w:bCs/>
          <w:color w:val="000000"/>
          <w:szCs w:val="24"/>
          <w:lang w:eastAsia="lt-LT"/>
        </w:rPr>
        <w:t>iš anksto neapdorotos komunalinės atliekos</w:t>
      </w:r>
      <w:r>
        <w:rPr>
          <w:color w:val="000000"/>
          <w:szCs w:val="24"/>
          <w:lang w:eastAsia="lt-LT"/>
        </w:rPr>
        <w:t>“ suprantamos taip, kaip jos apibrėžtos Lietuvos Respublikos atliekų tvarkymo įstatyme (Žin., 1998, Nr. </w:t>
      </w:r>
      <w:hyperlink r:id="rId18" w:tgtFrame="_blank" w:history="1">
        <w:r>
          <w:rPr>
            <w:color w:val="0000FF" w:themeColor="hyperlink"/>
            <w:szCs w:val="24"/>
            <w:u w:val="single"/>
            <w:lang w:eastAsia="lt-LT"/>
          </w:rPr>
          <w:t>61-1726</w:t>
        </w:r>
      </w:hyperlink>
      <w:r>
        <w:rPr>
          <w:color w:val="000000"/>
          <w:szCs w:val="24"/>
          <w:lang w:eastAsia="lt-LT"/>
        </w:rPr>
        <w:t>; 2002, Nr. </w:t>
      </w:r>
      <w:hyperlink r:id="rId19" w:tgtFrame="_blank" w:history="1">
        <w:r>
          <w:rPr>
            <w:color w:val="0000FF" w:themeColor="hyperlink"/>
            <w:szCs w:val="24"/>
            <w:u w:val="single"/>
            <w:lang w:eastAsia="lt-LT"/>
          </w:rPr>
          <w:t>72-3016</w:t>
        </w:r>
      </w:hyperlink>
      <w:r>
        <w:rPr>
          <w:color w:val="000000"/>
          <w:szCs w:val="24"/>
          <w:lang w:eastAsia="lt-LT"/>
        </w:rPr>
        <w:t>).</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IŠMETAMŲJŲ DUJŲ ŠALINIMAS IŠ KURĄ DEGINANČIŲ ĮRENGINIŲ IR IŠMETAMŲ TERŠALŲ RIBINĖS VERTĖS</w:t>
      </w:r>
    </w:p>
    <w:p>
      <w:pPr>
        <w:widowControl w:val="0"/>
        <w:ind w:firstLine="567"/>
        <w:jc w:val="both"/>
        <w:rPr>
          <w:color w:val="000000"/>
          <w:szCs w:val="24"/>
          <w:lang w:eastAsia="lt-LT"/>
        </w:rPr>
      </w:pPr>
    </w:p>
    <w:p>
      <w:pPr>
        <w:widowControl w:val="0"/>
        <w:suppressAutoHyphens/>
        <w:ind w:firstLine="567"/>
        <w:jc w:val="both"/>
        <w:textAlignment w:val="center"/>
        <w:rPr>
          <w:color w:val="000000"/>
          <w:szCs w:val="24"/>
          <w:lang w:eastAsia="lt-LT"/>
        </w:rPr>
      </w:pPr>
      <w:r>
        <w:rPr>
          <w:color w:val="000000"/>
          <w:szCs w:val="24"/>
          <w:lang w:eastAsia="lt-LT"/>
        </w:rPr>
        <w:t>5</w:t>
      </w:r>
      <w:r>
        <w:rPr>
          <w:color w:val="000000"/>
          <w:szCs w:val="24"/>
          <w:lang w:eastAsia="lt-LT"/>
        </w:rPr>
        <w:t>. Po Normų įsigaliojimo iš naujame ūkinės veiklos objekte vienoje teritorijoje statomų dviejų ar daugiau kurą deginančių įrenginių išmetamosios dujos į aplinkos orą turi būti šalinamos per vieną bendrą kaminą,</w:t>
      </w:r>
      <w:r>
        <w:rPr>
          <w:b/>
          <w:bCs/>
          <w:color w:val="000000"/>
          <w:szCs w:val="24"/>
          <w:lang w:eastAsia="lt-LT"/>
        </w:rPr>
        <w:t xml:space="preserve"> </w:t>
      </w:r>
      <w:r>
        <w:rPr>
          <w:color w:val="000000"/>
          <w:szCs w:val="24"/>
          <w:lang w:eastAsia="lt-LT"/>
        </w:rPr>
        <w:t>išskyrus atvejus, kai to padaryti neįmanoma dėl techninių veiksnių, kuriuos veiklos vykdytojas turi pagrįsti projektine dokumentacija.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bb5900723711e3b29084acd991add8">
        <w:r w:rsidRPr="00532B9F">
          <w:rPr>
            <w:rFonts w:ascii="Times New Roman" w:eastAsia="MS Mincho" w:hAnsi="Times New Roman"/>
            <w:sz w:val="20"/>
            <w:i/>
            <w:iCs/>
            <w:color w:val="0000FF" w:themeColor="hyperlink"/>
            <w:u w:val="single"/>
          </w:rPr>
          <w:t>D1-978</w:t>
        </w:r>
      </w:fldSimple>
      <w:r>
        <w:rPr>
          <w:rFonts w:ascii="Times New Roman" w:eastAsia="MS Mincho" w:hAnsi="Times New Roman"/>
          <w:sz w:val="20"/>
          <w:i/>
          <w:iCs/>
        </w:rPr>
        <w:t>,
2013-12-20,
Žin., 2013, Nr.
139-7015 (2013-12-30), i. k. 2013-00066            </w:t>
      </w:r>
    </w:p>
    <w:p/>
    <w:p>
      <w:pPr>
        <w:widowControl w:val="0"/>
        <w:ind w:firstLine="567"/>
        <w:jc w:val="both"/>
        <w:rPr>
          <w:color w:val="000000"/>
          <w:szCs w:val="24"/>
          <w:lang w:eastAsia="lt-LT"/>
        </w:rPr>
      </w:pPr>
      <w:r>
        <w:rPr>
          <w:color w:val="000000"/>
          <w:szCs w:val="24"/>
          <w:lang w:eastAsia="lt-LT"/>
        </w:rPr>
        <w:t>6</w:t>
      </w:r>
      <w:r>
        <w:rPr>
          <w:color w:val="000000"/>
          <w:szCs w:val="24"/>
          <w:lang w:eastAsia="lt-LT"/>
        </w:rPr>
        <w:t>. Projektuojant statyti naują kaminą, kamino aukštis turi būti toks, kad iš jo išmesti ir aplinkos ore pasklidę teršalai nesudarytų sąlygų viršyti ribines aplinkos oro užterštumo vertes, nustatytas Lietuvos Respublikos aplinkos ministro ir Lietuvos Respublikos sveikatos apsaugos ministro 2000 m. spalio 30 d. įsakymu Nr. 471/582 „Dėl Teršalų, kurių kiekis aplinkos ore ribojamas pagal Europos Sąjungos kriterijus, sąrašo ir Teršalų, kurių kiekis aplinkos ore ribojamas pagal nacionalinius kriterijus, sąrašo ir ribinių aplinkos oro užterštumo verčių patvirtinimo“ (Žin., 2000, Nr. </w:t>
      </w:r>
      <w:hyperlink r:id="rId20" w:tgtFrame="_blank" w:history="1">
        <w:r>
          <w:rPr>
            <w:color w:val="0000FF" w:themeColor="hyperlink"/>
            <w:szCs w:val="24"/>
            <w:u w:val="single"/>
            <w:lang w:eastAsia="lt-LT"/>
          </w:rPr>
          <w:t>100-3185</w:t>
        </w:r>
      </w:hyperlink>
      <w:r>
        <w:rPr>
          <w:color w:val="000000"/>
          <w:szCs w:val="24"/>
          <w:lang w:eastAsia="lt-LT"/>
        </w:rPr>
        <w:t>; 2007, Nr. 67-2627).</w:t>
      </w:r>
    </w:p>
    <w:p>
      <w:pPr>
        <w:widowControl w:val="0"/>
        <w:suppressAutoHyphens/>
        <w:ind w:firstLine="567"/>
        <w:jc w:val="both"/>
        <w:textAlignment w:val="center"/>
        <w:rPr>
          <w:color w:val="000000"/>
          <w:szCs w:val="24"/>
          <w:lang w:eastAsia="lt-LT"/>
        </w:rPr>
      </w:pPr>
      <w:r>
        <w:rPr>
          <w:color w:val="000000"/>
          <w:szCs w:val="24"/>
          <w:lang w:eastAsia="lt-LT"/>
        </w:rPr>
        <w:t>7</w:t>
      </w:r>
      <w:r>
        <w:rPr>
          <w:color w:val="000000"/>
          <w:szCs w:val="24"/>
          <w:lang w:eastAsia="lt-LT"/>
        </w:rPr>
        <w:t>. Iš veikiančiame ūkinės veiklos objekte, kuriame eksploatuojamas kurą deginantis įrenginys, statomo naujo kurą deginančio įrenginio išmetamosios dujos į aplinkos orą turi būti šalinamos per esamą kurą deginančio įrenginio kaminą, išskyrus atvejus, kai to padaryti neįmanoma dėl techninių veiksnių, kuriuos veiklos vykdytojas turi pagrįsti projektine dokumentacija.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bb5900723711e3b29084acd991add8">
        <w:r w:rsidRPr="00532B9F">
          <w:rPr>
            <w:rFonts w:ascii="Times New Roman" w:eastAsia="MS Mincho" w:hAnsi="Times New Roman"/>
            <w:sz w:val="20"/>
            <w:i/>
            <w:iCs/>
            <w:color w:val="0000FF" w:themeColor="hyperlink"/>
            <w:u w:val="single"/>
          </w:rPr>
          <w:t>D1-978</w:t>
        </w:r>
      </w:fldSimple>
      <w:r>
        <w:rPr>
          <w:rFonts w:ascii="Times New Roman" w:eastAsia="MS Mincho" w:hAnsi="Times New Roman"/>
          <w:sz w:val="20"/>
          <w:i/>
          <w:iCs/>
        </w:rPr>
        <w:t>,
2013-12-20,
Žin., 2013, Nr.
139-7015 (2013-12-30), i. k. 2013-00066            </w:t>
      </w:r>
    </w:p>
    <w:p/>
    <w:p>
      <w:pPr>
        <w:widowControl w:val="0"/>
        <w:ind w:firstLine="567"/>
        <w:jc w:val="both"/>
        <w:rPr>
          <w:color w:val="000000"/>
          <w:szCs w:val="24"/>
          <w:lang w:eastAsia="lt-LT"/>
        </w:rPr>
      </w:pPr>
      <w:r>
        <w:rPr>
          <w:color w:val="000000"/>
          <w:szCs w:val="24"/>
          <w:lang w:eastAsia="lt-LT"/>
        </w:rPr>
        <w:t>8</w:t>
      </w:r>
      <w:r>
        <w:rPr>
          <w:color w:val="000000"/>
          <w:szCs w:val="24"/>
          <w:lang w:eastAsia="lt-LT"/>
        </w:rPr>
        <w:t>. Iš kurą deginančių įrenginių, kurių nominali šiluminė galia lygi arba didesnė kaip 0,12 MW, bet nesiekia 1 MW, išmetamų teršalų ribinė vertė nustatyta Normų 1 priede.</w:t>
      </w:r>
    </w:p>
    <w:p>
      <w:pPr>
        <w:widowControl w:val="0"/>
        <w:ind w:firstLine="567"/>
        <w:jc w:val="both"/>
        <w:rPr>
          <w:color w:val="000000"/>
          <w:szCs w:val="24"/>
          <w:lang w:eastAsia="lt-LT"/>
        </w:rPr>
      </w:pPr>
      <w:r>
        <w:rPr>
          <w:color w:val="000000"/>
          <w:szCs w:val="24"/>
          <w:lang w:eastAsia="lt-LT"/>
        </w:rPr>
        <w:t>9</w:t>
      </w:r>
      <w:r>
        <w:rPr>
          <w:color w:val="000000"/>
          <w:szCs w:val="24"/>
          <w:lang w:eastAsia="lt-LT"/>
        </w:rPr>
        <w:t>. Iš kurą deginančių įrenginių, kurių nominali šiluminė galia lygi arba didesnė kaip 1 MW, bet nesiekia 50 MW, išmetamų teršalų ribinė vertė nustatyta Normų 2 priede.</w:t>
      </w:r>
    </w:p>
    <w:p>
      <w:pPr>
        <w:widowControl w:val="0"/>
        <w:ind w:firstLine="567"/>
        <w:jc w:val="both"/>
        <w:rPr>
          <w:color w:val="000000"/>
          <w:szCs w:val="24"/>
          <w:lang w:eastAsia="lt-LT"/>
        </w:rPr>
      </w:pPr>
      <w:r>
        <w:rPr>
          <w:color w:val="000000"/>
          <w:szCs w:val="24"/>
          <w:lang w:eastAsia="lt-LT"/>
        </w:rPr>
        <w:t>10</w:t>
      </w:r>
      <w:r>
        <w:rPr>
          <w:color w:val="000000"/>
          <w:szCs w:val="24"/>
          <w:lang w:eastAsia="lt-LT"/>
        </w:rPr>
        <w:t>. Iš įvairų kurą deginančių įrenginių išmetamų teršalų ribinė vertė yra:</w:t>
      </w:r>
    </w:p>
    <w:p>
      <w:pPr>
        <w:widowControl w:val="0"/>
        <w:ind w:firstLine="567"/>
        <w:jc w:val="both"/>
        <w:rPr>
          <w:color w:val="000000"/>
          <w:szCs w:val="24"/>
          <w:lang w:eastAsia="lt-LT"/>
        </w:rPr>
      </w:pPr>
      <w:r>
        <w:rPr>
          <w:color w:val="000000"/>
          <w:szCs w:val="24"/>
          <w:lang w:eastAsia="lt-LT"/>
        </w:rPr>
        <w:t>10.1</w:t>
      </w:r>
      <w:r>
        <w:rPr>
          <w:color w:val="000000"/>
          <w:szCs w:val="24"/>
          <w:lang w:eastAsia="lt-LT"/>
        </w:rPr>
        <w:t>. kai įvairios kuro rūšys deginamos pakaitomis – atitinkamame Normų priede nurodyta konkrečiu laikotarpiu deginamo kuro rūšį atitinkanti teršalo ribinė vertė, t. y. deginant dujinį kurą turi būti laikomasi dujinio kuro deginimo metu išsiskiriančių teršalų ribinių verčių, deginant kietąjį kurą – kietojo kuro deginimo metu išsiskiriančių teršalų ribinių verčių ir t. t.;</w:t>
      </w:r>
    </w:p>
    <w:p>
      <w:pPr>
        <w:widowControl w:val="0"/>
        <w:ind w:firstLine="567"/>
        <w:jc w:val="both"/>
        <w:rPr>
          <w:color w:val="000000"/>
          <w:szCs w:val="24"/>
          <w:lang w:eastAsia="lt-LT"/>
        </w:rPr>
      </w:pPr>
      <w:r>
        <w:rPr>
          <w:color w:val="000000"/>
          <w:szCs w:val="24"/>
          <w:lang w:eastAsia="lt-LT"/>
        </w:rPr>
        <w:t>10.2</w:t>
      </w:r>
      <w:r>
        <w:rPr>
          <w:color w:val="000000"/>
          <w:szCs w:val="24"/>
          <w:lang w:eastAsia="lt-LT"/>
        </w:rPr>
        <w:t>. kai įvairios kuro rūšys deginamos vienu metu:</w:t>
      </w:r>
    </w:p>
    <w:p>
      <w:pPr>
        <w:widowControl w:val="0"/>
        <w:ind w:firstLine="567"/>
        <w:jc w:val="both"/>
        <w:rPr>
          <w:color w:val="000000"/>
          <w:szCs w:val="24"/>
          <w:lang w:eastAsia="lt-LT"/>
        </w:rPr>
      </w:pPr>
      <w:r>
        <w:rPr>
          <w:color w:val="000000"/>
          <w:szCs w:val="24"/>
          <w:lang w:eastAsia="lt-LT"/>
        </w:rPr>
        <w:t>10.2.1</w:t>
      </w:r>
      <w:r>
        <w:rPr>
          <w:color w:val="000000"/>
          <w:szCs w:val="24"/>
          <w:lang w:eastAsia="lt-LT"/>
        </w:rPr>
        <w:t>. CO ribinė vertė – atitinkamame Normų priede nurodyta tą deginamo kuro rūšį atitinkanti CO ribinė vertė, kuri yra didžiausia;</w:t>
      </w:r>
    </w:p>
    <w:p>
      <w:pPr>
        <w:widowControl w:val="0"/>
        <w:ind w:firstLine="567"/>
        <w:jc w:val="both"/>
        <w:rPr>
          <w:color w:val="000000"/>
          <w:szCs w:val="24"/>
          <w:lang w:eastAsia="lt-LT"/>
        </w:rPr>
      </w:pPr>
      <w:r>
        <w:rPr>
          <w:color w:val="000000"/>
          <w:szCs w:val="24"/>
          <w:lang w:eastAsia="lt-LT"/>
        </w:rPr>
        <w:t>10.2.2</w:t>
      </w:r>
      <w:r>
        <w:rPr>
          <w:color w:val="000000"/>
          <w:szCs w:val="24"/>
          <w:lang w:eastAsia="lt-LT"/>
        </w:rPr>
        <w:t>. SO</w:t>
      </w:r>
      <w:r>
        <w:rPr>
          <w:color w:val="000000"/>
          <w:szCs w:val="24"/>
          <w:vertAlign w:val="subscript"/>
          <w:lang w:eastAsia="lt-LT"/>
        </w:rPr>
        <w:t>2</w:t>
      </w:r>
      <w:r>
        <w:rPr>
          <w:color w:val="000000"/>
          <w:szCs w:val="24"/>
          <w:lang w:eastAsia="lt-LT"/>
        </w:rPr>
        <w:t>, NO</w:t>
      </w:r>
      <w:r>
        <w:rPr>
          <w:color w:val="000000"/>
          <w:szCs w:val="24"/>
          <w:vertAlign w:val="subscript"/>
          <w:lang w:eastAsia="lt-LT"/>
        </w:rPr>
        <w:t>x</w:t>
      </w:r>
      <w:r>
        <w:rPr>
          <w:color w:val="000000"/>
          <w:szCs w:val="24"/>
          <w:lang w:eastAsia="lt-LT"/>
        </w:rPr>
        <w:t xml:space="preserve"> ir KD ribinė vertė apskaičiuojama, išskyrus 10.2.2.3 punkte nurodytus atvejus, taip:</w:t>
      </w:r>
      <w:r>
        <w:t xml:space="preserve"> </w:t>
      </w:r>
    </w:p>
    <w:p>
      <w:pPr>
        <w:widowControl w:val="0"/>
        <w:jc w:val="both"/>
        <w:rPr>
          <w:i/>
          <w:color w:val="000000"/>
          <w:sz w:val="20"/>
          <w:szCs w:val="24"/>
          <w:lang w:eastAsia="lt-LT"/>
        </w:rPr>
      </w:pPr>
      <w:r>
        <w:rPr>
          <w:b/>
          <w:i/>
          <w:color w:val="000000"/>
          <w:sz w:val="20"/>
          <w:szCs w:val="24"/>
          <w:lang w:eastAsia="lt-LT"/>
        </w:rPr>
        <w:t>TAR pastaba</w:t>
      </w:r>
      <w:r>
        <w:rPr>
          <w:i/>
          <w:color w:val="000000"/>
          <w:sz w:val="20"/>
          <w:szCs w:val="24"/>
          <w:lang w:eastAsia="lt-LT"/>
        </w:rPr>
        <w:t>. 10 punkto nuostatos įsigalioja 2015 m. sausio 1 d.</w:t>
      </w:r>
    </w:p>
    <w:p>
      <w:pPr>
        <w:widowControl w:val="0"/>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bb5900723711e3b29084acd991add8">
        <w:r w:rsidRPr="00532B9F">
          <w:rPr>
            <w:rFonts w:ascii="Times New Roman" w:eastAsia="MS Mincho" w:hAnsi="Times New Roman"/>
            <w:sz w:val="20"/>
            <w:i/>
            <w:iCs/>
            <w:color w:val="0000FF" w:themeColor="hyperlink"/>
            <w:u w:val="single"/>
          </w:rPr>
          <w:t>D1-978</w:t>
        </w:r>
      </w:fldSimple>
      <w:r>
        <w:rPr>
          <w:rFonts w:ascii="Times New Roman" w:eastAsia="MS Mincho" w:hAnsi="Times New Roman"/>
          <w:sz w:val="20"/>
          <w:i/>
          <w:iCs/>
        </w:rPr>
        <w:t>,
2013-12-20,
Žin., 2013, Nr.
139-7015 (2013-12-30), i. k. 2013-00066            </w:t>
      </w:r>
    </w:p>
    <w:p>
      <w:pPr>
        <w:widowControl w:val="0"/>
        <w:ind w:firstLine="567"/>
        <w:jc w:val="both"/>
        <w:rPr>
          <w:color w:val="000000"/>
          <w:szCs w:val="24"/>
          <w:lang w:eastAsia="lt-LT"/>
        </w:rPr>
      </w:pPr>
      <w:r>
        <w:rPr>
          <w:color w:val="000000"/>
          <w:szCs w:val="24"/>
          <w:lang w:eastAsia="lt-LT"/>
        </w:rPr>
        <w:t>10.2.2.1</w:t>
      </w:r>
      <w:r>
        <w:rPr>
          <w:color w:val="000000"/>
          <w:szCs w:val="24"/>
          <w:lang w:eastAsia="lt-LT"/>
        </w:rPr>
        <w:t>. iš Normų atitinkamo priedo kiekvieną kuro rūšį atitinkančiam kiekvienam teršalui nustatoma ribinė vertė atsižvelgiant į kurą deginančio įrenginio nominalią šiluminę galią;</w:t>
      </w:r>
    </w:p>
    <w:p>
      <w:pPr>
        <w:widowControl w:val="0"/>
        <w:ind w:firstLine="567"/>
        <w:jc w:val="both"/>
      </w:pPr>
      <w:r>
        <w:rPr>
          <w:color w:val="000000"/>
          <w:szCs w:val="24"/>
          <w:lang w:eastAsia="lt-LT"/>
        </w:rPr>
        <w:t>10.2.2.2</w:t>
      </w:r>
      <w:r>
        <w:rPr>
          <w:color w:val="000000"/>
          <w:szCs w:val="24"/>
          <w:lang w:eastAsia="lt-LT"/>
        </w:rPr>
        <w:t>. kiekvienai kuro rūšiai apskaičiuojama kiekvieno išmetamo teršalo ribinė vertė dauginant tam teršalui pagal 10.2.2.1 punktą nustatytą ribinę vertę iš kiekvieną kuro rūšį deginančio katilo nominalios šiluminės galios ir gautų sandaugų sumą padalinant iš kurą deginančio įrenginio nominalios šiluminės galios;</w:t>
      </w:r>
    </w:p>
    <w:p>
      <w:pPr>
        <w:widowControl w:val="0"/>
        <w:suppressAutoHyphens/>
        <w:ind w:firstLine="567"/>
        <w:jc w:val="both"/>
        <w:textAlignment w:val="center"/>
      </w:pPr>
      <w:r>
        <w:rPr>
          <w:color w:val="000000"/>
          <w:szCs w:val="24"/>
          <w:lang w:eastAsia="lt-LT"/>
        </w:rPr>
        <w:t>10.2.2.3</w:t>
      </w:r>
      <w:r>
        <w:rPr>
          <w:color w:val="000000"/>
          <w:szCs w:val="24"/>
          <w:lang w:eastAsia="lt-LT"/>
        </w:rPr>
        <w:t>. kai esamuose įrenginiuose kartu su kita kuro rūšimi deginamas dujinis kuras, išmetamų SO</w:t>
      </w:r>
      <w:r>
        <w:rPr>
          <w:color w:val="000000"/>
          <w:szCs w:val="24"/>
          <w:vertAlign w:val="subscript"/>
          <w:lang w:eastAsia="lt-LT"/>
        </w:rPr>
        <w:t>2</w:t>
      </w:r>
      <w:r>
        <w:rPr>
          <w:color w:val="000000"/>
          <w:szCs w:val="24"/>
          <w:lang w:eastAsia="lt-LT"/>
        </w:rPr>
        <w:t xml:space="preserve"> ir KD ribinė vertė yra iš kartu su dujiniu kuru deginamo kito kuro išmetamo SO</w:t>
      </w:r>
      <w:r>
        <w:rPr>
          <w:color w:val="000000"/>
          <w:szCs w:val="24"/>
          <w:vertAlign w:val="subscript"/>
          <w:lang w:eastAsia="lt-LT"/>
        </w:rPr>
        <w:t>2</w:t>
      </w:r>
      <w:r>
        <w:rPr>
          <w:color w:val="000000"/>
          <w:szCs w:val="24"/>
          <w:lang w:eastAsia="lt-LT"/>
        </w:rPr>
        <w:t xml:space="preserve"> ir KD ribinė vertė, nustatyta atsižvelgiant į kurą deginančio įrenginio nominalią šiluminę galią.</w:t>
      </w:r>
      <w:r>
        <w:t xml:space="preserve"> </w:t>
      </w:r>
    </w:p>
    <w:p>
      <w:pPr>
        <w:widowControl w:val="0"/>
        <w:jc w:val="both"/>
        <w:rPr>
          <w:i/>
          <w:color w:val="000000"/>
          <w:sz w:val="20"/>
          <w:szCs w:val="24"/>
          <w:lang w:eastAsia="lt-LT"/>
        </w:rPr>
      </w:pPr>
      <w:r>
        <w:rPr>
          <w:b/>
          <w:i/>
          <w:color w:val="000000"/>
          <w:sz w:val="20"/>
          <w:szCs w:val="24"/>
          <w:lang w:eastAsia="lt-LT"/>
        </w:rPr>
        <w:t>TAR pastaba</w:t>
      </w:r>
      <w:r>
        <w:rPr>
          <w:i/>
          <w:color w:val="000000"/>
          <w:sz w:val="20"/>
          <w:szCs w:val="24"/>
          <w:lang w:eastAsia="lt-LT"/>
        </w:rPr>
        <w:t>. 10 punkto nuostatos įsigalioja 2015 m. sausio 1 d.</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bb5900723711e3b29084acd991add8">
        <w:r w:rsidRPr="00532B9F">
          <w:rPr>
            <w:rFonts w:ascii="Times New Roman" w:eastAsia="MS Mincho" w:hAnsi="Times New Roman"/>
            <w:sz w:val="20"/>
            <w:i/>
            <w:iCs/>
            <w:color w:val="0000FF" w:themeColor="hyperlink"/>
            <w:u w:val="single"/>
          </w:rPr>
          <w:t>D1-978</w:t>
        </w:r>
      </w:fldSimple>
      <w:r>
        <w:rPr>
          <w:rFonts w:ascii="Times New Roman" w:eastAsia="MS Mincho" w:hAnsi="Times New Roman"/>
          <w:sz w:val="20"/>
          <w:i/>
          <w:iCs/>
        </w:rPr>
        <w:t>,
2013-12-20,
Žin., 2013, Nr.
139-7015 (2013-12-30), i. k. 2013-00066        </w:t>
      </w:r>
    </w:p>
    <w:p/>
    <w:p>
      <w:pPr>
        <w:widowControl w:val="0"/>
        <w:ind w:firstLine="567"/>
        <w:jc w:val="both"/>
        <w:rPr>
          <w:i/>
          <w:iCs/>
          <w:color w:val="000000"/>
          <w:szCs w:val="24"/>
          <w:lang w:eastAsia="lt-LT"/>
        </w:rPr>
      </w:pPr>
      <w:r>
        <w:rPr>
          <w:i/>
          <w:iCs/>
          <w:color w:val="000000"/>
          <w:szCs w:val="24"/>
          <w:lang w:eastAsia="lt-LT"/>
        </w:rPr>
        <w:t>Iš įvairų kurą vienu metu deginančio kurą deginančio įrenginio išmetamų teršalų (pvz., SO</w:t>
      </w:r>
      <w:r>
        <w:rPr>
          <w:i/>
          <w:iCs/>
          <w:color w:val="000000"/>
          <w:szCs w:val="24"/>
          <w:vertAlign w:val="subscript"/>
          <w:lang w:eastAsia="lt-LT"/>
        </w:rPr>
        <w:t>2 </w:t>
      </w:r>
      <w:r>
        <w:rPr>
          <w:i/>
          <w:iCs/>
          <w:color w:val="000000"/>
          <w:szCs w:val="24"/>
          <w:lang w:eastAsia="lt-LT"/>
        </w:rPr>
        <w:t>ir CO) ribinės vertės nustatymo pavyzdys.</w:t>
      </w:r>
    </w:p>
    <w:p>
      <w:pPr>
        <w:widowControl w:val="0"/>
        <w:ind w:firstLine="567"/>
        <w:jc w:val="both"/>
        <w:rPr>
          <w:i/>
          <w:iCs/>
          <w:color w:val="000000"/>
          <w:szCs w:val="24"/>
          <w:lang w:eastAsia="lt-LT"/>
        </w:rPr>
      </w:pPr>
      <w:r>
        <w:rPr>
          <w:i/>
          <w:iCs/>
          <w:color w:val="000000"/>
          <w:szCs w:val="24"/>
          <w:lang w:eastAsia="lt-LT"/>
        </w:rPr>
        <w:t>Statomas 45 MW naujas kurą deginantis įrenginys, kuriame vienu metu 10 MW katile bus deginamas skystasis kuras, o 35 MW katile – dujinis kuras.</w:t>
      </w:r>
    </w:p>
    <w:p>
      <w:pPr>
        <w:widowControl w:val="0"/>
        <w:ind w:firstLine="567"/>
        <w:jc w:val="both"/>
        <w:rPr>
          <w:i/>
          <w:iCs/>
          <w:color w:val="000000"/>
          <w:szCs w:val="24"/>
          <w:lang w:eastAsia="lt-LT"/>
        </w:rPr>
      </w:pPr>
      <w:r>
        <w:rPr>
          <w:i/>
          <w:iCs/>
          <w:color w:val="000000"/>
          <w:spacing w:val="-2"/>
          <w:szCs w:val="24"/>
          <w:lang w:eastAsia="lt-LT"/>
        </w:rPr>
        <w:t>Iš Normų 2 priedo pasirenkamos kurą deginančio įrenginio nominalią šiluminę galią atitinkančios SO</w:t>
      </w:r>
      <w:r>
        <w:rPr>
          <w:i/>
          <w:iCs/>
          <w:color w:val="000000"/>
          <w:spacing w:val="-2"/>
          <w:szCs w:val="24"/>
          <w:vertAlign w:val="subscript"/>
          <w:lang w:eastAsia="lt-LT"/>
        </w:rPr>
        <w:t>2</w:t>
      </w:r>
      <w:r>
        <w:rPr>
          <w:i/>
          <w:iCs/>
          <w:color w:val="000000"/>
          <w:spacing w:val="-2"/>
          <w:szCs w:val="24"/>
          <w:lang w:eastAsia="lt-LT"/>
        </w:rPr>
        <w:t> ribinės vertės (RV): dujinio kuro deginimo atveju RV</w:t>
      </w:r>
      <w:r>
        <w:rPr>
          <w:i/>
          <w:iCs/>
          <w:color w:val="000000"/>
          <w:spacing w:val="-2"/>
          <w:szCs w:val="24"/>
          <w:vertAlign w:val="subscript"/>
          <w:lang w:eastAsia="lt-LT"/>
        </w:rPr>
        <w:t>SO2</w:t>
      </w:r>
      <w:r>
        <w:rPr>
          <w:i/>
          <w:iCs/>
          <w:color w:val="000000"/>
          <w:spacing w:val="-2"/>
          <w:szCs w:val="24"/>
          <w:lang w:eastAsia="lt-LT"/>
        </w:rPr>
        <w:t xml:space="preserve"> – 35 mg/m</w:t>
      </w:r>
      <w:r>
        <w:rPr>
          <w:i/>
          <w:iCs/>
          <w:color w:val="000000"/>
          <w:spacing w:val="-2"/>
          <w:szCs w:val="24"/>
          <w:vertAlign w:val="superscript"/>
          <w:lang w:eastAsia="lt-LT"/>
        </w:rPr>
        <w:t>3</w:t>
      </w:r>
      <w:r>
        <w:rPr>
          <w:i/>
          <w:iCs/>
          <w:color w:val="000000"/>
          <w:spacing w:val="-2"/>
          <w:szCs w:val="24"/>
          <w:lang w:eastAsia="lt-LT"/>
        </w:rPr>
        <w:t>, skystojo kuro – RV</w:t>
      </w:r>
      <w:r>
        <w:rPr>
          <w:i/>
          <w:iCs/>
          <w:color w:val="000000"/>
          <w:spacing w:val="-2"/>
          <w:szCs w:val="24"/>
          <w:vertAlign w:val="subscript"/>
          <w:lang w:eastAsia="lt-LT"/>
        </w:rPr>
        <w:t>SO2</w:t>
      </w:r>
      <w:r>
        <w:rPr>
          <w:i/>
          <w:iCs/>
          <w:color w:val="000000"/>
          <w:spacing w:val="-2"/>
          <w:szCs w:val="24"/>
          <w:lang w:eastAsia="lt-LT"/>
        </w:rPr>
        <w:t xml:space="preserve"> – 1700 mg/m</w:t>
      </w:r>
      <w:r>
        <w:rPr>
          <w:i/>
          <w:iCs/>
          <w:color w:val="000000"/>
          <w:spacing w:val="-2"/>
          <w:szCs w:val="24"/>
          <w:vertAlign w:val="superscript"/>
          <w:lang w:eastAsia="lt-LT"/>
        </w:rPr>
        <w:t>3</w:t>
      </w:r>
      <w:r>
        <w:rPr>
          <w:i/>
          <w:iCs/>
          <w:color w:val="000000"/>
          <w:spacing w:val="-2"/>
          <w:szCs w:val="24"/>
          <w:lang w:eastAsia="lt-LT"/>
        </w:rPr>
        <w:t>. Apskaičiuota RV</w:t>
      </w:r>
      <w:r>
        <w:rPr>
          <w:i/>
          <w:iCs/>
          <w:color w:val="000000"/>
          <w:spacing w:val="-2"/>
          <w:szCs w:val="24"/>
          <w:vertAlign w:val="subscript"/>
          <w:lang w:eastAsia="lt-LT"/>
        </w:rPr>
        <w:t>SO2 (iš KDĮ)</w:t>
      </w:r>
      <w:r>
        <w:rPr>
          <w:i/>
          <w:iCs/>
          <w:color w:val="000000"/>
          <w:spacing w:val="-2"/>
          <w:szCs w:val="24"/>
          <w:lang w:eastAsia="lt-LT"/>
        </w:rPr>
        <w:t xml:space="preserve"> = ((35</w:t>
      </w:r>
      <w:r>
        <w:rPr>
          <w:i/>
          <w:iCs/>
          <w:color w:val="000000"/>
          <w:spacing w:val="-2"/>
          <w:szCs w:val="24"/>
          <w:lang w:val="en-US" w:eastAsia="lt-LT"/>
        </w:rPr>
        <w:t>x</w:t>
      </w:r>
      <w:r>
        <w:rPr>
          <w:i/>
          <w:iCs/>
          <w:color w:val="000000"/>
          <w:spacing w:val="-2"/>
          <w:szCs w:val="24"/>
          <w:lang w:eastAsia="lt-LT"/>
        </w:rPr>
        <w:t>35) + (1</w:t>
      </w:r>
      <w:r>
        <w:rPr>
          <w:i/>
          <w:iCs/>
          <w:color w:val="000000"/>
          <w:szCs w:val="24"/>
          <w:lang w:eastAsia="lt-LT"/>
        </w:rPr>
        <w:t>700</w:t>
      </w:r>
      <w:r>
        <w:rPr>
          <w:color w:val="000000"/>
          <w:szCs w:val="24"/>
          <w:lang w:eastAsia="lt-LT"/>
        </w:rPr>
        <w:t>x</w:t>
      </w:r>
      <w:r>
        <w:rPr>
          <w:i/>
          <w:iCs/>
          <w:color w:val="000000"/>
          <w:szCs w:val="24"/>
          <w:lang w:eastAsia="lt-LT"/>
        </w:rPr>
        <w:t>10)) / 45 = 405 mg/m</w:t>
      </w:r>
      <w:r>
        <w:rPr>
          <w:i/>
          <w:iCs/>
          <w:color w:val="000000"/>
          <w:szCs w:val="24"/>
          <w:vertAlign w:val="superscript"/>
          <w:lang w:eastAsia="lt-LT"/>
        </w:rPr>
        <w:t>3</w:t>
      </w:r>
      <w:r>
        <w:rPr>
          <w:i/>
          <w:iCs/>
          <w:color w:val="000000"/>
          <w:szCs w:val="24"/>
          <w:lang w:eastAsia="lt-LT"/>
        </w:rPr>
        <w:t>.</w:t>
      </w:r>
    </w:p>
    <w:p>
      <w:pPr>
        <w:widowControl w:val="0"/>
        <w:ind w:firstLine="567"/>
        <w:jc w:val="both"/>
        <w:rPr>
          <w:i/>
          <w:iCs/>
          <w:color w:val="000000"/>
          <w:szCs w:val="24"/>
          <w:lang w:eastAsia="lt-LT"/>
        </w:rPr>
      </w:pPr>
      <w:r>
        <w:rPr>
          <w:i/>
          <w:iCs/>
          <w:color w:val="000000"/>
          <w:szCs w:val="24"/>
          <w:lang w:eastAsia="lt-LT"/>
        </w:rPr>
        <w:t xml:space="preserve">Iš Normų 2 priedo turi būti pasirenkama kurą deginančio įrenginio nominalią šiluminę galią (45 MW) atitinkanti didesnė </w:t>
      </w:r>
      <w:r>
        <w:rPr>
          <w:i/>
          <w:iCs/>
          <w:color w:val="000000"/>
          <w:spacing w:val="-6"/>
          <w:szCs w:val="24"/>
          <w:lang w:eastAsia="lt-LT"/>
        </w:rPr>
        <w:t>CO ribinė vertė, tačiau projektuojamam 45 MW kurą deginančiam įrenginiui, ji skystajam ir dujiniam kurui vienoda – 400 mg/m</w:t>
      </w:r>
      <w:r>
        <w:rPr>
          <w:i/>
          <w:iCs/>
          <w:color w:val="000000"/>
          <w:spacing w:val="-6"/>
          <w:szCs w:val="24"/>
          <w:vertAlign w:val="superscript"/>
          <w:lang w:eastAsia="lt-LT"/>
        </w:rPr>
        <w:t>3</w:t>
      </w:r>
      <w:r>
        <w:rPr>
          <w:i/>
          <w:iCs/>
          <w:color w:val="000000"/>
          <w:spacing w:val="-6"/>
          <w:szCs w:val="24"/>
          <w:lang w:eastAsia="lt-LT"/>
        </w:rPr>
        <w:t>.</w:t>
      </w:r>
    </w:p>
    <w:p>
      <w:pPr>
        <w:widowControl w:val="0"/>
        <w:ind w:firstLine="567"/>
        <w:jc w:val="both"/>
        <w:rPr>
          <w:color w:val="000000"/>
          <w:szCs w:val="24"/>
          <w:lang w:eastAsia="lt-LT"/>
        </w:rPr>
      </w:pPr>
      <w:r>
        <w:rPr>
          <w:color w:val="000000"/>
          <w:szCs w:val="24"/>
          <w:lang w:eastAsia="lt-LT"/>
        </w:rPr>
        <w:t>11</w:t>
      </w:r>
      <w:r>
        <w:rPr>
          <w:color w:val="000000"/>
          <w:szCs w:val="24"/>
          <w:lang w:eastAsia="lt-LT"/>
        </w:rPr>
        <w:t>. Išmetamo teršalo ribinė vertė išreikšta medžiagos mase išmetamųjų dujų tūrio vienete (mg/Nm</w:t>
      </w:r>
      <w:r>
        <w:rPr>
          <w:color w:val="000000"/>
          <w:szCs w:val="24"/>
          <w:vertAlign w:val="superscript"/>
          <w:lang w:eastAsia="lt-LT"/>
        </w:rPr>
        <w:t>3</w:t>
      </w:r>
      <w:r>
        <w:rPr>
          <w:color w:val="000000"/>
          <w:szCs w:val="24"/>
          <w:lang w:eastAsia="lt-LT"/>
        </w:rPr>
        <w:t>) laikant, kad deguonies (O</w:t>
      </w:r>
      <w:r>
        <w:rPr>
          <w:color w:val="000000"/>
          <w:szCs w:val="24"/>
          <w:vertAlign w:val="subscript"/>
          <w:lang w:eastAsia="lt-LT"/>
        </w:rPr>
        <w:t>2</w:t>
      </w:r>
      <w:r>
        <w:rPr>
          <w:color w:val="000000"/>
          <w:szCs w:val="24"/>
          <w:lang w:eastAsia="lt-LT"/>
        </w:rPr>
        <w:t>) kiekis išmetamųjų dujų tūryje, t. y. standartinė O</w:t>
      </w:r>
      <w:r>
        <w:rPr>
          <w:color w:val="000000"/>
          <w:szCs w:val="24"/>
          <w:vertAlign w:val="subscript"/>
          <w:lang w:eastAsia="lt-LT"/>
        </w:rPr>
        <w:t>2</w:t>
      </w:r>
      <w:r>
        <w:rPr>
          <w:color w:val="000000"/>
          <w:szCs w:val="24"/>
          <w:lang w:eastAsia="lt-LT"/>
        </w:rPr>
        <w:t> koncentracija – yra 3 % deginant skystąjį ar dujinį kurą, 6 % – deginant kietąjį kurą.</w:t>
      </w:r>
    </w:p>
    <w:p>
      <w:pPr>
        <w:widowControl w:val="0"/>
        <w:ind w:firstLine="567"/>
        <w:jc w:val="both"/>
        <w:rPr>
          <w:i/>
          <w:iCs/>
          <w:color w:val="000000"/>
          <w:szCs w:val="24"/>
          <w:lang w:eastAsia="lt-LT"/>
        </w:rPr>
      </w:pPr>
      <w:r>
        <w:rPr>
          <w:color w:val="000000"/>
          <w:szCs w:val="24"/>
          <w:lang w:eastAsia="lt-LT"/>
        </w:rPr>
        <w:t>12</w:t>
      </w:r>
      <w:r>
        <w:rPr>
          <w:color w:val="000000"/>
          <w:szCs w:val="24"/>
          <w:lang w:eastAsia="lt-LT"/>
        </w:rPr>
        <w:t>. Išmetamųjų dujų tūrio srauto debitas matuojamas kubiniais metrais per valandą (Nm</w:t>
      </w:r>
      <w:r>
        <w:rPr>
          <w:color w:val="000000"/>
          <w:szCs w:val="24"/>
          <w:vertAlign w:val="superscript"/>
          <w:lang w:eastAsia="lt-LT"/>
        </w:rPr>
        <w:t>3</w:t>
      </w:r>
      <w:r>
        <w:rPr>
          <w:color w:val="000000"/>
          <w:szCs w:val="24"/>
          <w:lang w:eastAsia="lt-LT"/>
        </w:rPr>
        <w:t>/h) esant normaliosioms sąlygoms, t. y. 273 K° temperatūrai ir 101.3 kPa slėgiui, atmetus vandens garų kiekį.</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IŠMETAMŲ TERŠALŲ RIBINĖS VERTĖS LAIKYMOSI KONTROLĖ</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13</w:t>
      </w:r>
      <w:r>
        <w:rPr>
          <w:color w:val="000000"/>
          <w:szCs w:val="24"/>
          <w:lang w:eastAsia="lt-LT"/>
        </w:rPr>
        <w:t>. Iš kurą deginančių įrenginių į aplinkos orą išmetamų teršalų ribinės vertės laikymasis kontroliuojamas nenuolatinių į aplinkos orą išmetamų teršalų koncentracijos matavimų būdu, kurą deginančiam įrenginiui veikiant įprastinėmis jo eksploatavimo sąlygomis.</w:t>
      </w:r>
    </w:p>
    <w:p>
      <w:pPr>
        <w:widowControl w:val="0"/>
        <w:ind w:firstLine="567"/>
        <w:jc w:val="both"/>
        <w:rPr>
          <w:color w:val="000000"/>
          <w:szCs w:val="24"/>
          <w:lang w:eastAsia="lt-LT"/>
        </w:rPr>
      </w:pPr>
      <w:r>
        <w:rPr>
          <w:color w:val="000000"/>
          <w:szCs w:val="24"/>
          <w:lang w:eastAsia="lt-LT"/>
        </w:rPr>
        <w:t>14</w:t>
      </w:r>
      <w:r>
        <w:rPr>
          <w:color w:val="000000"/>
          <w:szCs w:val="24"/>
          <w:lang w:eastAsia="lt-LT"/>
        </w:rPr>
        <w:t>. Taršos šaltinių išmetamų į aplinkos orą teršalų matavimus ir tyrimus gali atlikti laboratorijos, kurios turi leidimą tokiems matavimams atlikti pagal Leidimų atlikti taršos šaltinių išmetamų į aplinką teršalų ir teršalų aplinkos elementuose matavimus ir tyrimus išdavimo tvarką, patvirtintą Lietuvos Respublikos aplinkos ministro 2004 m. gruodžio 30 d. įsakymu Nr. D1-711 (Žin., 2005, Nr. </w:t>
      </w:r>
      <w:hyperlink r:id="rId21" w:tgtFrame="_blank" w:history="1">
        <w:r>
          <w:rPr>
            <w:color w:val="0000FF" w:themeColor="hyperlink"/>
            <w:szCs w:val="24"/>
            <w:u w:val="single"/>
            <w:lang w:eastAsia="lt-LT"/>
          </w:rPr>
          <w:t>4-81</w:t>
        </w:r>
      </w:hyperlink>
      <w:r>
        <w:rPr>
          <w:color w:val="000000"/>
          <w:szCs w:val="24"/>
          <w:lang w:eastAsia="lt-LT"/>
        </w:rPr>
        <w:t>; 2007, Nr. 108-4444).</w:t>
      </w:r>
    </w:p>
    <w:p>
      <w:pPr>
        <w:widowControl w:val="0"/>
        <w:ind w:firstLine="567"/>
        <w:jc w:val="both"/>
        <w:rPr>
          <w:color w:val="000000"/>
          <w:szCs w:val="24"/>
          <w:lang w:eastAsia="lt-LT"/>
        </w:rPr>
      </w:pPr>
      <w:r>
        <w:rPr>
          <w:color w:val="000000"/>
          <w:szCs w:val="24"/>
          <w:lang w:eastAsia="lt-LT"/>
        </w:rPr>
        <w:t>15</w:t>
      </w:r>
      <w:r>
        <w:rPr>
          <w:color w:val="000000"/>
          <w:szCs w:val="24"/>
          <w:lang w:eastAsia="lt-LT"/>
        </w:rPr>
        <w:t>. Iš kurą deginančių įrenginių, kurių nominali šiluminė galia 0,12 MW ir didesnė, bet nesiekia 1 MW, ir kuriuose kurui naudojamas dujinis kuras, išmetamų į aplinkos orą teršalų ribinės vertės laikymasis turi būti patikrintas ne rečiau kaip vieną kartą per penkerius metus. Tikrinimas turi būti atliekamas šildymo sezono laikotarpiu.</w:t>
      </w:r>
    </w:p>
    <w:p>
      <w:pPr>
        <w:widowControl w:val="0"/>
        <w:ind w:firstLine="567"/>
        <w:jc w:val="both"/>
        <w:rPr>
          <w:color w:val="000000"/>
          <w:szCs w:val="24"/>
          <w:lang w:eastAsia="lt-LT"/>
        </w:rPr>
      </w:pPr>
      <w:r>
        <w:rPr>
          <w:color w:val="000000"/>
          <w:szCs w:val="24"/>
          <w:lang w:eastAsia="lt-LT"/>
        </w:rPr>
        <w:t>16</w:t>
      </w:r>
      <w:r>
        <w:rPr>
          <w:color w:val="000000"/>
          <w:szCs w:val="24"/>
          <w:lang w:eastAsia="lt-LT"/>
        </w:rPr>
        <w:t>. Iš kurą deginančių įrenginių, kurių nominali šiluminė galia 0,12 MW ir didesnė, bet nesiekia 1 MW, ir kuriuose kurui naudojamas skystasis arba kietasis kuras, išmetamų į aplinkos orą teršalų ribinės vertės laikymasis turi būti patikrintas ne rečiau kaip vieną kartą per šildymo sezoną.</w:t>
      </w:r>
    </w:p>
    <w:p>
      <w:pPr>
        <w:widowControl w:val="0"/>
        <w:ind w:firstLine="567"/>
        <w:jc w:val="both"/>
        <w:rPr>
          <w:color w:val="000000"/>
          <w:szCs w:val="24"/>
          <w:lang w:eastAsia="lt-LT"/>
        </w:rPr>
      </w:pPr>
      <w:r>
        <w:rPr>
          <w:color w:val="000000"/>
          <w:szCs w:val="24"/>
          <w:lang w:eastAsia="lt-LT"/>
        </w:rPr>
        <w:t>17</w:t>
      </w:r>
      <w:r>
        <w:rPr>
          <w:color w:val="000000"/>
          <w:szCs w:val="24"/>
          <w:lang w:eastAsia="lt-LT"/>
        </w:rPr>
        <w:t>. Iš kurą deginančių įrenginių, kurių nominali šiluminė galia 1 MW ir didesnė, bet nesiekia 10 MW, ir kuriuose kurui naudojamas dujinis kuras, išmetamų į aplinkos orą teršalų ribinės vertės laikymasis turi būti patikrintas ne rečiau kaip vieną kartą per trejus metus. Tikrinimas turi būti atliekamas šildymo sezono laikotarpiu.</w:t>
      </w:r>
    </w:p>
    <w:p>
      <w:pPr>
        <w:widowControl w:val="0"/>
        <w:ind w:firstLine="567"/>
        <w:jc w:val="both"/>
        <w:rPr>
          <w:color w:val="000000"/>
          <w:szCs w:val="24"/>
          <w:lang w:eastAsia="lt-LT"/>
        </w:rPr>
      </w:pPr>
      <w:r>
        <w:rPr>
          <w:color w:val="000000"/>
          <w:szCs w:val="24"/>
          <w:lang w:eastAsia="lt-LT"/>
        </w:rPr>
        <w:t>18</w:t>
      </w:r>
      <w:r>
        <w:rPr>
          <w:color w:val="000000"/>
          <w:szCs w:val="24"/>
          <w:lang w:eastAsia="lt-LT"/>
        </w:rPr>
        <w:t>. Iš kurą deginančių įrenginių, kurių nominali šiluminė galia 1 MW ir didesnė, bet nesiekia 10 MW, ir kuriuose kurui naudojamas skystasis arba kietasis kuras, išmetamų į aplinkos orą teršalų ribinės vertės laikymasis turi būti patikrintas ne rečiau kaip vieną kartą per šildymo sezoną.</w:t>
      </w:r>
    </w:p>
    <w:p>
      <w:pPr>
        <w:widowControl w:val="0"/>
        <w:ind w:firstLine="567"/>
        <w:jc w:val="both"/>
        <w:rPr>
          <w:color w:val="000000"/>
          <w:szCs w:val="24"/>
          <w:lang w:eastAsia="lt-LT"/>
        </w:rPr>
      </w:pPr>
      <w:r>
        <w:rPr>
          <w:color w:val="000000"/>
          <w:szCs w:val="24"/>
          <w:lang w:eastAsia="lt-LT"/>
        </w:rPr>
        <w:t>19</w:t>
      </w:r>
      <w:r>
        <w:rPr>
          <w:color w:val="000000"/>
          <w:szCs w:val="24"/>
          <w:lang w:eastAsia="lt-LT"/>
        </w:rPr>
        <w:t>. Iš kurą deginančių įrenginių, kurių nominali šiluminė galia 10 MW ir didesnė, bet nesiekia 20 MW, išmetamų į aplinkos orą teršalų ribinės vertės laikymasis turi būti patikrintas ne rečiau kaip du kartus per metus. Vienas tikrinimas turi būti atliekamas šildymo sezono laikotarpiu.</w:t>
      </w:r>
    </w:p>
    <w:p>
      <w:pPr>
        <w:widowControl w:val="0"/>
        <w:ind w:firstLine="567"/>
        <w:jc w:val="both"/>
        <w:rPr>
          <w:color w:val="000000"/>
          <w:szCs w:val="24"/>
          <w:lang w:eastAsia="lt-LT"/>
        </w:rPr>
      </w:pPr>
      <w:r>
        <w:rPr>
          <w:color w:val="000000"/>
          <w:szCs w:val="24"/>
          <w:lang w:eastAsia="lt-LT"/>
        </w:rPr>
        <w:t>20</w:t>
      </w:r>
      <w:r>
        <w:rPr>
          <w:color w:val="000000"/>
          <w:szCs w:val="24"/>
          <w:lang w:eastAsia="lt-LT"/>
        </w:rPr>
        <w:t>. Iš įvairų kurą deginančių įrenginių išmetamų į aplinkos orą teršalų ribinės vertės laikymasis turi būti patikrintas vadovaujantis Normų 15–19 punktuose nustatytu periodiškumu, taikomu kurui, kurį kūrenant į aplinkos orą išmetama daugiau teršalų.</w:t>
      </w:r>
    </w:p>
    <w:p>
      <w:pPr>
        <w:ind w:firstLine="567"/>
        <w:jc w:val="both"/>
      </w:pPr>
      <w:r>
        <w:rPr>
          <w:szCs w:val="24"/>
          <w:lang w:eastAsia="lt-LT"/>
        </w:rPr>
        <w:t>21</w:t>
      </w:r>
      <w:r>
        <w:rPr>
          <w:szCs w:val="24"/>
          <w:lang w:eastAsia="lt-LT"/>
        </w:rPr>
        <w:t>. Iš kurą deginančių įrenginių, kurių nominali šiluminė galia 20 MW ir didesnė, išmetamų į aplinkos orą teršalų ribinės vertės laikymasis turi būti tikrinamas ne rečiau kaip du kartus per metus (vienas turi būti atliekamas šildymo sezono laikotarpiu)</w:t>
      </w:r>
      <w:r>
        <w:t>.</w:t>
      </w:r>
    </w:p>
    <w:p>
      <w:pPr>
        <w:jc w:val="both"/>
        <w:rPr>
          <w:i/>
          <w:color w:val="000000"/>
          <w:sz w:val="20"/>
          <w:szCs w:val="24"/>
          <w:lang w:eastAsia="lt-LT"/>
        </w:rPr>
      </w:pPr>
      <w:r>
        <w:rPr>
          <w:b/>
          <w:i/>
          <w:color w:val="000000"/>
          <w:sz w:val="20"/>
          <w:szCs w:val="24"/>
          <w:lang w:eastAsia="lt-LT"/>
        </w:rPr>
        <w:t>TAR pastaba</w:t>
      </w:r>
      <w:r>
        <w:rPr>
          <w:i/>
          <w:color w:val="000000"/>
          <w:sz w:val="20"/>
          <w:szCs w:val="24"/>
          <w:lang w:eastAsia="lt-LT"/>
        </w:rPr>
        <w:t xml:space="preserve">. 21 p. </w:t>
      </w:r>
      <w:r>
        <w:rPr>
          <w:i/>
          <w:sz w:val="20"/>
          <w:szCs w:val="24"/>
          <w:lang w:eastAsia="lt-LT"/>
        </w:rPr>
        <w:t>nuostatos taikomos rengiant kuro ir iš kurą deginančio įrenginio į aplinkos orą išmesto teršalų kiekio apskaitos 2016 metų ataskaitas.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bb5900723711e3b29084acd991add8">
        <w:r w:rsidRPr="00532B9F">
          <w:rPr>
            <w:rFonts w:ascii="Times New Roman" w:eastAsia="MS Mincho" w:hAnsi="Times New Roman"/>
            <w:sz w:val="20"/>
            <w:i/>
            <w:iCs/>
            <w:color w:val="0000FF" w:themeColor="hyperlink"/>
            <w:u w:val="single"/>
          </w:rPr>
          <w:t>D1-978</w:t>
        </w:r>
      </w:fldSimple>
      <w:r>
        <w:rPr>
          <w:rFonts w:ascii="Times New Roman" w:eastAsia="MS Mincho" w:hAnsi="Times New Roman"/>
          <w:sz w:val="20"/>
          <w:i/>
          <w:iCs/>
        </w:rPr>
        <w:t>,
2013-12-20,
Žin., 2013, Nr.
139-7015 (2013-12-30), i. k. 2013-00066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9aeb80b87311e693eea1ef35f20da9">
        <w:r w:rsidRPr="00532B9F">
          <w:rPr>
            <w:rFonts w:ascii="Times New Roman" w:eastAsia="MS Mincho" w:hAnsi="Times New Roman"/>
            <w:sz w:val="20"/>
            <w:i/>
            <w:iCs/>
            <w:color w:val="0000FF" w:themeColor="hyperlink"/>
            <w:u w:val="single"/>
          </w:rPr>
          <w:t>D1-846</w:t>
        </w:r>
      </w:fldSimple>
      <w:r>
        <w:rPr>
          <w:rFonts w:ascii="Times New Roman" w:eastAsia="MS Mincho" w:hAnsi="Times New Roman"/>
          <w:sz w:val="20"/>
          <w:i/>
          <w:iCs/>
        </w:rPr>
        <w:t>,
2016-12-02,
paskelbta TAR 2016-12-02, i. k. 2016-28124            </w:t>
      </w:r>
    </w:p>
    <w:p/>
    <w:p>
      <w:pPr>
        <w:widowControl w:val="0"/>
        <w:ind w:firstLine="567"/>
        <w:jc w:val="both"/>
        <w:rPr>
          <w:color w:val="000000"/>
          <w:szCs w:val="24"/>
          <w:lang w:eastAsia="lt-LT"/>
        </w:rPr>
      </w:pPr>
      <w:r>
        <w:rPr>
          <w:color w:val="000000"/>
          <w:szCs w:val="24"/>
          <w:lang w:eastAsia="lt-LT"/>
        </w:rPr>
        <w:t>22</w:t>
      </w:r>
      <w:r>
        <w:rPr>
          <w:color w:val="000000"/>
          <w:szCs w:val="24"/>
          <w:lang w:eastAsia="lt-LT"/>
        </w:rPr>
        <w:t>. Į aplinkos orą išmetamų teršalų koncentracijos matavimo ir tyrimo rezultatus atspindinčius dokumentus, taip pat patikrinimų dokumentus veiklos vykdytojas ūkinės veiklos objekte turi saugoti ne trumpiau kaip penkerius metus ir nedelsiant pateikti aplinkos apsaugos valstybinės kontrolės pareigūnams jiems pareikalavus.</w:t>
      </w:r>
    </w:p>
    <w:p>
      <w:pPr>
        <w:widowControl w:val="0"/>
        <w:ind w:firstLine="567"/>
        <w:jc w:val="both"/>
        <w:rPr>
          <w:color w:val="000000"/>
          <w:szCs w:val="24"/>
          <w:lang w:eastAsia="lt-LT"/>
        </w:rPr>
      </w:pPr>
      <w:r>
        <w:rPr>
          <w:color w:val="000000"/>
          <w:szCs w:val="24"/>
          <w:lang w:eastAsia="lt-LT"/>
        </w:rPr>
        <w:t>23</w:t>
      </w:r>
      <w:r>
        <w:rPr>
          <w:color w:val="000000"/>
          <w:szCs w:val="24"/>
          <w:lang w:eastAsia="lt-LT"/>
        </w:rPr>
        <w:t>. Iš kurą deginančio įrenginio išmetamų teršalų ribinės vertės laikymasis kontroliuojamas, t. y. koncentracija matuojama išmetamųjų dujų išmetimo iš kamino mėginių paėmimo vietoje arba gali būti matuojama ir kiekvieno katilo dūmtakyje įrengtoje mėginių paėmimo vietoje.</w:t>
      </w:r>
    </w:p>
    <w:p>
      <w:pPr>
        <w:widowControl w:val="0"/>
        <w:ind w:firstLine="567"/>
        <w:jc w:val="both"/>
        <w:rPr>
          <w:color w:val="000000"/>
          <w:szCs w:val="24"/>
          <w:lang w:eastAsia="lt-LT"/>
        </w:rPr>
      </w:pPr>
      <w:r>
        <w:rPr>
          <w:color w:val="000000"/>
          <w:szCs w:val="24"/>
          <w:lang w:eastAsia="lt-LT"/>
        </w:rPr>
        <w:t>24</w:t>
      </w:r>
      <w:r>
        <w:rPr>
          <w:color w:val="000000"/>
          <w:szCs w:val="24"/>
          <w:lang w:eastAsia="lt-LT"/>
        </w:rPr>
        <w:t>. Kai iš kurą deginančio įrenginio išmetamųjų teršalų koncentracijos matavimo vietos įrengtos atskirų katilų dūmtakiuose, iš kurą deginančio įrenginio išmetamo teršalo faktinė koncentracijos vertė apskaičiuojama sumuojant iš kiekvieno katilo išmetamo teršalo faktinės koncentracijos, išreikštos mg/Nm</w:t>
      </w:r>
      <w:r>
        <w:rPr>
          <w:color w:val="000000"/>
          <w:szCs w:val="24"/>
          <w:vertAlign w:val="superscript"/>
          <w:lang w:eastAsia="lt-LT"/>
        </w:rPr>
        <w:t>3</w:t>
      </w:r>
      <w:r>
        <w:rPr>
          <w:color w:val="000000"/>
          <w:szCs w:val="24"/>
          <w:lang w:eastAsia="lt-LT"/>
        </w:rPr>
        <w:t>, esant standartinei O</w:t>
      </w:r>
      <w:r>
        <w:rPr>
          <w:color w:val="000000"/>
          <w:szCs w:val="24"/>
          <w:vertAlign w:val="subscript"/>
          <w:lang w:eastAsia="lt-LT"/>
        </w:rPr>
        <w:t>2</w:t>
      </w:r>
      <w:r>
        <w:rPr>
          <w:color w:val="000000"/>
          <w:szCs w:val="24"/>
          <w:lang w:eastAsia="lt-LT"/>
        </w:rPr>
        <w:t> koncentracijai, sandaugas su atitinkamo katilo nominalia šilumine galia ir gautą rezultatą (sumą) dalijant iš išmetamų teršalų kontrolės metu veikusių katilų bendros nominalios šiluminės galios.</w:t>
      </w:r>
    </w:p>
    <w:p>
      <w:pPr>
        <w:widowControl w:val="0"/>
        <w:ind w:firstLine="567"/>
        <w:jc w:val="both"/>
        <w:rPr>
          <w:i/>
          <w:iCs/>
          <w:color w:val="000000"/>
          <w:szCs w:val="24"/>
          <w:lang w:eastAsia="lt-LT"/>
        </w:rPr>
      </w:pPr>
      <w:r>
        <w:rPr>
          <w:i/>
          <w:iCs/>
          <w:color w:val="000000"/>
          <w:szCs w:val="24"/>
          <w:lang w:eastAsia="lt-LT"/>
        </w:rPr>
        <w:t>Faktinės iš kurą deginančio įrenginio išmetamo teršalo koncentracijos apskaičiavimo, kai matavimai atlikti atskirų katilų dūmtakiuose, pavyzdys.</w:t>
      </w:r>
    </w:p>
    <w:p>
      <w:pPr>
        <w:widowControl w:val="0"/>
        <w:ind w:firstLine="567"/>
        <w:jc w:val="both"/>
        <w:rPr>
          <w:color w:val="000000"/>
          <w:szCs w:val="24"/>
          <w:lang w:eastAsia="lt-LT"/>
        </w:rPr>
      </w:pPr>
      <w:r>
        <w:rPr>
          <w:i/>
          <w:iCs/>
          <w:color w:val="000000"/>
          <w:szCs w:val="24"/>
          <w:lang w:eastAsia="lt-LT"/>
        </w:rPr>
        <w:t>Bendra naujo kurą deginančio įrenginio, kurį sudaro 4 katilai, nominali šiluminė galia yra 45 MW. Iš šio kurą deginančio įrenginio išmetamų teršalų kontrolės metu veikė trys katilai – 5, 10 ir 15 MW nominalios šiluminės galios. Dviejuose katiluose (5 ir 10 MW) degintas dujinis kuras, viename (15 MW) – skystasis kuras. Atskiruose dūmtakiuose išmatuota NO</w:t>
      </w:r>
      <w:r>
        <w:rPr>
          <w:i/>
          <w:iCs/>
          <w:color w:val="000000"/>
          <w:szCs w:val="24"/>
          <w:vertAlign w:val="subscript"/>
          <w:lang w:eastAsia="lt-LT"/>
        </w:rPr>
        <w:t>x</w:t>
      </w:r>
      <w:r>
        <w:rPr>
          <w:i/>
          <w:iCs/>
          <w:color w:val="000000"/>
          <w:szCs w:val="24"/>
          <w:lang w:eastAsia="lt-LT"/>
        </w:rPr>
        <w:t xml:space="preserve"> koncentracija atitinkamai buvo 230, 300 ir 460 mg/Nm</w:t>
      </w:r>
      <w:r>
        <w:rPr>
          <w:i/>
          <w:iCs/>
          <w:color w:val="000000"/>
          <w:szCs w:val="24"/>
          <w:vertAlign w:val="superscript"/>
          <w:lang w:eastAsia="lt-LT"/>
        </w:rPr>
        <w:t>3</w:t>
      </w:r>
      <w:r>
        <w:rPr>
          <w:i/>
          <w:iCs/>
          <w:color w:val="000000"/>
          <w:szCs w:val="24"/>
          <w:lang w:eastAsia="lt-LT"/>
        </w:rPr>
        <w:t>, esant 3 % standartinei O</w:t>
      </w:r>
      <w:r>
        <w:rPr>
          <w:i/>
          <w:iCs/>
          <w:color w:val="000000"/>
          <w:szCs w:val="24"/>
          <w:vertAlign w:val="subscript"/>
          <w:lang w:eastAsia="lt-LT"/>
        </w:rPr>
        <w:t>2 </w:t>
      </w:r>
      <w:r>
        <w:rPr>
          <w:i/>
          <w:iCs/>
          <w:color w:val="000000"/>
          <w:szCs w:val="24"/>
          <w:lang w:eastAsia="lt-LT"/>
        </w:rPr>
        <w:t>koncentracijai</w:t>
      </w:r>
      <w:r>
        <w:rPr>
          <w:color w:val="000000"/>
          <w:szCs w:val="24"/>
          <w:lang w:eastAsia="lt-LT"/>
        </w:rPr>
        <w:t>.</w:t>
      </w:r>
    </w:p>
    <w:p>
      <w:pPr>
        <w:widowControl w:val="0"/>
        <w:ind w:firstLine="567"/>
        <w:jc w:val="both"/>
        <w:rPr>
          <w:i/>
          <w:iCs/>
          <w:color w:val="000000"/>
          <w:szCs w:val="24"/>
          <w:lang w:eastAsia="lt-LT"/>
        </w:rPr>
      </w:pPr>
      <w:r>
        <w:rPr>
          <w:i/>
          <w:iCs/>
          <w:color w:val="000000"/>
          <w:szCs w:val="24"/>
          <w:lang w:eastAsia="lt-LT"/>
        </w:rPr>
        <w:t>Iš šio kurą deginančio įrenginio išmetamų NO</w:t>
      </w:r>
      <w:r>
        <w:rPr>
          <w:i/>
          <w:iCs/>
          <w:color w:val="000000"/>
          <w:szCs w:val="24"/>
          <w:vertAlign w:val="subscript"/>
          <w:lang w:eastAsia="lt-LT"/>
        </w:rPr>
        <w:t>x</w:t>
      </w:r>
      <w:r>
        <w:rPr>
          <w:i/>
          <w:iCs/>
          <w:color w:val="000000"/>
          <w:szCs w:val="24"/>
          <w:lang w:eastAsia="lt-LT"/>
        </w:rPr>
        <w:t xml:space="preserve"> faktinė koncentracija apskaičiuojama:</w:t>
      </w:r>
    </w:p>
    <w:p>
      <w:pPr>
        <w:widowControl w:val="0"/>
        <w:ind w:firstLine="567"/>
        <w:jc w:val="both"/>
        <w:rPr>
          <w:color w:val="000000"/>
          <w:szCs w:val="24"/>
          <w:lang w:eastAsia="lt-LT"/>
        </w:rPr>
      </w:pPr>
      <w:r>
        <w:rPr>
          <w:lang w:eastAsia="lt-LT"/>
        </w:rPr>
        <w:drawing>
          <wp:inline distT="0" distB="0" distL="0" distR="0">
            <wp:extent cx="5467350" cy="6000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67350" cy="600075"/>
                    </a:xfrm>
                    <a:prstGeom prst="rect">
                      <a:avLst/>
                    </a:prstGeom>
                  </pic:spPr>
                </pic:pic>
              </a:graphicData>
            </a:graphic>
          </wp:inline>
        </w:drawing>
      </w:r>
    </w:p>
    <w:p>
      <w:pPr>
        <w:widowControl w:val="0"/>
        <w:ind w:firstLine="567"/>
        <w:jc w:val="both"/>
        <w:rPr>
          <w:i/>
          <w:iCs/>
          <w:color w:val="000000"/>
          <w:szCs w:val="24"/>
          <w:lang w:eastAsia="lt-LT"/>
        </w:rPr>
      </w:pPr>
      <w:r>
        <w:rPr>
          <w:i/>
          <w:iCs/>
          <w:color w:val="000000"/>
          <w:szCs w:val="24"/>
          <w:lang w:eastAsia="lt-LT"/>
        </w:rPr>
        <w:t>Kadangi naujo kurą deginančio įrenginio nominali šiluminė galia yra 45 MW, iš jo išmetamų NO</w:t>
      </w:r>
      <w:r>
        <w:rPr>
          <w:i/>
          <w:iCs/>
          <w:color w:val="000000"/>
          <w:szCs w:val="24"/>
          <w:vertAlign w:val="subscript"/>
          <w:lang w:eastAsia="lt-LT"/>
        </w:rPr>
        <w:t>x</w:t>
      </w:r>
      <w:r>
        <w:rPr>
          <w:i/>
          <w:iCs/>
          <w:color w:val="000000"/>
          <w:szCs w:val="24"/>
          <w:lang w:eastAsia="lt-LT"/>
        </w:rPr>
        <w:t xml:space="preserve"> ribinė vertė pagal Normų 2 priedą yra 450 mg/Nm</w:t>
      </w:r>
      <w:r>
        <w:rPr>
          <w:i/>
          <w:iCs/>
          <w:color w:val="000000"/>
          <w:szCs w:val="24"/>
          <w:vertAlign w:val="superscript"/>
          <w:lang w:eastAsia="lt-LT"/>
        </w:rPr>
        <w:t>3</w:t>
      </w:r>
      <w:r>
        <w:rPr>
          <w:i/>
          <w:iCs/>
          <w:color w:val="000000"/>
          <w:szCs w:val="24"/>
          <w:lang w:eastAsia="lt-LT"/>
        </w:rPr>
        <w:t> ir ji matavimo metu neviršyta.</w:t>
      </w:r>
    </w:p>
    <w:p>
      <w:pPr>
        <w:widowControl w:val="0"/>
        <w:ind w:firstLine="567"/>
        <w:jc w:val="both"/>
        <w:rPr>
          <w:color w:val="000000"/>
          <w:szCs w:val="24"/>
          <w:lang w:eastAsia="lt-LT"/>
        </w:rPr>
      </w:pPr>
      <w:r>
        <w:rPr>
          <w:color w:val="000000"/>
          <w:szCs w:val="24"/>
          <w:lang w:eastAsia="lt-LT"/>
        </w:rPr>
        <w:t>25</w:t>
      </w:r>
      <w:r>
        <w:rPr>
          <w:color w:val="000000"/>
          <w:szCs w:val="24"/>
          <w:lang w:eastAsia="lt-LT"/>
        </w:rPr>
        <w:t>. Atskiro išmetamo teršalo išmatuotos koncentracijos perskaičiavimui į to teršalo koncentraciją, esant standartinei O</w:t>
      </w:r>
      <w:r>
        <w:rPr>
          <w:color w:val="000000"/>
          <w:szCs w:val="24"/>
          <w:vertAlign w:val="subscript"/>
          <w:lang w:eastAsia="lt-LT"/>
        </w:rPr>
        <w:t>2</w:t>
      </w:r>
      <w:r>
        <w:rPr>
          <w:color w:val="000000"/>
          <w:szCs w:val="24"/>
          <w:lang w:eastAsia="lt-LT"/>
        </w:rPr>
        <w:t> koncentracijai, naudojama formulė:</w:t>
      </w:r>
    </w:p>
    <w:p>
      <w:pPr>
        <w:widowControl w:val="0"/>
        <w:ind w:firstLine="567"/>
        <w:jc w:val="both"/>
        <w:rPr>
          <w:color w:val="000000"/>
          <w:szCs w:val="24"/>
          <w:lang w:eastAsia="lt-LT"/>
        </w:rPr>
      </w:pPr>
    </w:p>
    <w:p>
      <w:pPr>
        <w:widowControl w:val="0"/>
        <w:ind w:left="2160"/>
        <w:rPr>
          <w:color w:val="000000"/>
          <w:szCs w:val="24"/>
          <w:u w:val="thick"/>
          <w:lang w:eastAsia="lt-LT"/>
        </w:rPr>
      </w:pPr>
      <w:r>
        <w:rPr>
          <w:color w:val="000000"/>
          <w:szCs w:val="24"/>
          <w:lang w:eastAsia="lt-LT"/>
        </w:rPr>
        <w:t>21 – O</w:t>
      </w:r>
      <w:r>
        <w:rPr>
          <w:color w:val="000000"/>
          <w:szCs w:val="24"/>
          <w:vertAlign w:val="subscript"/>
          <w:lang w:eastAsia="lt-LT"/>
        </w:rPr>
        <w:t>2st</w:t>
      </w:r>
    </w:p>
    <w:p>
      <w:pPr>
        <w:widowControl w:val="0"/>
        <w:tabs>
          <w:tab w:val="right" w:leader="underscore" w:pos="3960"/>
        </w:tabs>
        <w:ind w:firstLine="567"/>
        <w:jc w:val="both"/>
        <w:rPr>
          <w:color w:val="000000"/>
          <w:szCs w:val="24"/>
          <w:lang w:eastAsia="lt-LT"/>
        </w:rPr>
      </w:pPr>
      <w:r>
        <w:rPr>
          <w:color w:val="000000"/>
          <w:szCs w:val="24"/>
          <w:lang w:eastAsia="lt-LT"/>
        </w:rPr>
        <w:t>C</w:t>
      </w:r>
      <w:r>
        <w:rPr>
          <w:color w:val="000000"/>
          <w:szCs w:val="24"/>
          <w:vertAlign w:val="subscript"/>
          <w:lang w:eastAsia="lt-LT"/>
        </w:rPr>
        <w:t>st</w:t>
      </w:r>
      <w:r>
        <w:rPr>
          <w:color w:val="000000"/>
          <w:szCs w:val="24"/>
          <w:lang w:eastAsia="lt-LT"/>
        </w:rPr>
        <w:t xml:space="preserve"> = C</w:t>
      </w:r>
      <w:r>
        <w:rPr>
          <w:color w:val="000000"/>
          <w:szCs w:val="24"/>
          <w:vertAlign w:val="subscript"/>
          <w:lang w:eastAsia="lt-LT"/>
        </w:rPr>
        <w:t>iš</w:t>
      </w:r>
      <w:r>
        <w:rPr>
          <w:color w:val="000000"/>
          <w:szCs w:val="24"/>
          <w:lang w:eastAsia="lt-LT"/>
        </w:rPr>
        <w:t xml:space="preserve"> x </w:t>
        <w:tab/>
        <w:t xml:space="preserve"> ;</w:t>
      </w:r>
    </w:p>
    <w:p>
      <w:pPr>
        <w:widowControl w:val="0"/>
        <w:ind w:left="2160"/>
        <w:rPr>
          <w:color w:val="000000"/>
          <w:szCs w:val="24"/>
          <w:lang w:eastAsia="lt-LT"/>
        </w:rPr>
      </w:pPr>
      <w:r>
        <w:rPr>
          <w:color w:val="000000"/>
          <w:szCs w:val="24"/>
          <w:lang w:eastAsia="lt-LT"/>
        </w:rPr>
        <w:t>21 – O</w:t>
      </w:r>
      <w:r>
        <w:rPr>
          <w:color w:val="000000"/>
          <w:szCs w:val="24"/>
          <w:vertAlign w:val="subscript"/>
          <w:lang w:eastAsia="lt-LT"/>
        </w:rPr>
        <w:t>2iš</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čia: C</w:t>
      </w:r>
      <w:r>
        <w:rPr>
          <w:color w:val="000000"/>
          <w:szCs w:val="24"/>
          <w:vertAlign w:val="subscript"/>
          <w:lang w:eastAsia="lt-LT"/>
        </w:rPr>
        <w:t>st</w:t>
      </w:r>
      <w:r>
        <w:rPr>
          <w:color w:val="000000"/>
          <w:szCs w:val="24"/>
          <w:lang w:eastAsia="lt-LT"/>
        </w:rPr>
        <w:t> – atskiro išmetamo teršalo koncentracija (mg/Nm</w:t>
      </w:r>
      <w:r>
        <w:rPr>
          <w:color w:val="000000"/>
          <w:szCs w:val="24"/>
          <w:vertAlign w:val="superscript"/>
          <w:lang w:eastAsia="lt-LT"/>
        </w:rPr>
        <w:t>3</w:t>
      </w:r>
      <w:r>
        <w:rPr>
          <w:color w:val="000000"/>
          <w:szCs w:val="24"/>
          <w:lang w:eastAsia="lt-LT"/>
        </w:rPr>
        <w:t>), perskaičiuota esant standartinei deguonies koncentracijai;</w:t>
      </w:r>
    </w:p>
    <w:p>
      <w:pPr>
        <w:widowControl w:val="0"/>
        <w:ind w:firstLine="567"/>
        <w:jc w:val="both"/>
        <w:rPr>
          <w:color w:val="000000"/>
          <w:szCs w:val="24"/>
          <w:lang w:eastAsia="lt-LT"/>
        </w:rPr>
      </w:pPr>
      <w:r>
        <w:rPr>
          <w:color w:val="000000"/>
          <w:szCs w:val="24"/>
          <w:lang w:eastAsia="lt-LT"/>
        </w:rPr>
        <w:t>C</w:t>
      </w:r>
      <w:r>
        <w:rPr>
          <w:color w:val="000000"/>
          <w:szCs w:val="24"/>
          <w:vertAlign w:val="subscript"/>
          <w:lang w:eastAsia="lt-LT"/>
        </w:rPr>
        <w:t>iš</w:t>
      </w:r>
      <w:r>
        <w:rPr>
          <w:color w:val="000000"/>
          <w:szCs w:val="24"/>
          <w:lang w:eastAsia="lt-LT"/>
        </w:rPr>
        <w:t> – atskiro išmetamo teršalo išmatuota koncentracija (mg/Nm</w:t>
      </w:r>
      <w:r>
        <w:rPr>
          <w:color w:val="000000"/>
          <w:szCs w:val="24"/>
          <w:vertAlign w:val="superscript"/>
          <w:lang w:eastAsia="lt-LT"/>
        </w:rPr>
        <w:t>3</w:t>
      </w:r>
      <w:r>
        <w:rPr>
          <w:color w:val="000000"/>
          <w:szCs w:val="24"/>
          <w:lang w:eastAsia="lt-LT"/>
        </w:rPr>
        <w:t>);</w:t>
      </w:r>
    </w:p>
    <w:p>
      <w:pPr>
        <w:widowControl w:val="0"/>
        <w:ind w:firstLine="567"/>
        <w:jc w:val="both"/>
        <w:rPr>
          <w:color w:val="000000"/>
          <w:szCs w:val="24"/>
          <w:lang w:eastAsia="lt-LT"/>
        </w:rPr>
      </w:pPr>
      <w:r>
        <w:rPr>
          <w:color w:val="000000"/>
          <w:szCs w:val="24"/>
          <w:lang w:eastAsia="lt-LT"/>
        </w:rPr>
        <w:t>O</w:t>
      </w:r>
      <w:r>
        <w:rPr>
          <w:color w:val="000000"/>
          <w:szCs w:val="24"/>
          <w:vertAlign w:val="subscript"/>
          <w:lang w:eastAsia="lt-LT"/>
        </w:rPr>
        <w:t>2st</w:t>
      </w:r>
      <w:r>
        <w:rPr>
          <w:color w:val="000000"/>
          <w:szCs w:val="24"/>
          <w:lang w:eastAsia="lt-LT"/>
        </w:rPr>
        <w:t> – standartinė deguonies koncentracija (tūrio procentais);</w:t>
      </w:r>
    </w:p>
    <w:p>
      <w:pPr>
        <w:widowControl w:val="0"/>
        <w:ind w:firstLine="567"/>
        <w:jc w:val="both"/>
        <w:rPr>
          <w:color w:val="000000"/>
          <w:szCs w:val="24"/>
          <w:lang w:eastAsia="lt-LT"/>
        </w:rPr>
      </w:pPr>
      <w:r>
        <w:rPr>
          <w:color w:val="000000"/>
          <w:szCs w:val="24"/>
          <w:lang w:eastAsia="lt-LT"/>
        </w:rPr>
        <w:t>O</w:t>
      </w:r>
      <w:r>
        <w:rPr>
          <w:color w:val="000000"/>
          <w:szCs w:val="24"/>
          <w:vertAlign w:val="subscript"/>
          <w:lang w:eastAsia="lt-LT"/>
        </w:rPr>
        <w:t>2iš</w:t>
      </w:r>
      <w:r>
        <w:rPr>
          <w:color w:val="000000"/>
          <w:szCs w:val="24"/>
          <w:lang w:eastAsia="lt-LT"/>
        </w:rPr>
        <w:t> – išmatuota deguonies koncentracija (tūrio procentais).</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Skaičiavimo pavyzdys:</w:t>
      </w:r>
    </w:p>
    <w:p>
      <w:pPr>
        <w:widowControl w:val="0"/>
        <w:ind w:firstLine="567"/>
        <w:jc w:val="both"/>
        <w:rPr>
          <w:i/>
          <w:iCs/>
          <w:color w:val="000000"/>
          <w:szCs w:val="24"/>
          <w:lang w:eastAsia="lt-LT"/>
        </w:rPr>
      </w:pPr>
      <w:r>
        <w:rPr>
          <w:i/>
          <w:iCs/>
          <w:color w:val="000000"/>
          <w:szCs w:val="24"/>
          <w:lang w:eastAsia="lt-LT"/>
        </w:rPr>
        <w:t>Išmatuota NO</w:t>
      </w:r>
      <w:r>
        <w:rPr>
          <w:i/>
          <w:iCs/>
          <w:color w:val="000000"/>
          <w:szCs w:val="24"/>
          <w:vertAlign w:val="subscript"/>
          <w:lang w:eastAsia="lt-LT"/>
        </w:rPr>
        <w:t>x</w:t>
      </w:r>
      <w:r>
        <w:rPr>
          <w:i/>
          <w:iCs/>
          <w:color w:val="000000"/>
          <w:szCs w:val="24"/>
          <w:lang w:eastAsia="lt-LT"/>
        </w:rPr>
        <w:t xml:space="preserve"> koncentracija yra 136 mg/Nm</w:t>
      </w:r>
      <w:r>
        <w:rPr>
          <w:i/>
          <w:iCs/>
          <w:color w:val="000000"/>
          <w:szCs w:val="24"/>
          <w:vertAlign w:val="superscript"/>
          <w:lang w:eastAsia="lt-LT"/>
        </w:rPr>
        <w:t>3</w:t>
      </w:r>
      <w:r>
        <w:rPr>
          <w:i/>
          <w:iCs/>
          <w:color w:val="000000"/>
          <w:szCs w:val="24"/>
          <w:lang w:eastAsia="lt-LT"/>
        </w:rPr>
        <w:t>. Išmatuota O</w:t>
      </w:r>
      <w:r>
        <w:rPr>
          <w:i/>
          <w:iCs/>
          <w:color w:val="000000"/>
          <w:szCs w:val="24"/>
          <w:vertAlign w:val="subscript"/>
          <w:lang w:eastAsia="lt-LT"/>
        </w:rPr>
        <w:t>2</w:t>
      </w:r>
      <w:r>
        <w:rPr>
          <w:i/>
          <w:iCs/>
          <w:color w:val="000000"/>
          <w:szCs w:val="24"/>
          <w:lang w:eastAsia="lt-LT"/>
        </w:rPr>
        <w:t> koncentracija – 2,1 %.</w:t>
      </w:r>
    </w:p>
    <w:p>
      <w:pPr>
        <w:widowControl w:val="0"/>
        <w:ind w:firstLine="567"/>
        <w:jc w:val="both"/>
        <w:rPr>
          <w:color w:val="000000"/>
          <w:szCs w:val="24"/>
          <w:lang w:eastAsia="lt-LT"/>
        </w:rPr>
      </w:pPr>
    </w:p>
    <w:p>
      <w:pPr>
        <w:widowControl w:val="0"/>
        <w:ind w:firstLine="567"/>
        <w:jc w:val="both"/>
        <w:rPr>
          <w:i/>
          <w:iCs/>
          <w:color w:val="000000"/>
          <w:szCs w:val="24"/>
          <w:lang w:eastAsia="lt-LT"/>
        </w:rPr>
      </w:pPr>
      <w:r>
        <w:rPr>
          <w:i/>
          <w:iCs/>
          <w:color w:val="000000"/>
          <w:szCs w:val="24"/>
          <w:lang w:eastAsia="lt-LT"/>
        </w:rPr>
        <w:t>NO</w:t>
      </w:r>
      <w:r>
        <w:rPr>
          <w:i/>
          <w:iCs/>
          <w:color w:val="000000"/>
          <w:szCs w:val="24"/>
          <w:vertAlign w:val="subscript"/>
          <w:lang w:eastAsia="lt-LT"/>
        </w:rPr>
        <w:t xml:space="preserve">x </w:t>
      </w:r>
      <w:r>
        <w:rPr>
          <w:i/>
          <w:iCs/>
          <w:color w:val="000000"/>
          <w:szCs w:val="24"/>
          <w:lang w:eastAsia="lt-LT"/>
        </w:rPr>
        <w:t>koncentracija, perskaičiuota esant standartinei O</w:t>
      </w:r>
      <w:r>
        <w:rPr>
          <w:i/>
          <w:iCs/>
          <w:color w:val="000000"/>
          <w:szCs w:val="24"/>
          <w:vertAlign w:val="subscript"/>
          <w:lang w:eastAsia="lt-LT"/>
        </w:rPr>
        <w:t>2</w:t>
      </w:r>
      <w:r>
        <w:rPr>
          <w:i/>
          <w:iCs/>
          <w:color w:val="000000"/>
          <w:szCs w:val="24"/>
          <w:lang w:eastAsia="lt-LT"/>
        </w:rPr>
        <w:t> koncentracijai, apskaičiuojama:</w:t>
      </w:r>
    </w:p>
    <w:p>
      <w:pPr>
        <w:widowControl w:val="0"/>
        <w:ind w:firstLine="567"/>
        <w:jc w:val="both"/>
        <w:rPr>
          <w:color w:val="000000"/>
          <w:szCs w:val="24"/>
          <w:lang w:eastAsia="lt-LT"/>
        </w:rPr>
      </w:pPr>
    </w:p>
    <w:p>
      <w:pPr>
        <w:widowControl w:val="0"/>
        <w:ind w:left="2880"/>
        <w:rPr>
          <w:i/>
          <w:iCs/>
          <w:color w:val="000000"/>
          <w:szCs w:val="24"/>
          <w:lang w:eastAsia="lt-LT"/>
        </w:rPr>
      </w:pPr>
      <w:r>
        <w:rPr>
          <w:i/>
          <w:iCs/>
          <w:color w:val="000000"/>
          <w:szCs w:val="24"/>
          <w:lang w:eastAsia="lt-LT"/>
        </w:rPr>
        <w:t>21 – 3</w:t>
      </w:r>
    </w:p>
    <w:p>
      <w:pPr>
        <w:widowControl w:val="0"/>
        <w:tabs>
          <w:tab w:val="right" w:leader="underscore" w:pos="6360"/>
        </w:tabs>
        <w:ind w:firstLine="567"/>
        <w:jc w:val="both"/>
        <w:rPr>
          <w:i/>
          <w:iCs/>
          <w:color w:val="000000"/>
          <w:szCs w:val="24"/>
          <w:lang w:eastAsia="lt-LT"/>
        </w:rPr>
      </w:pPr>
      <w:r>
        <w:rPr>
          <w:i/>
          <w:iCs/>
          <w:color w:val="000000"/>
          <w:szCs w:val="24"/>
          <w:lang w:eastAsia="lt-LT"/>
        </w:rPr>
        <w:t>C</w:t>
      </w:r>
      <w:r>
        <w:rPr>
          <w:i/>
          <w:iCs/>
          <w:color w:val="000000"/>
          <w:szCs w:val="24"/>
          <w:vertAlign w:val="subscript"/>
          <w:lang w:eastAsia="lt-LT"/>
        </w:rPr>
        <w:t>NOx</w:t>
      </w:r>
      <w:r>
        <w:rPr>
          <w:i/>
          <w:iCs/>
          <w:color w:val="000000"/>
          <w:szCs w:val="24"/>
          <w:lang w:eastAsia="lt-LT"/>
        </w:rPr>
        <w:t xml:space="preserve"> </w:t>
      </w:r>
      <w:r>
        <w:rPr>
          <w:i/>
          <w:iCs/>
          <w:color w:val="000000"/>
          <w:szCs w:val="24"/>
          <w:vertAlign w:val="subscript"/>
          <w:lang w:eastAsia="lt-LT"/>
        </w:rPr>
        <w:t>st</w:t>
      </w:r>
      <w:r>
        <w:rPr>
          <w:i/>
          <w:iCs/>
          <w:color w:val="000000"/>
          <w:szCs w:val="24"/>
          <w:lang w:eastAsia="lt-LT"/>
        </w:rPr>
        <w:t xml:space="preserve"> = 136 x </w:t>
        <w:tab/>
        <w:t xml:space="preserve"> = 129,5 mg/Nm</w:t>
      </w:r>
      <w:r>
        <w:rPr>
          <w:i/>
          <w:iCs/>
          <w:color w:val="000000"/>
          <w:szCs w:val="24"/>
          <w:vertAlign w:val="superscript"/>
          <w:lang w:eastAsia="lt-LT"/>
        </w:rPr>
        <w:t>3</w:t>
      </w:r>
      <w:r>
        <w:rPr>
          <w:i/>
          <w:iCs/>
          <w:color w:val="000000"/>
          <w:szCs w:val="24"/>
          <w:lang w:eastAsia="lt-LT"/>
        </w:rPr>
        <w:t>.</w:t>
      </w:r>
    </w:p>
    <w:p>
      <w:pPr>
        <w:widowControl w:val="0"/>
        <w:ind w:left="2880"/>
        <w:rPr>
          <w:i/>
          <w:iCs/>
          <w:color w:val="000000"/>
          <w:szCs w:val="24"/>
          <w:lang w:eastAsia="lt-LT"/>
        </w:rPr>
      </w:pPr>
      <w:r>
        <w:rPr>
          <w:i/>
          <w:iCs/>
          <w:color w:val="000000"/>
          <w:szCs w:val="24"/>
          <w:lang w:eastAsia="lt-LT"/>
        </w:rPr>
        <w:t>21 – 2,1</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26</w:t>
      </w:r>
      <w:r>
        <w:rPr>
          <w:color w:val="000000"/>
          <w:szCs w:val="24"/>
          <w:lang w:eastAsia="lt-LT"/>
        </w:rPr>
        <w:t>. Kai išmetamosiose dujose išmatuojama NO</w:t>
      </w:r>
      <w:r>
        <w:rPr>
          <w:color w:val="000000"/>
          <w:szCs w:val="24"/>
          <w:vertAlign w:val="subscript"/>
          <w:lang w:eastAsia="lt-LT"/>
        </w:rPr>
        <w:t>2</w:t>
      </w:r>
      <w:r>
        <w:rPr>
          <w:color w:val="000000"/>
          <w:szCs w:val="24"/>
          <w:lang w:eastAsia="lt-LT"/>
        </w:rPr>
        <w:t xml:space="preserve"> ir NO </w:t>
      </w:r>
      <w:r>
        <w:rPr>
          <w:i/>
          <w:iCs/>
          <w:color w:val="000000"/>
          <w:szCs w:val="24"/>
          <w:lang w:eastAsia="lt-LT"/>
        </w:rPr>
        <w:t>masės</w:t>
      </w:r>
      <w:r>
        <w:rPr>
          <w:color w:val="000000"/>
          <w:szCs w:val="24"/>
          <w:lang w:eastAsia="lt-LT"/>
        </w:rPr>
        <w:t xml:space="preserve"> koncentracija (mg/Nm</w:t>
      </w:r>
      <w:r>
        <w:rPr>
          <w:color w:val="000000"/>
          <w:szCs w:val="24"/>
          <w:vertAlign w:val="superscript"/>
          <w:lang w:eastAsia="lt-LT"/>
        </w:rPr>
        <w:t>3</w:t>
      </w:r>
      <w:r>
        <w:rPr>
          <w:color w:val="000000"/>
          <w:szCs w:val="24"/>
          <w:lang w:eastAsia="lt-LT"/>
        </w:rPr>
        <w:t>), NO</w:t>
      </w:r>
      <w:r>
        <w:rPr>
          <w:color w:val="000000"/>
          <w:szCs w:val="24"/>
          <w:vertAlign w:val="subscript"/>
          <w:lang w:eastAsia="lt-LT"/>
        </w:rPr>
        <w:t>x</w:t>
      </w:r>
      <w:r>
        <w:rPr>
          <w:color w:val="000000"/>
          <w:szCs w:val="24"/>
          <w:lang w:eastAsia="lt-LT"/>
        </w:rPr>
        <w:t xml:space="preserve"> koncentracija išmetamosiose dujose apskaičiuojama pagal formulę:</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C</w:t>
      </w:r>
      <w:r>
        <w:rPr>
          <w:color w:val="000000"/>
          <w:szCs w:val="24"/>
          <w:vertAlign w:val="subscript"/>
          <w:lang w:eastAsia="lt-LT"/>
        </w:rPr>
        <w:t>NOx</w:t>
      </w:r>
      <w:r>
        <w:rPr>
          <w:color w:val="000000"/>
          <w:szCs w:val="24"/>
          <w:lang w:eastAsia="lt-LT"/>
        </w:rPr>
        <w:t xml:space="preserve"> = C</w:t>
      </w:r>
      <w:r>
        <w:rPr>
          <w:color w:val="000000"/>
          <w:szCs w:val="24"/>
          <w:vertAlign w:val="subscript"/>
          <w:lang w:eastAsia="lt-LT"/>
        </w:rPr>
        <w:t>NO2</w:t>
      </w:r>
      <w:r>
        <w:rPr>
          <w:color w:val="000000"/>
          <w:szCs w:val="24"/>
          <w:lang w:eastAsia="lt-LT"/>
        </w:rPr>
        <w:t xml:space="preserve"> + 1,53 C</w:t>
      </w:r>
      <w:r>
        <w:rPr>
          <w:color w:val="000000"/>
          <w:szCs w:val="24"/>
          <w:vertAlign w:val="subscript"/>
          <w:lang w:eastAsia="lt-LT"/>
        </w:rPr>
        <w:t>NO</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27</w:t>
      </w:r>
      <w:r>
        <w:rPr>
          <w:color w:val="000000"/>
          <w:szCs w:val="24"/>
          <w:lang w:eastAsia="lt-LT"/>
        </w:rPr>
        <w:t>. Kai išmetamosiose dujose išmatuojama NO</w:t>
      </w:r>
      <w:r>
        <w:rPr>
          <w:color w:val="000000"/>
          <w:szCs w:val="24"/>
          <w:vertAlign w:val="subscript"/>
          <w:lang w:eastAsia="lt-LT"/>
        </w:rPr>
        <w:t>2</w:t>
      </w:r>
      <w:r>
        <w:rPr>
          <w:color w:val="000000"/>
          <w:szCs w:val="24"/>
          <w:lang w:eastAsia="lt-LT"/>
        </w:rPr>
        <w:t> </w:t>
      </w:r>
      <w:r>
        <w:rPr>
          <w:color w:val="000000"/>
          <w:szCs w:val="24"/>
          <w:vertAlign w:val="superscript"/>
          <w:lang w:eastAsia="lt-LT"/>
        </w:rPr>
        <w:t xml:space="preserve">ir </w:t>
      </w:r>
      <w:r>
        <w:rPr>
          <w:color w:val="000000"/>
          <w:szCs w:val="24"/>
          <w:lang w:eastAsia="lt-LT"/>
        </w:rPr>
        <w:t xml:space="preserve">NO </w:t>
      </w:r>
      <w:r>
        <w:rPr>
          <w:i/>
          <w:iCs/>
          <w:color w:val="000000"/>
          <w:szCs w:val="24"/>
          <w:lang w:eastAsia="lt-LT"/>
        </w:rPr>
        <w:t>tūrio</w:t>
      </w:r>
      <w:r>
        <w:rPr>
          <w:color w:val="000000"/>
          <w:szCs w:val="24"/>
          <w:lang w:eastAsia="lt-LT"/>
        </w:rPr>
        <w:t xml:space="preserve"> koncentracija (milijoninėmis dalimis (ppm)), NO</w:t>
      </w:r>
      <w:r>
        <w:rPr>
          <w:color w:val="000000"/>
          <w:szCs w:val="24"/>
          <w:vertAlign w:val="subscript"/>
          <w:lang w:eastAsia="lt-LT"/>
        </w:rPr>
        <w:t>x</w:t>
      </w:r>
      <w:r>
        <w:rPr>
          <w:color w:val="000000"/>
          <w:szCs w:val="24"/>
          <w:lang w:eastAsia="lt-LT"/>
        </w:rPr>
        <w:t xml:space="preserve"> koncentracija išmetamosiose dujose apskaičiuojama pagal formulę:</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C</w:t>
      </w:r>
      <w:r>
        <w:rPr>
          <w:color w:val="000000"/>
          <w:szCs w:val="24"/>
          <w:vertAlign w:val="subscript"/>
          <w:lang w:eastAsia="lt-LT"/>
        </w:rPr>
        <w:t>NOx</w:t>
      </w:r>
      <w:r>
        <w:rPr>
          <w:color w:val="000000"/>
          <w:szCs w:val="24"/>
          <w:lang w:eastAsia="lt-LT"/>
        </w:rPr>
        <w:t xml:space="preserve"> = 2,05 (C</w:t>
      </w:r>
      <w:r>
        <w:rPr>
          <w:color w:val="000000"/>
          <w:szCs w:val="24"/>
          <w:vertAlign w:val="subscript"/>
          <w:lang w:eastAsia="lt-LT"/>
        </w:rPr>
        <w:t>NO2</w:t>
      </w:r>
      <w:r>
        <w:rPr>
          <w:color w:val="000000"/>
          <w:szCs w:val="24"/>
          <w:lang w:eastAsia="lt-LT"/>
        </w:rPr>
        <w:t xml:space="preserve"> + C</w:t>
      </w:r>
      <w:r>
        <w:rPr>
          <w:color w:val="000000"/>
          <w:szCs w:val="24"/>
          <w:vertAlign w:val="subscript"/>
          <w:lang w:eastAsia="lt-LT"/>
        </w:rPr>
        <w:t>NO</w:t>
      </w:r>
      <w:r>
        <w:rPr>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28</w:t>
      </w:r>
      <w:r>
        <w:rPr>
          <w:color w:val="000000"/>
          <w:szCs w:val="24"/>
          <w:lang w:eastAsia="lt-LT"/>
        </w:rPr>
        <w:t>. Jeigu iš kurą deginančio įrenginio į aplinkos orą išmetamų teršalų ribinės vertės laikymosi kontrolės metu nustatomas ribinės vertės viršijimas, nedelsiant turi būti imamasi priemonių sumažinti to teršalo koncentraciją išmetamosiose dujose. Ne vėliau kaip po penkių darbo dienų nuo ribinės vertės viršijimo fakto nustatymo turi būti atliekamas pakartotinis ribinę vertę viršijusio teršalo koncentracijos išmetamosiose dujose matavimas.</w:t>
      </w:r>
    </w:p>
    <w:p>
      <w:pPr>
        <w:ind w:firstLine="567"/>
        <w:jc w:val="both"/>
        <w:rPr>
          <w:color w:val="000000"/>
          <w:szCs w:val="24"/>
          <w:lang w:eastAsia="lt-LT"/>
        </w:rPr>
      </w:pPr>
      <w:r>
        <w:rPr>
          <w:szCs w:val="24"/>
        </w:rPr>
        <w:t>29</w:t>
      </w:r>
      <w:r>
        <w:rPr>
          <w:szCs w:val="24"/>
        </w:rPr>
        <w:t>. Kai ribinės vertės viršijimo per penkias darbo dienas pašalinti nepavyksta, kitą darbo dieną elektroniniu būdu, o kai tokių galimybių nėra, – raštu, turi būti pranešama Aplinkos apsaugos departamentui prie Aplinkos ministerijos (toliau – AAD) apie nustatytus ribinės vertės viršimo faktus, priemones, kurių buvo imtasi į aplinkos orą išmetamam teršalo kiekiui sumažinti, ir planuojamus kitus taršos mažinimo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724e0755611e8ae2bfd1913d66d57">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2018-06-21,
paskelbta TAR 2018-06-21, i. k. 2018-10237            </w:t>
      </w:r>
    </w:p>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NAUDOJAMO KURO IR Į APLINKOS ORĄ IŠMETAMO TERŠALŲ KIEKIO APSKAITA</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30</w:t>
      </w:r>
      <w:r>
        <w:rPr>
          <w:color w:val="000000"/>
          <w:szCs w:val="24"/>
          <w:lang w:eastAsia="lt-LT"/>
        </w:rPr>
        <w:t>. Kurą deginančius įrenginius, kurių nominali šiluminė galia yra lygi arba viršija 1 MW, eksploatuojantys veiklos vykdytojai turi tvarkyti per kalendorinius metus sunaudoto kuro ir iš kurą deginančių įrenginių į aplinkos orą išmesto teršalų kiekio apskaitą.</w:t>
      </w:r>
    </w:p>
    <w:p>
      <w:pPr>
        <w:ind w:firstLine="567"/>
        <w:jc w:val="both"/>
      </w:pPr>
      <w:r>
        <w:rPr>
          <w:szCs w:val="24"/>
          <w:lang w:eastAsia="lt-LT"/>
        </w:rPr>
        <w:t>31</w:t>
      </w:r>
      <w:r>
        <w:rPr>
          <w:szCs w:val="24"/>
          <w:lang w:eastAsia="lt-LT"/>
        </w:rPr>
        <w:t>. Turi būti rengiamos Normų 30 punkte nurodytos apskaitos ataskaitos ir pateikiamos Aplinkos apsaugos agentūrai iki einamųjų metų kovo 25 d. elektroniniu būdu, o, kai tokių galimybių nėra, – raštu, išskyrus Normų 34 punkte nurodytus atvejus. Jei keli kurą deginantys įrenginiai yra toje pačioje vietoje ir priklauso tam pačiam veiklos vykdytojui, gali būti pildoma viena ataskaita, pateikiant kiekvieno kurą deginančio įrenginio duomenis atskirai.</w:t>
      </w:r>
      <w:r>
        <w:t xml:space="preserve"> </w:t>
      </w:r>
    </w:p>
    <w:p>
      <w:pPr>
        <w:jc w:val="both"/>
        <w:rPr>
          <w:i/>
          <w:color w:val="000000"/>
          <w:sz w:val="20"/>
          <w:szCs w:val="24"/>
          <w:lang w:eastAsia="lt-LT"/>
        </w:rPr>
      </w:pPr>
      <w:r>
        <w:rPr>
          <w:b/>
          <w:i/>
          <w:color w:val="000000"/>
          <w:sz w:val="20"/>
          <w:szCs w:val="24"/>
          <w:lang w:eastAsia="lt-LT"/>
        </w:rPr>
        <w:t>TAR pastaba</w:t>
      </w:r>
      <w:r>
        <w:rPr>
          <w:i/>
          <w:color w:val="000000"/>
          <w:sz w:val="20"/>
          <w:szCs w:val="24"/>
          <w:lang w:eastAsia="lt-LT"/>
        </w:rPr>
        <w:t xml:space="preserve">. 31 p. </w:t>
      </w:r>
      <w:r>
        <w:rPr>
          <w:i/>
          <w:sz w:val="20"/>
          <w:szCs w:val="24"/>
          <w:lang w:eastAsia="lt-LT"/>
        </w:rPr>
        <w:t>nuostatos taikomos rengiant kuro ir iš kurą deginančio įrenginio į aplinkos orą išmesto teršalų kiekio apskaitos 2016 metų ataskaitas.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e44580a39b11e3aeb49a67165e3ad3">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2014-03-04,
paskelbta TAR 2014-03-04, i. k. 2014-02538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9aeb80b87311e693eea1ef35f20da9">
        <w:r w:rsidRPr="00532B9F">
          <w:rPr>
            <w:rFonts w:ascii="Times New Roman" w:eastAsia="MS Mincho" w:hAnsi="Times New Roman"/>
            <w:sz w:val="20"/>
            <w:i/>
            <w:iCs/>
            <w:color w:val="0000FF" w:themeColor="hyperlink"/>
            <w:u w:val="single"/>
          </w:rPr>
          <w:t>D1-846</w:t>
        </w:r>
      </w:fldSimple>
      <w:r>
        <w:rPr>
          <w:rFonts w:ascii="Times New Roman" w:eastAsia="MS Mincho" w:hAnsi="Times New Roman"/>
          <w:sz w:val="20"/>
          <w:i/>
          <w:iCs/>
        </w:rPr>
        <w:t>,
2016-12-02,
paskelbta TAR 2016-12-02, i. k. 2016-28124            </w:t>
      </w:r>
    </w:p>
    <w:p/>
    <w:p>
      <w:pPr>
        <w:ind w:firstLine="567"/>
        <w:jc w:val="both"/>
      </w:pPr>
      <w:r>
        <w:rPr>
          <w:lang w:eastAsia="lt-LT"/>
        </w:rPr>
        <w:t>32</w:t>
      </w:r>
      <w:r>
        <w:rPr>
          <w:lang w:eastAsia="lt-LT"/>
        </w:rPr>
        <w:t>. Veiklos vykdytojai Normų 31 punkte nurodytas ataskaitas turi teikti užpildydami kiekvienam kurą deginančiam įrenginiui Normų 3 priede nustatyto pavyzdžio formą.</w:t>
      </w:r>
      <w:r>
        <w:t xml:space="preserve"> </w:t>
      </w:r>
    </w:p>
    <w:p>
      <w:pPr>
        <w:jc w:val="both"/>
        <w:rPr>
          <w:i/>
          <w:color w:val="000000"/>
          <w:sz w:val="20"/>
          <w:szCs w:val="24"/>
          <w:lang w:eastAsia="lt-LT"/>
        </w:rPr>
      </w:pPr>
      <w:r>
        <w:rPr>
          <w:b/>
          <w:i/>
          <w:color w:val="000000"/>
          <w:sz w:val="20"/>
          <w:szCs w:val="24"/>
          <w:lang w:eastAsia="lt-LT"/>
        </w:rPr>
        <w:t>TAR pastaba</w:t>
      </w:r>
      <w:r>
        <w:rPr>
          <w:i/>
          <w:color w:val="000000"/>
          <w:sz w:val="20"/>
          <w:szCs w:val="24"/>
          <w:lang w:eastAsia="lt-LT"/>
        </w:rPr>
        <w:t xml:space="preserve">. 32 p. </w:t>
      </w:r>
      <w:r>
        <w:rPr>
          <w:i/>
          <w:sz w:val="20"/>
          <w:szCs w:val="24"/>
          <w:lang w:eastAsia="lt-LT"/>
        </w:rPr>
        <w:t>nuostatos taikomos rengiant kuro ir iš kurą deginančio įrenginio į aplinkos orą išmesto teršalų kiekio apskaitos 2016 metų ataskaitas.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9aeb80b87311e693eea1ef35f20da9">
        <w:r w:rsidRPr="00532B9F">
          <w:rPr>
            <w:rFonts w:ascii="Times New Roman" w:eastAsia="MS Mincho" w:hAnsi="Times New Roman"/>
            <w:sz w:val="20"/>
            <w:i/>
            <w:iCs/>
            <w:color w:val="0000FF" w:themeColor="hyperlink"/>
            <w:u w:val="single"/>
          </w:rPr>
          <w:t>D1-846</w:t>
        </w:r>
      </w:fldSimple>
      <w:r>
        <w:rPr>
          <w:rFonts w:ascii="Times New Roman" w:eastAsia="MS Mincho" w:hAnsi="Times New Roman"/>
          <w:sz w:val="20"/>
          <w:i/>
          <w:iCs/>
        </w:rPr>
        <w:t>,
2016-12-02,
paskelbta TAR 2016-12-02, i. k. 2016-28124            </w:t>
      </w:r>
    </w:p>
    <w:p/>
    <w:p>
      <w:pPr>
        <w:widowControl w:val="0"/>
        <w:ind w:firstLine="567"/>
        <w:jc w:val="both"/>
        <w:rPr>
          <w:i/>
          <w:iCs/>
          <w:color w:val="000000"/>
          <w:szCs w:val="24"/>
          <w:lang w:eastAsia="lt-LT"/>
        </w:rPr>
      </w:pPr>
      <w:r>
        <w:rPr>
          <w:color w:val="000000"/>
          <w:szCs w:val="24"/>
          <w:lang w:eastAsia="lt-LT"/>
        </w:rPr>
        <w:t>33</w:t>
      </w:r>
      <w:r>
        <w:rPr>
          <w:color w:val="000000"/>
          <w:szCs w:val="24"/>
          <w:lang w:eastAsia="lt-LT"/>
        </w:rPr>
        <w:t>. Į aplinkos orą per metus išmestas teršalų kiekis apskaitomas pagal Lietuvos Respublikos aplinkos ministro 1999 m. gruodžio 13 d. įsakymu Nr. 395 „Dėl į atmosferą išmetamo teršalų kiekio apskaičiavimo metodikų sąrašo patvirtinimo ir apmokestinamų teršalų kiekio nustatymo asmenims, kurie netvarko privalomosios teršalų išmetimo į aplinką apskaitos“ (Žin., 1999, Nr. </w:t>
      </w:r>
      <w:hyperlink r:id="rId23" w:tgtFrame="_blank" w:history="1">
        <w:r>
          <w:rPr>
            <w:color w:val="0000FF" w:themeColor="hyperlink"/>
            <w:szCs w:val="24"/>
            <w:u w:val="single"/>
            <w:lang w:eastAsia="lt-LT"/>
          </w:rPr>
          <w:t>108-3159</w:t>
        </w:r>
      </w:hyperlink>
      <w:r>
        <w:rPr>
          <w:color w:val="000000"/>
          <w:szCs w:val="24"/>
          <w:lang w:eastAsia="lt-LT"/>
        </w:rPr>
        <w:t>; 2005, Nr. 92-3442) nustatyta tvarka pasirinktą metodiką.</w:t>
      </w:r>
    </w:p>
    <w:p>
      <w:pPr>
        <w:ind w:firstLine="567"/>
        <w:jc w:val="both"/>
      </w:pPr>
      <w:r>
        <w:rPr>
          <w:szCs w:val="24"/>
          <w:lang w:eastAsia="lt-LT"/>
        </w:rPr>
        <w:t>34</w:t>
      </w:r>
      <w:r>
        <w:rPr>
          <w:szCs w:val="24"/>
          <w:lang w:eastAsia="lt-LT"/>
        </w:rPr>
        <w:t xml:space="preserve">. </w:t>
      </w:r>
      <w:r>
        <w:rPr>
          <w:lang w:eastAsia="lt-LT"/>
        </w:rPr>
        <w:t>Veiklos vykdytojai, eksploatuojantys kurą deginančius įrenginius, kuriems eksploatuoti pagal T</w:t>
      </w:r>
      <w:r>
        <w:rPr>
          <w:color w:val="000000"/>
          <w:lang w:eastAsia="lt-LT"/>
        </w:rPr>
        <w:t xml:space="preserve">aršos leidimų išdavimo, pakeitimo ir galiojimo panaikinimo taisykles, patvirtintas Lietuvos Respublikos aplinkos ministro 2014 m. kovo 6 d. įsakymu Nr. D1-259 „Dėl </w:t>
      </w:r>
      <w:r>
        <w:rPr>
          <w:lang w:eastAsia="lt-LT"/>
        </w:rPr>
        <w:t>T</w:t>
      </w:r>
      <w:r>
        <w:rPr>
          <w:color w:val="000000"/>
          <w:lang w:eastAsia="lt-LT"/>
        </w:rPr>
        <w:t xml:space="preserve">aršos leidimų išdavimo, pakeitimo ir galiojimo panaikinimo taisyklių patvirtinimo“, reikia turėti taršos leidimą, </w:t>
      </w:r>
      <w:r>
        <w:rPr>
          <w:lang w:eastAsia="lt-LT"/>
        </w:rPr>
        <w:t>Normų 31 punkte nurodytas ataskaitas turi rengti ir teikti vadovaudamiesi Teršalų išmetimo į aplinkos orą apskaitos ir ataskaitų teikimo tvarkos aprašu, patvirtintu Lietuvos Respublikos aplinkos ministro 1999 m. gruodžio 20 d. įsakymu Nr. 408 „Dėl Teršalų išmetimo į aplinkos orą apskaitos ir ataskaitų teikimo tvarkos aprašo patvirtinimo“.</w:t>
      </w:r>
      <w:r>
        <w:t xml:space="preserve"> </w:t>
      </w:r>
    </w:p>
    <w:p>
      <w:pPr>
        <w:jc w:val="both"/>
        <w:rPr>
          <w:i/>
          <w:color w:val="000000"/>
          <w:sz w:val="20"/>
          <w:szCs w:val="24"/>
          <w:lang w:eastAsia="lt-LT"/>
        </w:rPr>
      </w:pPr>
      <w:r>
        <w:rPr>
          <w:b/>
          <w:i/>
          <w:color w:val="000000"/>
          <w:sz w:val="20"/>
          <w:szCs w:val="24"/>
          <w:lang w:eastAsia="lt-LT"/>
        </w:rPr>
        <w:t>TAR pastaba</w:t>
      </w:r>
      <w:r>
        <w:rPr>
          <w:i/>
          <w:color w:val="000000"/>
          <w:sz w:val="20"/>
          <w:szCs w:val="24"/>
          <w:lang w:eastAsia="lt-LT"/>
        </w:rPr>
        <w:t xml:space="preserve">. 34 p. </w:t>
      </w:r>
      <w:r>
        <w:rPr>
          <w:i/>
          <w:sz w:val="20"/>
          <w:szCs w:val="24"/>
          <w:lang w:eastAsia="lt-LT"/>
        </w:rPr>
        <w:t>nuostatos taikomos rengiant kuro ir iš kurą deginančio įrenginio į aplinkos orą išmesto teršalų kiekio apskaitos 2016 metų ataskaitas.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9aeb80b87311e693eea1ef35f20da9">
        <w:r w:rsidRPr="00532B9F">
          <w:rPr>
            <w:rFonts w:ascii="Times New Roman" w:eastAsia="MS Mincho" w:hAnsi="Times New Roman"/>
            <w:sz w:val="20"/>
            <w:i/>
            <w:iCs/>
            <w:color w:val="0000FF" w:themeColor="hyperlink"/>
            <w:u w:val="single"/>
          </w:rPr>
          <w:t>D1-846</w:t>
        </w:r>
      </w:fldSimple>
      <w:r>
        <w:rPr>
          <w:rFonts w:ascii="Times New Roman" w:eastAsia="MS Mincho" w:hAnsi="Times New Roman"/>
          <w:sz w:val="20"/>
          <w:i/>
          <w:iCs/>
        </w:rPr>
        <w:t>,
2016-12-02,
paskelbta TAR 2016-12-02, i. k. 2016-28124            </w:t>
      </w:r>
    </w:p>
    <w:p/>
    <w:p>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ind w:firstLine="567"/>
        <w:rPr>
          <w:color w:val="000000"/>
          <w:szCs w:val="24"/>
          <w:lang w:eastAsia="lt-LT"/>
        </w:rPr>
      </w:pPr>
      <w:r>
        <w:rPr>
          <w:color w:val="000000"/>
          <w:lang w:eastAsia="en-GB"/>
        </w:rPr>
        <w:t>35</w:t>
      </w:r>
      <w:r>
        <w:rPr>
          <w:color w:val="000000"/>
          <w:lang w:eastAsia="en-GB"/>
        </w:rPr>
        <w:t>. Normų laikymąsi kontroliuoja 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724e0755611e8ae2bfd1913d66d57">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2018-06-21,
paskelbta TAR 2018-06-21, i. k. 2018-10237            </w:t>
      </w:r>
    </w:p>
    <w:p/>
    <w:p>
      <w:pPr>
        <w:widowControl w:val="0"/>
        <w:ind w:firstLine="567"/>
        <w:jc w:val="both"/>
        <w:rPr>
          <w:color w:val="000000"/>
          <w:szCs w:val="24"/>
          <w:lang w:eastAsia="lt-LT"/>
        </w:rPr>
      </w:pPr>
      <w:r>
        <w:rPr>
          <w:color w:val="000000"/>
          <w:szCs w:val="24"/>
          <w:lang w:eastAsia="lt-LT"/>
        </w:rPr>
        <w:t>36</w:t>
      </w:r>
      <w:r>
        <w:rPr>
          <w:color w:val="000000"/>
          <w:szCs w:val="24"/>
          <w:lang w:eastAsia="lt-LT"/>
        </w:rPr>
        <w:t>. Asmenys, pažeidę Normų nuostatas, atsako Lietuvos Respublikos įstatymų nustatyta tvarka.</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left="4535"/>
        <w:sectPr>
          <w:pgSz w:w="11907" w:h="16840" w:code="9"/>
          <w:pgMar w:top="1134" w:right="1134" w:bottom="1134" w:left="1701"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Išmetamų teršalų iš kurą deginančių įrenginių normų LAND 43-2013</w:t>
      </w:r>
    </w:p>
    <w:p>
      <w:pPr>
        <w:widowControl w:val="0"/>
        <w:ind w:left="4535"/>
        <w:rPr>
          <w:color w:val="000000"/>
          <w:szCs w:val="24"/>
          <w:lang w:eastAsia="lt-LT"/>
        </w:rPr>
      </w:pPr>
      <w:r>
        <w:rPr>
          <w:color w:val="000000"/>
          <w:szCs w:val="24"/>
          <w:lang w:eastAsia="lt-LT"/>
        </w:rPr>
        <w:t>1</w:t>
      </w:r>
      <w:r>
        <w:rPr>
          <w:color w:val="000000"/>
          <w:szCs w:val="24"/>
          <w:lang w:eastAsia="lt-LT"/>
        </w:rPr>
        <w:t> 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IŠ KURĄ DEGINANČIŲ ĮRENGINIŲ, KURIŲ NOMINALI ŠILUMINĖ GALIA LYGI ARBA VIRŠIJA 0,12 MW, BET NESIEKIA 1 MW, IŠMETAMŲ TERŠALŲ RIBINĖS VERTĖS</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994"/>
        <w:gridCol w:w="1709"/>
        <w:gridCol w:w="2493"/>
        <w:gridCol w:w="1874"/>
      </w:tblGrid>
      <w:tr>
        <w:trPr>
          <w:trHeight w:val="60"/>
        </w:trPr>
        <w:tc>
          <w:tcPr>
            <w:tcW w:w="323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Kuro rūšis</w:t>
            </w:r>
          </w:p>
        </w:tc>
        <w:tc>
          <w:tcPr>
            <w:tcW w:w="655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Išmetamų teršalų ribinė vertė, mg/Nm</w:t>
            </w:r>
            <w:r>
              <w:rPr>
                <w:color w:val="000000"/>
                <w:szCs w:val="24"/>
                <w:vertAlign w:val="superscript"/>
                <w:lang w:eastAsia="lt-LT"/>
              </w:rPr>
              <w:t>3</w:t>
            </w:r>
          </w:p>
        </w:tc>
      </w:tr>
      <w:tr>
        <w:trPr>
          <w:trHeight w:val="305"/>
        </w:trPr>
        <w:tc>
          <w:tcPr>
            <w:tcW w:w="3236" w:type="dxa"/>
            <w:vMerge/>
            <w:tcBorders>
              <w:top w:val="single" w:sz="4" w:space="0" w:color="000000"/>
              <w:left w:val="single" w:sz="4" w:space="0" w:color="000000"/>
              <w:bottom w:val="single" w:sz="4" w:space="0" w:color="000000"/>
              <w:right w:val="single" w:sz="4" w:space="0" w:color="000000"/>
            </w:tcBorders>
          </w:tcPr>
          <w:p>
            <w:pPr>
              <w:widowControl w:val="0"/>
              <w:rPr>
                <w:szCs w:val="24"/>
                <w:lang w:eastAsia="lt-LT"/>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SO</w:t>
            </w:r>
            <w:r>
              <w:rPr>
                <w:color w:val="000000"/>
                <w:szCs w:val="24"/>
                <w:vertAlign w:val="subscript"/>
                <w:lang w:eastAsia="lt-LT"/>
              </w:rPr>
              <w:t>2</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NO</w:t>
            </w:r>
            <w:r>
              <w:rPr>
                <w:color w:val="000000"/>
                <w:szCs w:val="24"/>
                <w:vertAlign w:val="subscript"/>
                <w:lang w:eastAsia="lt-LT"/>
              </w:rPr>
              <w:t>x</w:t>
            </w: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KD</w:t>
            </w:r>
          </w:p>
        </w:tc>
      </w:tr>
      <w:tr>
        <w:trPr>
          <w:trHeight w:val="60"/>
        </w:trPr>
        <w:tc>
          <w:tcPr>
            <w:tcW w:w="3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Dujinis kuras</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nenormuojama</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350</w:t>
            </w: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nenormuojama</w:t>
            </w:r>
          </w:p>
        </w:tc>
      </w:tr>
      <w:tr>
        <w:trPr>
          <w:trHeight w:val="60"/>
        </w:trPr>
        <w:tc>
          <w:tcPr>
            <w:tcW w:w="3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Skystasis kuras</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1700</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700</w:t>
            </w: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250</w:t>
            </w:r>
          </w:p>
        </w:tc>
      </w:tr>
      <w:tr>
        <w:trPr>
          <w:trHeight w:val="60"/>
        </w:trPr>
        <w:tc>
          <w:tcPr>
            <w:tcW w:w="3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Kietasis kuras</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2 000</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650(deginant biokurą – 750)</w:t>
            </w: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800</w:t>
            </w:r>
          </w:p>
        </w:tc>
      </w:tr>
    </w:tbl>
    <w:p>
      <w:pPr>
        <w:widowControl w:val="0"/>
        <w:ind w:firstLine="567"/>
        <w:jc w:val="both"/>
        <w:rPr>
          <w:color w:val="000000"/>
          <w:szCs w:val="24"/>
          <w:lang w:eastAsia="lt-LT"/>
        </w:rPr>
      </w:pPr>
    </w:p>
    <w:p>
      <w:pPr>
        <w:widowControl w:val="0"/>
        <w:jc w:val="center"/>
        <w:rPr>
          <w:szCs w:val="24"/>
          <w:lang w:eastAsia="lt-LT"/>
        </w:rPr>
      </w:pPr>
      <w:r>
        <w:rPr>
          <w:color w:val="000000"/>
          <w:szCs w:val="24"/>
          <w:lang w:eastAsia="lt-LT"/>
        </w:rPr>
        <w:t>_________________</w:t>
      </w:r>
    </w:p>
    <w:p>
      <w:pPr>
        <w:ind w:left="4535"/>
        <w:sectPr>
          <w:pgSz w:w="11907" w:h="16840" w:code="9"/>
          <w:pgMar w:top="1134" w:right="1134" w:bottom="1134" w:left="1701" w:header="567" w:footer="284" w:gutter="0"/>
          <w:pgNumType w:start="1"/>
          <w:cols w:space="1296"/>
          <w:titlePg/>
          <w:docGrid w:linePitch="360"/>
        </w:sectPr>
      </w:pPr>
    </w:p>
    <w:p>
      <w:pPr>
        <w:ind w:left="4535"/>
        <w:rPr>
          <w:bCs/>
          <w:szCs w:val="24"/>
        </w:rPr>
      </w:pPr>
      <w:r>
        <w:rPr>
          <w:bCs/>
          <w:szCs w:val="24"/>
        </w:rPr>
        <w:t>Išmetamų teršalų iš kurą deginančių įrenginių normų LAND 43-2013</w:t>
      </w:r>
    </w:p>
    <w:p>
      <w:pPr>
        <w:ind w:left="4535"/>
        <w:rPr>
          <w:bCs/>
          <w:szCs w:val="24"/>
        </w:rPr>
      </w:pPr>
      <w:r>
        <w:rPr>
          <w:bCs/>
          <w:szCs w:val="24"/>
        </w:rPr>
        <w:t>2</w:t>
      </w:r>
      <w:r>
        <w:rPr>
          <w:bCs/>
          <w:szCs w:val="24"/>
        </w:rPr>
        <w:t xml:space="preserve"> priedas</w:t>
      </w:r>
    </w:p>
    <w:p>
      <w:pPr>
        <w:jc w:val="center"/>
        <w:rPr>
          <w:bCs/>
          <w:szCs w:val="24"/>
        </w:rPr>
      </w:pPr>
    </w:p>
    <w:p>
      <w:pPr>
        <w:jc w:val="center"/>
        <w:rPr>
          <w:b/>
          <w:bCs/>
          <w:szCs w:val="24"/>
        </w:rPr>
      </w:pPr>
      <w:r>
        <w:rPr>
          <w:b/>
          <w:bCs/>
          <w:szCs w:val="24"/>
        </w:rPr>
        <w:t>IŠ KURĄ DEGINANČIŲ ĮRENGINIŲ, KURIŲ NOMINALI ŠILUMINĖ GALIA LYGI ARBA VIRŠIJA 1 MW, BET NESIEKIA 50 MW, IŠMETAMŲ TERŠALŲ RIBINĖS VERTĖS</w:t>
      </w:r>
    </w:p>
    <w:p>
      <w:pPr>
        <w:rPr>
          <w:b/>
          <w:bCs/>
          <w:i/>
          <w:szCs w:val="24"/>
        </w:rPr>
      </w:pPr>
    </w:p>
    <w:tbl>
      <w:tblPr>
        <w:tblW w:w="9070" w:type="dxa"/>
        <w:tblLayout w:type="fixed"/>
        <w:tblLook w:val="0000" w:firstRow="0" w:lastRow="0" w:firstColumn="0" w:lastColumn="0" w:noHBand="0" w:noVBand="0"/>
      </w:tblPr>
      <w:tblGrid>
        <w:gridCol w:w="981"/>
        <w:gridCol w:w="982"/>
        <w:gridCol w:w="826"/>
        <w:gridCol w:w="712"/>
        <w:gridCol w:w="666"/>
        <w:gridCol w:w="666"/>
        <w:gridCol w:w="757"/>
        <w:gridCol w:w="666"/>
        <w:gridCol w:w="895"/>
        <w:gridCol w:w="937"/>
        <w:gridCol w:w="982"/>
      </w:tblGrid>
      <w:tr>
        <w:trPr>
          <w:cantSplit/>
          <w:trHeight w:val="65"/>
        </w:trPr>
        <w:tc>
          <w:tcPr>
            <w:tcW w:w="981" w:type="dxa"/>
            <w:vMerge w:val="restart"/>
            <w:tcBorders>
              <w:top w:val="single" w:sz="6" w:space="0" w:color="auto"/>
              <w:left w:val="single" w:sz="6" w:space="0" w:color="auto"/>
            </w:tcBorders>
            <w:vAlign w:val="center"/>
          </w:tcPr>
          <w:p>
            <w:pPr>
              <w:keepNext/>
              <w:widowControl w:val="0"/>
              <w:jc w:val="center"/>
              <w:outlineLvl w:val="2"/>
              <w:rPr>
                <w:sz w:val="20"/>
                <w:lang w:val="en-US"/>
              </w:rPr>
            </w:pPr>
            <w:r>
              <w:rPr>
                <w:sz w:val="20"/>
                <w:lang w:val="en-US"/>
              </w:rPr>
              <w:t>Kuro rūšis</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lang w:eastAsia="lt-LT"/>
              </w:rPr>
            </w:pPr>
            <w:r>
              <w:rPr>
                <w:sz w:val="20"/>
                <w:lang w:eastAsia="lt-LT"/>
              </w:rPr>
              <w:t>Kurą deginančio įrenginio nominali šiluminė galia, MW</w:t>
            </w:r>
          </w:p>
        </w:tc>
        <w:tc>
          <w:tcPr>
            <w:tcW w:w="6125" w:type="dxa"/>
            <w:gridSpan w:val="8"/>
            <w:tcBorders>
              <w:top w:val="single" w:sz="6" w:space="0" w:color="auto"/>
              <w:left w:val="nil"/>
              <w:bottom w:val="single" w:sz="6" w:space="0" w:color="auto"/>
              <w:right w:val="single" w:sz="6" w:space="0" w:color="auto"/>
            </w:tcBorders>
            <w:vAlign w:val="center"/>
          </w:tcPr>
          <w:p>
            <w:pPr>
              <w:jc w:val="center"/>
              <w:rPr>
                <w:sz w:val="20"/>
                <w:lang w:eastAsia="lt-LT"/>
              </w:rPr>
            </w:pPr>
            <w:r>
              <w:rPr>
                <w:sz w:val="20"/>
                <w:lang w:eastAsia="lt-LT"/>
              </w:rPr>
              <w:t>Išmetamų teršalų ribinė vertė, mg/Nm</w:t>
            </w:r>
            <w:r>
              <w:rPr>
                <w:sz w:val="20"/>
                <w:vertAlign w:val="superscript"/>
                <w:lang w:eastAsia="lt-LT"/>
              </w:rPr>
              <w:t>3</w:t>
            </w:r>
          </w:p>
        </w:tc>
        <w:tc>
          <w:tcPr>
            <w:tcW w:w="982" w:type="dxa"/>
            <w:vMerge w:val="restart"/>
            <w:tcBorders>
              <w:top w:val="single" w:sz="6" w:space="0" w:color="auto"/>
              <w:right w:val="single" w:sz="6" w:space="0" w:color="auto"/>
            </w:tcBorders>
            <w:vAlign w:val="center"/>
          </w:tcPr>
          <w:p>
            <w:pPr>
              <w:jc w:val="center"/>
              <w:rPr>
                <w:sz w:val="20"/>
                <w:lang w:eastAsia="lt-LT"/>
              </w:rPr>
            </w:pPr>
            <w:r>
              <w:rPr>
                <w:sz w:val="20"/>
                <w:lang w:eastAsia="lt-LT"/>
              </w:rPr>
              <w:t>Standartinė O</w:t>
            </w:r>
            <w:r>
              <w:rPr>
                <w:sz w:val="20"/>
                <w:vertAlign w:val="subscript"/>
                <w:lang w:eastAsia="lt-LT"/>
              </w:rPr>
              <w:t>2</w:t>
            </w:r>
            <w:r>
              <w:rPr>
                <w:sz w:val="20"/>
                <w:lang w:eastAsia="lt-LT"/>
              </w:rPr>
              <w:t xml:space="preserve"> koncentracija, tūrio proc.</w:t>
            </w:r>
          </w:p>
        </w:tc>
      </w:tr>
      <w:tr>
        <w:trPr>
          <w:cantSplit/>
        </w:trPr>
        <w:tc>
          <w:tcPr>
            <w:tcW w:w="981" w:type="dxa"/>
            <w:vMerge/>
            <w:tcBorders>
              <w:left w:val="single" w:sz="6" w:space="0" w:color="auto"/>
            </w:tcBorders>
            <w:vAlign w:val="center"/>
          </w:tcPr>
          <w:p>
            <w:pPr>
              <w:jc w:val="center"/>
              <w:rPr>
                <w:sz w:val="20"/>
                <w:lang w:eastAsia="lt-LT"/>
              </w:rPr>
            </w:pPr>
          </w:p>
        </w:tc>
        <w:tc>
          <w:tcPr>
            <w:tcW w:w="982" w:type="dxa"/>
            <w:vMerge/>
            <w:tcBorders>
              <w:left w:val="single" w:sz="4" w:space="0" w:color="auto"/>
              <w:bottom w:val="single" w:sz="4" w:space="0" w:color="auto"/>
              <w:right w:val="single" w:sz="4" w:space="0" w:color="auto"/>
            </w:tcBorders>
            <w:vAlign w:val="center"/>
          </w:tcPr>
          <w:p>
            <w:pPr>
              <w:jc w:val="center"/>
              <w:rPr>
                <w:sz w:val="20"/>
                <w:lang w:eastAsia="lt-LT"/>
              </w:rPr>
            </w:pPr>
          </w:p>
        </w:tc>
        <w:tc>
          <w:tcPr>
            <w:tcW w:w="1538" w:type="dxa"/>
            <w:gridSpan w:val="2"/>
            <w:tcBorders>
              <w:left w:val="nil"/>
              <w:bottom w:val="single" w:sz="6" w:space="0" w:color="auto"/>
              <w:right w:val="single" w:sz="6" w:space="0" w:color="auto"/>
            </w:tcBorders>
            <w:vAlign w:val="center"/>
          </w:tcPr>
          <w:p>
            <w:pPr>
              <w:keepNext/>
              <w:jc w:val="center"/>
              <w:outlineLvl w:val="3"/>
              <w:rPr>
                <w:sz w:val="20"/>
              </w:rPr>
            </w:pPr>
            <w:r>
              <w:rPr>
                <w:sz w:val="20"/>
              </w:rPr>
              <w:t>SO</w:t>
            </w:r>
            <w:r>
              <w:rPr>
                <w:sz w:val="20"/>
                <w:vertAlign w:val="subscript"/>
              </w:rPr>
              <w:t>2</w:t>
            </w:r>
          </w:p>
        </w:tc>
        <w:tc>
          <w:tcPr>
            <w:tcW w:w="1332" w:type="dxa"/>
            <w:gridSpan w:val="2"/>
            <w:tcBorders>
              <w:bottom w:val="single" w:sz="6" w:space="0" w:color="auto"/>
              <w:right w:val="single" w:sz="6" w:space="0" w:color="auto"/>
            </w:tcBorders>
            <w:vAlign w:val="center"/>
          </w:tcPr>
          <w:p>
            <w:pPr>
              <w:keepNext/>
              <w:jc w:val="center"/>
              <w:outlineLvl w:val="3"/>
              <w:rPr>
                <w:sz w:val="20"/>
              </w:rPr>
            </w:pPr>
            <w:r>
              <w:rPr>
                <w:sz w:val="20"/>
              </w:rPr>
              <w:t>NO</w:t>
            </w:r>
            <w:r>
              <w:rPr>
                <w:sz w:val="20"/>
                <w:vertAlign w:val="subscript"/>
              </w:rPr>
              <w:t>x</w:t>
            </w:r>
          </w:p>
        </w:tc>
        <w:tc>
          <w:tcPr>
            <w:tcW w:w="1423" w:type="dxa"/>
            <w:gridSpan w:val="2"/>
            <w:tcBorders>
              <w:bottom w:val="single" w:sz="6" w:space="0" w:color="auto"/>
              <w:right w:val="single" w:sz="6" w:space="0" w:color="auto"/>
            </w:tcBorders>
            <w:vAlign w:val="center"/>
          </w:tcPr>
          <w:p>
            <w:pPr>
              <w:keepNext/>
              <w:jc w:val="center"/>
              <w:outlineLvl w:val="3"/>
              <w:rPr>
                <w:sz w:val="20"/>
              </w:rPr>
            </w:pPr>
            <w:r>
              <w:rPr>
                <w:sz w:val="20"/>
              </w:rPr>
              <w:t>CO</w:t>
            </w:r>
          </w:p>
        </w:tc>
        <w:tc>
          <w:tcPr>
            <w:tcW w:w="1832" w:type="dxa"/>
            <w:gridSpan w:val="2"/>
            <w:tcBorders>
              <w:bottom w:val="single" w:sz="6" w:space="0" w:color="auto"/>
              <w:right w:val="single" w:sz="6" w:space="0" w:color="auto"/>
            </w:tcBorders>
            <w:vAlign w:val="center"/>
          </w:tcPr>
          <w:p>
            <w:pPr>
              <w:keepNext/>
              <w:jc w:val="center"/>
              <w:outlineLvl w:val="3"/>
              <w:rPr>
                <w:sz w:val="20"/>
              </w:rPr>
            </w:pPr>
            <w:r>
              <w:rPr>
                <w:sz w:val="20"/>
              </w:rPr>
              <w:t>KD</w:t>
            </w:r>
          </w:p>
        </w:tc>
        <w:tc>
          <w:tcPr>
            <w:tcW w:w="982" w:type="dxa"/>
            <w:vMerge/>
            <w:tcBorders>
              <w:right w:val="single" w:sz="6" w:space="0" w:color="auto"/>
            </w:tcBorders>
            <w:vAlign w:val="center"/>
          </w:tcPr>
          <w:p>
            <w:pPr>
              <w:jc w:val="center"/>
              <w:rPr>
                <w:sz w:val="20"/>
                <w:lang w:eastAsia="lt-LT"/>
              </w:rPr>
            </w:pPr>
          </w:p>
        </w:tc>
      </w:tr>
      <w:tr>
        <w:trPr>
          <w:cantSplit/>
        </w:trPr>
        <w:tc>
          <w:tcPr>
            <w:tcW w:w="981" w:type="dxa"/>
            <w:vMerge/>
            <w:tcBorders>
              <w:left w:val="single" w:sz="6" w:space="0" w:color="auto"/>
            </w:tcBorders>
            <w:vAlign w:val="center"/>
          </w:tcPr>
          <w:p>
            <w:pPr>
              <w:jc w:val="center"/>
              <w:rPr>
                <w:sz w:val="20"/>
                <w:lang w:eastAsia="lt-LT"/>
              </w:rPr>
            </w:pPr>
          </w:p>
        </w:tc>
        <w:tc>
          <w:tcPr>
            <w:tcW w:w="982" w:type="dxa"/>
            <w:vMerge/>
            <w:tcBorders>
              <w:left w:val="single" w:sz="4" w:space="0" w:color="auto"/>
              <w:bottom w:val="single" w:sz="4" w:space="0" w:color="auto"/>
              <w:right w:val="single" w:sz="4" w:space="0" w:color="auto"/>
            </w:tcBorders>
            <w:vAlign w:val="center"/>
          </w:tcPr>
          <w:p>
            <w:pPr>
              <w:jc w:val="center"/>
              <w:rPr>
                <w:sz w:val="20"/>
                <w:lang w:eastAsia="lt-LT"/>
              </w:rPr>
            </w:pPr>
          </w:p>
        </w:tc>
        <w:tc>
          <w:tcPr>
            <w:tcW w:w="826" w:type="dxa"/>
            <w:tcBorders>
              <w:top w:val="single" w:sz="6" w:space="0" w:color="auto"/>
              <w:left w:val="nil"/>
              <w:right w:val="single" w:sz="6" w:space="0" w:color="auto"/>
            </w:tcBorders>
            <w:vAlign w:val="center"/>
          </w:tcPr>
          <w:p>
            <w:pPr>
              <w:jc w:val="center"/>
              <w:rPr>
                <w:sz w:val="20"/>
                <w:lang w:eastAsia="lt-LT"/>
              </w:rPr>
            </w:pPr>
            <w:r>
              <w:rPr>
                <w:sz w:val="20"/>
                <w:lang w:eastAsia="lt-LT"/>
              </w:rPr>
              <w:t>esamas</w:t>
            </w:r>
          </w:p>
          <w:p>
            <w:pPr>
              <w:jc w:val="center"/>
              <w:rPr>
                <w:sz w:val="20"/>
                <w:lang w:eastAsia="lt-LT"/>
              </w:rPr>
            </w:pPr>
            <w:r>
              <w:rPr>
                <w:sz w:val="20"/>
                <w:lang w:eastAsia="lt-LT"/>
              </w:rPr>
              <w:t>įrenginys</w:t>
            </w:r>
          </w:p>
        </w:tc>
        <w:tc>
          <w:tcPr>
            <w:tcW w:w="712" w:type="dxa"/>
            <w:tcBorders>
              <w:top w:val="single" w:sz="6" w:space="0" w:color="auto"/>
              <w:right w:val="single" w:sz="6" w:space="0" w:color="auto"/>
            </w:tcBorders>
            <w:vAlign w:val="center"/>
          </w:tcPr>
          <w:p>
            <w:pPr>
              <w:jc w:val="center"/>
              <w:rPr>
                <w:sz w:val="20"/>
                <w:lang w:eastAsia="lt-LT"/>
              </w:rPr>
            </w:pPr>
            <w:r>
              <w:rPr>
                <w:sz w:val="20"/>
                <w:lang w:eastAsia="lt-LT"/>
              </w:rPr>
              <w:t>naujas</w:t>
            </w:r>
          </w:p>
          <w:p>
            <w:pPr>
              <w:jc w:val="center"/>
              <w:rPr>
                <w:sz w:val="20"/>
                <w:lang w:eastAsia="lt-LT"/>
              </w:rPr>
            </w:pPr>
            <w:r>
              <w:rPr>
                <w:sz w:val="20"/>
                <w:lang w:eastAsia="lt-LT"/>
              </w:rPr>
              <w:t>įrenginys</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esamas</w:t>
            </w:r>
          </w:p>
          <w:p>
            <w:pPr>
              <w:jc w:val="center"/>
              <w:rPr>
                <w:sz w:val="20"/>
                <w:lang w:eastAsia="lt-LT"/>
              </w:rPr>
            </w:pPr>
            <w:r>
              <w:rPr>
                <w:sz w:val="20"/>
                <w:lang w:eastAsia="lt-LT"/>
              </w:rPr>
              <w:t>įrenginys</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naujas</w:t>
            </w:r>
          </w:p>
          <w:p>
            <w:pPr>
              <w:jc w:val="center"/>
              <w:rPr>
                <w:sz w:val="20"/>
                <w:lang w:eastAsia="lt-LT"/>
              </w:rPr>
            </w:pPr>
            <w:r>
              <w:rPr>
                <w:sz w:val="20"/>
                <w:lang w:eastAsia="lt-LT"/>
              </w:rPr>
              <w:t>įrenginys</w:t>
            </w:r>
          </w:p>
        </w:tc>
        <w:tc>
          <w:tcPr>
            <w:tcW w:w="757" w:type="dxa"/>
            <w:tcBorders>
              <w:top w:val="single" w:sz="6" w:space="0" w:color="auto"/>
              <w:right w:val="single" w:sz="6" w:space="0" w:color="auto"/>
            </w:tcBorders>
            <w:vAlign w:val="center"/>
          </w:tcPr>
          <w:p>
            <w:pPr>
              <w:jc w:val="center"/>
              <w:rPr>
                <w:sz w:val="20"/>
                <w:lang w:eastAsia="lt-LT"/>
              </w:rPr>
            </w:pPr>
            <w:r>
              <w:rPr>
                <w:sz w:val="20"/>
                <w:lang w:eastAsia="lt-LT"/>
              </w:rPr>
              <w:t>esamas</w:t>
            </w:r>
          </w:p>
          <w:p>
            <w:pPr>
              <w:jc w:val="center"/>
              <w:rPr>
                <w:sz w:val="20"/>
                <w:lang w:eastAsia="lt-LT"/>
              </w:rPr>
            </w:pPr>
            <w:r>
              <w:rPr>
                <w:sz w:val="20"/>
                <w:lang w:eastAsia="lt-LT"/>
              </w:rPr>
              <w:t>įrenginys</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naujas</w:t>
            </w:r>
          </w:p>
          <w:p>
            <w:pPr>
              <w:jc w:val="center"/>
              <w:rPr>
                <w:sz w:val="20"/>
                <w:lang w:eastAsia="lt-LT"/>
              </w:rPr>
            </w:pPr>
            <w:r>
              <w:rPr>
                <w:sz w:val="20"/>
                <w:lang w:eastAsia="lt-LT"/>
              </w:rPr>
              <w:t>įrenginys</w:t>
            </w:r>
          </w:p>
        </w:tc>
        <w:tc>
          <w:tcPr>
            <w:tcW w:w="895" w:type="dxa"/>
            <w:tcBorders>
              <w:top w:val="single" w:sz="6" w:space="0" w:color="auto"/>
            </w:tcBorders>
            <w:vAlign w:val="center"/>
          </w:tcPr>
          <w:p>
            <w:pPr>
              <w:jc w:val="center"/>
              <w:rPr>
                <w:sz w:val="20"/>
                <w:lang w:eastAsia="lt-LT"/>
              </w:rPr>
            </w:pPr>
            <w:r>
              <w:rPr>
                <w:sz w:val="20"/>
                <w:lang w:eastAsia="lt-LT"/>
              </w:rPr>
              <w:t>esamas</w:t>
            </w:r>
          </w:p>
          <w:p>
            <w:pPr>
              <w:jc w:val="center"/>
              <w:rPr>
                <w:sz w:val="20"/>
                <w:lang w:eastAsia="lt-LT"/>
              </w:rPr>
            </w:pPr>
            <w:r>
              <w:rPr>
                <w:sz w:val="20"/>
                <w:lang w:eastAsia="lt-LT"/>
              </w:rPr>
              <w:t>įrenginys</w:t>
            </w:r>
          </w:p>
        </w:tc>
        <w:tc>
          <w:tcPr>
            <w:tcW w:w="937" w:type="dxa"/>
            <w:tcBorders>
              <w:top w:val="single" w:sz="6" w:space="0" w:color="auto"/>
              <w:left w:val="single" w:sz="6" w:space="0" w:color="auto"/>
              <w:right w:val="single" w:sz="6" w:space="0" w:color="auto"/>
            </w:tcBorders>
            <w:vAlign w:val="center"/>
          </w:tcPr>
          <w:p>
            <w:pPr>
              <w:jc w:val="center"/>
              <w:rPr>
                <w:sz w:val="20"/>
                <w:lang w:eastAsia="lt-LT"/>
              </w:rPr>
            </w:pPr>
            <w:r>
              <w:rPr>
                <w:sz w:val="20"/>
                <w:lang w:eastAsia="lt-LT"/>
              </w:rPr>
              <w:t>naujas</w:t>
            </w:r>
          </w:p>
          <w:p>
            <w:pPr>
              <w:jc w:val="center"/>
              <w:rPr>
                <w:sz w:val="20"/>
                <w:lang w:eastAsia="lt-LT"/>
              </w:rPr>
            </w:pPr>
            <w:r>
              <w:rPr>
                <w:sz w:val="20"/>
                <w:lang w:eastAsia="lt-LT"/>
              </w:rPr>
              <w:t>įrenginys</w:t>
            </w:r>
          </w:p>
        </w:tc>
        <w:tc>
          <w:tcPr>
            <w:tcW w:w="982" w:type="dxa"/>
            <w:vMerge/>
            <w:tcBorders>
              <w:right w:val="single" w:sz="6" w:space="0" w:color="auto"/>
            </w:tcBorders>
            <w:vAlign w:val="center"/>
          </w:tcPr>
          <w:p>
            <w:pPr>
              <w:jc w:val="center"/>
              <w:rPr>
                <w:sz w:val="20"/>
                <w:lang w:eastAsia="lt-LT"/>
              </w:rPr>
            </w:pPr>
          </w:p>
        </w:tc>
      </w:tr>
      <w:tr>
        <w:trPr>
          <w:trHeight w:val="65"/>
        </w:trPr>
        <w:tc>
          <w:tcPr>
            <w:tcW w:w="981" w:type="dxa"/>
            <w:tcBorders>
              <w:top w:val="single" w:sz="6" w:space="0" w:color="auto"/>
              <w:left w:val="single" w:sz="6" w:space="0" w:color="auto"/>
              <w:right w:val="single" w:sz="6" w:space="0" w:color="auto"/>
            </w:tcBorders>
            <w:vAlign w:val="center"/>
          </w:tcPr>
          <w:p>
            <w:pPr>
              <w:jc w:val="center"/>
              <w:rPr>
                <w:sz w:val="20"/>
                <w:lang w:eastAsia="lt-LT"/>
              </w:rPr>
            </w:pPr>
            <w:r>
              <w:rPr>
                <w:sz w:val="20"/>
                <w:lang w:eastAsia="lt-LT"/>
              </w:rPr>
              <w:t>Dujinis kuras</w:t>
            </w:r>
          </w:p>
        </w:tc>
        <w:tc>
          <w:tcPr>
            <w:tcW w:w="982" w:type="dxa"/>
            <w:tcBorders>
              <w:bottom w:val="single" w:sz="6" w:space="0" w:color="auto"/>
              <w:right w:val="single" w:sz="6" w:space="0" w:color="auto"/>
            </w:tcBorders>
            <w:vAlign w:val="center"/>
          </w:tcPr>
          <w:p>
            <w:pPr>
              <w:jc w:val="center"/>
              <w:rPr>
                <w:sz w:val="20"/>
                <w:lang w:eastAsia="lt-LT"/>
              </w:rPr>
            </w:pPr>
            <w:r>
              <w:rPr>
                <w:sz w:val="20"/>
                <w:lang w:eastAsia="lt-LT"/>
              </w:rPr>
              <w:t xml:space="preserve">1 </w:t>
            </w:r>
            <w:r>
              <w:rPr>
                <w:position w:val="-4"/>
                <w:sz w:val="20"/>
                <w:lang w:eastAsia="lt-LT"/>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pt" o:ole="">
                  <v:imagedata r:id="rId24" o:title=""/>
                </v:shape>
                <o:OLEObject Type="Embed" ProgID="Equation.3" ShapeID="_x0000_i1025" DrawAspect="Content" ObjectID="_0000000001" r:id="rId25"/>
              </w:object>
            </w:r>
            <w:r>
              <w:rPr>
                <w:sz w:val="20"/>
                <w:lang w:eastAsia="lt-LT"/>
              </w:rPr>
              <w:t xml:space="preserve"> MW </w:t>
              <w:sym w:font="Symbol" w:char="F03C"/>
              <w:t xml:space="preserve"> 50</w:t>
            </w:r>
          </w:p>
        </w:tc>
        <w:tc>
          <w:tcPr>
            <w:tcW w:w="826"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nenormuojama</w:t>
            </w:r>
          </w:p>
        </w:tc>
        <w:tc>
          <w:tcPr>
            <w:tcW w:w="712"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35</w:t>
            </w:r>
            <w:r>
              <w:rPr>
                <w:sz w:val="20"/>
                <w:vertAlign w:val="superscript"/>
                <w:lang w:eastAsia="lt-LT"/>
              </w:rPr>
              <w:t>1</w:t>
            </w:r>
          </w:p>
        </w:tc>
        <w:tc>
          <w:tcPr>
            <w:tcW w:w="666"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350</w:t>
            </w:r>
          </w:p>
        </w:tc>
        <w:tc>
          <w:tcPr>
            <w:tcW w:w="666"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350</w:t>
            </w:r>
          </w:p>
        </w:tc>
        <w:tc>
          <w:tcPr>
            <w:tcW w:w="757"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400</w:t>
            </w:r>
          </w:p>
        </w:tc>
        <w:tc>
          <w:tcPr>
            <w:tcW w:w="666"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400</w:t>
            </w:r>
          </w:p>
        </w:tc>
        <w:tc>
          <w:tcPr>
            <w:tcW w:w="895"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nenormuojama</w:t>
            </w:r>
          </w:p>
        </w:tc>
        <w:tc>
          <w:tcPr>
            <w:tcW w:w="937"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20</w:t>
            </w:r>
            <w:r>
              <w:rPr>
                <w:sz w:val="20"/>
                <w:vertAlign w:val="superscript"/>
                <w:lang w:eastAsia="lt-LT"/>
              </w:rPr>
              <w:t>5</w:t>
            </w:r>
          </w:p>
        </w:tc>
        <w:tc>
          <w:tcPr>
            <w:tcW w:w="982" w:type="dxa"/>
            <w:tcBorders>
              <w:top w:val="single" w:sz="6" w:space="0" w:color="auto"/>
              <w:bottom w:val="single" w:sz="6" w:space="0" w:color="auto"/>
              <w:right w:val="single" w:sz="6" w:space="0" w:color="auto"/>
            </w:tcBorders>
            <w:vAlign w:val="center"/>
          </w:tcPr>
          <w:p>
            <w:pPr>
              <w:jc w:val="center"/>
              <w:rPr>
                <w:sz w:val="20"/>
                <w:lang w:eastAsia="lt-LT"/>
              </w:rPr>
            </w:pPr>
            <w:r>
              <w:rPr>
                <w:sz w:val="20"/>
                <w:lang w:eastAsia="lt-LT"/>
              </w:rPr>
              <w:t>3 %</w:t>
            </w:r>
          </w:p>
        </w:tc>
      </w:tr>
      <w:tr>
        <w:trPr>
          <w:trHeight w:val="525"/>
        </w:trPr>
        <w:tc>
          <w:tcPr>
            <w:tcW w:w="981" w:type="dxa"/>
            <w:vMerge w:val="restart"/>
            <w:tcBorders>
              <w:top w:val="single" w:sz="6" w:space="0" w:color="auto"/>
              <w:left w:val="single" w:sz="6" w:space="0" w:color="auto"/>
              <w:right w:val="single" w:sz="6" w:space="0" w:color="auto"/>
            </w:tcBorders>
            <w:vAlign w:val="center"/>
          </w:tcPr>
          <w:p>
            <w:pPr>
              <w:jc w:val="center"/>
              <w:rPr>
                <w:sz w:val="20"/>
                <w:lang w:eastAsia="lt-LT"/>
              </w:rPr>
            </w:pPr>
            <w:r>
              <w:rPr>
                <w:sz w:val="20"/>
                <w:lang w:eastAsia="lt-LT"/>
              </w:rPr>
              <w:t>Skystasis kuras</w:t>
            </w:r>
          </w:p>
        </w:tc>
        <w:tc>
          <w:tcPr>
            <w:tcW w:w="982" w:type="dxa"/>
            <w:tcBorders>
              <w:top w:val="single" w:sz="6" w:space="0" w:color="auto"/>
              <w:right w:val="single" w:sz="6" w:space="0" w:color="auto"/>
            </w:tcBorders>
            <w:vAlign w:val="center"/>
          </w:tcPr>
          <w:p>
            <w:pPr>
              <w:jc w:val="center"/>
              <w:rPr>
                <w:sz w:val="20"/>
                <w:lang w:eastAsia="lt-LT"/>
              </w:rPr>
            </w:pPr>
            <w:r>
              <w:rPr>
                <w:sz w:val="20"/>
                <w:lang w:eastAsia="lt-LT"/>
              </w:rPr>
              <w:t xml:space="preserve">1 </w:t>
            </w:r>
            <w:r>
              <w:rPr>
                <w:position w:val="-4"/>
                <w:sz w:val="20"/>
                <w:lang w:eastAsia="lt-LT"/>
              </w:rPr>
              <w:object w:dxaOrig="195" w:dyaOrig="240">
                <v:shape id="_x0000_i1026" type="#_x0000_t75" style="width:9.6pt;height:12pt" o:ole="">
                  <v:imagedata r:id="rId26" o:title=""/>
                </v:shape>
                <o:OLEObject Type="Embed" ProgID="Equation.3" ShapeID="_x0000_i1026" DrawAspect="Content" ObjectID="_0000000001" r:id="rId27"/>
              </w:object>
            </w:r>
            <w:r>
              <w:rPr>
                <w:sz w:val="20"/>
                <w:lang w:eastAsia="lt-LT"/>
              </w:rPr>
              <w:t xml:space="preserve"> MW</w:t>
              <w:sym w:font="Symbol" w:char="F03C"/>
              <w:t xml:space="preserve"> 20</w:t>
            </w:r>
          </w:p>
        </w:tc>
        <w:tc>
          <w:tcPr>
            <w:tcW w:w="826" w:type="dxa"/>
            <w:tcBorders>
              <w:top w:val="single" w:sz="6" w:space="0" w:color="auto"/>
              <w:right w:val="single" w:sz="6" w:space="0" w:color="auto"/>
            </w:tcBorders>
            <w:vAlign w:val="center"/>
          </w:tcPr>
          <w:p>
            <w:pPr>
              <w:jc w:val="center"/>
              <w:rPr>
                <w:sz w:val="20"/>
                <w:lang w:eastAsia="lt-LT"/>
              </w:rPr>
            </w:pPr>
            <w:r>
              <w:rPr>
                <w:sz w:val="20"/>
                <w:lang w:eastAsia="lt-LT"/>
              </w:rPr>
              <w:t>1700</w:t>
            </w:r>
            <w:r>
              <w:rPr>
                <w:sz w:val="20"/>
                <w:vertAlign w:val="superscript"/>
                <w:lang w:eastAsia="lt-LT"/>
              </w:rPr>
              <w:t>2</w:t>
            </w:r>
          </w:p>
        </w:tc>
        <w:tc>
          <w:tcPr>
            <w:tcW w:w="712" w:type="dxa"/>
            <w:tcBorders>
              <w:top w:val="single" w:sz="6" w:space="0" w:color="auto"/>
              <w:right w:val="single" w:sz="6" w:space="0" w:color="auto"/>
            </w:tcBorders>
            <w:vAlign w:val="center"/>
          </w:tcPr>
          <w:p>
            <w:pPr>
              <w:jc w:val="center"/>
              <w:rPr>
                <w:sz w:val="20"/>
                <w:lang w:eastAsia="lt-LT"/>
              </w:rPr>
            </w:pPr>
            <w:r>
              <w:rPr>
                <w:sz w:val="20"/>
                <w:lang w:eastAsia="lt-LT"/>
              </w:rPr>
              <w:t>1700</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650</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450</w:t>
            </w:r>
            <w:r>
              <w:rPr>
                <w:sz w:val="20"/>
                <w:vertAlign w:val="superscript"/>
                <w:lang w:eastAsia="lt-LT"/>
              </w:rPr>
              <w:t>2</w:t>
            </w:r>
          </w:p>
        </w:tc>
        <w:tc>
          <w:tcPr>
            <w:tcW w:w="757" w:type="dxa"/>
            <w:tcBorders>
              <w:top w:val="single" w:sz="6" w:space="0" w:color="auto"/>
              <w:right w:val="single" w:sz="6" w:space="0" w:color="auto"/>
            </w:tcBorders>
            <w:vAlign w:val="center"/>
          </w:tcPr>
          <w:p>
            <w:pPr>
              <w:jc w:val="center"/>
              <w:rPr>
                <w:sz w:val="20"/>
                <w:lang w:eastAsia="lt-LT"/>
              </w:rPr>
            </w:pPr>
            <w:r>
              <w:rPr>
                <w:sz w:val="20"/>
                <w:lang w:eastAsia="lt-LT"/>
              </w:rPr>
              <w:t>500</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500</w:t>
            </w:r>
          </w:p>
        </w:tc>
        <w:tc>
          <w:tcPr>
            <w:tcW w:w="895" w:type="dxa"/>
            <w:tcBorders>
              <w:top w:val="single" w:sz="6" w:space="0" w:color="auto"/>
              <w:right w:val="single" w:sz="6" w:space="0" w:color="auto"/>
            </w:tcBorders>
            <w:vAlign w:val="center"/>
          </w:tcPr>
          <w:p>
            <w:pPr>
              <w:jc w:val="center"/>
              <w:rPr>
                <w:sz w:val="20"/>
                <w:lang w:eastAsia="lt-LT"/>
              </w:rPr>
            </w:pPr>
            <w:r>
              <w:rPr>
                <w:sz w:val="20"/>
                <w:lang w:eastAsia="lt-LT"/>
              </w:rPr>
              <w:t>250</w:t>
            </w:r>
          </w:p>
        </w:tc>
        <w:tc>
          <w:tcPr>
            <w:tcW w:w="937" w:type="dxa"/>
            <w:tcBorders>
              <w:top w:val="single" w:sz="6" w:space="0" w:color="auto"/>
              <w:right w:val="single" w:sz="6" w:space="0" w:color="auto"/>
            </w:tcBorders>
            <w:vAlign w:val="center"/>
          </w:tcPr>
          <w:p>
            <w:pPr>
              <w:jc w:val="center"/>
              <w:rPr>
                <w:sz w:val="20"/>
                <w:lang w:eastAsia="lt-LT"/>
              </w:rPr>
            </w:pPr>
            <w:r>
              <w:rPr>
                <w:sz w:val="20"/>
                <w:lang w:eastAsia="lt-LT"/>
              </w:rPr>
              <w:t>200</w:t>
            </w:r>
          </w:p>
        </w:tc>
        <w:tc>
          <w:tcPr>
            <w:tcW w:w="982" w:type="dxa"/>
            <w:tcBorders>
              <w:top w:val="single" w:sz="6" w:space="0" w:color="auto"/>
              <w:right w:val="single" w:sz="6" w:space="0" w:color="auto"/>
            </w:tcBorders>
            <w:vAlign w:val="center"/>
          </w:tcPr>
          <w:p>
            <w:pPr>
              <w:jc w:val="center"/>
              <w:rPr>
                <w:sz w:val="20"/>
                <w:lang w:eastAsia="lt-LT"/>
              </w:rPr>
            </w:pPr>
            <w:r>
              <w:rPr>
                <w:sz w:val="20"/>
                <w:lang w:eastAsia="lt-LT"/>
              </w:rPr>
              <w:t>3 %</w:t>
            </w:r>
          </w:p>
        </w:tc>
      </w:tr>
      <w:tr>
        <w:trPr>
          <w:trHeight w:val="435"/>
        </w:trPr>
        <w:tc>
          <w:tcPr>
            <w:tcW w:w="981" w:type="dxa"/>
            <w:vMerge/>
            <w:tcBorders>
              <w:left w:val="single" w:sz="6" w:space="0" w:color="auto"/>
              <w:right w:val="single" w:sz="6" w:space="0" w:color="auto"/>
            </w:tcBorders>
            <w:vAlign w:val="center"/>
          </w:tcPr>
          <w:p>
            <w:pPr>
              <w:jc w:val="center"/>
              <w:rPr>
                <w:sz w:val="20"/>
                <w:lang w:eastAsia="lt-LT"/>
              </w:rPr>
            </w:pPr>
          </w:p>
        </w:tc>
        <w:tc>
          <w:tcPr>
            <w:tcW w:w="982" w:type="dxa"/>
            <w:tcBorders>
              <w:bottom w:val="single" w:sz="6" w:space="0" w:color="auto"/>
              <w:right w:val="single" w:sz="6" w:space="0" w:color="auto"/>
            </w:tcBorders>
            <w:vAlign w:val="center"/>
          </w:tcPr>
          <w:p>
            <w:pPr>
              <w:jc w:val="center"/>
              <w:rPr>
                <w:sz w:val="20"/>
                <w:lang w:eastAsia="lt-LT"/>
              </w:rPr>
            </w:pPr>
            <w:r>
              <w:rPr>
                <w:sz w:val="20"/>
                <w:lang w:eastAsia="lt-LT"/>
              </w:rPr>
              <w:t xml:space="preserve">20 </w:t>
            </w:r>
            <w:r>
              <w:rPr>
                <w:position w:val="-4"/>
                <w:sz w:val="20"/>
                <w:lang w:eastAsia="lt-LT"/>
              </w:rPr>
              <w:object w:dxaOrig="195" w:dyaOrig="240">
                <v:shape id="_x0000_i1027" type="#_x0000_t75" style="width:9.6pt;height:12pt" o:ole="">
                  <v:imagedata r:id="rId28" o:title=""/>
                </v:shape>
                <o:OLEObject Type="Embed" ProgID="Equation.3" ShapeID="_x0000_i1027" DrawAspect="Content" ObjectID="_0000000001" r:id="rId29"/>
              </w:object>
            </w:r>
            <w:r>
              <w:rPr>
                <w:sz w:val="20"/>
                <w:lang w:eastAsia="lt-LT"/>
              </w:rPr>
              <w:t xml:space="preserve"> MW</w:t>
              <w:sym w:font="Symbol" w:char="F03C"/>
              <w:t xml:space="preserve"> 50</w:t>
            </w:r>
          </w:p>
        </w:tc>
        <w:tc>
          <w:tcPr>
            <w:tcW w:w="826" w:type="dxa"/>
            <w:tcBorders>
              <w:bottom w:val="single" w:sz="6" w:space="0" w:color="auto"/>
              <w:right w:val="single" w:sz="6" w:space="0" w:color="auto"/>
            </w:tcBorders>
            <w:vAlign w:val="center"/>
          </w:tcPr>
          <w:p>
            <w:pPr>
              <w:jc w:val="center"/>
              <w:rPr>
                <w:sz w:val="20"/>
                <w:lang w:eastAsia="lt-LT"/>
              </w:rPr>
            </w:pPr>
            <w:r>
              <w:rPr>
                <w:sz w:val="20"/>
                <w:lang w:eastAsia="lt-LT"/>
              </w:rPr>
              <w:t>1700</w:t>
            </w:r>
            <w:r>
              <w:rPr>
                <w:sz w:val="20"/>
                <w:vertAlign w:val="superscript"/>
                <w:lang w:eastAsia="lt-LT"/>
              </w:rPr>
              <w:t>2</w:t>
            </w:r>
          </w:p>
        </w:tc>
        <w:tc>
          <w:tcPr>
            <w:tcW w:w="712" w:type="dxa"/>
            <w:tcBorders>
              <w:bottom w:val="single" w:sz="6" w:space="0" w:color="auto"/>
              <w:right w:val="single" w:sz="6" w:space="0" w:color="auto"/>
            </w:tcBorders>
            <w:vAlign w:val="center"/>
          </w:tcPr>
          <w:p>
            <w:pPr>
              <w:jc w:val="center"/>
              <w:rPr>
                <w:sz w:val="20"/>
                <w:lang w:eastAsia="lt-LT"/>
              </w:rPr>
            </w:pPr>
            <w:r>
              <w:rPr>
                <w:sz w:val="20"/>
                <w:lang w:eastAsia="lt-LT"/>
              </w:rPr>
              <w:t>1700</w:t>
            </w:r>
          </w:p>
        </w:tc>
        <w:tc>
          <w:tcPr>
            <w:tcW w:w="666" w:type="dxa"/>
            <w:tcBorders>
              <w:bottom w:val="single" w:sz="6" w:space="0" w:color="auto"/>
              <w:right w:val="single" w:sz="6" w:space="0" w:color="auto"/>
            </w:tcBorders>
            <w:vAlign w:val="center"/>
          </w:tcPr>
          <w:p>
            <w:pPr>
              <w:jc w:val="center"/>
              <w:rPr>
                <w:sz w:val="20"/>
                <w:lang w:eastAsia="lt-LT"/>
              </w:rPr>
            </w:pPr>
            <w:r>
              <w:rPr>
                <w:sz w:val="20"/>
                <w:lang w:eastAsia="lt-LT"/>
              </w:rPr>
              <w:t>650</w:t>
            </w:r>
          </w:p>
        </w:tc>
        <w:tc>
          <w:tcPr>
            <w:tcW w:w="666" w:type="dxa"/>
            <w:tcBorders>
              <w:bottom w:val="single" w:sz="6" w:space="0" w:color="auto"/>
              <w:right w:val="single" w:sz="6" w:space="0" w:color="auto"/>
            </w:tcBorders>
            <w:vAlign w:val="center"/>
          </w:tcPr>
          <w:p>
            <w:pPr>
              <w:jc w:val="center"/>
              <w:rPr>
                <w:sz w:val="20"/>
                <w:lang w:eastAsia="lt-LT"/>
              </w:rPr>
            </w:pPr>
            <w:r>
              <w:rPr>
                <w:sz w:val="20"/>
                <w:lang w:eastAsia="lt-LT"/>
              </w:rPr>
              <w:t>450</w:t>
            </w:r>
            <w:r>
              <w:rPr>
                <w:sz w:val="20"/>
                <w:vertAlign w:val="superscript"/>
                <w:lang w:eastAsia="lt-LT"/>
              </w:rPr>
              <w:t>2</w:t>
            </w:r>
          </w:p>
        </w:tc>
        <w:tc>
          <w:tcPr>
            <w:tcW w:w="757" w:type="dxa"/>
            <w:tcBorders>
              <w:bottom w:val="single" w:sz="6" w:space="0" w:color="auto"/>
              <w:right w:val="single" w:sz="6" w:space="0" w:color="auto"/>
            </w:tcBorders>
            <w:vAlign w:val="center"/>
          </w:tcPr>
          <w:p>
            <w:pPr>
              <w:jc w:val="center"/>
              <w:rPr>
                <w:sz w:val="20"/>
                <w:lang w:eastAsia="lt-LT"/>
              </w:rPr>
            </w:pPr>
            <w:r>
              <w:rPr>
                <w:sz w:val="20"/>
                <w:lang w:eastAsia="lt-LT"/>
              </w:rPr>
              <w:t>400</w:t>
            </w:r>
          </w:p>
        </w:tc>
        <w:tc>
          <w:tcPr>
            <w:tcW w:w="666" w:type="dxa"/>
            <w:tcBorders>
              <w:bottom w:val="single" w:sz="6" w:space="0" w:color="auto"/>
              <w:right w:val="single" w:sz="6" w:space="0" w:color="auto"/>
            </w:tcBorders>
            <w:vAlign w:val="center"/>
          </w:tcPr>
          <w:p>
            <w:pPr>
              <w:jc w:val="center"/>
              <w:rPr>
                <w:sz w:val="20"/>
                <w:lang w:eastAsia="lt-LT"/>
              </w:rPr>
            </w:pPr>
            <w:r>
              <w:rPr>
                <w:sz w:val="20"/>
                <w:lang w:eastAsia="lt-LT"/>
              </w:rPr>
              <w:t>400</w:t>
            </w:r>
          </w:p>
        </w:tc>
        <w:tc>
          <w:tcPr>
            <w:tcW w:w="895" w:type="dxa"/>
            <w:tcBorders>
              <w:bottom w:val="single" w:sz="6" w:space="0" w:color="auto"/>
              <w:right w:val="single" w:sz="6" w:space="0" w:color="auto"/>
            </w:tcBorders>
            <w:vAlign w:val="center"/>
          </w:tcPr>
          <w:p>
            <w:pPr>
              <w:jc w:val="center"/>
              <w:rPr>
                <w:sz w:val="20"/>
                <w:lang w:eastAsia="lt-LT"/>
              </w:rPr>
            </w:pPr>
            <w:r>
              <w:rPr>
                <w:sz w:val="20"/>
                <w:lang w:eastAsia="lt-LT"/>
              </w:rPr>
              <w:t>250</w:t>
            </w:r>
          </w:p>
        </w:tc>
        <w:tc>
          <w:tcPr>
            <w:tcW w:w="937" w:type="dxa"/>
            <w:tcBorders>
              <w:bottom w:val="single" w:sz="6" w:space="0" w:color="auto"/>
              <w:right w:val="single" w:sz="6" w:space="0" w:color="auto"/>
            </w:tcBorders>
            <w:vAlign w:val="center"/>
          </w:tcPr>
          <w:p>
            <w:pPr>
              <w:jc w:val="center"/>
              <w:rPr>
                <w:sz w:val="20"/>
                <w:lang w:eastAsia="lt-LT"/>
              </w:rPr>
            </w:pPr>
            <w:r>
              <w:rPr>
                <w:sz w:val="20"/>
                <w:lang w:eastAsia="lt-LT"/>
              </w:rPr>
              <w:t>100</w:t>
            </w:r>
          </w:p>
        </w:tc>
        <w:tc>
          <w:tcPr>
            <w:tcW w:w="982" w:type="dxa"/>
            <w:tcBorders>
              <w:bottom w:val="single" w:sz="6" w:space="0" w:color="auto"/>
              <w:right w:val="single" w:sz="6" w:space="0" w:color="auto"/>
            </w:tcBorders>
            <w:vAlign w:val="center"/>
          </w:tcPr>
          <w:p>
            <w:pPr>
              <w:jc w:val="center"/>
              <w:rPr>
                <w:sz w:val="20"/>
                <w:lang w:eastAsia="lt-LT"/>
              </w:rPr>
            </w:pPr>
            <w:r>
              <w:rPr>
                <w:sz w:val="20"/>
                <w:lang w:eastAsia="lt-LT"/>
              </w:rPr>
              <w:t>3 %</w:t>
            </w:r>
          </w:p>
        </w:tc>
      </w:tr>
      <w:tr>
        <w:trPr>
          <w:trHeight w:val="540"/>
        </w:trPr>
        <w:tc>
          <w:tcPr>
            <w:tcW w:w="981" w:type="dxa"/>
            <w:vMerge w:val="restart"/>
            <w:tcBorders>
              <w:top w:val="single" w:sz="6" w:space="0" w:color="auto"/>
              <w:left w:val="single" w:sz="6" w:space="0" w:color="auto"/>
              <w:right w:val="single" w:sz="6" w:space="0" w:color="auto"/>
            </w:tcBorders>
            <w:vAlign w:val="center"/>
          </w:tcPr>
          <w:p>
            <w:pPr>
              <w:jc w:val="center"/>
              <w:rPr>
                <w:sz w:val="20"/>
                <w:lang w:eastAsia="lt-LT"/>
              </w:rPr>
            </w:pPr>
            <w:r>
              <w:rPr>
                <w:sz w:val="20"/>
                <w:lang w:eastAsia="lt-LT"/>
              </w:rPr>
              <w:t>Kietasis kuras</w:t>
            </w:r>
          </w:p>
        </w:tc>
        <w:tc>
          <w:tcPr>
            <w:tcW w:w="982" w:type="dxa"/>
            <w:tcBorders>
              <w:top w:val="single" w:sz="6" w:space="0" w:color="auto"/>
              <w:right w:val="single" w:sz="6" w:space="0" w:color="auto"/>
            </w:tcBorders>
            <w:vAlign w:val="center"/>
          </w:tcPr>
          <w:p>
            <w:pPr>
              <w:jc w:val="center"/>
              <w:rPr>
                <w:sz w:val="20"/>
                <w:lang w:eastAsia="lt-LT"/>
              </w:rPr>
            </w:pPr>
            <w:r>
              <w:rPr>
                <w:sz w:val="20"/>
                <w:lang w:eastAsia="lt-LT"/>
              </w:rPr>
              <w:t xml:space="preserve">1 </w:t>
            </w:r>
            <w:r>
              <w:rPr>
                <w:position w:val="-4"/>
                <w:sz w:val="20"/>
                <w:lang w:eastAsia="lt-LT"/>
              </w:rPr>
              <w:object w:dxaOrig="195" w:dyaOrig="240">
                <v:shape id="_x0000_i1028" type="#_x0000_t75" style="width:9.6pt;height:12pt" o:ole="">
                  <v:imagedata r:id="rId30" o:title=""/>
                </v:shape>
                <o:OLEObject Type="Embed" ProgID="Equation.3" ShapeID="_x0000_i1028" DrawAspect="Content" ObjectID="_0000000001" r:id="rId31"/>
              </w:object>
            </w:r>
            <w:r>
              <w:rPr>
                <w:sz w:val="20"/>
                <w:lang w:eastAsia="lt-LT"/>
              </w:rPr>
              <w:t xml:space="preserve"> MW</w:t>
              <w:sym w:font="Symbol" w:char="F03C"/>
              <w:t xml:space="preserve"> 20</w:t>
            </w:r>
          </w:p>
        </w:tc>
        <w:tc>
          <w:tcPr>
            <w:tcW w:w="826" w:type="dxa"/>
            <w:tcBorders>
              <w:top w:val="single" w:sz="6" w:space="0" w:color="auto"/>
              <w:right w:val="single" w:sz="6" w:space="0" w:color="auto"/>
            </w:tcBorders>
            <w:vAlign w:val="center"/>
          </w:tcPr>
          <w:p>
            <w:pPr>
              <w:jc w:val="center"/>
              <w:rPr>
                <w:sz w:val="20"/>
                <w:lang w:eastAsia="lt-LT"/>
              </w:rPr>
            </w:pPr>
            <w:r>
              <w:rPr>
                <w:sz w:val="20"/>
                <w:lang w:eastAsia="lt-LT"/>
              </w:rPr>
              <w:t>2000</w:t>
            </w:r>
          </w:p>
        </w:tc>
        <w:tc>
          <w:tcPr>
            <w:tcW w:w="712" w:type="dxa"/>
            <w:tcBorders>
              <w:top w:val="single" w:sz="6" w:space="0" w:color="auto"/>
              <w:right w:val="single" w:sz="6" w:space="0" w:color="auto"/>
            </w:tcBorders>
            <w:vAlign w:val="center"/>
          </w:tcPr>
          <w:p>
            <w:pPr>
              <w:jc w:val="center"/>
              <w:rPr>
                <w:sz w:val="20"/>
                <w:lang w:eastAsia="lt-LT"/>
              </w:rPr>
            </w:pPr>
            <w:r>
              <w:rPr>
                <w:sz w:val="20"/>
                <w:lang w:eastAsia="lt-LT"/>
              </w:rPr>
              <w:t>2000</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650</w:t>
            </w:r>
            <w:r>
              <w:rPr>
                <w:sz w:val="20"/>
                <w:vertAlign w:val="superscript"/>
                <w:lang w:eastAsia="lt-LT"/>
              </w:rPr>
              <w:t>3</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650</w:t>
            </w:r>
            <w:r>
              <w:rPr>
                <w:sz w:val="20"/>
                <w:vertAlign w:val="superscript"/>
                <w:lang w:eastAsia="lt-LT"/>
              </w:rPr>
              <w:t>3</w:t>
            </w:r>
          </w:p>
        </w:tc>
        <w:tc>
          <w:tcPr>
            <w:tcW w:w="757" w:type="dxa"/>
            <w:tcBorders>
              <w:top w:val="single" w:sz="6" w:space="0" w:color="auto"/>
              <w:right w:val="single" w:sz="6" w:space="0" w:color="auto"/>
            </w:tcBorders>
            <w:vAlign w:val="center"/>
          </w:tcPr>
          <w:p>
            <w:pPr>
              <w:jc w:val="center"/>
              <w:rPr>
                <w:sz w:val="20"/>
                <w:lang w:eastAsia="lt-LT"/>
              </w:rPr>
            </w:pPr>
            <w:r>
              <w:rPr>
                <w:sz w:val="20"/>
                <w:lang w:eastAsia="lt-LT"/>
              </w:rPr>
              <w:t>2000</w:t>
            </w:r>
            <w:r>
              <w:rPr>
                <w:sz w:val="20"/>
                <w:vertAlign w:val="superscript"/>
                <w:lang w:eastAsia="lt-LT"/>
              </w:rPr>
              <w:t>4</w:t>
            </w:r>
          </w:p>
        </w:tc>
        <w:tc>
          <w:tcPr>
            <w:tcW w:w="666" w:type="dxa"/>
            <w:tcBorders>
              <w:top w:val="single" w:sz="6" w:space="0" w:color="auto"/>
              <w:right w:val="single" w:sz="6" w:space="0" w:color="auto"/>
            </w:tcBorders>
            <w:vAlign w:val="center"/>
          </w:tcPr>
          <w:p>
            <w:pPr>
              <w:jc w:val="center"/>
              <w:rPr>
                <w:sz w:val="20"/>
                <w:lang w:eastAsia="lt-LT"/>
              </w:rPr>
            </w:pPr>
            <w:r>
              <w:rPr>
                <w:sz w:val="20"/>
                <w:lang w:eastAsia="lt-LT"/>
              </w:rPr>
              <w:t>1000</w:t>
            </w:r>
            <w:r>
              <w:rPr>
                <w:sz w:val="20"/>
                <w:vertAlign w:val="superscript"/>
                <w:lang w:eastAsia="lt-LT"/>
              </w:rPr>
              <w:t>4</w:t>
            </w:r>
          </w:p>
        </w:tc>
        <w:tc>
          <w:tcPr>
            <w:tcW w:w="895" w:type="dxa"/>
            <w:tcBorders>
              <w:top w:val="single" w:sz="6" w:space="0" w:color="auto"/>
              <w:right w:val="single" w:sz="6" w:space="0" w:color="auto"/>
            </w:tcBorders>
            <w:vAlign w:val="center"/>
          </w:tcPr>
          <w:p>
            <w:pPr>
              <w:jc w:val="center"/>
              <w:rPr>
                <w:sz w:val="20"/>
                <w:lang w:eastAsia="lt-LT"/>
              </w:rPr>
            </w:pPr>
            <w:r>
              <w:rPr>
                <w:sz w:val="20"/>
                <w:lang w:eastAsia="lt-LT"/>
              </w:rPr>
              <w:t>700</w:t>
            </w:r>
          </w:p>
        </w:tc>
        <w:tc>
          <w:tcPr>
            <w:tcW w:w="937" w:type="dxa"/>
            <w:tcBorders>
              <w:top w:val="single" w:sz="6" w:space="0" w:color="auto"/>
              <w:right w:val="single" w:sz="6" w:space="0" w:color="auto"/>
            </w:tcBorders>
            <w:vAlign w:val="center"/>
          </w:tcPr>
          <w:p>
            <w:pPr>
              <w:jc w:val="center"/>
              <w:rPr>
                <w:sz w:val="20"/>
                <w:lang w:eastAsia="lt-LT"/>
              </w:rPr>
            </w:pPr>
            <w:r>
              <w:rPr>
                <w:sz w:val="20"/>
                <w:lang w:eastAsia="lt-LT"/>
              </w:rPr>
              <w:t>400</w:t>
            </w:r>
          </w:p>
        </w:tc>
        <w:tc>
          <w:tcPr>
            <w:tcW w:w="982" w:type="dxa"/>
            <w:tcBorders>
              <w:top w:val="single" w:sz="6" w:space="0" w:color="auto"/>
              <w:right w:val="single" w:sz="6" w:space="0" w:color="auto"/>
            </w:tcBorders>
            <w:vAlign w:val="center"/>
          </w:tcPr>
          <w:p>
            <w:pPr>
              <w:jc w:val="center"/>
              <w:rPr>
                <w:sz w:val="20"/>
                <w:lang w:eastAsia="lt-LT"/>
              </w:rPr>
            </w:pPr>
            <w:r>
              <w:rPr>
                <w:sz w:val="20"/>
                <w:lang w:eastAsia="lt-LT"/>
              </w:rPr>
              <w:t>6 %</w:t>
            </w:r>
          </w:p>
        </w:tc>
      </w:tr>
      <w:tr>
        <w:trPr>
          <w:trHeight w:val="660"/>
        </w:trPr>
        <w:tc>
          <w:tcPr>
            <w:tcW w:w="981" w:type="dxa"/>
            <w:vMerge/>
            <w:tcBorders>
              <w:left w:val="single" w:sz="6" w:space="0" w:color="auto"/>
              <w:bottom w:val="single" w:sz="6" w:space="0" w:color="auto"/>
              <w:right w:val="single" w:sz="6" w:space="0" w:color="auto"/>
            </w:tcBorders>
            <w:vAlign w:val="center"/>
          </w:tcPr>
          <w:p>
            <w:pPr>
              <w:jc w:val="center"/>
              <w:rPr>
                <w:sz w:val="20"/>
                <w:lang w:eastAsia="lt-LT"/>
              </w:rPr>
            </w:pPr>
          </w:p>
        </w:tc>
        <w:tc>
          <w:tcPr>
            <w:tcW w:w="982" w:type="dxa"/>
            <w:tcBorders>
              <w:bottom w:val="single" w:sz="6" w:space="0" w:color="auto"/>
              <w:right w:val="single" w:sz="6" w:space="0" w:color="auto"/>
            </w:tcBorders>
            <w:vAlign w:val="center"/>
          </w:tcPr>
          <w:p>
            <w:pPr>
              <w:jc w:val="center"/>
              <w:rPr>
                <w:sz w:val="20"/>
                <w:lang w:eastAsia="lt-LT"/>
              </w:rPr>
            </w:pPr>
            <w:r>
              <w:rPr>
                <w:sz w:val="20"/>
                <w:lang w:eastAsia="lt-LT"/>
              </w:rPr>
              <w:t xml:space="preserve">20 </w:t>
            </w:r>
            <w:r>
              <w:rPr>
                <w:position w:val="-4"/>
                <w:sz w:val="20"/>
                <w:lang w:eastAsia="lt-LT"/>
              </w:rPr>
              <w:object w:dxaOrig="195" w:dyaOrig="240">
                <v:shape id="_x0000_i1029" type="#_x0000_t75" style="width:9.6pt;height:12pt" o:ole="">
                  <v:imagedata r:id="rId32" o:title=""/>
                </v:shape>
                <o:OLEObject Type="Embed" ProgID="Equation.3" ShapeID="_x0000_i1029" DrawAspect="Content" ObjectID="_0000000001" r:id="rId33"/>
              </w:object>
            </w:r>
            <w:r>
              <w:rPr>
                <w:sz w:val="20"/>
                <w:lang w:eastAsia="lt-LT"/>
              </w:rPr>
              <w:t xml:space="preserve"> MW</w:t>
              <w:sym w:font="Symbol" w:char="F03C"/>
              <w:t xml:space="preserve"> 50</w:t>
            </w:r>
          </w:p>
        </w:tc>
        <w:tc>
          <w:tcPr>
            <w:tcW w:w="826" w:type="dxa"/>
            <w:tcBorders>
              <w:bottom w:val="single" w:sz="6" w:space="0" w:color="auto"/>
              <w:right w:val="single" w:sz="6" w:space="0" w:color="auto"/>
            </w:tcBorders>
            <w:vAlign w:val="center"/>
          </w:tcPr>
          <w:p>
            <w:pPr>
              <w:jc w:val="center"/>
              <w:rPr>
                <w:sz w:val="20"/>
                <w:lang w:eastAsia="lt-LT"/>
              </w:rPr>
            </w:pPr>
            <w:r>
              <w:rPr>
                <w:sz w:val="20"/>
                <w:lang w:eastAsia="lt-LT"/>
              </w:rPr>
              <w:t>2000</w:t>
            </w:r>
          </w:p>
        </w:tc>
        <w:tc>
          <w:tcPr>
            <w:tcW w:w="712" w:type="dxa"/>
            <w:tcBorders>
              <w:bottom w:val="single" w:sz="6" w:space="0" w:color="auto"/>
              <w:right w:val="single" w:sz="6" w:space="0" w:color="auto"/>
            </w:tcBorders>
            <w:vAlign w:val="center"/>
          </w:tcPr>
          <w:p>
            <w:pPr>
              <w:jc w:val="center"/>
              <w:rPr>
                <w:sz w:val="20"/>
                <w:lang w:eastAsia="lt-LT"/>
              </w:rPr>
            </w:pPr>
            <w:r>
              <w:rPr>
                <w:sz w:val="20"/>
                <w:lang w:eastAsia="lt-LT"/>
              </w:rPr>
              <w:t>2000</w:t>
            </w:r>
          </w:p>
        </w:tc>
        <w:tc>
          <w:tcPr>
            <w:tcW w:w="666" w:type="dxa"/>
            <w:tcBorders>
              <w:bottom w:val="single" w:sz="6" w:space="0" w:color="auto"/>
              <w:right w:val="single" w:sz="6" w:space="0" w:color="auto"/>
            </w:tcBorders>
            <w:vAlign w:val="center"/>
          </w:tcPr>
          <w:p>
            <w:pPr>
              <w:jc w:val="center"/>
              <w:rPr>
                <w:sz w:val="20"/>
                <w:lang w:eastAsia="lt-LT"/>
              </w:rPr>
            </w:pPr>
            <w:r>
              <w:rPr>
                <w:sz w:val="20"/>
                <w:lang w:eastAsia="lt-LT"/>
              </w:rPr>
              <w:t>650</w:t>
            </w:r>
            <w:r>
              <w:rPr>
                <w:sz w:val="20"/>
                <w:vertAlign w:val="superscript"/>
                <w:lang w:eastAsia="lt-LT"/>
              </w:rPr>
              <w:t>3</w:t>
            </w:r>
          </w:p>
        </w:tc>
        <w:tc>
          <w:tcPr>
            <w:tcW w:w="666" w:type="dxa"/>
            <w:tcBorders>
              <w:bottom w:val="single" w:sz="6" w:space="0" w:color="auto"/>
              <w:right w:val="single" w:sz="6" w:space="0" w:color="auto"/>
            </w:tcBorders>
            <w:vAlign w:val="center"/>
          </w:tcPr>
          <w:p>
            <w:pPr>
              <w:jc w:val="center"/>
              <w:rPr>
                <w:sz w:val="20"/>
                <w:lang w:eastAsia="lt-LT"/>
              </w:rPr>
            </w:pPr>
            <w:r>
              <w:rPr>
                <w:sz w:val="20"/>
                <w:lang w:eastAsia="lt-LT"/>
              </w:rPr>
              <w:t>650</w:t>
            </w:r>
            <w:r>
              <w:rPr>
                <w:sz w:val="20"/>
                <w:vertAlign w:val="superscript"/>
                <w:lang w:eastAsia="lt-LT"/>
              </w:rPr>
              <w:t>3</w:t>
            </w:r>
          </w:p>
        </w:tc>
        <w:tc>
          <w:tcPr>
            <w:tcW w:w="757" w:type="dxa"/>
            <w:tcBorders>
              <w:bottom w:val="single" w:sz="6" w:space="0" w:color="auto"/>
              <w:right w:val="single" w:sz="6" w:space="0" w:color="auto"/>
            </w:tcBorders>
            <w:vAlign w:val="center"/>
          </w:tcPr>
          <w:p>
            <w:pPr>
              <w:jc w:val="center"/>
              <w:rPr>
                <w:sz w:val="20"/>
                <w:lang w:eastAsia="lt-LT"/>
              </w:rPr>
            </w:pPr>
            <w:r>
              <w:rPr>
                <w:sz w:val="20"/>
                <w:lang w:eastAsia="lt-LT"/>
              </w:rPr>
              <w:t>1500</w:t>
            </w:r>
          </w:p>
        </w:tc>
        <w:tc>
          <w:tcPr>
            <w:tcW w:w="666" w:type="dxa"/>
            <w:tcBorders>
              <w:bottom w:val="single" w:sz="6" w:space="0" w:color="auto"/>
              <w:right w:val="single" w:sz="6" w:space="0" w:color="auto"/>
            </w:tcBorders>
            <w:vAlign w:val="center"/>
          </w:tcPr>
          <w:p>
            <w:pPr>
              <w:jc w:val="center"/>
              <w:rPr>
                <w:sz w:val="20"/>
                <w:lang w:eastAsia="lt-LT"/>
              </w:rPr>
            </w:pPr>
            <w:r>
              <w:rPr>
                <w:sz w:val="20"/>
                <w:lang w:eastAsia="lt-LT"/>
              </w:rPr>
              <w:t>1000</w:t>
            </w:r>
          </w:p>
        </w:tc>
        <w:tc>
          <w:tcPr>
            <w:tcW w:w="895" w:type="dxa"/>
            <w:tcBorders>
              <w:bottom w:val="single" w:sz="6" w:space="0" w:color="auto"/>
              <w:right w:val="single" w:sz="6" w:space="0" w:color="auto"/>
            </w:tcBorders>
            <w:vAlign w:val="center"/>
          </w:tcPr>
          <w:p>
            <w:pPr>
              <w:jc w:val="center"/>
              <w:rPr>
                <w:sz w:val="20"/>
                <w:lang w:eastAsia="lt-LT"/>
              </w:rPr>
            </w:pPr>
            <w:r>
              <w:rPr>
                <w:sz w:val="20"/>
                <w:lang w:eastAsia="lt-LT"/>
              </w:rPr>
              <w:t>500</w:t>
            </w:r>
          </w:p>
        </w:tc>
        <w:tc>
          <w:tcPr>
            <w:tcW w:w="937" w:type="dxa"/>
            <w:tcBorders>
              <w:bottom w:val="single" w:sz="6" w:space="0" w:color="auto"/>
              <w:right w:val="single" w:sz="6" w:space="0" w:color="auto"/>
            </w:tcBorders>
            <w:vAlign w:val="center"/>
          </w:tcPr>
          <w:p>
            <w:pPr>
              <w:jc w:val="center"/>
              <w:rPr>
                <w:sz w:val="20"/>
                <w:lang w:eastAsia="lt-LT"/>
              </w:rPr>
            </w:pPr>
            <w:r>
              <w:rPr>
                <w:sz w:val="20"/>
                <w:lang w:eastAsia="lt-LT"/>
              </w:rPr>
              <w:t>300</w:t>
            </w:r>
          </w:p>
        </w:tc>
        <w:tc>
          <w:tcPr>
            <w:tcW w:w="982" w:type="dxa"/>
            <w:tcBorders>
              <w:bottom w:val="single" w:sz="6" w:space="0" w:color="auto"/>
              <w:right w:val="single" w:sz="6" w:space="0" w:color="auto"/>
            </w:tcBorders>
            <w:vAlign w:val="center"/>
          </w:tcPr>
          <w:p>
            <w:pPr>
              <w:jc w:val="center"/>
              <w:rPr>
                <w:sz w:val="20"/>
                <w:lang w:eastAsia="lt-LT"/>
              </w:rPr>
            </w:pPr>
            <w:r>
              <w:rPr>
                <w:sz w:val="20"/>
                <w:lang w:eastAsia="lt-LT"/>
              </w:rPr>
              <w:t>6 %</w:t>
            </w:r>
          </w:p>
        </w:tc>
      </w:tr>
    </w:tbl>
    <w:p>
      <w:pPr>
        <w:tabs>
          <w:tab w:val="left" w:pos="270"/>
          <w:tab w:val="left" w:pos="7040"/>
          <w:tab w:val="left" w:pos="7763"/>
          <w:tab w:val="left" w:pos="14790"/>
        </w:tabs>
        <w:ind w:firstLine="567"/>
        <w:jc w:val="both"/>
        <w:rPr>
          <w:szCs w:val="24"/>
          <w:lang w:eastAsia="lt-LT"/>
        </w:rPr>
      </w:pPr>
      <w:r>
        <w:rPr>
          <w:szCs w:val="24"/>
          <w:vertAlign w:val="superscript"/>
          <w:lang w:eastAsia="lt-LT"/>
        </w:rPr>
        <w:t>1</w:t>
      </w:r>
      <w:r>
        <w:rPr>
          <w:szCs w:val="24"/>
          <w:lang w:eastAsia="lt-LT"/>
        </w:rPr>
        <w:t xml:space="preserve"> Deginant mažo kaloringumo dujas, gazifikacijos būdu gautas iš atliekų perdirbimo, kokso krosnių dujas, aukštakrosnių dujas – 800 mg/Nm</w:t>
      </w:r>
      <w:r>
        <w:rPr>
          <w:szCs w:val="24"/>
          <w:vertAlign w:val="superscript"/>
          <w:lang w:eastAsia="lt-LT"/>
        </w:rPr>
        <w:t>3</w:t>
      </w:r>
      <w:r>
        <w:rPr>
          <w:szCs w:val="24"/>
          <w:lang w:eastAsia="lt-LT"/>
        </w:rPr>
        <w:t>.</w:t>
      </w:r>
    </w:p>
    <w:p>
      <w:pPr>
        <w:tabs>
          <w:tab w:val="left" w:pos="270"/>
          <w:tab w:val="left" w:pos="7040"/>
          <w:tab w:val="left" w:pos="7763"/>
          <w:tab w:val="left" w:pos="14790"/>
        </w:tabs>
        <w:ind w:firstLine="567"/>
        <w:jc w:val="both"/>
        <w:rPr>
          <w:szCs w:val="24"/>
          <w:lang w:eastAsia="lt-LT"/>
        </w:rPr>
      </w:pPr>
      <w:r>
        <w:rPr>
          <w:szCs w:val="24"/>
          <w:vertAlign w:val="superscript"/>
          <w:lang w:eastAsia="lt-LT"/>
        </w:rPr>
        <w:t>2</w:t>
      </w:r>
      <w:r>
        <w:rPr>
          <w:szCs w:val="24"/>
          <w:lang w:eastAsia="lt-LT"/>
        </w:rPr>
        <w:t xml:space="preserve"> Dūmavamzdžių katilams – 750 mg/Nm</w:t>
      </w:r>
      <w:r>
        <w:rPr>
          <w:szCs w:val="24"/>
          <w:vertAlign w:val="superscript"/>
          <w:lang w:eastAsia="lt-LT"/>
        </w:rPr>
        <w:t>3</w:t>
      </w:r>
      <w:r>
        <w:rPr>
          <w:szCs w:val="24"/>
          <w:lang w:eastAsia="lt-LT"/>
        </w:rPr>
        <w:t>.</w:t>
      </w:r>
    </w:p>
    <w:p>
      <w:pPr>
        <w:tabs>
          <w:tab w:val="left" w:pos="270"/>
        </w:tabs>
        <w:ind w:firstLine="567"/>
        <w:jc w:val="both"/>
        <w:rPr>
          <w:szCs w:val="24"/>
          <w:lang w:eastAsia="lt-LT"/>
        </w:rPr>
      </w:pPr>
      <w:r>
        <w:rPr>
          <w:szCs w:val="24"/>
          <w:vertAlign w:val="superscript"/>
          <w:lang w:eastAsia="lt-LT"/>
        </w:rPr>
        <w:t>3</w:t>
      </w:r>
      <w:r>
        <w:rPr>
          <w:szCs w:val="24"/>
          <w:lang w:eastAsia="lt-LT"/>
        </w:rPr>
        <w:t xml:space="preserve"> Deginant biokurą – 750 mg/Nm</w:t>
      </w:r>
      <w:r>
        <w:rPr>
          <w:szCs w:val="24"/>
          <w:vertAlign w:val="superscript"/>
          <w:lang w:eastAsia="lt-LT"/>
        </w:rPr>
        <w:t>3</w:t>
      </w:r>
      <w:r>
        <w:rPr>
          <w:szCs w:val="24"/>
          <w:lang w:eastAsia="lt-LT"/>
        </w:rPr>
        <w:t>.</w:t>
      </w:r>
    </w:p>
    <w:p>
      <w:pPr>
        <w:tabs>
          <w:tab w:val="left" w:pos="270"/>
        </w:tabs>
        <w:ind w:firstLine="567"/>
        <w:jc w:val="both"/>
        <w:rPr>
          <w:szCs w:val="24"/>
          <w:lang w:eastAsia="lt-LT"/>
        </w:rPr>
      </w:pPr>
      <w:r>
        <w:rPr>
          <w:szCs w:val="24"/>
          <w:vertAlign w:val="superscript"/>
          <w:lang w:eastAsia="lt-LT"/>
        </w:rPr>
        <w:t>4</w:t>
      </w:r>
      <w:r>
        <w:rPr>
          <w:szCs w:val="24"/>
          <w:lang w:eastAsia="lt-LT"/>
        </w:rPr>
        <w:t xml:space="preserve"> Deginant biokurą – 4 000 mg/Nm</w:t>
      </w:r>
      <w:r>
        <w:rPr>
          <w:szCs w:val="24"/>
          <w:vertAlign w:val="superscript"/>
          <w:lang w:eastAsia="lt-LT"/>
        </w:rPr>
        <w:t>3</w:t>
      </w:r>
      <w:r>
        <w:rPr>
          <w:szCs w:val="24"/>
          <w:lang w:eastAsia="lt-LT"/>
        </w:rPr>
        <w:t>.</w:t>
      </w:r>
    </w:p>
    <w:p>
      <w:pPr>
        <w:tabs>
          <w:tab w:val="left" w:pos="270"/>
        </w:tabs>
        <w:ind w:firstLine="567"/>
        <w:jc w:val="both"/>
        <w:rPr>
          <w:szCs w:val="24"/>
          <w:lang w:eastAsia="lt-LT"/>
        </w:rPr>
      </w:pPr>
      <w:r>
        <w:rPr>
          <w:szCs w:val="24"/>
          <w:vertAlign w:val="superscript"/>
          <w:lang w:eastAsia="lt-LT"/>
        </w:rPr>
        <w:t xml:space="preserve">5 </w:t>
      </w:r>
      <w:r>
        <w:rPr>
          <w:szCs w:val="24"/>
          <w:lang w:eastAsia="lt-LT"/>
        </w:rPr>
        <w:t>Ribinės vertės laikymosi kontrolė privaloma, kai nustatoma viršyta CO ribinė vertė.</w:t>
      </w:r>
    </w:p>
    <w:p>
      <w:pPr>
        <w:rPr>
          <w:szCs w:val="24"/>
          <w:lang w:eastAsia="lt-LT"/>
        </w:rPr>
      </w:pPr>
    </w:p>
    <w:p>
      <w:pPr>
        <w:jc w:val="center"/>
        <w:rPr>
          <w:szCs w:val="24"/>
          <w:lang w:eastAsia="lt-LT"/>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9aeb80b87311e693eea1ef35f20da9">
        <w:r w:rsidRPr="00532B9F">
          <w:rPr>
            <w:rFonts w:ascii="Times New Roman" w:eastAsia="MS Mincho" w:hAnsi="Times New Roman"/>
            <w:sz w:val="20"/>
            <w:i/>
            <w:iCs/>
            <w:color w:val="0000FF" w:themeColor="hyperlink"/>
            <w:u w:val="single"/>
          </w:rPr>
          <w:t>D1-846</w:t>
        </w:r>
      </w:fldSimple>
      <w:r>
        <w:rPr>
          <w:rFonts w:ascii="Times New Roman" w:eastAsia="MS Mincho" w:hAnsi="Times New Roman"/>
          <w:sz w:val="20"/>
          <w:i/>
          <w:iCs/>
        </w:rPr>
        <w:t>,
2016-12-02,
paskelbta TAR 2016-12-02, i. k. 2016-28124            </w:t>
      </w:r>
    </w:p>
    <w:p/>
    <w:p>
      <w:pPr>
        <w:ind w:left="4535"/>
        <w:sectPr>
          <w:pgSz w:w="11907" w:h="16840" w:code="9"/>
          <w:pgMar w:top="1134" w:right="1134" w:bottom="1134" w:left="1701" w:header="567" w:footer="284" w:gutter="0"/>
          <w:pgNumType w:start="1"/>
          <w:cols w:space="1296"/>
          <w:titlePg/>
          <w:docGrid w:linePitch="360"/>
        </w:sectPr>
      </w:pPr>
    </w:p>
    <w:p>
      <w:pPr>
        <w:ind w:left="4535"/>
        <w:rPr>
          <w:bCs/>
          <w:szCs w:val="24"/>
        </w:rPr>
      </w:pPr>
      <w:r>
        <w:rPr>
          <w:bCs/>
          <w:szCs w:val="24"/>
        </w:rPr>
        <w:t>Išmetamų teršalų iš kurą deginančių įrenginių normų LAND 43-2013</w:t>
      </w:r>
    </w:p>
    <w:p>
      <w:pPr>
        <w:ind w:left="4535"/>
        <w:rPr>
          <w:bCs/>
          <w:szCs w:val="24"/>
        </w:rPr>
      </w:pPr>
      <w:r>
        <w:rPr>
          <w:bCs/>
          <w:szCs w:val="24"/>
        </w:rPr>
        <w:t>3</w:t>
      </w:r>
      <w:r>
        <w:rPr>
          <w:bCs/>
          <w:szCs w:val="24"/>
        </w:rPr>
        <w:t xml:space="preserve"> priedas</w:t>
      </w:r>
    </w:p>
    <w:p>
      <w:pPr>
        <w:jc w:val="center"/>
        <w:rPr>
          <w:bCs/>
          <w:szCs w:val="24"/>
        </w:rPr>
      </w:pPr>
    </w:p>
    <w:p>
      <w:pPr>
        <w:jc w:val="center"/>
        <w:rPr>
          <w:bCs/>
          <w:szCs w:val="24"/>
        </w:rPr>
      </w:pPr>
      <w:r>
        <w:rPr>
          <w:bCs/>
          <w:szCs w:val="24"/>
        </w:rPr>
        <w:t>(Ataskaitos formos pavyzdys)</w:t>
      </w:r>
    </w:p>
    <w:p>
      <w:pPr>
        <w:jc w:val="center"/>
        <w:rPr>
          <w:bCs/>
          <w:szCs w:val="24"/>
        </w:rPr>
      </w:pPr>
    </w:p>
    <w:p>
      <w:pPr>
        <w:tabs>
          <w:tab w:val="left" w:pos="270"/>
        </w:tabs>
        <w:jc w:val="center"/>
        <w:rPr>
          <w:b/>
          <w:szCs w:val="24"/>
          <w:lang w:eastAsia="lt-LT"/>
        </w:rPr>
      </w:pPr>
      <w:r>
        <w:rPr>
          <w:b/>
          <w:szCs w:val="24"/>
          <w:lang w:eastAsia="lt-LT"/>
        </w:rPr>
        <w:t>KURO IR IŠ KURĄ DEGINANČIO ĮRENGINIO Į APLINKOS ORĄ IŠMESTO TERŠALŲ KIEKIO APSKAITOS</w:t>
      </w:r>
    </w:p>
    <w:p>
      <w:pPr>
        <w:tabs>
          <w:tab w:val="left" w:pos="270"/>
        </w:tabs>
        <w:jc w:val="center"/>
        <w:rPr>
          <w:b/>
          <w:szCs w:val="24"/>
          <w:lang w:eastAsia="lt-LT"/>
        </w:rPr>
      </w:pPr>
      <w:r>
        <w:rPr>
          <w:szCs w:val="24"/>
          <w:lang w:eastAsia="lt-LT"/>
        </w:rPr>
        <w:t xml:space="preserve">_________________ </w:t>
      </w:r>
      <w:r>
        <w:rPr>
          <w:b/>
          <w:szCs w:val="24"/>
          <w:lang w:eastAsia="lt-LT"/>
        </w:rPr>
        <w:t>METŲ ATASKAITA</w:t>
      </w:r>
    </w:p>
    <w:p>
      <w:pPr>
        <w:tabs>
          <w:tab w:val="left" w:pos="270"/>
        </w:tabs>
        <w:jc w:val="center"/>
        <w:rPr>
          <w:szCs w:val="24"/>
          <w:lang w:eastAsia="lt-LT"/>
        </w:rPr>
      </w:pPr>
    </w:p>
    <w:p>
      <w:pPr>
        <w:tabs>
          <w:tab w:val="left" w:pos="270"/>
        </w:tabs>
        <w:jc w:val="center"/>
        <w:rPr>
          <w:szCs w:val="24"/>
          <w:lang w:eastAsia="lt-LT"/>
        </w:rPr>
      </w:pPr>
      <w:r>
        <w:rPr>
          <w:szCs w:val="24"/>
          <w:lang w:eastAsia="lt-LT"/>
        </w:rPr>
        <w:t>(pildoma tik eksploatuojant Normų 32 punkte nurodytus kurą deginančius įrenginius)</w:t>
      </w:r>
    </w:p>
    <w:p>
      <w:pPr>
        <w:tabs>
          <w:tab w:val="left" w:pos="270"/>
        </w:tabs>
        <w:jc w:val="center"/>
        <w:rPr>
          <w:szCs w:val="24"/>
          <w:lang w:eastAsia="lt-LT"/>
        </w:rPr>
      </w:pPr>
    </w:p>
    <w:p>
      <w:pPr>
        <w:tabs>
          <w:tab w:val="right" w:leader="underscore" w:pos="9072"/>
        </w:tabs>
        <w:rPr>
          <w:b/>
          <w:szCs w:val="24"/>
          <w:lang w:eastAsia="lt-LT"/>
        </w:rPr>
      </w:pPr>
      <w:r>
        <w:rPr>
          <w:b/>
          <w:szCs w:val="24"/>
          <w:lang w:eastAsia="lt-LT"/>
        </w:rPr>
        <w:t>I</w:t>
      </w:r>
      <w:r>
        <w:rPr>
          <w:b/>
          <w:szCs w:val="24"/>
          <w:lang w:eastAsia="lt-LT"/>
        </w:rPr>
        <w:t xml:space="preserve">. </w:t>
      </w:r>
      <w:r>
        <w:rPr>
          <w:b/>
          <w:szCs w:val="24"/>
          <w:lang w:eastAsia="lt-LT"/>
        </w:rPr>
        <w:t>Bendra informacija.</w:t>
      </w:r>
    </w:p>
    <w:p>
      <w:pPr>
        <w:tabs>
          <w:tab w:val="right" w:leader="underscore" w:pos="9072"/>
        </w:tabs>
        <w:rPr>
          <w:szCs w:val="24"/>
          <w:lang w:eastAsia="lt-LT"/>
        </w:rPr>
      </w:pPr>
    </w:p>
    <w:p>
      <w:pPr>
        <w:tabs>
          <w:tab w:val="right" w:leader="underscore" w:pos="9072"/>
        </w:tabs>
        <w:rPr>
          <w:szCs w:val="24"/>
          <w:lang w:eastAsia="lt-LT"/>
        </w:rPr>
      </w:pPr>
      <w:r>
        <w:rPr>
          <w:szCs w:val="24"/>
          <w:lang w:eastAsia="lt-LT"/>
        </w:rPr>
        <w:t>1</w:t>
      </w:r>
      <w:r>
        <w:rPr>
          <w:szCs w:val="24"/>
          <w:lang w:eastAsia="lt-LT"/>
        </w:rPr>
        <w:t xml:space="preserve">. Ūkinės veiklos objekto, kuriame eksploatuojamas kurą deginantis įrenginys, pavadinimas: </w:t>
        <w:tab/>
      </w:r>
    </w:p>
    <w:p>
      <w:pPr>
        <w:tabs>
          <w:tab w:val="right" w:leader="underscore" w:pos="9072"/>
        </w:tabs>
        <w:rPr>
          <w:szCs w:val="24"/>
          <w:lang w:eastAsia="lt-LT"/>
        </w:rPr>
      </w:pPr>
      <w:r>
        <w:rPr>
          <w:szCs w:val="24"/>
          <w:lang w:eastAsia="lt-LT"/>
        </w:rPr>
        <w:t>_</w:t>
        <w:tab/>
        <w:t>.</w:t>
      </w:r>
    </w:p>
    <w:p>
      <w:pPr>
        <w:tabs>
          <w:tab w:val="right" w:leader="underscore" w:pos="9072"/>
        </w:tabs>
        <w:rPr>
          <w:szCs w:val="24"/>
          <w:lang w:eastAsia="lt-LT"/>
        </w:rPr>
      </w:pPr>
    </w:p>
    <w:p>
      <w:pPr>
        <w:tabs>
          <w:tab w:val="right" w:leader="underscore" w:pos="9072"/>
        </w:tabs>
        <w:rPr>
          <w:szCs w:val="24"/>
          <w:lang w:eastAsia="lt-LT"/>
        </w:rPr>
      </w:pPr>
      <w:r>
        <w:rPr>
          <w:szCs w:val="24"/>
          <w:lang w:eastAsia="lt-LT"/>
        </w:rPr>
        <w:t>2</w:t>
      </w:r>
      <w:r>
        <w:rPr>
          <w:szCs w:val="24"/>
          <w:lang w:eastAsia="lt-LT"/>
        </w:rPr>
        <w:t>. Kurą deginantis įrenginys:</w:t>
      </w:r>
    </w:p>
    <w:p>
      <w:pPr>
        <w:tabs>
          <w:tab w:val="right" w:leader="underscore" w:pos="9072"/>
        </w:tabs>
        <w:rPr>
          <w:szCs w:val="24"/>
          <w:lang w:eastAsia="lt-LT"/>
        </w:rPr>
      </w:pPr>
      <w:r>
        <w:rPr>
          <w:szCs w:val="24"/>
          <w:lang w:eastAsia="lt-LT"/>
        </w:rPr>
        <w:t>2.1</w:t>
      </w:r>
      <w:r>
        <w:rPr>
          <w:szCs w:val="24"/>
          <w:lang w:eastAsia="lt-LT"/>
        </w:rPr>
        <w:t xml:space="preserve">. pavadinimas: </w:t>
        <w:tab/>
        <w:t>;</w:t>
      </w:r>
    </w:p>
    <w:p>
      <w:pPr>
        <w:tabs>
          <w:tab w:val="right" w:leader="underscore" w:pos="9072"/>
        </w:tabs>
        <w:rPr>
          <w:szCs w:val="24"/>
          <w:lang w:eastAsia="lt-LT"/>
        </w:rPr>
      </w:pPr>
      <w:r>
        <w:rPr>
          <w:szCs w:val="24"/>
          <w:lang w:eastAsia="lt-LT"/>
        </w:rPr>
        <w:t>2.2</w:t>
      </w:r>
      <w:r>
        <w:rPr>
          <w:szCs w:val="24"/>
          <w:lang w:eastAsia="lt-LT"/>
        </w:rPr>
        <w:t xml:space="preserve">. adresas: </w:t>
        <w:tab/>
        <w:t>;</w:t>
      </w:r>
    </w:p>
    <w:p>
      <w:pPr>
        <w:tabs>
          <w:tab w:val="right" w:leader="underscore" w:pos="9072"/>
        </w:tabs>
        <w:rPr>
          <w:i/>
          <w:szCs w:val="24"/>
          <w:lang w:eastAsia="lt-LT"/>
        </w:rPr>
      </w:pPr>
      <w:r>
        <w:rPr>
          <w:szCs w:val="24"/>
          <w:lang w:eastAsia="lt-LT"/>
        </w:rPr>
        <w:t>2.3</w:t>
      </w:r>
      <w:r>
        <w:rPr>
          <w:szCs w:val="24"/>
          <w:lang w:eastAsia="lt-LT"/>
        </w:rPr>
        <w:t xml:space="preserve">. naujas ar esamas </w:t>
      </w:r>
      <w:r>
        <w:rPr>
          <w:i/>
          <w:szCs w:val="24"/>
          <w:lang w:eastAsia="lt-LT"/>
        </w:rPr>
        <w:t>(kas reikalinga, pabraukti);</w:t>
      </w:r>
    </w:p>
    <w:p>
      <w:pPr>
        <w:tabs>
          <w:tab w:val="right" w:leader="underscore" w:pos="9072"/>
        </w:tabs>
        <w:jc w:val="both"/>
        <w:rPr>
          <w:szCs w:val="24"/>
          <w:lang w:eastAsia="lt-LT"/>
        </w:rPr>
      </w:pPr>
      <w:r>
        <w:rPr>
          <w:szCs w:val="24"/>
          <w:lang w:eastAsia="lt-LT"/>
        </w:rPr>
        <w:t>2.4</w:t>
      </w:r>
      <w:r>
        <w:rPr>
          <w:szCs w:val="24"/>
          <w:lang w:eastAsia="lt-LT"/>
        </w:rPr>
        <w:t xml:space="preserve">. kamino aukštis, m:__________________; </w:t>
      </w:r>
    </w:p>
    <w:p>
      <w:pPr>
        <w:tabs>
          <w:tab w:val="right" w:leader="underscore" w:pos="9072"/>
        </w:tabs>
        <w:jc w:val="both"/>
        <w:rPr>
          <w:szCs w:val="24"/>
          <w:lang w:eastAsia="lt-LT"/>
        </w:rPr>
      </w:pPr>
      <w:r>
        <w:rPr>
          <w:szCs w:val="24"/>
          <w:lang w:eastAsia="lt-LT"/>
        </w:rPr>
        <w:t>2.5</w:t>
      </w:r>
      <w:r>
        <w:rPr>
          <w:szCs w:val="24"/>
          <w:lang w:eastAsia="lt-LT"/>
        </w:rPr>
        <w:t>. kamino diametras teršalų išmetimo vietoje, m: _____________________________;</w:t>
      </w:r>
    </w:p>
    <w:p>
      <w:pPr>
        <w:tabs>
          <w:tab w:val="right" w:leader="underscore" w:pos="9072"/>
        </w:tabs>
        <w:jc w:val="both"/>
        <w:rPr>
          <w:i/>
          <w:szCs w:val="24"/>
          <w:lang w:eastAsia="lt-LT"/>
        </w:rPr>
      </w:pPr>
      <w:r>
        <w:rPr>
          <w:szCs w:val="24"/>
          <w:lang w:eastAsia="lt-LT"/>
        </w:rPr>
        <w:t>2.6</w:t>
      </w:r>
      <w:r>
        <w:rPr>
          <w:szCs w:val="24"/>
          <w:lang w:eastAsia="lt-LT"/>
        </w:rPr>
        <w:t xml:space="preserve">. veikimo laiko apibūdinimas, kai jis veikia ne nuolat visus metus </w:t>
      </w:r>
      <w:r>
        <w:rPr>
          <w:i/>
          <w:szCs w:val="24"/>
          <w:lang w:eastAsia="lt-LT"/>
        </w:rPr>
        <w:t xml:space="preserve">(nurodoma, kokiu </w:t>
      </w:r>
    </w:p>
    <w:p>
      <w:pPr>
        <w:tabs>
          <w:tab w:val="right" w:leader="underscore" w:pos="9072"/>
        </w:tabs>
        <w:jc w:val="both"/>
        <w:rPr>
          <w:i/>
          <w:szCs w:val="24"/>
          <w:lang w:eastAsia="lt-LT"/>
        </w:rPr>
      </w:pPr>
      <w:r>
        <w:rPr>
          <w:i/>
          <w:szCs w:val="24"/>
          <w:lang w:eastAsia="lt-LT"/>
        </w:rPr>
        <w:t xml:space="preserve">periodiškumu jis veikia (pvz., nurodoma, kad veikia tik šaltuoju metų laiku ar įrašomi </w:t>
      </w:r>
    </w:p>
    <w:p>
      <w:pPr>
        <w:tabs>
          <w:tab w:val="right" w:leader="underscore" w:pos="9072"/>
        </w:tabs>
        <w:jc w:val="both"/>
        <w:rPr>
          <w:szCs w:val="24"/>
          <w:lang w:eastAsia="lt-LT"/>
        </w:rPr>
      </w:pPr>
      <w:r>
        <w:rPr>
          <w:i/>
          <w:szCs w:val="24"/>
          <w:lang w:eastAsia="lt-LT"/>
        </w:rPr>
        <w:t xml:space="preserve">konkretūs metų mėnesiai, ar kt.): </w:t>
        <w:tab/>
      </w:r>
    </w:p>
    <w:p>
      <w:pPr>
        <w:tabs>
          <w:tab w:val="right" w:leader="underscore" w:pos="9072"/>
        </w:tabs>
        <w:jc w:val="both"/>
        <w:rPr>
          <w:szCs w:val="24"/>
          <w:lang w:eastAsia="lt-LT"/>
        </w:rPr>
      </w:pPr>
      <w:r>
        <w:rPr>
          <w:szCs w:val="24"/>
          <w:lang w:eastAsia="lt-LT"/>
        </w:rPr>
        <w:t>_</w:t>
        <w:tab/>
        <w:t>;</w:t>
      </w:r>
    </w:p>
    <w:p>
      <w:pPr>
        <w:tabs>
          <w:tab w:val="right" w:leader="underscore" w:pos="9072"/>
        </w:tabs>
        <w:jc w:val="both"/>
        <w:rPr>
          <w:szCs w:val="24"/>
          <w:lang w:eastAsia="lt-LT"/>
        </w:rPr>
      </w:pPr>
      <w:r>
        <w:rPr>
          <w:szCs w:val="24"/>
          <w:lang w:eastAsia="lt-LT"/>
        </w:rPr>
        <w:t>2.7</w:t>
      </w:r>
      <w:r>
        <w:rPr>
          <w:szCs w:val="24"/>
          <w:lang w:eastAsia="lt-LT"/>
        </w:rPr>
        <w:t xml:space="preserve">. bendra nominali šiluminė galia:__________________; informacija apie ją pagrindžiantį </w:t>
      </w:r>
    </w:p>
    <w:p>
      <w:pPr>
        <w:tabs>
          <w:tab w:val="right" w:leader="underscore" w:pos="9072"/>
        </w:tabs>
        <w:jc w:val="both"/>
        <w:rPr>
          <w:szCs w:val="24"/>
          <w:lang w:eastAsia="lt-LT"/>
        </w:rPr>
      </w:pPr>
      <w:r>
        <w:rPr>
          <w:szCs w:val="24"/>
          <w:lang w:eastAsia="lt-LT"/>
        </w:rPr>
        <w:t xml:space="preserve">dokumentą: </w:t>
        <w:tab/>
      </w:r>
    </w:p>
    <w:p>
      <w:pPr>
        <w:tabs>
          <w:tab w:val="right" w:leader="underscore" w:pos="9072"/>
        </w:tabs>
        <w:jc w:val="both"/>
        <w:rPr>
          <w:szCs w:val="24"/>
          <w:lang w:eastAsia="lt-LT"/>
        </w:rPr>
      </w:pPr>
      <w:r>
        <w:rPr>
          <w:szCs w:val="24"/>
          <w:lang w:eastAsia="lt-LT"/>
        </w:rPr>
        <w:t>_</w:t>
        <w:tab/>
        <w:t>;</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2.8</w:t>
      </w:r>
      <w:r>
        <w:rPr>
          <w:szCs w:val="24"/>
          <w:lang w:eastAsia="lt-LT"/>
        </w:rPr>
        <w:t>. informacija apie kurą deginantį įrenginį sudarančius katilus:</w:t>
      </w:r>
    </w:p>
    <w:p>
      <w:pPr>
        <w:tabs>
          <w:tab w:val="right" w:leader="underscore" w:pos="9072"/>
        </w:tabs>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496"/>
        <w:gridCol w:w="1981"/>
        <w:gridCol w:w="2835"/>
      </w:tblGrid>
      <w:tr>
        <w:tc>
          <w:tcPr>
            <w:tcW w:w="762" w:type="dxa"/>
            <w:shd w:val="clear" w:color="auto" w:fill="auto"/>
          </w:tcPr>
          <w:p>
            <w:pPr>
              <w:tabs>
                <w:tab w:val="left" w:pos="270"/>
              </w:tabs>
              <w:jc w:val="center"/>
              <w:rPr>
                <w:szCs w:val="24"/>
                <w:lang w:eastAsia="lt-LT"/>
              </w:rPr>
            </w:pPr>
            <w:r>
              <w:rPr>
                <w:szCs w:val="24"/>
                <w:lang w:eastAsia="lt-LT"/>
              </w:rPr>
              <w:t>Eil. Nr.</w:t>
            </w:r>
          </w:p>
        </w:tc>
        <w:tc>
          <w:tcPr>
            <w:tcW w:w="3540" w:type="dxa"/>
            <w:shd w:val="clear" w:color="auto" w:fill="auto"/>
          </w:tcPr>
          <w:p>
            <w:pPr>
              <w:tabs>
                <w:tab w:val="left" w:pos="270"/>
              </w:tabs>
              <w:jc w:val="center"/>
              <w:rPr>
                <w:szCs w:val="24"/>
                <w:lang w:eastAsia="lt-LT"/>
              </w:rPr>
            </w:pPr>
            <w:r>
              <w:rPr>
                <w:szCs w:val="24"/>
                <w:lang w:eastAsia="lt-LT"/>
              </w:rPr>
              <w:t>Pavadinimas, markė ir / ar kita katilą apibūdinanti informacija</w:t>
            </w:r>
          </w:p>
        </w:tc>
        <w:tc>
          <w:tcPr>
            <w:tcW w:w="2000" w:type="dxa"/>
            <w:shd w:val="clear" w:color="auto" w:fill="auto"/>
          </w:tcPr>
          <w:p>
            <w:pPr>
              <w:tabs>
                <w:tab w:val="left" w:pos="270"/>
              </w:tabs>
              <w:jc w:val="center"/>
              <w:rPr>
                <w:szCs w:val="24"/>
                <w:lang w:eastAsia="lt-LT"/>
              </w:rPr>
            </w:pPr>
            <w:r>
              <w:rPr>
                <w:szCs w:val="24"/>
                <w:lang w:eastAsia="lt-LT"/>
              </w:rPr>
              <w:t>Nominali šiluminė galia, MW</w:t>
            </w:r>
          </w:p>
        </w:tc>
        <w:tc>
          <w:tcPr>
            <w:tcW w:w="2878" w:type="dxa"/>
            <w:shd w:val="clear" w:color="auto" w:fill="auto"/>
          </w:tcPr>
          <w:p>
            <w:pPr>
              <w:tabs>
                <w:tab w:val="left" w:pos="270"/>
              </w:tabs>
              <w:jc w:val="center"/>
              <w:rPr>
                <w:szCs w:val="24"/>
                <w:highlight w:val="yellow"/>
                <w:lang w:eastAsia="lt-LT"/>
              </w:rPr>
            </w:pPr>
            <w:r>
              <w:rPr>
                <w:szCs w:val="24"/>
                <w:lang w:eastAsia="lt-LT"/>
              </w:rPr>
              <w:t>Kuro rūšis (-ys), kurią (-ias) galima deginti katile</w:t>
            </w:r>
          </w:p>
        </w:tc>
      </w:tr>
      <w:tr>
        <w:tc>
          <w:tcPr>
            <w:tcW w:w="762" w:type="dxa"/>
            <w:shd w:val="clear" w:color="auto" w:fill="auto"/>
          </w:tcPr>
          <w:p>
            <w:pPr>
              <w:tabs>
                <w:tab w:val="left" w:pos="270"/>
              </w:tabs>
              <w:jc w:val="both"/>
              <w:rPr>
                <w:rFonts w:ascii="Arial" w:hAnsi="Arial" w:cs="Arial"/>
                <w:b/>
                <w:bCs/>
                <w:kern w:val="32"/>
                <w:sz w:val="32"/>
                <w:szCs w:val="32"/>
                <w:lang w:eastAsia="lt-LT"/>
              </w:rPr>
            </w:pPr>
          </w:p>
        </w:tc>
        <w:tc>
          <w:tcPr>
            <w:tcW w:w="3540" w:type="dxa"/>
            <w:shd w:val="clear" w:color="auto" w:fill="auto"/>
          </w:tcPr>
          <w:p>
            <w:pPr>
              <w:tabs>
                <w:tab w:val="left" w:pos="270"/>
              </w:tabs>
              <w:jc w:val="both"/>
              <w:rPr>
                <w:rFonts w:ascii="Arial" w:hAnsi="Arial" w:cs="Arial"/>
                <w:b/>
                <w:bCs/>
                <w:kern w:val="32"/>
                <w:sz w:val="32"/>
                <w:szCs w:val="32"/>
                <w:lang w:eastAsia="lt-LT"/>
              </w:rPr>
            </w:pPr>
          </w:p>
        </w:tc>
        <w:tc>
          <w:tcPr>
            <w:tcW w:w="2000" w:type="dxa"/>
            <w:shd w:val="clear" w:color="auto" w:fill="auto"/>
          </w:tcPr>
          <w:p>
            <w:pPr>
              <w:tabs>
                <w:tab w:val="left" w:pos="270"/>
              </w:tabs>
              <w:jc w:val="both"/>
              <w:rPr>
                <w:rFonts w:ascii="Arial" w:hAnsi="Arial" w:cs="Arial"/>
                <w:b/>
                <w:bCs/>
                <w:kern w:val="32"/>
                <w:sz w:val="32"/>
                <w:szCs w:val="32"/>
                <w:lang w:eastAsia="lt-LT"/>
              </w:rPr>
            </w:pPr>
          </w:p>
        </w:tc>
        <w:tc>
          <w:tcPr>
            <w:tcW w:w="2878" w:type="dxa"/>
            <w:shd w:val="clear" w:color="auto" w:fill="auto"/>
          </w:tcPr>
          <w:p>
            <w:pPr>
              <w:tabs>
                <w:tab w:val="left" w:pos="270"/>
              </w:tabs>
              <w:jc w:val="both"/>
              <w:rPr>
                <w:rFonts w:ascii="Arial" w:hAnsi="Arial" w:cs="Arial"/>
                <w:b/>
                <w:bCs/>
                <w:strike/>
                <w:kern w:val="32"/>
                <w:sz w:val="32"/>
                <w:szCs w:val="32"/>
                <w:highlight w:val="yellow"/>
                <w:lang w:eastAsia="lt-LT"/>
              </w:rPr>
            </w:pPr>
          </w:p>
        </w:tc>
      </w:tr>
      <w:tr>
        <w:tc>
          <w:tcPr>
            <w:tcW w:w="762" w:type="dxa"/>
            <w:shd w:val="clear" w:color="auto" w:fill="auto"/>
          </w:tcPr>
          <w:p>
            <w:pPr>
              <w:tabs>
                <w:tab w:val="left" w:pos="270"/>
              </w:tabs>
              <w:jc w:val="both"/>
              <w:rPr>
                <w:rFonts w:ascii="Arial" w:hAnsi="Arial" w:cs="Arial"/>
                <w:b/>
                <w:bCs/>
                <w:kern w:val="32"/>
                <w:sz w:val="32"/>
                <w:szCs w:val="32"/>
                <w:lang w:eastAsia="lt-LT"/>
              </w:rPr>
            </w:pPr>
          </w:p>
        </w:tc>
        <w:tc>
          <w:tcPr>
            <w:tcW w:w="3540" w:type="dxa"/>
            <w:shd w:val="clear" w:color="auto" w:fill="auto"/>
          </w:tcPr>
          <w:p>
            <w:pPr>
              <w:tabs>
                <w:tab w:val="left" w:pos="270"/>
              </w:tabs>
              <w:jc w:val="both"/>
              <w:rPr>
                <w:rFonts w:ascii="Arial" w:hAnsi="Arial" w:cs="Arial"/>
                <w:b/>
                <w:bCs/>
                <w:kern w:val="32"/>
                <w:sz w:val="32"/>
                <w:szCs w:val="32"/>
                <w:lang w:eastAsia="lt-LT"/>
              </w:rPr>
            </w:pPr>
          </w:p>
        </w:tc>
        <w:tc>
          <w:tcPr>
            <w:tcW w:w="2000" w:type="dxa"/>
            <w:shd w:val="clear" w:color="auto" w:fill="auto"/>
          </w:tcPr>
          <w:p>
            <w:pPr>
              <w:tabs>
                <w:tab w:val="left" w:pos="270"/>
              </w:tabs>
              <w:jc w:val="both"/>
              <w:rPr>
                <w:rFonts w:ascii="Arial" w:hAnsi="Arial" w:cs="Arial"/>
                <w:b/>
                <w:bCs/>
                <w:kern w:val="32"/>
                <w:sz w:val="32"/>
                <w:szCs w:val="32"/>
                <w:lang w:eastAsia="lt-LT"/>
              </w:rPr>
            </w:pPr>
          </w:p>
        </w:tc>
        <w:tc>
          <w:tcPr>
            <w:tcW w:w="2878" w:type="dxa"/>
            <w:shd w:val="clear" w:color="auto" w:fill="auto"/>
          </w:tcPr>
          <w:p>
            <w:pPr>
              <w:tabs>
                <w:tab w:val="left" w:pos="270"/>
              </w:tabs>
              <w:jc w:val="both"/>
              <w:rPr>
                <w:rFonts w:ascii="Arial" w:hAnsi="Arial" w:cs="Arial"/>
                <w:b/>
                <w:bCs/>
                <w:strike/>
                <w:kern w:val="32"/>
                <w:sz w:val="32"/>
                <w:szCs w:val="32"/>
                <w:highlight w:val="yellow"/>
                <w:lang w:eastAsia="lt-LT"/>
              </w:rPr>
            </w:pPr>
          </w:p>
        </w:tc>
      </w:tr>
      <w:tr>
        <w:tc>
          <w:tcPr>
            <w:tcW w:w="762" w:type="dxa"/>
            <w:shd w:val="clear" w:color="auto" w:fill="auto"/>
          </w:tcPr>
          <w:p>
            <w:pPr>
              <w:tabs>
                <w:tab w:val="left" w:pos="270"/>
              </w:tabs>
              <w:jc w:val="both"/>
              <w:rPr>
                <w:rFonts w:ascii="Arial" w:hAnsi="Arial" w:cs="Arial"/>
                <w:b/>
                <w:bCs/>
                <w:kern w:val="32"/>
                <w:sz w:val="32"/>
                <w:szCs w:val="32"/>
                <w:lang w:eastAsia="lt-LT"/>
              </w:rPr>
            </w:pPr>
          </w:p>
        </w:tc>
        <w:tc>
          <w:tcPr>
            <w:tcW w:w="3540" w:type="dxa"/>
            <w:shd w:val="clear" w:color="auto" w:fill="auto"/>
          </w:tcPr>
          <w:p>
            <w:pPr>
              <w:tabs>
                <w:tab w:val="left" w:pos="270"/>
              </w:tabs>
              <w:jc w:val="both"/>
              <w:rPr>
                <w:rFonts w:ascii="Arial" w:hAnsi="Arial" w:cs="Arial"/>
                <w:b/>
                <w:bCs/>
                <w:kern w:val="32"/>
                <w:sz w:val="32"/>
                <w:szCs w:val="32"/>
                <w:lang w:eastAsia="lt-LT"/>
              </w:rPr>
            </w:pPr>
          </w:p>
        </w:tc>
        <w:tc>
          <w:tcPr>
            <w:tcW w:w="2000" w:type="dxa"/>
            <w:shd w:val="clear" w:color="auto" w:fill="auto"/>
          </w:tcPr>
          <w:p>
            <w:pPr>
              <w:tabs>
                <w:tab w:val="left" w:pos="270"/>
              </w:tabs>
              <w:jc w:val="both"/>
              <w:rPr>
                <w:szCs w:val="24"/>
                <w:lang w:eastAsia="lt-LT"/>
              </w:rPr>
            </w:pPr>
          </w:p>
        </w:tc>
        <w:tc>
          <w:tcPr>
            <w:tcW w:w="2878" w:type="dxa"/>
            <w:shd w:val="clear" w:color="auto" w:fill="auto"/>
          </w:tcPr>
          <w:p>
            <w:pPr>
              <w:tabs>
                <w:tab w:val="left" w:pos="270"/>
              </w:tabs>
              <w:jc w:val="both"/>
              <w:rPr>
                <w:strike/>
                <w:szCs w:val="24"/>
                <w:highlight w:val="yellow"/>
                <w:lang w:eastAsia="lt-LT"/>
              </w:rPr>
            </w:pPr>
          </w:p>
        </w:tc>
      </w:tr>
    </w:tbl>
    <w:p>
      <w:pPr>
        <w:tabs>
          <w:tab w:val="left" w:pos="270"/>
        </w:tabs>
        <w:jc w:val="both"/>
        <w:rPr>
          <w:szCs w:val="24"/>
          <w:lang w:eastAsia="lt-LT"/>
        </w:rPr>
      </w:pPr>
    </w:p>
    <w:p>
      <w:pPr>
        <w:tabs>
          <w:tab w:val="left" w:pos="270"/>
        </w:tabs>
        <w:jc w:val="both"/>
        <w:rPr>
          <w:szCs w:val="24"/>
          <w:lang w:eastAsia="lt-LT"/>
        </w:rPr>
      </w:pPr>
      <w:r>
        <w:rPr>
          <w:b/>
          <w:szCs w:val="24"/>
          <w:lang w:eastAsia="lt-LT"/>
        </w:rPr>
        <w:t>II</w:t>
      </w:r>
      <w:r>
        <w:rPr>
          <w:b/>
          <w:szCs w:val="24"/>
          <w:lang w:eastAsia="lt-LT"/>
        </w:rPr>
        <w:t xml:space="preserve">. </w:t>
      </w:r>
      <w:r>
        <w:rPr>
          <w:b/>
          <w:szCs w:val="24"/>
          <w:lang w:eastAsia="lt-LT"/>
        </w:rPr>
        <w:t>Informacija apie kurą deginančiame įrenginyje sunaudotą kurą.</w:t>
      </w:r>
    </w:p>
    <w:p>
      <w:pPr>
        <w:tabs>
          <w:tab w:val="left" w:pos="426"/>
        </w:tabs>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656"/>
        <w:gridCol w:w="4624"/>
      </w:tblGrid>
      <w:tr>
        <w:tc>
          <w:tcPr>
            <w:tcW w:w="787" w:type="dxa"/>
            <w:shd w:val="clear" w:color="auto" w:fill="auto"/>
          </w:tcPr>
          <w:p>
            <w:pPr>
              <w:tabs>
                <w:tab w:val="left" w:pos="270"/>
              </w:tabs>
              <w:jc w:val="center"/>
              <w:rPr>
                <w:szCs w:val="24"/>
                <w:lang w:eastAsia="lt-LT"/>
              </w:rPr>
            </w:pPr>
            <w:r>
              <w:rPr>
                <w:szCs w:val="24"/>
                <w:lang w:eastAsia="lt-LT"/>
              </w:rPr>
              <w:t>Eil. Nr.</w:t>
            </w:r>
          </w:p>
        </w:tc>
        <w:tc>
          <w:tcPr>
            <w:tcW w:w="3643" w:type="dxa"/>
            <w:shd w:val="clear" w:color="auto" w:fill="auto"/>
          </w:tcPr>
          <w:p>
            <w:pPr>
              <w:tabs>
                <w:tab w:val="left" w:pos="270"/>
              </w:tabs>
              <w:jc w:val="center"/>
              <w:rPr>
                <w:szCs w:val="24"/>
                <w:lang w:eastAsia="lt-LT"/>
              </w:rPr>
            </w:pPr>
            <w:r>
              <w:rPr>
                <w:szCs w:val="24"/>
                <w:lang w:eastAsia="lt-LT"/>
              </w:rPr>
              <w:t>Kuro rūšis</w:t>
            </w:r>
          </w:p>
        </w:tc>
        <w:tc>
          <w:tcPr>
            <w:tcW w:w="4608" w:type="dxa"/>
            <w:shd w:val="clear" w:color="auto" w:fill="auto"/>
          </w:tcPr>
          <w:p>
            <w:pPr>
              <w:tabs>
                <w:tab w:val="left" w:pos="270"/>
              </w:tabs>
              <w:jc w:val="center"/>
              <w:rPr>
                <w:szCs w:val="24"/>
                <w:lang w:eastAsia="lt-LT"/>
              </w:rPr>
            </w:pPr>
            <w:r>
              <w:rPr>
                <w:szCs w:val="24"/>
                <w:lang w:eastAsia="lt-LT"/>
              </w:rPr>
              <w:t>Sunaudotas kuro kiekis, t (arba m</w:t>
            </w:r>
            <w:r>
              <w:rPr>
                <w:szCs w:val="24"/>
                <w:vertAlign w:val="superscript"/>
                <w:lang w:eastAsia="lt-LT"/>
              </w:rPr>
              <w:t>3</w:t>
            </w:r>
            <w:r>
              <w:rPr>
                <w:szCs w:val="24"/>
                <w:lang w:eastAsia="lt-LT"/>
              </w:rPr>
              <w:t>, jei kūrentas dujinis kuras)</w:t>
            </w:r>
          </w:p>
        </w:tc>
      </w:tr>
      <w:tr>
        <w:tc>
          <w:tcPr>
            <w:tcW w:w="787" w:type="dxa"/>
            <w:shd w:val="clear" w:color="auto" w:fill="auto"/>
          </w:tcPr>
          <w:p>
            <w:pPr>
              <w:tabs>
                <w:tab w:val="left" w:pos="270"/>
              </w:tabs>
              <w:jc w:val="both"/>
              <w:rPr>
                <w:rFonts w:ascii="Arial" w:hAnsi="Arial" w:cs="Arial"/>
                <w:b/>
                <w:bCs/>
                <w:kern w:val="32"/>
                <w:sz w:val="32"/>
                <w:szCs w:val="32"/>
                <w:lang w:eastAsia="lt-LT"/>
              </w:rPr>
            </w:pPr>
          </w:p>
        </w:tc>
        <w:tc>
          <w:tcPr>
            <w:tcW w:w="3643" w:type="dxa"/>
            <w:shd w:val="clear" w:color="auto" w:fill="auto"/>
          </w:tcPr>
          <w:p>
            <w:pPr>
              <w:tabs>
                <w:tab w:val="left" w:pos="270"/>
              </w:tabs>
              <w:jc w:val="both"/>
              <w:rPr>
                <w:rFonts w:ascii="Arial" w:hAnsi="Arial" w:cs="Arial"/>
                <w:b/>
                <w:bCs/>
                <w:kern w:val="32"/>
                <w:sz w:val="32"/>
                <w:szCs w:val="32"/>
                <w:lang w:eastAsia="lt-LT"/>
              </w:rPr>
            </w:pPr>
          </w:p>
        </w:tc>
        <w:tc>
          <w:tcPr>
            <w:tcW w:w="4608" w:type="dxa"/>
            <w:shd w:val="clear" w:color="auto" w:fill="auto"/>
          </w:tcPr>
          <w:p>
            <w:pPr>
              <w:tabs>
                <w:tab w:val="left" w:pos="270"/>
              </w:tabs>
              <w:jc w:val="both"/>
              <w:rPr>
                <w:rFonts w:ascii="Arial" w:hAnsi="Arial" w:cs="Arial"/>
                <w:b/>
                <w:bCs/>
                <w:kern w:val="32"/>
                <w:sz w:val="32"/>
                <w:szCs w:val="32"/>
                <w:lang w:eastAsia="lt-LT"/>
              </w:rPr>
            </w:pPr>
          </w:p>
        </w:tc>
      </w:tr>
      <w:tr>
        <w:tc>
          <w:tcPr>
            <w:tcW w:w="787" w:type="dxa"/>
            <w:shd w:val="clear" w:color="auto" w:fill="auto"/>
          </w:tcPr>
          <w:p>
            <w:pPr>
              <w:tabs>
                <w:tab w:val="left" w:pos="270"/>
              </w:tabs>
              <w:jc w:val="both"/>
              <w:rPr>
                <w:rFonts w:ascii="Arial" w:hAnsi="Arial" w:cs="Arial"/>
                <w:b/>
                <w:bCs/>
                <w:kern w:val="32"/>
                <w:sz w:val="32"/>
                <w:szCs w:val="32"/>
                <w:lang w:eastAsia="lt-LT"/>
              </w:rPr>
            </w:pPr>
          </w:p>
        </w:tc>
        <w:tc>
          <w:tcPr>
            <w:tcW w:w="3643" w:type="dxa"/>
            <w:shd w:val="clear" w:color="auto" w:fill="auto"/>
          </w:tcPr>
          <w:p>
            <w:pPr>
              <w:tabs>
                <w:tab w:val="left" w:pos="270"/>
              </w:tabs>
              <w:jc w:val="both"/>
              <w:rPr>
                <w:rFonts w:ascii="Arial" w:hAnsi="Arial" w:cs="Arial"/>
                <w:b/>
                <w:bCs/>
                <w:kern w:val="32"/>
                <w:sz w:val="32"/>
                <w:szCs w:val="32"/>
                <w:lang w:eastAsia="lt-LT"/>
              </w:rPr>
            </w:pPr>
          </w:p>
        </w:tc>
        <w:tc>
          <w:tcPr>
            <w:tcW w:w="4608" w:type="dxa"/>
            <w:shd w:val="clear" w:color="auto" w:fill="auto"/>
          </w:tcPr>
          <w:p>
            <w:pPr>
              <w:tabs>
                <w:tab w:val="left" w:pos="270"/>
              </w:tabs>
              <w:jc w:val="both"/>
              <w:rPr>
                <w:rFonts w:ascii="Arial" w:hAnsi="Arial" w:cs="Arial"/>
                <w:b/>
                <w:bCs/>
                <w:kern w:val="32"/>
                <w:sz w:val="32"/>
                <w:szCs w:val="32"/>
                <w:lang w:eastAsia="lt-LT"/>
              </w:rPr>
            </w:pPr>
          </w:p>
        </w:tc>
      </w:tr>
      <w:tr>
        <w:tc>
          <w:tcPr>
            <w:tcW w:w="787" w:type="dxa"/>
            <w:shd w:val="clear" w:color="auto" w:fill="auto"/>
          </w:tcPr>
          <w:p>
            <w:pPr>
              <w:tabs>
                <w:tab w:val="left" w:pos="270"/>
              </w:tabs>
              <w:jc w:val="both"/>
              <w:rPr>
                <w:rFonts w:ascii="Arial" w:hAnsi="Arial" w:cs="Arial"/>
                <w:b/>
                <w:bCs/>
                <w:kern w:val="32"/>
                <w:sz w:val="32"/>
                <w:szCs w:val="32"/>
                <w:lang w:eastAsia="lt-LT"/>
              </w:rPr>
            </w:pPr>
          </w:p>
        </w:tc>
        <w:tc>
          <w:tcPr>
            <w:tcW w:w="3643" w:type="dxa"/>
            <w:shd w:val="clear" w:color="auto" w:fill="auto"/>
          </w:tcPr>
          <w:p>
            <w:pPr>
              <w:tabs>
                <w:tab w:val="left" w:pos="270"/>
              </w:tabs>
              <w:jc w:val="both"/>
              <w:rPr>
                <w:rFonts w:ascii="Arial" w:hAnsi="Arial" w:cs="Arial"/>
                <w:b/>
                <w:bCs/>
                <w:kern w:val="32"/>
                <w:sz w:val="32"/>
                <w:szCs w:val="32"/>
                <w:lang w:eastAsia="lt-LT"/>
              </w:rPr>
            </w:pPr>
          </w:p>
        </w:tc>
        <w:tc>
          <w:tcPr>
            <w:tcW w:w="4608" w:type="dxa"/>
            <w:shd w:val="clear" w:color="auto" w:fill="auto"/>
          </w:tcPr>
          <w:p>
            <w:pPr>
              <w:tabs>
                <w:tab w:val="left" w:pos="270"/>
              </w:tabs>
              <w:jc w:val="both"/>
              <w:rPr>
                <w:rFonts w:ascii="Arial" w:hAnsi="Arial" w:cs="Arial"/>
                <w:b/>
                <w:bCs/>
                <w:kern w:val="32"/>
                <w:sz w:val="32"/>
                <w:szCs w:val="32"/>
                <w:lang w:eastAsia="lt-LT"/>
              </w:rPr>
            </w:pPr>
          </w:p>
        </w:tc>
      </w:tr>
    </w:tbl>
    <w:p>
      <w:pPr>
        <w:tabs>
          <w:tab w:val="left" w:pos="426"/>
        </w:tabs>
        <w:jc w:val="both"/>
        <w:rPr>
          <w:szCs w:val="24"/>
          <w:lang w:eastAsia="lt-LT"/>
        </w:rPr>
      </w:pPr>
    </w:p>
    <w:p>
      <w:pPr>
        <w:tabs>
          <w:tab w:val="left" w:pos="426"/>
        </w:tabs>
        <w:jc w:val="both"/>
        <w:rPr>
          <w:b/>
          <w:szCs w:val="24"/>
          <w:lang w:eastAsia="lt-LT"/>
        </w:rPr>
      </w:pPr>
      <w:r>
        <w:rPr>
          <w:b/>
          <w:szCs w:val="24"/>
          <w:lang w:eastAsia="lt-LT"/>
        </w:rPr>
        <w:br w:type="page"/>
      </w:r>
      <w:r>
        <w:rPr>
          <w:b/>
          <w:szCs w:val="24"/>
          <w:lang w:eastAsia="lt-LT"/>
        </w:rPr>
        <w:t>III</w:t>
      </w:r>
      <w:r>
        <w:rPr>
          <w:b/>
          <w:szCs w:val="24"/>
          <w:lang w:eastAsia="lt-LT"/>
        </w:rPr>
        <w:t xml:space="preserve">. </w:t>
      </w:r>
      <w:r>
        <w:rPr>
          <w:b/>
          <w:szCs w:val="24"/>
          <w:lang w:eastAsia="lt-LT"/>
        </w:rPr>
        <w:t>Į aplinkos orą išmestas teršalų kiekis</w:t>
      </w:r>
      <w:r>
        <w:rPr>
          <w:szCs w:val="24"/>
          <w:lang w:eastAsia="lt-LT"/>
        </w:rPr>
        <w:t>*</w:t>
      </w:r>
      <w:r>
        <w:rPr>
          <w:b/>
          <w:szCs w:val="24"/>
          <w:lang w:eastAsia="lt-LT"/>
        </w:rPr>
        <w:t>.</w:t>
      </w:r>
    </w:p>
    <w:p>
      <w:pPr>
        <w:tabs>
          <w:tab w:val="left" w:pos="426"/>
        </w:tabs>
        <w:jc w:val="both"/>
        <w:rPr>
          <w:b/>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1516"/>
        <w:gridCol w:w="2101"/>
        <w:gridCol w:w="3520"/>
      </w:tblGrid>
      <w:tr>
        <w:tc>
          <w:tcPr>
            <w:tcW w:w="3119" w:type="dxa"/>
            <w:shd w:val="clear" w:color="auto" w:fill="auto"/>
          </w:tcPr>
          <w:p>
            <w:pPr>
              <w:tabs>
                <w:tab w:val="left" w:pos="270"/>
              </w:tabs>
              <w:jc w:val="center"/>
              <w:rPr>
                <w:szCs w:val="24"/>
                <w:lang w:eastAsia="lt-LT"/>
              </w:rPr>
            </w:pPr>
            <w:r>
              <w:rPr>
                <w:szCs w:val="24"/>
                <w:lang w:eastAsia="lt-LT"/>
              </w:rPr>
              <w:t>Teršalo pavadinimas</w:t>
            </w:r>
          </w:p>
        </w:tc>
        <w:tc>
          <w:tcPr>
            <w:tcW w:w="2409" w:type="dxa"/>
            <w:shd w:val="clear" w:color="auto" w:fill="auto"/>
          </w:tcPr>
          <w:p>
            <w:pPr>
              <w:tabs>
                <w:tab w:val="left" w:pos="270"/>
              </w:tabs>
              <w:jc w:val="center"/>
              <w:rPr>
                <w:szCs w:val="24"/>
                <w:lang w:eastAsia="lt-LT"/>
              </w:rPr>
            </w:pPr>
            <w:r>
              <w:rPr>
                <w:szCs w:val="24"/>
                <w:lang w:eastAsia="lt-LT"/>
              </w:rPr>
              <w:t>Teršalo kodas</w:t>
            </w:r>
          </w:p>
        </w:tc>
        <w:tc>
          <w:tcPr>
            <w:tcW w:w="3402" w:type="dxa"/>
            <w:shd w:val="clear" w:color="auto" w:fill="auto"/>
          </w:tcPr>
          <w:p>
            <w:pPr>
              <w:tabs>
                <w:tab w:val="left" w:pos="270"/>
              </w:tabs>
              <w:jc w:val="center"/>
              <w:rPr>
                <w:szCs w:val="24"/>
                <w:lang w:eastAsia="lt-LT"/>
              </w:rPr>
            </w:pPr>
            <w:r>
              <w:rPr>
                <w:szCs w:val="24"/>
                <w:lang w:eastAsia="lt-LT"/>
              </w:rPr>
              <w:t>Išmestas teršalo kiekis, t</w:t>
            </w:r>
          </w:p>
        </w:tc>
        <w:tc>
          <w:tcPr>
            <w:tcW w:w="5812" w:type="dxa"/>
            <w:tcBorders>
              <w:bottom w:val="single" w:sz="4" w:space="0" w:color="auto"/>
            </w:tcBorders>
            <w:shd w:val="clear" w:color="auto" w:fill="auto"/>
          </w:tcPr>
          <w:p>
            <w:pPr>
              <w:tabs>
                <w:tab w:val="left" w:pos="270"/>
              </w:tabs>
              <w:jc w:val="center"/>
              <w:rPr>
                <w:szCs w:val="24"/>
                <w:lang w:eastAsia="lt-LT"/>
              </w:rPr>
            </w:pPr>
            <w:r>
              <w:rPr>
                <w:szCs w:val="24"/>
                <w:lang w:eastAsia="lt-LT"/>
              </w:rPr>
              <w:t xml:space="preserve">201___-       -</w:t>
            </w:r>
          </w:p>
          <w:p>
            <w:pPr>
              <w:tabs>
                <w:tab w:val="left" w:pos="270"/>
              </w:tabs>
              <w:jc w:val="center"/>
              <w:rPr>
                <w:szCs w:val="24"/>
                <w:lang w:eastAsia="lt-LT"/>
              </w:rPr>
            </w:pPr>
            <w:r>
              <w:rPr>
                <w:szCs w:val="24"/>
                <w:lang w:eastAsia="lt-LT"/>
              </w:rPr>
              <w:t>išmatuota teršalo koncentracija**, mg/Nm</w:t>
            </w:r>
            <w:r>
              <w:rPr>
                <w:szCs w:val="24"/>
                <w:vertAlign w:val="superscript"/>
                <w:lang w:eastAsia="lt-LT"/>
              </w:rPr>
              <w:t>3</w:t>
            </w:r>
          </w:p>
        </w:tc>
      </w:tr>
      <w:tr>
        <w:tc>
          <w:tcPr>
            <w:tcW w:w="3119" w:type="dxa"/>
            <w:shd w:val="clear" w:color="auto" w:fill="auto"/>
          </w:tcPr>
          <w:p>
            <w:pPr>
              <w:tabs>
                <w:tab w:val="left" w:pos="270"/>
              </w:tabs>
              <w:jc w:val="center"/>
              <w:rPr>
                <w:szCs w:val="24"/>
                <w:lang w:eastAsia="lt-LT"/>
              </w:rPr>
            </w:pPr>
            <w:r>
              <w:rPr>
                <w:szCs w:val="24"/>
                <w:lang w:eastAsia="lt-LT"/>
              </w:rPr>
              <w:t>CO</w:t>
            </w:r>
          </w:p>
        </w:tc>
        <w:tc>
          <w:tcPr>
            <w:tcW w:w="2409" w:type="dxa"/>
            <w:shd w:val="clear" w:color="auto" w:fill="auto"/>
          </w:tcPr>
          <w:p>
            <w:pPr>
              <w:tabs>
                <w:tab w:val="left" w:pos="270"/>
              </w:tabs>
              <w:jc w:val="center"/>
              <w:rPr>
                <w:szCs w:val="24"/>
                <w:lang w:eastAsia="lt-LT"/>
              </w:rPr>
            </w:pPr>
            <w:r>
              <w:rPr>
                <w:szCs w:val="24"/>
                <w:lang w:eastAsia="lt-LT"/>
              </w:rPr>
              <w:t>177</w:t>
            </w:r>
          </w:p>
        </w:tc>
        <w:tc>
          <w:tcPr>
            <w:tcW w:w="3402" w:type="dxa"/>
            <w:shd w:val="clear" w:color="auto" w:fill="auto"/>
          </w:tcPr>
          <w:p>
            <w:pPr>
              <w:tabs>
                <w:tab w:val="left" w:pos="270"/>
              </w:tabs>
              <w:jc w:val="both"/>
              <w:rPr>
                <w:rFonts w:ascii="Arial" w:hAnsi="Arial" w:cs="Arial"/>
                <w:b/>
                <w:bCs/>
                <w:kern w:val="32"/>
                <w:sz w:val="32"/>
                <w:szCs w:val="32"/>
                <w:lang w:eastAsia="lt-LT"/>
              </w:rPr>
            </w:pPr>
          </w:p>
        </w:tc>
        <w:tc>
          <w:tcPr>
            <w:tcW w:w="5812" w:type="dxa"/>
            <w:tcBorders>
              <w:top w:val="single" w:sz="4" w:space="0" w:color="auto"/>
            </w:tcBorders>
            <w:shd w:val="clear" w:color="auto" w:fill="auto"/>
          </w:tcPr>
          <w:p>
            <w:pPr>
              <w:tabs>
                <w:tab w:val="left" w:pos="270"/>
              </w:tabs>
              <w:jc w:val="both"/>
              <w:rPr>
                <w:rFonts w:ascii="Arial" w:hAnsi="Arial" w:cs="Arial"/>
                <w:b/>
                <w:bCs/>
                <w:kern w:val="32"/>
                <w:sz w:val="32"/>
                <w:szCs w:val="32"/>
                <w:lang w:eastAsia="lt-LT"/>
              </w:rPr>
            </w:pPr>
          </w:p>
        </w:tc>
      </w:tr>
      <w:tr>
        <w:tc>
          <w:tcPr>
            <w:tcW w:w="3119" w:type="dxa"/>
            <w:shd w:val="clear" w:color="auto" w:fill="auto"/>
          </w:tcPr>
          <w:p>
            <w:pPr>
              <w:tabs>
                <w:tab w:val="left" w:pos="270"/>
              </w:tabs>
              <w:jc w:val="center"/>
              <w:rPr>
                <w:szCs w:val="24"/>
                <w:lang w:eastAsia="lt-LT"/>
              </w:rPr>
            </w:pPr>
            <w:r>
              <w:rPr>
                <w:szCs w:val="24"/>
                <w:lang w:eastAsia="lt-LT"/>
              </w:rPr>
              <w:t>NO</w:t>
            </w:r>
            <w:r>
              <w:rPr>
                <w:szCs w:val="24"/>
                <w:vertAlign w:val="subscript"/>
                <w:lang w:eastAsia="lt-LT"/>
              </w:rPr>
              <w:t>x</w:t>
            </w:r>
          </w:p>
        </w:tc>
        <w:tc>
          <w:tcPr>
            <w:tcW w:w="2409" w:type="dxa"/>
            <w:shd w:val="clear" w:color="auto" w:fill="auto"/>
          </w:tcPr>
          <w:p>
            <w:pPr>
              <w:tabs>
                <w:tab w:val="left" w:pos="270"/>
              </w:tabs>
              <w:jc w:val="center"/>
              <w:rPr>
                <w:szCs w:val="24"/>
                <w:lang w:eastAsia="lt-LT"/>
              </w:rPr>
            </w:pPr>
            <w:r>
              <w:rPr>
                <w:szCs w:val="24"/>
                <w:lang w:eastAsia="lt-LT"/>
              </w:rPr>
              <w:t>250</w:t>
            </w:r>
          </w:p>
        </w:tc>
        <w:tc>
          <w:tcPr>
            <w:tcW w:w="3402" w:type="dxa"/>
            <w:shd w:val="clear" w:color="auto" w:fill="auto"/>
          </w:tcPr>
          <w:p>
            <w:pPr>
              <w:tabs>
                <w:tab w:val="left" w:pos="270"/>
              </w:tabs>
              <w:jc w:val="both"/>
              <w:rPr>
                <w:rFonts w:ascii="Arial" w:hAnsi="Arial" w:cs="Arial"/>
                <w:b/>
                <w:bCs/>
                <w:kern w:val="32"/>
                <w:sz w:val="32"/>
                <w:szCs w:val="32"/>
                <w:lang w:eastAsia="lt-LT"/>
              </w:rPr>
            </w:pPr>
          </w:p>
        </w:tc>
        <w:tc>
          <w:tcPr>
            <w:tcW w:w="5812" w:type="dxa"/>
            <w:shd w:val="clear" w:color="auto" w:fill="auto"/>
          </w:tcPr>
          <w:p>
            <w:pPr>
              <w:tabs>
                <w:tab w:val="left" w:pos="270"/>
              </w:tabs>
              <w:jc w:val="both"/>
              <w:rPr>
                <w:rFonts w:ascii="Arial" w:hAnsi="Arial" w:cs="Arial"/>
                <w:b/>
                <w:bCs/>
                <w:kern w:val="32"/>
                <w:sz w:val="32"/>
                <w:szCs w:val="32"/>
                <w:lang w:eastAsia="lt-LT"/>
              </w:rPr>
            </w:pPr>
          </w:p>
        </w:tc>
      </w:tr>
      <w:tr>
        <w:tc>
          <w:tcPr>
            <w:tcW w:w="3119" w:type="dxa"/>
            <w:shd w:val="clear" w:color="auto" w:fill="auto"/>
          </w:tcPr>
          <w:p>
            <w:pPr>
              <w:tabs>
                <w:tab w:val="left" w:pos="270"/>
              </w:tabs>
              <w:jc w:val="center"/>
              <w:rPr>
                <w:szCs w:val="24"/>
                <w:lang w:eastAsia="lt-LT"/>
              </w:rPr>
            </w:pPr>
            <w:r>
              <w:rPr>
                <w:szCs w:val="24"/>
                <w:lang w:eastAsia="lt-LT"/>
              </w:rPr>
              <w:t>SO</w:t>
            </w:r>
            <w:r>
              <w:rPr>
                <w:szCs w:val="24"/>
                <w:vertAlign w:val="subscript"/>
                <w:lang w:eastAsia="lt-LT"/>
              </w:rPr>
              <w:t>2</w:t>
            </w:r>
          </w:p>
        </w:tc>
        <w:tc>
          <w:tcPr>
            <w:tcW w:w="2409" w:type="dxa"/>
            <w:shd w:val="clear" w:color="auto" w:fill="auto"/>
          </w:tcPr>
          <w:p>
            <w:pPr>
              <w:tabs>
                <w:tab w:val="left" w:pos="270"/>
              </w:tabs>
              <w:jc w:val="center"/>
              <w:rPr>
                <w:szCs w:val="24"/>
                <w:lang w:eastAsia="lt-LT"/>
              </w:rPr>
            </w:pPr>
            <w:r>
              <w:rPr>
                <w:szCs w:val="24"/>
                <w:lang w:eastAsia="lt-LT"/>
              </w:rPr>
              <w:t>1753</w:t>
            </w:r>
          </w:p>
        </w:tc>
        <w:tc>
          <w:tcPr>
            <w:tcW w:w="3402" w:type="dxa"/>
            <w:shd w:val="clear" w:color="auto" w:fill="auto"/>
          </w:tcPr>
          <w:p>
            <w:pPr>
              <w:tabs>
                <w:tab w:val="left" w:pos="270"/>
              </w:tabs>
              <w:jc w:val="both"/>
              <w:rPr>
                <w:rFonts w:ascii="Arial" w:hAnsi="Arial" w:cs="Arial"/>
                <w:b/>
                <w:bCs/>
                <w:kern w:val="32"/>
                <w:sz w:val="32"/>
                <w:szCs w:val="32"/>
                <w:lang w:eastAsia="lt-LT"/>
              </w:rPr>
            </w:pPr>
          </w:p>
        </w:tc>
        <w:tc>
          <w:tcPr>
            <w:tcW w:w="5812" w:type="dxa"/>
            <w:shd w:val="clear" w:color="auto" w:fill="auto"/>
          </w:tcPr>
          <w:p>
            <w:pPr>
              <w:tabs>
                <w:tab w:val="left" w:pos="270"/>
              </w:tabs>
              <w:jc w:val="both"/>
              <w:rPr>
                <w:rFonts w:ascii="Arial" w:hAnsi="Arial" w:cs="Arial"/>
                <w:b/>
                <w:bCs/>
                <w:kern w:val="32"/>
                <w:sz w:val="32"/>
                <w:szCs w:val="32"/>
                <w:lang w:eastAsia="lt-LT"/>
              </w:rPr>
            </w:pPr>
          </w:p>
        </w:tc>
      </w:tr>
      <w:tr>
        <w:tc>
          <w:tcPr>
            <w:tcW w:w="3119" w:type="dxa"/>
            <w:tcBorders>
              <w:bottom w:val="single" w:sz="4" w:space="0" w:color="auto"/>
            </w:tcBorders>
            <w:shd w:val="clear" w:color="auto" w:fill="auto"/>
          </w:tcPr>
          <w:p>
            <w:pPr>
              <w:tabs>
                <w:tab w:val="left" w:pos="270"/>
              </w:tabs>
              <w:jc w:val="center"/>
              <w:rPr>
                <w:szCs w:val="24"/>
                <w:lang w:eastAsia="lt-LT"/>
              </w:rPr>
            </w:pPr>
            <w:r>
              <w:rPr>
                <w:szCs w:val="24"/>
                <w:lang w:eastAsia="lt-LT"/>
              </w:rPr>
              <w:t>KD</w:t>
            </w:r>
          </w:p>
        </w:tc>
        <w:tc>
          <w:tcPr>
            <w:tcW w:w="2409" w:type="dxa"/>
            <w:tcBorders>
              <w:bottom w:val="single" w:sz="4" w:space="0" w:color="auto"/>
            </w:tcBorders>
            <w:shd w:val="clear" w:color="auto" w:fill="auto"/>
          </w:tcPr>
          <w:p>
            <w:pPr>
              <w:tabs>
                <w:tab w:val="left" w:pos="270"/>
              </w:tabs>
              <w:jc w:val="center"/>
              <w:rPr>
                <w:szCs w:val="24"/>
                <w:lang w:eastAsia="lt-LT"/>
              </w:rPr>
            </w:pPr>
            <w:r>
              <w:rPr>
                <w:szCs w:val="24"/>
                <w:lang w:eastAsia="lt-LT"/>
              </w:rPr>
              <w:t>6493</w:t>
            </w:r>
          </w:p>
        </w:tc>
        <w:tc>
          <w:tcPr>
            <w:tcW w:w="3402" w:type="dxa"/>
            <w:shd w:val="clear" w:color="auto" w:fill="auto"/>
          </w:tcPr>
          <w:p>
            <w:pPr>
              <w:tabs>
                <w:tab w:val="left" w:pos="270"/>
              </w:tabs>
              <w:jc w:val="both"/>
              <w:rPr>
                <w:rFonts w:ascii="Arial" w:hAnsi="Arial" w:cs="Arial"/>
                <w:b/>
                <w:bCs/>
                <w:kern w:val="32"/>
                <w:sz w:val="32"/>
                <w:szCs w:val="32"/>
                <w:lang w:eastAsia="lt-LT"/>
              </w:rPr>
            </w:pPr>
          </w:p>
        </w:tc>
        <w:tc>
          <w:tcPr>
            <w:tcW w:w="5812" w:type="dxa"/>
            <w:shd w:val="clear" w:color="auto" w:fill="auto"/>
          </w:tcPr>
          <w:p>
            <w:pPr>
              <w:tabs>
                <w:tab w:val="left" w:pos="270"/>
              </w:tabs>
              <w:jc w:val="both"/>
              <w:rPr>
                <w:rFonts w:ascii="Arial" w:hAnsi="Arial" w:cs="Arial"/>
                <w:b/>
                <w:bCs/>
                <w:kern w:val="32"/>
                <w:sz w:val="32"/>
                <w:szCs w:val="32"/>
                <w:lang w:eastAsia="lt-LT"/>
              </w:rPr>
            </w:pPr>
          </w:p>
        </w:tc>
      </w:tr>
      <w:tr>
        <w:tc>
          <w:tcPr>
            <w:tcW w:w="3119" w:type="dxa"/>
            <w:tcBorders>
              <w:left w:val="nil"/>
              <w:bottom w:val="nil"/>
              <w:right w:val="single" w:sz="4" w:space="0" w:color="auto"/>
            </w:tcBorders>
            <w:shd w:val="clear" w:color="auto" w:fill="auto"/>
          </w:tcPr>
          <w:p>
            <w:pPr>
              <w:tabs>
                <w:tab w:val="left" w:pos="270"/>
              </w:tabs>
              <w:jc w:val="center"/>
              <w:rPr>
                <w:rFonts w:ascii="Arial" w:hAnsi="Arial" w:cs="Arial"/>
                <w:b/>
                <w:bCs/>
                <w:kern w:val="32"/>
                <w:sz w:val="32"/>
                <w:szCs w:val="32"/>
                <w:lang w:eastAsia="lt-LT"/>
              </w:rPr>
            </w:pPr>
          </w:p>
        </w:tc>
        <w:tc>
          <w:tcPr>
            <w:tcW w:w="2409" w:type="dxa"/>
            <w:tcBorders>
              <w:left w:val="single" w:sz="4" w:space="0" w:color="auto"/>
              <w:bottom w:val="single" w:sz="4" w:space="0" w:color="auto"/>
            </w:tcBorders>
            <w:shd w:val="clear" w:color="auto" w:fill="auto"/>
          </w:tcPr>
          <w:p>
            <w:pPr>
              <w:tabs>
                <w:tab w:val="left" w:pos="270"/>
              </w:tabs>
              <w:jc w:val="right"/>
              <w:rPr>
                <w:szCs w:val="24"/>
                <w:lang w:eastAsia="lt-LT"/>
              </w:rPr>
            </w:pPr>
            <w:r>
              <w:rPr>
                <w:szCs w:val="24"/>
                <w:lang w:eastAsia="lt-LT"/>
              </w:rPr>
              <w:t>Iš viso:</w:t>
            </w:r>
          </w:p>
        </w:tc>
        <w:tc>
          <w:tcPr>
            <w:tcW w:w="3402" w:type="dxa"/>
            <w:shd w:val="clear" w:color="auto" w:fill="auto"/>
          </w:tcPr>
          <w:p>
            <w:pPr>
              <w:tabs>
                <w:tab w:val="left" w:pos="270"/>
              </w:tabs>
              <w:jc w:val="right"/>
              <w:rPr>
                <w:szCs w:val="24"/>
                <w:lang w:eastAsia="lt-LT"/>
              </w:rPr>
            </w:pPr>
          </w:p>
        </w:tc>
        <w:tc>
          <w:tcPr>
            <w:tcW w:w="5812" w:type="dxa"/>
            <w:shd w:val="clear" w:color="auto" w:fill="auto"/>
          </w:tcPr>
          <w:p>
            <w:pPr>
              <w:tabs>
                <w:tab w:val="left" w:pos="270"/>
              </w:tabs>
              <w:jc w:val="both"/>
              <w:rPr>
                <w:szCs w:val="24"/>
                <w:lang w:eastAsia="lt-LT"/>
              </w:rPr>
            </w:pPr>
            <w:r>
              <w:rPr>
                <w:szCs w:val="24"/>
                <w:lang w:eastAsia="lt-LT"/>
              </w:rPr>
              <w:t>XXXXXXXXXXXXXXXXXXXXXXXXXXXXXXXX</w:t>
            </w:r>
          </w:p>
        </w:tc>
      </w:tr>
    </w:tbl>
    <w:p>
      <w:pPr>
        <w:tabs>
          <w:tab w:val="left" w:pos="426"/>
        </w:tabs>
        <w:jc w:val="both"/>
        <w:rPr>
          <w:szCs w:val="24"/>
          <w:lang w:eastAsia="lt-LT"/>
        </w:rPr>
      </w:pPr>
    </w:p>
    <w:p>
      <w:pPr>
        <w:tabs>
          <w:tab w:val="left" w:pos="426"/>
        </w:tabs>
        <w:jc w:val="both"/>
        <w:rPr>
          <w:szCs w:val="24"/>
          <w:lang w:eastAsia="lt-LT"/>
        </w:rPr>
      </w:pPr>
      <w:r>
        <w:rPr>
          <w:szCs w:val="24"/>
          <w:lang w:eastAsia="lt-LT"/>
        </w:rPr>
        <w:t xml:space="preserve">* Informacijos apie išmestą teršalo kiekį teikti nereikia, kai tam teršalui Normų 1 arba 2 priede nenustatyta ribinė vertė. </w:t>
      </w:r>
    </w:p>
    <w:p>
      <w:pPr>
        <w:tabs>
          <w:tab w:val="left" w:pos="426"/>
        </w:tabs>
        <w:jc w:val="both"/>
        <w:rPr>
          <w:szCs w:val="24"/>
          <w:lang w:eastAsia="lt-LT"/>
        </w:rPr>
      </w:pPr>
      <w:r>
        <w:rPr>
          <w:szCs w:val="24"/>
          <w:lang w:eastAsia="lt-LT"/>
        </w:rPr>
        <w:t>** Informacija pateikiama, kai pagal Normų 15–19 punktų reikalavimus buvo privaloma atlikti išmetamų teršalų koncentracijos matavimus. Stulpelio viršuje įrašoma matavimų atlikimo data. Jeigu matavimai buvo atlikti daugiau kaip vieną kartą, lentelė papildoma nauju stulpeliu, analogišku ketvirtajam stulpeliui.</w:t>
      </w:r>
    </w:p>
    <w:p>
      <w:pPr>
        <w:tabs>
          <w:tab w:val="left" w:pos="270"/>
        </w:tabs>
        <w:jc w:val="both"/>
        <w:rPr>
          <w:szCs w:val="24"/>
          <w:lang w:eastAsia="lt-LT"/>
        </w:rPr>
      </w:pPr>
    </w:p>
    <w:p>
      <w:pPr>
        <w:tabs>
          <w:tab w:val="left" w:pos="270"/>
        </w:tabs>
        <w:jc w:val="both"/>
        <w:rPr>
          <w:szCs w:val="24"/>
          <w:lang w:eastAsia="lt-LT"/>
        </w:rPr>
      </w:pPr>
    </w:p>
    <w:tbl>
      <w:tblPr>
        <w:tblW w:w="9070" w:type="dxa"/>
        <w:tblLook w:val="01E0" w:firstRow="1" w:lastRow="1" w:firstColumn="1" w:lastColumn="1" w:noHBand="0" w:noVBand="0"/>
      </w:tblPr>
      <w:tblGrid>
        <w:gridCol w:w="2268"/>
        <w:gridCol w:w="2268"/>
        <w:gridCol w:w="2267"/>
        <w:gridCol w:w="2267"/>
      </w:tblGrid>
      <w:tr>
        <w:tc>
          <w:tcPr>
            <w:tcW w:w="2268" w:type="dxa"/>
          </w:tcPr>
          <w:p>
            <w:pPr>
              <w:tabs>
                <w:tab w:val="left" w:pos="270"/>
              </w:tabs>
              <w:jc w:val="both"/>
              <w:rPr>
                <w:szCs w:val="24"/>
                <w:lang w:eastAsia="lt-LT"/>
              </w:rPr>
            </w:pPr>
            <w:r>
              <w:rPr>
                <w:szCs w:val="24"/>
                <w:lang w:eastAsia="lt-LT"/>
              </w:rPr>
              <w:t>Ataskaitą pateikė</w:t>
            </w:r>
          </w:p>
        </w:tc>
        <w:tc>
          <w:tcPr>
            <w:tcW w:w="2268" w:type="dxa"/>
          </w:tcPr>
          <w:p>
            <w:pPr>
              <w:tabs>
                <w:tab w:val="left" w:pos="270"/>
              </w:tabs>
              <w:jc w:val="both"/>
              <w:rPr>
                <w:szCs w:val="24"/>
                <w:lang w:eastAsia="lt-LT"/>
              </w:rPr>
            </w:pPr>
            <w:r>
              <w:rPr>
                <w:szCs w:val="24"/>
                <w:lang w:eastAsia="lt-LT"/>
              </w:rPr>
              <w:t>___________</w:t>
            </w:r>
          </w:p>
          <w:p>
            <w:pPr>
              <w:tabs>
                <w:tab w:val="left" w:pos="270"/>
              </w:tabs>
              <w:jc w:val="both"/>
              <w:rPr>
                <w:szCs w:val="24"/>
                <w:lang w:eastAsia="lt-LT"/>
              </w:rPr>
            </w:pPr>
            <w:r>
              <w:rPr>
                <w:sz w:val="20"/>
                <w:lang w:eastAsia="lt-LT"/>
              </w:rPr>
              <w:t>(vardas ir pavardė)</w:t>
            </w:r>
          </w:p>
        </w:tc>
        <w:tc>
          <w:tcPr>
            <w:tcW w:w="2267" w:type="dxa"/>
          </w:tcPr>
          <w:p>
            <w:pPr>
              <w:tabs>
                <w:tab w:val="left" w:pos="270"/>
              </w:tabs>
              <w:jc w:val="center"/>
              <w:rPr>
                <w:szCs w:val="24"/>
                <w:lang w:eastAsia="lt-LT"/>
              </w:rPr>
            </w:pPr>
            <w:r>
              <w:rPr>
                <w:szCs w:val="24"/>
                <w:lang w:eastAsia="lt-LT"/>
              </w:rPr>
              <w:t>___________</w:t>
            </w:r>
          </w:p>
          <w:p>
            <w:pPr>
              <w:tabs>
                <w:tab w:val="left" w:pos="270"/>
              </w:tabs>
              <w:jc w:val="center"/>
              <w:rPr>
                <w:szCs w:val="24"/>
                <w:lang w:eastAsia="lt-LT"/>
              </w:rPr>
            </w:pPr>
            <w:r>
              <w:rPr>
                <w:sz w:val="20"/>
                <w:lang w:eastAsia="lt-LT"/>
              </w:rPr>
              <w:t>(pareigos)</w:t>
            </w:r>
          </w:p>
        </w:tc>
        <w:tc>
          <w:tcPr>
            <w:tcW w:w="2267" w:type="dxa"/>
          </w:tcPr>
          <w:p>
            <w:pPr>
              <w:tabs>
                <w:tab w:val="left" w:pos="270"/>
              </w:tabs>
              <w:jc w:val="right"/>
              <w:rPr>
                <w:szCs w:val="24"/>
                <w:lang w:eastAsia="lt-LT"/>
              </w:rPr>
            </w:pPr>
            <w:r>
              <w:rPr>
                <w:szCs w:val="24"/>
                <w:lang w:eastAsia="lt-LT"/>
              </w:rPr>
              <w:t>_______</w:t>
            </w:r>
          </w:p>
          <w:p>
            <w:pPr>
              <w:tabs>
                <w:tab w:val="left" w:pos="270"/>
              </w:tabs>
              <w:jc w:val="right"/>
              <w:rPr>
                <w:szCs w:val="24"/>
                <w:lang w:eastAsia="lt-LT"/>
              </w:rPr>
            </w:pPr>
            <w:r>
              <w:rPr>
                <w:sz w:val="20"/>
                <w:lang w:eastAsia="lt-LT"/>
              </w:rPr>
              <w:t>(parašas)</w:t>
            </w:r>
          </w:p>
        </w:tc>
      </w:tr>
    </w:tbl>
    <w:p>
      <w:pPr>
        <w:rPr>
          <w:szCs w:val="24"/>
          <w:lang w:eastAsia="lt-LT"/>
        </w:rPr>
      </w:pPr>
    </w:p>
    <w:p>
      <w:pPr>
        <w:rPr>
          <w:szCs w:val="24"/>
          <w:lang w:eastAsia="lt-LT"/>
        </w:rPr>
      </w:pPr>
      <w:r>
        <w:rPr>
          <w:szCs w:val="24"/>
          <w:lang w:eastAsia="lt-LT"/>
        </w:rPr>
        <w:t>Ataskaitos pateikimo data _____________</w:t>
      </w:r>
    </w:p>
    <w:p>
      <w:pPr>
        <w:rPr>
          <w:szCs w:val="24"/>
          <w:lang w:eastAsia="lt-LT"/>
        </w:rPr>
      </w:pPr>
    </w:p>
    <w:p>
      <w:pPr>
        <w:jc w:val="center"/>
        <w:rPr>
          <w:szCs w:val="24"/>
          <w:lang w:eastAsia="lt-LT"/>
        </w:rPr>
      </w:pPr>
      <w:r>
        <w:rPr>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ebb5900723711e3b29084acd991add8">
        <w:r w:rsidRPr="00532B9F">
          <w:rPr>
            <w:rFonts w:ascii="Times New Roman" w:eastAsia="MS Mincho" w:hAnsi="Times New Roman"/>
            <w:sz w:val="20"/>
            <w:iCs/>
            <w:color w:val="0000FF" w:themeColor="hyperlink"/>
            <w:u w:val="single"/>
          </w:rPr>
          <w:t>D1-978</w:t>
        </w:r>
      </w:fldSimple>
      <w:r>
        <w:rPr>
          <w:rFonts w:ascii="Times New Roman" w:eastAsia="MS Mincho" w:hAnsi="Times New Roman"/>
          <w:sz w:val="20"/>
          <w:iCs/>
        </w:rPr>
        <w:t>,
2013-12-20,
Žin., 2013, Nr.
139-7015 (2013-12-30), i. k. 2013-00066                </w:t>
      </w:r>
    </w:p>
    <w:p>
      <w:pPr>
        <w:jc w:val="both"/>
        <w:rPr>
          <w:rFonts w:ascii="Times New Roman" w:hAnsi="Times New Roman"/>
        </w:rPr>
      </w:pPr>
      <w:r>
        <w:rPr>
          <w:rFonts w:ascii="Times New Roman" w:hAnsi="Times New Roman"/>
          <w:sz w:val="20"/>
        </w:rPr>
        <w:t>Dėl Lietuvos Respublikos aplinkos ministro 2013 m. balandžio 10 d. įsakymo Nr. D1-244 "Dėl Išmetamų teršalų iš kurą deginančių įrenginių normų LAND 43 2013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ce44580a39b11e3aeb49a67165e3ad3">
        <w:r w:rsidRPr="00532B9F">
          <w:rPr>
            <w:rFonts w:ascii="Times New Roman" w:eastAsia="MS Mincho" w:hAnsi="Times New Roman"/>
            <w:sz w:val="20"/>
            <w:iCs/>
            <w:color w:val="0000FF" w:themeColor="hyperlink"/>
            <w:u w:val="single"/>
          </w:rPr>
          <w:t>D1-226</w:t>
        </w:r>
      </w:fldSimple>
      <w:r>
        <w:rPr>
          <w:rFonts w:ascii="Times New Roman" w:eastAsia="MS Mincho" w:hAnsi="Times New Roman"/>
          <w:sz w:val="20"/>
          <w:iCs/>
        </w:rPr>
        <w:t>,
2014-03-04,
paskelbta TAR 2014-03-04, i. k. 2014-02538                </w:t>
      </w:r>
    </w:p>
    <w:p>
      <w:pPr>
        <w:jc w:val="both"/>
        <w:rPr>
          <w:rFonts w:ascii="Times New Roman" w:hAnsi="Times New Roman"/>
        </w:rPr>
      </w:pPr>
      <w:r>
        <w:rPr>
          <w:rFonts w:ascii="Times New Roman" w:hAnsi="Times New Roman"/>
          <w:sz w:val="20"/>
        </w:rPr>
        <w:t>Dėl Lietuvos Respublikos aplinkos ministro 2013 m. balandžio 10 d. įsakymo Nr. D1-244 „Dėl Išmetamų teršalų iš kurą deginančių įrenginių normų LAND 43-2013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a9aeb80b87311e693eea1ef35f20da9">
        <w:r w:rsidRPr="00532B9F">
          <w:rPr>
            <w:rFonts w:ascii="Times New Roman" w:eastAsia="MS Mincho" w:hAnsi="Times New Roman"/>
            <w:sz w:val="20"/>
            <w:iCs/>
            <w:color w:val="0000FF" w:themeColor="hyperlink"/>
            <w:u w:val="single"/>
          </w:rPr>
          <w:t>D1-846</w:t>
        </w:r>
      </w:fldSimple>
      <w:r>
        <w:rPr>
          <w:rFonts w:ascii="Times New Roman" w:eastAsia="MS Mincho" w:hAnsi="Times New Roman"/>
          <w:sz w:val="20"/>
          <w:iCs/>
        </w:rPr>
        <w:t>,
2016-12-02,
paskelbta TAR 2016-12-02, i. k. 2016-28124                </w:t>
      </w:r>
    </w:p>
    <w:p>
      <w:pPr>
        <w:jc w:val="both"/>
        <w:rPr>
          <w:rFonts w:ascii="Times New Roman" w:hAnsi="Times New Roman"/>
        </w:rPr>
      </w:pPr>
      <w:r>
        <w:rPr>
          <w:rFonts w:ascii="Times New Roman" w:hAnsi="Times New Roman"/>
          <w:sz w:val="20"/>
        </w:rPr>
        <w:t>Dėl Lietuvos Respublikos aplinkos ministro 2013 m. balandžio 10 d. įsakymo Nr. D1-244 „Dėl Išmetamų teršalų iš kurą deginančių įrenginių normų LAND 43–2013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8f579509dec11e79127a823199cc174">
        <w:r w:rsidRPr="00532B9F">
          <w:rPr>
            <w:rFonts w:ascii="Times New Roman" w:eastAsia="MS Mincho" w:hAnsi="Times New Roman"/>
            <w:sz w:val="20"/>
            <w:iCs/>
            <w:color w:val="0000FF" w:themeColor="hyperlink"/>
            <w:u w:val="single"/>
          </w:rPr>
          <w:t>D1-779</w:t>
        </w:r>
      </w:fldSimple>
      <w:r>
        <w:rPr>
          <w:rFonts w:ascii="Times New Roman" w:eastAsia="MS Mincho" w:hAnsi="Times New Roman"/>
          <w:sz w:val="20"/>
          <w:iCs/>
        </w:rPr>
        <w:t>,
2017-09-18,
paskelbta TAR 2017-09-20, i. k. 2017-14853                </w:t>
      </w:r>
    </w:p>
    <w:p>
      <w:pPr>
        <w:jc w:val="both"/>
        <w:rPr>
          <w:rFonts w:ascii="Times New Roman" w:hAnsi="Times New Roman"/>
        </w:rPr>
      </w:pPr>
      <w:r>
        <w:rPr>
          <w:rFonts w:ascii="Times New Roman" w:hAnsi="Times New Roman"/>
          <w:sz w:val="20"/>
        </w:rPr>
        <w:t>Dėl Lietuvos Respublikos aplinkos ministro 2013 m. balandžio 10 d. įsakymo Nr. D1-244 „Dėl Išmetamų teršalų iš kurą deginančių įrenginių normų LAND 43–2013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1724e0755611e8ae2bfd1913d66d57">
        <w:r w:rsidRPr="00532B9F">
          <w:rPr>
            <w:rFonts w:ascii="Times New Roman" w:eastAsia="MS Mincho" w:hAnsi="Times New Roman"/>
            <w:sz w:val="20"/>
            <w:iCs/>
            <w:color w:val="0000FF" w:themeColor="hyperlink"/>
            <w:u w:val="single"/>
          </w:rPr>
          <w:t>D1-544</w:t>
        </w:r>
      </w:fldSimple>
      <w:r>
        <w:rPr>
          <w:rFonts w:ascii="Times New Roman" w:eastAsia="MS Mincho" w:hAnsi="Times New Roman"/>
          <w:sz w:val="20"/>
          <w:iCs/>
        </w:rPr>
        <w:t>,
2018-06-21,
paskelbta TAR 2018-06-21, i. k. 2018-10237                </w:t>
      </w:r>
    </w:p>
    <w:p>
      <w:pPr>
        <w:jc w:val="both"/>
        <w:rPr>
          <w:rFonts w:ascii="Times New Roman" w:hAnsi="Times New Roman"/>
        </w:rPr>
      </w:pPr>
      <w:r>
        <w:rPr>
          <w:rFonts w:ascii="Times New Roman" w:hAnsi="Times New Roman"/>
          <w:sz w:val="20"/>
        </w:rPr>
        <w:t>Dėl Lietuvos Respublikos aplinkos ministro 2013 m. balandžio 10 d. įsakymo Nr. D1-244 „Dėl Išmetamų teršalų iš kurą deginančių įrenginių normų LAND 43-2013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8403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A6BE5BE0C398"/>
  <Relationship Id="rId16" Type="http://schemas.openxmlformats.org/officeDocument/2006/relationships/hyperlink" TargetMode="External" Target="https://www.e-tar.lt/portal/lt/legalAct/TAR.44235B485568"/>
  <Relationship Id="rId17" Type="http://schemas.openxmlformats.org/officeDocument/2006/relationships/hyperlink" TargetMode="External" Target="https://www.e-tar.lt/portal/lt/legalAct/TAR.C2DAB42D5532"/>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fontTable" Target="fontTable.xml"/>
  <Relationship Id="rId20" Type="http://schemas.openxmlformats.org/officeDocument/2006/relationships/hyperlink" TargetMode="External" Target="https://www.e-tar.lt/portal/lt/legalAct/TAR.86576F007C26"/>
  <Relationship Id="rId21" Type="http://schemas.openxmlformats.org/officeDocument/2006/relationships/hyperlink" TargetMode="External" Target="https://www.e-tar.lt/portal/lt/legalAct/TAR.F255BFB25450"/>
  <Relationship Id="rId22" Type="http://schemas.openxmlformats.org/officeDocument/2006/relationships/image" Target="media/image1.png"/>
  <Relationship Id="rId23" Type="http://schemas.openxmlformats.org/officeDocument/2006/relationships/hyperlink" TargetMode="External" Target="https://www.e-tar.lt/portal/lt/legalAct/TAR.210C565F59C2"/>
  <Relationship Id="rId24" Type="http://schemas.openxmlformats.org/officeDocument/2006/relationships/image" Target="media/image26.wmf"/>
  <Relationship Id="rId25" Type="http://schemas.openxmlformats.org/officeDocument/2006/relationships/oleObject" Target="embeddings/oleObject31.bin"/>
  <Relationship Id="rId26" Type="http://schemas.openxmlformats.org/officeDocument/2006/relationships/image" Target="media/image27.wmf"/>
  <Relationship Id="rId27" Type="http://schemas.openxmlformats.org/officeDocument/2006/relationships/oleObject" Target="embeddings/oleObject32.bin"/>
  <Relationship Id="rId28" Type="http://schemas.openxmlformats.org/officeDocument/2006/relationships/image" Target="media/image28.wmf"/>
  <Relationship Id="rId29" Type="http://schemas.openxmlformats.org/officeDocument/2006/relationships/oleObject" Target="embeddings/oleObject33.bin"/>
  <Relationship Id="rId3" Type="http://schemas.openxmlformats.org/officeDocument/2006/relationships/footnotes" Target="footnotes.xml"/>
  <Relationship Id="rId30" Type="http://schemas.openxmlformats.org/officeDocument/2006/relationships/image" Target="media/image29.wmf"/>
  <Relationship Id="rId31" Type="http://schemas.openxmlformats.org/officeDocument/2006/relationships/oleObject" Target="embeddings/oleObject34.bin"/>
  <Relationship Id="rId32" Type="http://schemas.openxmlformats.org/officeDocument/2006/relationships/image" Target="media/image30.wmf"/>
  <Relationship Id="rId33" Type="http://schemas.openxmlformats.org/officeDocument/2006/relationships/oleObject" Target="embeddings/oleObject35.bin"/>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112</TotalTime>
  <Pages>11</Pages>
  <Words>16622</Words>
  <Characters>9476</Characters>
  <Application>Microsoft Office Word</Application>
  <DocSecurity>0</DocSecurity>
  <Lines>78</Lines>
  <Paragraphs>52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26046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2015-07-05T13:39:00Z</dcterms:created>
  <dc:creator>Rima</dc:creator>
  <lastModifiedBy>JUOSPONIENĖ Karolina</lastModifiedBy>
  <dcterms:modified xsi:type="dcterms:W3CDTF">2018-06-26T07:58:00Z</dcterms:modified>
  <revision>20</revision>
  <dc:title>LIETUVOS RESPUBLIKOS APLINKOS MINISTRO</dc:title>
</coreProperties>
</file>