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70159ED40BE">
        <w:r w:rsidRPr="00532B9F">
          <w:rPr>
            <w:rFonts w:ascii="Times New Roman" w:eastAsia="MS Mincho" w:hAnsi="Times New Roman"/>
            <w:sz w:val="20"/>
            <w:i/>
            <w:iCs/>
            <w:color w:val="0000FF" w:themeColor="hyperlink"/>
            <w:u w:val="single"/>
          </w:rPr>
          <w:t>15-718</w:t>
        </w:r>
      </w:fldSimple>
      <w:r>
        <w:rPr>
          <w:rFonts w:ascii="Times New Roman" w:eastAsia="MS Mincho" w:hAnsi="Times New Roman"/>
          <w:sz w:val="20"/>
          <w:i/>
          <w:iCs/>
        </w:rPr>
        <w:t>, i. k. 111301MISAK000D1-83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2016-10-15:</w:t>
      </w:r>
    </w:p>
    <w:p>
      <w:pPr>
        <w:rPr>
          <w:rFonts w:ascii="Times New Roman" w:hAnsi="Times New Roman"/>
          <w:sz w:val="20"/>
          <w:i/>
        </w:rPr>
      </w:pPr>
      <w:r>
        <w:rPr>
          <w:rFonts w:ascii="Times New Roman" w:hAnsi="Times New Roman"/>
          <w:sz w:val="20"/>
          <w:i/>
        </w:rPr>
        <w:t xml:space="preserve">Nr. </w:t>
      </w:r>
      <w:fldSimple w:instr="HYPERLINK https://www.e-tar.lt/portal/legalAct.html?documentId=0340d400920911e69ad4c8713b612d0f">
        <w:r w:rsidRPr="00532B9F">
          <w:rPr>
            <w:rFonts w:ascii="Times New Roman" w:eastAsia="MS Mincho" w:hAnsi="Times New Roman"/>
            <w:sz w:val="20"/>
            <w:i/>
            <w:iCs/>
            <w:color w:val="0000FF" w:themeColor="hyperlink"/>
            <w:u w:val="single"/>
          </w:rPr>
          <w:t>D1-695</w:t>
        </w:r>
      </w:fldSimple>
      <w:r>
        <w:rPr>
          <w:rFonts w:ascii="Times New Roman" w:eastAsia="MS Mincho" w:hAnsi="Times New Roman"/>
          <w:sz w:val="20"/>
          <w:i/>
          <w:iCs/>
        </w:rPr>
        <w:t>,
2016-10-14,
paskelbta TAR 2016-10-14, i. k. 2016-25183                </w:t>
      </w:r>
    </w:p>
    <w:p>
      <w:pPr>
        <w:rPr>
          <w:rFonts w:ascii="Times New Roman" w:hAnsi="Times New Roman"/>
          <w:sz w:val="22"/>
        </w:rPr>
      </w:pPr>
    </w:p>
    <w:p>
      <w:pPr>
        <w:widowControl w:val="0"/>
        <w:suppressAutoHyphens/>
        <w:spacing w:line="276" w:lineRule="auto"/>
        <w:jc w:val="center"/>
        <w:rPr>
          <w:rFonts w:eastAsia="Andale Sans UI" w:cs="Tahoma"/>
          <w:b/>
          <w:bCs/>
          <w:szCs w:val="24"/>
          <w:lang w:bidi="en-US"/>
        </w:rPr>
      </w:pPr>
      <w:r>
        <w:rPr>
          <w:rFonts w:eastAsia="Andale Sans UI" w:cs="Tahoma"/>
          <w:b/>
          <w:bCs/>
          <w:szCs w:val="24"/>
          <w:lang w:bidi="en-US"/>
        </w:rPr>
        <w:t>LIETUVOS RESPUBLIKOS APLINKOS MINISTRAS</w:t>
        <w:br/>
      </w:r>
    </w:p>
    <w:p>
      <w:pPr>
        <w:widowControl w:val="0"/>
        <w:suppressAutoHyphens/>
        <w:spacing w:line="276" w:lineRule="auto"/>
        <w:jc w:val="center"/>
        <w:rPr>
          <w:rFonts w:ascii="Thorndale" w:eastAsia="Andale Sans UI" w:hAnsi="Thorndale" w:cs="Tahoma"/>
          <w:szCs w:val="24"/>
          <w:lang w:bidi="en-US"/>
        </w:rPr>
      </w:pPr>
      <w:r>
        <w:rPr>
          <w:rFonts w:ascii="Thorndale" w:eastAsia="Andale Sans UI" w:hAnsi="Thorndale" w:cs="Tahoma"/>
          <w:b/>
          <w:bCs/>
          <w:szCs w:val="24"/>
          <w:lang w:bidi="en-US"/>
        </w:rPr>
        <w:t>ĮSAKYMAS</w:t>
      </w:r>
    </w:p>
    <w:p>
      <w:pPr>
        <w:widowControl w:val="0"/>
        <w:suppressAutoHyphens/>
        <w:spacing w:line="276" w:lineRule="auto"/>
        <w:jc w:val="center"/>
        <w:rPr>
          <w:b/>
          <w:bCs/>
          <w:caps/>
          <w:color w:val="000000"/>
        </w:rPr>
      </w:pPr>
      <w:r>
        <w:rPr>
          <w:b/>
          <w:bCs/>
          <w:caps/>
          <w:color w:val="000000"/>
        </w:rPr>
        <w:t xml:space="preserve">DėL 2009 m. kvietimo LIFE+ projektų, </w:t>
      </w:r>
      <w:r>
        <w:rPr>
          <w:b/>
          <w:bCs/>
          <w:caps/>
          <w:color w:val="000000"/>
          <w:szCs w:val="24"/>
          <w:lang w:bidi="en-US"/>
        </w:rPr>
        <w:t>kuriems numatoma skirti Lietuvos Respublikos valstybės biudžeto programos „Biologinės įvairovės apsauga, kraštovaizdžio tvarkymas ir išsaugojimas“ priemonės „</w:t>
      </w:r>
      <w:r>
        <w:rPr>
          <w:rFonts w:hint="cs"/>
          <w:b/>
          <w:bCs/>
          <w:caps/>
          <w:color w:val="000000"/>
          <w:szCs w:val="24"/>
          <w:lang w:bidi="en-US"/>
        </w:rPr>
        <w:t>Į</w:t>
      </w:r>
      <w:r>
        <w:rPr>
          <w:b/>
          <w:bCs/>
          <w:caps/>
          <w:color w:val="000000"/>
          <w:szCs w:val="24"/>
          <w:lang w:bidi="en-US"/>
        </w:rPr>
        <w:t xml:space="preserve">gyvendinti  aplinkos  i</w:t>
      </w:r>
      <w:r>
        <w:rPr>
          <w:rFonts w:hint="cs"/>
          <w:b/>
          <w:bCs/>
          <w:caps/>
          <w:color w:val="000000"/>
          <w:szCs w:val="24"/>
          <w:lang w:bidi="en-US"/>
        </w:rPr>
        <w:t>š</w:t>
      </w:r>
      <w:r>
        <w:rPr>
          <w:b/>
          <w:bCs/>
          <w:caps/>
          <w:color w:val="000000"/>
          <w:szCs w:val="24"/>
          <w:lang w:bidi="en-US"/>
        </w:rPr>
        <w:t xml:space="preserve">saugojimo,  klimato politikos, aplinkos apsaugos  technologij</w:t>
      </w:r>
      <w:r>
        <w:rPr>
          <w:rFonts w:hint="cs"/>
          <w:b/>
          <w:bCs/>
          <w:caps/>
          <w:color w:val="000000"/>
          <w:szCs w:val="24"/>
          <w:lang w:bidi="en-US"/>
        </w:rPr>
        <w:t>ų</w:t>
      </w:r>
      <w:r>
        <w:rPr>
          <w:b/>
          <w:bCs/>
          <w:caps/>
          <w:color w:val="000000"/>
          <w:szCs w:val="24"/>
          <w:lang w:bidi="en-US"/>
        </w:rPr>
        <w:t xml:space="preserve">,  informacijos  ir  kitus  projektus pagal LIFE+  ir  LIFE  programas“ bendrojo finansavimo lėšų, galutinio</w:t>
      </w:r>
      <w:r>
        <w:rPr>
          <w:b/>
          <w:bCs/>
          <w:caps/>
          <w:color w:val="000000"/>
        </w:rPr>
        <w:t xml:space="preserve"> sąrašo PATVIRTINIMO </w:t>
      </w:r>
    </w:p>
    <w:p>
      <w:pPr>
        <w:widowControl w:val="0"/>
        <w:suppressAutoHyphens/>
        <w:spacing w:line="276" w:lineRule="auto"/>
        <w:jc w:val="center"/>
        <w:rPr>
          <w:b/>
          <w:bCs/>
          <w:caps/>
          <w:color w:val="000000"/>
          <w:szCs w:val="24"/>
          <w:lang w:bidi="en-US"/>
        </w:rPr>
      </w:pPr>
    </w:p>
    <w:p>
      <w:pPr>
        <w:widowControl w:val="0"/>
        <w:suppressAutoHyphens/>
        <w:spacing w:line="276" w:lineRule="auto"/>
        <w:jc w:val="center"/>
        <w:rPr>
          <w:bCs/>
          <w:caps/>
          <w:color w:val="000000"/>
          <w:szCs w:val="24"/>
          <w:lang w:bidi="en-US"/>
        </w:rPr>
      </w:pPr>
      <w:r>
        <w:rPr>
          <w:bCs/>
          <w:color w:val="000000"/>
          <w:szCs w:val="24"/>
          <w:lang w:bidi="en-US"/>
        </w:rPr>
        <w:t>2011 m. sausio 27 d. Nr. D1-83</w:t>
      </w:r>
    </w:p>
    <w:p>
      <w:pPr>
        <w:widowControl w:val="0"/>
        <w:suppressAutoHyphens/>
        <w:jc w:val="center"/>
        <w:rPr>
          <w:bCs/>
          <w:caps/>
          <w:color w:val="000000"/>
          <w:szCs w:val="24"/>
          <w:lang w:bidi="en-US"/>
        </w:rPr>
      </w:pPr>
      <w:r>
        <w:rPr>
          <w:bCs/>
          <w:color w:val="000000"/>
          <w:szCs w:val="24"/>
          <w:lang w:bidi="en-US"/>
        </w:rPr>
        <w:t>Vilnius</w:t>
      </w:r>
    </w:p>
    <w:p>
      <w:pPr>
        <w:widowControl w:val="0"/>
        <w:suppressAutoHyphens/>
        <w:jc w:val="center"/>
        <w:rPr>
          <w:bCs/>
          <w:caps/>
          <w:color w:val="000000"/>
          <w:szCs w:val="24"/>
          <w:lang w:bidi="en-US"/>
        </w:rPr>
      </w:pPr>
    </w:p>
    <w:p>
      <w:pPr>
        <w:widowControl w:val="0"/>
        <w:suppressAutoHyphens/>
        <w:jc w:val="center"/>
        <w:rPr>
          <w:b/>
          <w:bCs/>
          <w:caps/>
          <w:color w:val="000000"/>
          <w:szCs w:val="24"/>
          <w:lang w:bidi="en-US"/>
        </w:rPr>
      </w:pPr>
    </w:p>
    <w:p>
      <w:pPr>
        <w:widowControl w:val="0"/>
        <w:suppressAutoHyphens/>
        <w:spacing w:line="276" w:lineRule="auto"/>
        <w:ind w:firstLine="567"/>
        <w:jc w:val="both"/>
        <w:rPr>
          <w:color w:val="000000"/>
        </w:rPr>
      </w:pPr>
      <w:r>
        <w:rPr>
          <w:color w:val="000000"/>
        </w:rPr>
        <w:t>Vadovaudamasis LIFE+ projektų bendrojo finansavimo aprašo, patvirtinto Lietuvos Respublikos aplinkos ministro 2009 m. gegužės 11 d. įsakymu Nr. D1-265 „Dėl LIFE + projektų bendrojo finansavimo aprašo patvirtinimo“, 37.2 papunkčiu,</w:t>
      </w:r>
    </w:p>
    <w:p>
      <w:pPr>
        <w:widowControl w:val="0"/>
        <w:suppressAutoHyphens/>
        <w:ind w:firstLine="567"/>
        <w:jc w:val="both"/>
      </w:pPr>
      <w:r>
        <w:rPr>
          <w:color w:val="000000"/>
          <w:spacing w:val="60"/>
        </w:rPr>
        <w:t>tvirtinu</w:t>
      </w:r>
      <w:r>
        <w:rPr>
          <w:color w:val="000000"/>
        </w:rPr>
        <w:t xml:space="preserve"> 2009 m. kvietimo LIFE+ projektų, </w:t>
      </w:r>
      <w:r>
        <w:rPr>
          <w:rFonts w:eastAsia="Andale Sans UI"/>
          <w:szCs w:val="24"/>
          <w:lang w:bidi="en-US"/>
        </w:rPr>
        <w:t xml:space="preserve">kuriems numatoma skirti Lietuvos Respublikos valstybės biudžeto </w:t>
      </w:r>
      <w:r>
        <w:rPr>
          <w:rFonts w:ascii="Thorndale" w:eastAsia="Andale Sans UI" w:hAnsi="Thorndale" w:cs="Tahoma"/>
          <w:szCs w:val="24"/>
          <w:lang w:bidi="en-US"/>
        </w:rPr>
        <w:t>programos „Biologinės įvairovės apsauga, kraštovaizdžio tvarkymas ir išsaugojimas“ priemonės „</w:t>
      </w:r>
      <w:r>
        <w:rPr>
          <w:rFonts w:ascii="Thorndale" w:eastAsia="Andale Sans UI" w:hAnsi="Thorndale" w:cs="Tahoma" w:hint="cs"/>
          <w:szCs w:val="24"/>
          <w:lang w:bidi="en-US"/>
        </w:rPr>
        <w:t>Į</w:t>
      </w:r>
      <w:r>
        <w:rPr>
          <w:rFonts w:ascii="Thorndale" w:eastAsia="Andale Sans UI" w:hAnsi="Thorndale" w:cs="Tahoma"/>
          <w:szCs w:val="24"/>
          <w:lang w:bidi="en-US"/>
        </w:rPr>
        <w:t xml:space="preserve">gyvendinti  aplinkos i</w:t>
      </w:r>
      <w:r>
        <w:rPr>
          <w:rFonts w:ascii="Thorndale" w:eastAsia="Andale Sans UI" w:hAnsi="Thorndale" w:cs="Tahoma" w:hint="cs"/>
          <w:szCs w:val="24"/>
          <w:lang w:bidi="en-US"/>
        </w:rPr>
        <w:t>š</w:t>
      </w:r>
      <w:r>
        <w:rPr>
          <w:rFonts w:ascii="Thorndale" w:eastAsia="Andale Sans UI" w:hAnsi="Thorndale" w:cs="Tahoma"/>
          <w:szCs w:val="24"/>
          <w:lang w:bidi="en-US"/>
        </w:rPr>
        <w:t>saugojimo, klimato politikos, aplinkos apsaugos technologij</w:t>
      </w:r>
      <w:r>
        <w:rPr>
          <w:rFonts w:ascii="Thorndale" w:eastAsia="Andale Sans UI" w:hAnsi="Thorndale" w:cs="Tahoma" w:hint="cs"/>
          <w:szCs w:val="24"/>
          <w:lang w:bidi="en-US"/>
        </w:rPr>
        <w:t>ų</w:t>
      </w:r>
      <w:r>
        <w:rPr>
          <w:rFonts w:ascii="Thorndale" w:eastAsia="Andale Sans UI" w:hAnsi="Thorndale" w:cs="Tahoma"/>
          <w:szCs w:val="24"/>
          <w:lang w:bidi="en-US"/>
        </w:rPr>
        <w:t xml:space="preserve">, informacijos ir kitus projektus pagal LIFE+ ir LIFE programas“ </w:t>
      </w:r>
      <w:r>
        <w:rPr>
          <w:rFonts w:eastAsia="Andale Sans UI"/>
          <w:szCs w:val="24"/>
          <w:lang w:bidi="en-US"/>
        </w:rPr>
        <w:t xml:space="preserve">bendrojo finansavimo lėšų galutinį sąrašą </w:t>
      </w:r>
      <w:r>
        <w:rPr>
          <w:color w:val="000000"/>
        </w:rPr>
        <w:t>(pridedama).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Aplinkos ministras </w:t>
        <w:tab/>
        <w:t>Gediminas Kazlauskas</w:t>
      </w:r>
    </w:p>
    <w:p/>
    <w:p>
      <w:pPr>
        <w:rPr>
          <w:rFonts w:eastAsia="Andale Sans UI"/>
          <w:szCs w:val="24"/>
          <w:lang w:bidi="en-US"/>
        </w:rPr>
      </w:pPr>
      <w:r>
        <w:rPr>
          <w:rFonts w:eastAsia="Andale Sans UI"/>
          <w:szCs w:val="24"/>
          <w:lang w:bidi="en-US"/>
        </w:rPr>
        <w:br w:type="page"/>
      </w:r>
    </w:p>
    <w:p>
      <w:pPr>
        <w:widowControl w:val="0"/>
        <w:suppressAutoHyphens/>
        <w:ind w:firstLine="4820"/>
        <w:rPr>
          <w:color w:val="000000"/>
        </w:rPr>
      </w:pPr>
      <w:r>
        <w:rPr>
          <w:color w:val="000000"/>
        </w:rPr>
        <w:t>PATVIRTINTA</w:t>
      </w:r>
    </w:p>
    <w:p>
      <w:pPr>
        <w:widowControl w:val="0"/>
        <w:suppressAutoHyphens/>
        <w:ind w:firstLine="4820"/>
        <w:rPr>
          <w:color w:val="000000"/>
        </w:rPr>
      </w:pPr>
      <w:r>
        <w:rPr>
          <w:color w:val="000000"/>
        </w:rPr>
        <w:t xml:space="preserve">Lietuvos Respublikos aplinkos ministro </w:t>
      </w:r>
    </w:p>
    <w:p>
      <w:pPr>
        <w:widowControl w:val="0"/>
        <w:suppressAutoHyphens/>
        <w:ind w:firstLine="4820"/>
        <w:rPr>
          <w:color w:val="000000"/>
        </w:rPr>
      </w:pPr>
      <w:r>
        <w:rPr>
          <w:color w:val="000000"/>
        </w:rPr>
        <w:t>2011 m. sausio 27 d. įsakymu Nr. D1-83</w:t>
      </w:r>
    </w:p>
    <w:p>
      <w:pPr>
        <w:widowControl w:val="0"/>
        <w:suppressAutoHyphens/>
        <w:ind w:firstLine="4820"/>
        <w:rPr>
          <w:color w:val="000000"/>
        </w:rPr>
      </w:pPr>
      <w:r>
        <w:rPr>
          <w:color w:val="000000"/>
        </w:rPr>
        <w:t xml:space="preserve">(2016 m. spalio 14 d. įsakymo Nr.D1-695 </w:t>
      </w:r>
    </w:p>
    <w:p>
      <w:pPr>
        <w:widowControl w:val="0"/>
        <w:suppressAutoHyphens/>
        <w:ind w:firstLine="4820"/>
        <w:rPr>
          <w:color w:val="000000"/>
        </w:rPr>
      </w:pPr>
      <w:r>
        <w:rPr>
          <w:color w:val="000000"/>
        </w:rPr>
        <w:t>redakcija)</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2009 m. kvietimo LIFE+ projektų, kuriems numatoma skirti Lietuvos Respublikos valstybės biudžeto programos „Biologinės įvairovės apsauga, kraštovaizdžio tvarkymas ir išsaugojimas“ priemonės „Įgyvendinti  aplinkos išsaugojimo, klimato politikos, aplinkos apsaugos technologijų, informacijos ir kitus projektus pagal LIFE+ ir LIFE programas“ bendrojo finansavimo lėšų, galutinis sąrašas</w:t>
      </w:r>
    </w:p>
    <w:p>
      <w:pPr>
        <w:widowControl w:val="0"/>
        <w:suppressAutoHyphens/>
        <w:rPr>
          <w:b/>
          <w:bCs/>
          <w:caps/>
          <w:color w:val="000000"/>
        </w:rPr>
      </w:pPr>
    </w:p>
    <w:tbl>
      <w:tblPr>
        <w:tblW w:w="9240" w:type="dxa"/>
        <w:tblLayout w:type="fixed"/>
        <w:tblCellMar>
          <w:left w:w="0" w:type="dxa"/>
          <w:right w:w="0" w:type="dxa"/>
        </w:tblCellMar>
        <w:tblLook w:val="04A0" w:firstRow="1" w:lastRow="0" w:firstColumn="1" w:lastColumn="0" w:noHBand="0" w:noVBand="1"/>
      </w:tblPr>
      <w:tblGrid>
        <w:gridCol w:w="2154"/>
        <w:gridCol w:w="1133"/>
        <w:gridCol w:w="992"/>
        <w:gridCol w:w="923"/>
        <w:gridCol w:w="979"/>
        <w:gridCol w:w="1075"/>
        <w:gridCol w:w="850"/>
        <w:gridCol w:w="1134"/>
      </w:tblGrid>
      <w:tr>
        <w:trPr>
          <w:cantSplit/>
          <w:trHeight w:val="20"/>
          <w:tblHeader/>
        </w:trPr>
        <w:tc>
          <w:tcPr>
            <w:tcW w:w="2155" w:type="dxa"/>
            <w:vMerge w:val="restart"/>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szCs w:val="22"/>
              </w:rPr>
            </w:pPr>
            <w:r>
              <w:rPr>
                <w:b/>
                <w:bCs/>
                <w:color w:val="000000"/>
                <w:sz w:val="16"/>
              </w:rPr>
              <w:t>2009 m. kvietimo projektai</w:t>
            </w:r>
          </w:p>
        </w:tc>
        <w:tc>
          <w:tcPr>
            <w:tcW w:w="1134" w:type="dxa"/>
            <w:vMerge w:val="restar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szCs w:val="22"/>
              </w:rPr>
            </w:pPr>
            <w:r>
              <w:rPr>
                <w:b/>
                <w:bCs/>
                <w:color w:val="000000"/>
                <w:sz w:val="16"/>
              </w:rPr>
              <w:t>Pareiškėjas (naudos gavėjas)</w:t>
            </w:r>
          </w:p>
        </w:tc>
        <w:tc>
          <w:tcPr>
            <w:tcW w:w="992" w:type="dxa"/>
            <w:vMerge w:val="restar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szCs w:val="22"/>
              </w:rPr>
            </w:pPr>
            <w:r>
              <w:rPr>
                <w:b/>
                <w:bCs/>
                <w:color w:val="000000"/>
                <w:sz w:val="16"/>
              </w:rPr>
              <w:t>Numatoma projekto trukmė</w:t>
            </w:r>
          </w:p>
        </w:tc>
        <w:tc>
          <w:tcPr>
            <w:tcW w:w="4961" w:type="dxa"/>
            <w:gridSpan w:val="5"/>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hideMark/>
          </w:tcPr>
          <w:p>
            <w:pPr>
              <w:widowControl w:val="0"/>
              <w:suppressAutoHyphens/>
              <w:jc w:val="center"/>
              <w:rPr>
                <w:color w:val="000000"/>
                <w:sz w:val="16"/>
                <w:szCs w:val="22"/>
              </w:rPr>
            </w:pPr>
            <w:r>
              <w:rPr>
                <w:b/>
                <w:bCs/>
                <w:color w:val="000000"/>
                <w:sz w:val="16"/>
              </w:rPr>
              <w:t>Projekto biudžetas</w:t>
            </w:r>
          </w:p>
        </w:tc>
      </w:tr>
      <w:tr>
        <w:trPr>
          <w:cantSplit/>
          <w:trHeight w:val="20"/>
          <w:tblHeader/>
        </w:trPr>
        <w:tc>
          <w:tcPr>
            <w:tcW w:w="2155" w:type="dxa"/>
            <w:vMerge/>
            <w:tcBorders>
              <w:top w:val="single" w:sz="4" w:space="0" w:color="auto"/>
              <w:left w:val="single" w:sz="4" w:space="0" w:color="auto"/>
              <w:bottom w:val="single" w:sz="4" w:space="0" w:color="000000"/>
              <w:right w:val="single" w:sz="4" w:space="0" w:color="000000"/>
            </w:tcBorders>
            <w:vAlign w:val="center"/>
            <w:hideMark/>
          </w:tcPr>
          <w:p>
            <w:pPr>
              <w:jc w:val="center"/>
              <w:rPr>
                <w:color w:val="000000"/>
                <w:sz w:val="16"/>
                <w:szCs w:val="22"/>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pPr>
              <w:jc w:val="center"/>
              <w:rPr>
                <w:color w:val="000000"/>
                <w:sz w:val="16"/>
                <w:szCs w:val="22"/>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pPr>
              <w:jc w:val="center"/>
              <w:rPr>
                <w:color w:val="000000"/>
                <w:sz w:val="16"/>
                <w:szCs w:val="22"/>
              </w:rPr>
            </w:pPr>
          </w:p>
        </w:tc>
        <w:tc>
          <w:tcPr>
            <w:tcW w:w="9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szCs w:val="22"/>
              </w:rPr>
            </w:pPr>
            <w:r>
              <w:rPr>
                <w:b/>
                <w:bCs/>
                <w:color w:val="000000"/>
                <w:sz w:val="16"/>
              </w:rPr>
              <w:t>Bendra projekto vertė, Eur</w:t>
            </w:r>
          </w:p>
        </w:tc>
        <w:tc>
          <w:tcPr>
            <w:tcW w:w="9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pPr>
              <w:widowControl w:val="0"/>
              <w:suppressAutoHyphens/>
              <w:jc w:val="center"/>
              <w:rPr>
                <w:color w:val="000000"/>
                <w:sz w:val="16"/>
                <w:szCs w:val="22"/>
              </w:rPr>
            </w:pPr>
            <w:r>
              <w:rPr>
                <w:b/>
                <w:bCs/>
                <w:color w:val="000000"/>
                <w:sz w:val="16"/>
              </w:rPr>
              <w:t>Veiklų, įgyvendinamų Lietuvos teritorijoje, vertė, Eur</w:t>
            </w:r>
          </w:p>
        </w:tc>
        <w:tc>
          <w:tcPr>
            <w:tcW w:w="10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pPr>
              <w:widowControl w:val="0"/>
              <w:suppressAutoHyphens/>
              <w:jc w:val="center"/>
              <w:rPr>
                <w:color w:val="000000"/>
                <w:sz w:val="16"/>
                <w:szCs w:val="22"/>
              </w:rPr>
            </w:pPr>
            <w:r>
              <w:rPr>
                <w:b/>
                <w:bCs/>
                <w:color w:val="000000"/>
                <w:sz w:val="16"/>
              </w:rPr>
              <w:t>Europos Bendrijos bendrojo finansavimo lėšos, Eur</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pPr>
              <w:widowControl w:val="0"/>
              <w:suppressAutoHyphens/>
              <w:jc w:val="center"/>
              <w:rPr>
                <w:color w:val="000000"/>
                <w:sz w:val="16"/>
                <w:szCs w:val="22"/>
              </w:rPr>
            </w:pPr>
            <w:r>
              <w:rPr>
                <w:b/>
                <w:bCs/>
                <w:color w:val="000000"/>
                <w:sz w:val="16"/>
              </w:rPr>
              <w:t>Projekto vykdytojų ir partnerių lėšos, Eur</w:t>
            </w: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pPr>
              <w:widowControl w:val="0"/>
              <w:suppressAutoHyphens/>
              <w:jc w:val="center"/>
              <w:rPr>
                <w:color w:val="000000"/>
                <w:sz w:val="16"/>
                <w:szCs w:val="22"/>
              </w:rPr>
            </w:pPr>
            <w:r>
              <w:rPr>
                <w:b/>
                <w:bCs/>
                <w:color w:val="000000"/>
                <w:sz w:val="16"/>
              </w:rPr>
              <w:t>Bendrasis finansavimas iš Lietuvos Respublikos valstybės biudžeto lėšų, Eur</w:t>
            </w:r>
          </w:p>
        </w:tc>
      </w:tr>
      <w:tr>
        <w:trPr>
          <w:cantSplit/>
          <w:trHeight w:val="20"/>
        </w:trPr>
        <w:tc>
          <w:tcPr>
            <w:tcW w:w="215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rPr>
                <w:color w:val="000000"/>
                <w:sz w:val="16"/>
                <w:szCs w:val="22"/>
              </w:rPr>
            </w:pPr>
            <w:r>
              <w:rPr>
                <w:color w:val="000000"/>
                <w:sz w:val="16"/>
              </w:rPr>
              <w:t>Tvaraus ūkininkavimo skatinimas užtikrinant agrarinio kraštovaizdžio globaliai nykstančių paukščių rūšių populiacijų ir jų buveinių apsaugą</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VšĮ „Baltijos aplinkos forumas“</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2010-09-01 – 2015-08-31</w:t>
            </w:r>
          </w:p>
        </w:tc>
        <w:tc>
          <w:tcPr>
            <w:tcW w:w="9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2.307.533,00</w:t>
            </w:r>
          </w:p>
        </w:tc>
        <w:tc>
          <w:tcPr>
            <w:tcW w:w="97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2.307.533,00</w:t>
            </w:r>
          </w:p>
        </w:tc>
        <w:tc>
          <w:tcPr>
            <w:tcW w:w="10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1.636.666,00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147.700,01</w:t>
            </w:r>
          </w:p>
        </w:tc>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523.166,99</w:t>
            </w:r>
          </w:p>
        </w:tc>
      </w:tr>
      <w:tr>
        <w:trPr>
          <w:cantSplit/>
          <w:trHeight w:val="20"/>
        </w:trPr>
        <w:tc>
          <w:tcPr>
            <w:tcW w:w="215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rPr>
                <w:color w:val="000000"/>
                <w:sz w:val="16"/>
                <w:szCs w:val="22"/>
              </w:rPr>
            </w:pPr>
            <w:r>
              <w:rPr>
                <w:color w:val="000000"/>
                <w:sz w:val="16"/>
              </w:rPr>
              <w:t>Ekologinio tinklo vystymas gamtinio karkaso teritorijose pietinėje Lietuvoje</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VšĮ „Lietuvos gamtos fondas“</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2010-10-01 – 2014-09-30</w:t>
            </w:r>
          </w:p>
        </w:tc>
        <w:tc>
          <w:tcPr>
            <w:tcW w:w="9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766.260,00</w:t>
            </w:r>
          </w:p>
        </w:tc>
        <w:tc>
          <w:tcPr>
            <w:tcW w:w="97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766.260,00</w:t>
            </w:r>
          </w:p>
        </w:tc>
        <w:tc>
          <w:tcPr>
            <w:tcW w:w="10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381.510,00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192.377,00</w:t>
            </w:r>
          </w:p>
        </w:tc>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192.373,00</w:t>
            </w:r>
          </w:p>
        </w:tc>
      </w:tr>
      <w:tr>
        <w:trPr>
          <w:cantSplit/>
          <w:trHeight w:val="20"/>
        </w:trPr>
        <w:tc>
          <w:tcPr>
            <w:tcW w:w="215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rPr>
                <w:color w:val="000000"/>
                <w:sz w:val="16"/>
                <w:szCs w:val="22"/>
              </w:rPr>
            </w:pPr>
            <w:r>
              <w:rPr>
                <w:color w:val="000000"/>
                <w:sz w:val="16"/>
              </w:rPr>
              <w:t>Jūrinių buveinių ir rūšių inventorizacija NATURA 2000 tinklo plėtrai Lietuvos išimtinėje ekonominėje zonoje Baltijos jūroje</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VŠĮ „Klaipėdos universitetas“</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2010-10-01 – 2015-03-31</w:t>
            </w:r>
          </w:p>
        </w:tc>
        <w:tc>
          <w:tcPr>
            <w:tcW w:w="9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1.569.699,00</w:t>
            </w:r>
          </w:p>
        </w:tc>
        <w:tc>
          <w:tcPr>
            <w:tcW w:w="97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1.569.699,00</w:t>
            </w:r>
          </w:p>
        </w:tc>
        <w:tc>
          <w:tcPr>
            <w:tcW w:w="10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784.849,00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235.455,00</w:t>
            </w:r>
          </w:p>
        </w:tc>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549.395,00</w:t>
            </w:r>
          </w:p>
        </w:tc>
      </w:tr>
      <w:tr>
        <w:trPr>
          <w:cantSplit/>
          <w:trHeight w:val="20"/>
        </w:trPr>
        <w:tc>
          <w:tcPr>
            <w:tcW w:w="215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rPr>
                <w:color w:val="000000"/>
                <w:sz w:val="16"/>
                <w:szCs w:val="22"/>
              </w:rPr>
            </w:pPr>
            <w:r>
              <w:rPr>
                <w:color w:val="000000"/>
                <w:sz w:val="16"/>
              </w:rPr>
              <w:t xml:space="preserve">Mažojo erelio rėksnio </w:t>
            </w:r>
            <w:r>
              <w:rPr>
                <w:i/>
                <w:iCs/>
                <w:color w:val="000000"/>
                <w:sz w:val="16"/>
              </w:rPr>
              <w:t>(Aquila pomarina)</w:t>
            </w:r>
            <w:r>
              <w:rPr>
                <w:color w:val="000000"/>
                <w:sz w:val="16"/>
              </w:rPr>
              <w:t xml:space="preserve"> apsauga Lietuvos miškuose</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VšĮ „Gamtosaugos projektų vystymo fondas“</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pPr>
              <w:widowControl w:val="0"/>
              <w:suppressAutoHyphens/>
              <w:jc w:val="center"/>
              <w:rPr>
                <w:color w:val="000000"/>
                <w:sz w:val="16"/>
              </w:rPr>
            </w:pPr>
            <w:r>
              <w:rPr>
                <w:color w:val="000000"/>
                <w:sz w:val="16"/>
              </w:rPr>
              <w:t>2010-11-01 – 2015-04-30</w:t>
            </w:r>
          </w:p>
        </w:tc>
        <w:tc>
          <w:tcPr>
            <w:tcW w:w="9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strike/>
                <w:color w:val="000000"/>
                <w:sz w:val="16"/>
              </w:rPr>
            </w:pPr>
            <w:r>
              <w:rPr>
                <w:rFonts w:eastAsia="Andale Sans UI"/>
                <w:b/>
                <w:color w:val="000000"/>
                <w:sz w:val="16"/>
                <w:lang w:bidi="en-US"/>
              </w:rPr>
              <w:t>801.159,29</w:t>
            </w:r>
          </w:p>
        </w:tc>
        <w:tc>
          <w:tcPr>
            <w:tcW w:w="97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801.159,29</w:t>
            </w:r>
          </w:p>
        </w:tc>
        <w:tc>
          <w:tcPr>
            <w:tcW w:w="10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585.166,75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widowControl w:val="0"/>
              <w:suppressAutoHyphens/>
              <w:jc w:val="center"/>
              <w:rPr>
                <w:rFonts w:eastAsia="Andale Sans UI"/>
                <w:color w:val="000000"/>
                <w:sz w:val="16"/>
                <w:lang w:bidi="en-US"/>
              </w:rPr>
            </w:pPr>
            <w:r>
              <w:rPr>
                <w:rFonts w:eastAsia="Andale Sans UI"/>
                <w:b/>
                <w:color w:val="000000"/>
                <w:sz w:val="16"/>
                <w:lang w:bidi="en-US"/>
              </w:rPr>
              <w:t>22.592,69</w:t>
            </w:r>
          </w:p>
        </w:tc>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193.399,85</w:t>
            </w:r>
          </w:p>
        </w:tc>
      </w:tr>
      <w:tr>
        <w:trPr>
          <w:cantSplit/>
          <w:trHeight w:val="362"/>
        </w:trPr>
        <w:tc>
          <w:tcPr>
            <w:tcW w:w="2155" w:type="dxa"/>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vAlign w:val="center"/>
            <w:hideMark/>
          </w:tcPr>
          <w:p>
            <w:pPr>
              <w:widowControl w:val="0"/>
              <w:suppressAutoHyphens/>
              <w:jc w:val="right"/>
              <w:rPr>
                <w:color w:val="000000"/>
                <w:sz w:val="16"/>
                <w:szCs w:val="22"/>
              </w:rPr>
            </w:pPr>
            <w:r>
              <w:rPr>
                <w:b/>
                <w:bCs/>
                <w:color w:val="000000"/>
                <w:sz w:val="16"/>
              </w:rPr>
              <w:t>Iš viso:</w:t>
            </w:r>
          </w:p>
        </w:tc>
        <w:tc>
          <w:tcPr>
            <w:tcW w:w="1134"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pPr>
              <w:widowControl w:val="0"/>
              <w:jc w:val="center"/>
              <w:rPr>
                <w:sz w:val="16"/>
              </w:rPr>
            </w:pPr>
          </w:p>
        </w:tc>
        <w:tc>
          <w:tcPr>
            <w:tcW w:w="992"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pPr>
              <w:widowControl w:val="0"/>
              <w:jc w:val="center"/>
              <w:rPr>
                <w:sz w:val="16"/>
              </w:rPr>
            </w:pPr>
          </w:p>
        </w:tc>
        <w:tc>
          <w:tcPr>
            <w:tcW w:w="923"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pPr>
              <w:widowControl w:val="0"/>
              <w:suppressAutoHyphens/>
              <w:jc w:val="center"/>
              <w:rPr>
                <w:strike/>
                <w:color w:val="000000"/>
                <w:sz w:val="16"/>
              </w:rPr>
            </w:pPr>
            <w:r>
              <w:rPr>
                <w:rFonts w:eastAsia="Andale Sans UI"/>
                <w:b/>
                <w:color w:val="000000"/>
                <w:sz w:val="16"/>
                <w:lang w:bidi="en-US"/>
              </w:rPr>
              <w:t>5.444.651,29</w:t>
            </w:r>
          </w:p>
        </w:tc>
        <w:tc>
          <w:tcPr>
            <w:tcW w:w="979"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pPr>
              <w:widowControl w:val="0"/>
              <w:suppressAutoHyphens/>
              <w:jc w:val="center"/>
              <w:rPr>
                <w:strike/>
                <w:color w:val="000000"/>
                <w:sz w:val="16"/>
              </w:rPr>
            </w:pPr>
            <w:r>
              <w:rPr>
                <w:rFonts w:eastAsia="Andale Sans UI"/>
                <w:b/>
                <w:color w:val="000000"/>
                <w:sz w:val="16"/>
                <w:lang w:bidi="en-US"/>
              </w:rPr>
              <w:t>5.444.651,29</w:t>
            </w:r>
          </w:p>
        </w:tc>
        <w:tc>
          <w:tcPr>
            <w:tcW w:w="1075"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pPr>
              <w:widowControl w:val="0"/>
              <w:suppressAutoHyphens/>
              <w:jc w:val="center"/>
              <w:rPr>
                <w:rFonts w:eastAsia="Andale Sans UI"/>
                <w:b/>
                <w:color w:val="000000"/>
                <w:sz w:val="16"/>
                <w:lang w:bidi="en-US"/>
              </w:rPr>
            </w:pPr>
            <w:r>
              <w:rPr>
                <w:rFonts w:eastAsia="Andale Sans UI"/>
                <w:b/>
                <w:color w:val="000000"/>
                <w:sz w:val="16"/>
                <w:lang w:bidi="en-US"/>
              </w:rPr>
              <w:t>3.388.191,75</w:t>
            </w:r>
          </w:p>
        </w:tc>
        <w:tc>
          <w:tcPr>
            <w:tcW w:w="850"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pPr>
              <w:widowControl w:val="0"/>
              <w:suppressAutoHyphens/>
              <w:jc w:val="center"/>
              <w:rPr>
                <w:strike/>
                <w:color w:val="000000"/>
                <w:sz w:val="16"/>
              </w:rPr>
            </w:pPr>
            <w:r>
              <w:rPr>
                <w:rFonts w:eastAsia="Andale Sans UI"/>
                <w:b/>
                <w:color w:val="000000"/>
                <w:sz w:val="16"/>
                <w:lang w:bidi="en-US"/>
              </w:rPr>
              <w:t>598.124,70</w:t>
            </w:r>
          </w:p>
        </w:tc>
        <w:tc>
          <w:tcPr>
            <w:tcW w:w="1134" w:type="dxa"/>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pPr>
              <w:widowControl w:val="0"/>
              <w:suppressAutoHyphens/>
              <w:jc w:val="center"/>
              <w:rPr>
                <w:strike/>
                <w:color w:val="000000"/>
                <w:sz w:val="16"/>
              </w:rPr>
            </w:pPr>
            <w:r>
              <w:rPr>
                <w:rFonts w:eastAsia="Andale Sans UI"/>
                <w:b/>
                <w:color w:val="000000"/>
                <w:sz w:val="16"/>
                <w:lang w:bidi="en-US"/>
              </w:rPr>
              <w:t>1.458.334,84</w:t>
            </w:r>
          </w:p>
        </w:tc>
      </w:tr>
    </w:tbl>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2022a02f5211e4a83cb4f588d2ac1a">
        <w:r w:rsidRPr="00532B9F">
          <w:rPr>
            <w:rFonts w:ascii="Times New Roman" w:eastAsia="MS Mincho" w:hAnsi="Times New Roman"/>
            <w:sz w:val="20"/>
            <w:i/>
            <w:iCs/>
            <w:color w:val="0000FF" w:themeColor="hyperlink"/>
            <w:u w:val="single"/>
          </w:rPr>
          <w:t>D1-700</w:t>
        </w:r>
      </w:fldSimple>
      <w:r>
        <w:rPr>
          <w:rFonts w:ascii="Times New Roman" w:eastAsia="MS Mincho" w:hAnsi="Times New Roman"/>
          <w:sz w:val="20"/>
          <w:i/>
          <w:iCs/>
        </w:rPr>
        <w:t>,
2014-08-28,
paskelbta TAR 2014-08-29, i. k. 2014-11451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8e5605b7711e487eff7b424bd0f08">
        <w:r w:rsidRPr="00532B9F">
          <w:rPr>
            <w:rFonts w:ascii="Times New Roman" w:eastAsia="MS Mincho" w:hAnsi="Times New Roman"/>
            <w:sz w:val="20"/>
            <w:i/>
            <w:iCs/>
            <w:color w:val="0000FF" w:themeColor="hyperlink"/>
            <w:u w:val="single"/>
          </w:rPr>
          <w:t>D1-852</w:t>
        </w:r>
      </w:fldSimple>
      <w:r>
        <w:rPr>
          <w:rFonts w:ascii="Times New Roman" w:eastAsia="MS Mincho" w:hAnsi="Times New Roman"/>
          <w:sz w:val="20"/>
          <w:i/>
          <w:iCs/>
        </w:rPr>
        <w:t>,
2014-10-24,
paskelbta TAR 2014-10-24, i. k. 2014-14794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0d400920911e69ad4c8713b612d0f">
        <w:r w:rsidRPr="00532B9F">
          <w:rPr>
            <w:rFonts w:ascii="Times New Roman" w:eastAsia="MS Mincho" w:hAnsi="Times New Roman"/>
            <w:sz w:val="20"/>
            <w:i/>
            <w:iCs/>
            <w:color w:val="0000FF" w:themeColor="hyperlink"/>
            <w:u w:val="single"/>
          </w:rPr>
          <w:t>D1-695</w:t>
        </w:r>
      </w:fldSimple>
      <w:r>
        <w:rPr>
          <w:rFonts w:ascii="Times New Roman" w:eastAsia="MS Mincho" w:hAnsi="Times New Roman"/>
          <w:sz w:val="20"/>
          <w:i/>
          <w:iCs/>
        </w:rPr>
        <w:t>,
2016-10-14,
paskelbta TAR 2016-10-14, i. k. 2016-25183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2022a02f5211e4a83cb4f588d2ac1a">
        <w:r w:rsidRPr="00532B9F">
          <w:rPr>
            <w:rFonts w:ascii="Times New Roman" w:eastAsia="MS Mincho" w:hAnsi="Times New Roman"/>
            <w:sz w:val="20"/>
            <w:iCs/>
            <w:color w:val="0000FF" w:themeColor="hyperlink"/>
            <w:u w:val="single"/>
          </w:rPr>
          <w:t>D1-700</w:t>
        </w:r>
      </w:fldSimple>
      <w:r>
        <w:rPr>
          <w:rFonts w:ascii="Times New Roman" w:eastAsia="MS Mincho" w:hAnsi="Times New Roman"/>
          <w:sz w:val="20"/>
          <w:iCs/>
        </w:rPr>
        <w:t>,
2014-08-28,
paskelbta TAR 2014-08-29, i. k. 2014-11451                </w:t>
      </w:r>
    </w:p>
    <w:p>
      <w:pPr>
        <w:jc w:val="both"/>
        <w:rPr>
          <w:rFonts w:ascii="Times New Roman" w:hAnsi="Times New Roman"/>
        </w:rPr>
      </w:pPr>
      <w:r>
        <w:rPr>
          <w:rFonts w:ascii="Times New Roman" w:hAnsi="Times New Roman"/>
          <w:sz w:val="20"/>
        </w:rPr>
        <w:t>Dėl Europos Sąjungos aplinkos finansinio instrumento LIFE+ (2009 m. kvietimo) lėšomis finansuojamų projektų, kuriems aplinkos ministerija skyrė Lietuvos Respublikos valstybės biudžeto specialiosios Europos Sąjungos finansinio instrumento LIFE+ programos bendrojo finansavimo lėšų, papildomo finansavimo skyrimo ir Lietuvos Respublikos aplinkos ministro 2011 m. sausio 27 d. įsakymo Nr. D1-83 „Dėl 2009 m. kvietimo LIFE+ projektų, kuriems Lietuvos Respublikos aplinkos ministerija numato skirti Lietuvos nacionalinį bendrąjį finansavimą iš specialiosios ES finansinio instrumento LIFE+ programos,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ad8e5605b7711e487eff7b424bd0f08">
        <w:r w:rsidRPr="00532B9F">
          <w:rPr>
            <w:rFonts w:ascii="Times New Roman" w:eastAsia="MS Mincho" w:hAnsi="Times New Roman"/>
            <w:sz w:val="20"/>
            <w:iCs/>
            <w:color w:val="0000FF" w:themeColor="hyperlink"/>
            <w:u w:val="single"/>
          </w:rPr>
          <w:t>D1-852</w:t>
        </w:r>
      </w:fldSimple>
      <w:r>
        <w:rPr>
          <w:rFonts w:ascii="Times New Roman" w:eastAsia="MS Mincho" w:hAnsi="Times New Roman"/>
          <w:sz w:val="20"/>
          <w:iCs/>
        </w:rPr>
        <w:t>,
2014-10-24,
paskelbta TAR 2014-10-24, i. k. 2014-14794                </w:t>
      </w:r>
    </w:p>
    <w:p>
      <w:pPr>
        <w:jc w:val="both"/>
        <w:rPr>
          <w:rFonts w:ascii="Times New Roman" w:hAnsi="Times New Roman"/>
        </w:rPr>
      </w:pPr>
      <w:r>
        <w:rPr>
          <w:rFonts w:ascii="Times New Roman" w:hAnsi="Times New Roman"/>
          <w:sz w:val="20"/>
        </w:rPr>
        <w:t>Dėl Europos Sąjungos aplinkos finansinio instrumento LIFE+ (2009 m. kvietimo) lėšomis finansuojamų projektų, kuriems Aplinkos ministerija skyrė Lietuvos Respublikos valstybės biudžeto bendrojo finansavimo lėšų, papildomo finansavimo skyrimo ir Lietuvos Respublikos aplinkos ministro 2011 m. sausio 27 d. įsakymo Nr. D1-83 „Dėl 2009 m. kvietimo LIFE+ projektų, kuriems Lietuvos Respublikos aplinkos ministerija numato skirti Lietuvos nacionalinį bendrąjį finansavimą iš specialiosios ES finansinio instrumento LIFE+ programos,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40d400920911e69ad4c8713b612d0f">
        <w:r w:rsidRPr="00532B9F">
          <w:rPr>
            <w:rFonts w:ascii="Times New Roman" w:eastAsia="MS Mincho" w:hAnsi="Times New Roman"/>
            <w:sz w:val="20"/>
            <w:iCs/>
            <w:color w:val="0000FF" w:themeColor="hyperlink"/>
            <w:u w:val="single"/>
          </w:rPr>
          <w:t>D1-695</w:t>
        </w:r>
      </w:fldSimple>
      <w:r>
        <w:rPr>
          <w:rFonts w:ascii="Times New Roman" w:eastAsia="MS Mincho" w:hAnsi="Times New Roman"/>
          <w:sz w:val="20"/>
          <w:iCs/>
        </w:rPr>
        <w:t>,
2016-10-14,
paskelbta TAR 2016-10-14, i. k. 2016-25183                </w:t>
      </w:r>
    </w:p>
    <w:p>
      <w:pPr>
        <w:jc w:val="both"/>
        <w:rPr>
          <w:rFonts w:ascii="Times New Roman" w:hAnsi="Times New Roman"/>
        </w:rPr>
      </w:pPr>
      <w:r>
        <w:rPr>
          <w:rFonts w:ascii="Times New Roman" w:hAnsi="Times New Roman"/>
          <w:sz w:val="20"/>
        </w:rPr>
        <w:t>Dėl finansavimo sumažinimo projektui Nr. LIFE/09/NAT/LT/000235 „Mažojo erelio rėksnio (aquila pamarina) apsauga Lietuvos miškuose“, Lietuvos Respublikos aplinkos ministro 2011 m. sausio 27 d. įsakymo Nr. D1-83 „Dėl 2009 m. kvietimo LIFE+ projektų, kuriems Lietuvos Respublikos aplinkos ministerija numato skirti Lietuvos nacionalinį bendrąjį finansavimą iš specialiosios ES finansinio instrumento LIFE+ programos, sąrašo patvirtinimo“ pakeitimo ir bendrojo finansavimo lėšų grąžinimo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64E1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659ABAA9C6F3"/>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4</Pages>
  <Words>3785</Words>
  <Characters>2158</Characters>
  <Application>Microsoft Office Word</Application>
  <DocSecurity>0</DocSecurity>
  <Lines>17</Lines>
  <Paragraphs>11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5932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2015-08-11T02:18:00Z</dcterms:created>
  <dc:creator>Sandra</dc:creator>
  <lastModifiedBy>JUOSPONIENĖ Karolina</lastModifiedBy>
  <dcterms:modified xsi:type="dcterms:W3CDTF">2016-10-17T06:42:00Z</dcterms:modified>
  <revision>7</revision>
  <dc:title>LIETUVOS RESPUBLIKOS APLINKOS MINISTRO</dc:title>
</coreProperties>
</file>