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2016-02-02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2012, Nr. </w:t>
      </w:r>
      <w:fldSimple w:instr="HYPERLINK https://www.e-tar.lt/portal/legalAct.html?documentId=TAR.BB5BBFF17FE7">
        <w:r w:rsidRPr="00532B9F">
          <w:rPr>
            <w:rFonts w:ascii="Times New Roman" w:eastAsia="MS Mincho" w:hAnsi="Times New Roman"/>
            <w:sz w:val="20"/>
            <w:i/>
            <w:iCs/>
            <w:color w:val="0000FF" w:themeColor="hyperlink"/>
            <w:u w:val="single"/>
          </w:rPr>
          <w:t>81-4222</w:t>
        </w:r>
      </w:fldSimple>
      <w:r>
        <w:rPr>
          <w:rFonts w:ascii="Times New Roman" w:eastAsia="MS Mincho" w:hAnsi="Times New Roman"/>
          <w:sz w:val="20"/>
          <w:i/>
          <w:iCs/>
        </w:rPr>
        <w:t>, i. k. 1121010ISTA0XI-2156</w:t>
      </w:r>
    </w:p>
    <w:p>
      <w:pPr>
        <w:jc w:val="both"/>
        <w:rPr>
          <w:rFonts w:ascii="Times New Roman" w:hAnsi="Times New Roman"/>
          <w:sz w:val="20"/>
        </w:rPr>
      </w:pPr>
    </w:p>
    <w:p>
      <w:pPr>
        <w:keepLines/>
        <w:widowControl w:val="0"/>
        <w:suppressAutoHyphens/>
        <w:jc w:val="center"/>
        <w:rPr>
          <w:b/>
          <w:bCs/>
          <w:caps/>
          <w:color w:val="000000"/>
        </w:rPr>
      </w:pPr>
      <w:r>
        <w:rPr>
          <w:b/>
          <w:bCs/>
          <w:caps/>
          <w:color w:val="000000"/>
          <w:lang w:val="en-US"/>
        </w:rPr>
        <w:pict w14:anchorId="3519230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GINKLŲ IR ŠAUDMENŲ KONTROLĖS ĮSTATYMO PAKEITIMO </w:t>
        <w:br/>
        <w:t xml:space="preserve">ĮSTATYMO 2 STRAIPSNIO PAKEITIMO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jc w:val="center"/>
        <w:rPr>
          <w:color w:val="000000"/>
        </w:rPr>
      </w:pPr>
    </w:p>
    <w:p>
      <w:pPr>
        <w:keepLines/>
        <w:widowControl w:val="0"/>
        <w:suppressAutoHyphens/>
        <w:jc w:val="center"/>
        <w:rPr>
          <w:color w:val="000000"/>
        </w:rPr>
      </w:pPr>
      <w:r>
        <w:rPr>
          <w:color w:val="000000"/>
        </w:rPr>
        <w:t>2012 m. birželio 29 d. Nr. XI-2156</w:t>
      </w:r>
    </w:p>
    <w:p>
      <w:pPr>
        <w:keepLines/>
        <w:widowControl w:val="0"/>
        <w:suppressAutoHyphens/>
        <w:jc w:val="center"/>
        <w:rPr>
          <w:b/>
          <w:bCs/>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2010, Nr. </w:t>
      </w:r>
      <w:hyperlink r:id="rId17" w:tgtFrame="_blank" w:history="1">
        <w:r>
          <w:rPr>
            <w:color w:val="0000FF" w:themeColor="hyperlink"/>
            <w:u w:val="single"/>
          </w:rPr>
          <w:t>142-7261</w:t>
        </w:r>
      </w:hyperlink>
      <w:r>
        <w:rPr>
          <w:color w:val="000000"/>
        </w:rPr>
        <w:t>)</w:t>
      </w:r>
    </w:p>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2 straipsnio 2, 3 ir 4 dalių pakeitimas</w:t>
      </w:r>
    </w:p>
    <w:p>
      <w:pPr>
        <w:widowControl w:val="0"/>
        <w:suppressAutoHyphens/>
        <w:ind w:firstLine="567"/>
        <w:jc w:val="both"/>
        <w:rPr>
          <w:color w:val="000000"/>
        </w:rPr>
      </w:pPr>
      <w:r>
        <w:rPr>
          <w:color w:val="000000"/>
        </w:rPr>
        <w:t>1</w:t>
      </w:r>
      <w:r>
        <w:rPr>
          <w:color w:val="000000"/>
        </w:rPr>
        <w:t xml:space="preserve">. Pakeisti 2 straipsnio 2 dalį ir ją išdėstyti taip: </w:t>
      </w:r>
    </w:p>
    <w:p>
      <w:pPr>
        <w:widowControl w:val="0"/>
        <w:suppressAutoHyphens/>
        <w:ind w:firstLine="567"/>
        <w:jc w:val="both"/>
        <w:rPr>
          <w:color w:val="000000"/>
        </w:rPr>
      </w:pPr>
      <w:r>
        <w:rPr>
          <w:color w:val="000000"/>
        </w:rPr>
        <w:t>„</w:t>
      </w:r>
      <w:r>
        <w:rPr>
          <w:color w:val="000000"/>
        </w:rPr>
        <w:t>2</w:t>
      </w:r>
      <w:r>
        <w:rPr>
          <w:color w:val="000000"/>
        </w:rPr>
        <w:t>. Asmenys, kurie iki šio įstatymo įsigaliojimo turėjo šio įstatymo 1 straipsnyje išdėstyto Lietuvos Respublikos ginklų ir šaudmenų kontrolės įstatymo 5 straipsnio 6, 7 ar 8 punkte nurodytų šaunamųjų ginklų, privalo iki 2014 m. sausio 1 d. Lietuvos Respublikos Vyriausybės ar jos įgaliotos institucijos nustatyta tvarka pateikti prašymą ir gauti leidimą laikyti ginklus arba leidimą nešiotis ginklus. Šiems asmenims, jeigu jie pateikia įsigijimą patvirtinančius dokumentus, netaikomas šio įstatymo 1 straipsnyje išdėstyto Lietuvos Respublikos ginklų ir šaudmenų kontrolės įstatymo 13 straipsnio 4 dalyje nustatytas 21 metų amžiaus reikalavimas. Jiems taikomas 18 metų amžiaus reikalavimas.“</w:t>
      </w:r>
    </w:p>
    <w:p>
      <w:pPr>
        <w:widowControl w:val="0"/>
        <w:suppressAutoHyphens/>
        <w:ind w:firstLine="567"/>
        <w:jc w:val="both"/>
        <w:rPr>
          <w:color w:val="000000"/>
        </w:rPr>
      </w:pPr>
      <w:r>
        <w:rPr>
          <w:color w:val="000000"/>
        </w:rPr>
        <w:t>2</w:t>
      </w:r>
      <w:r>
        <w:rPr>
          <w:color w:val="000000"/>
        </w:rPr>
        <w:t>. Pakeisti 2 straipsnio 3 dalį ir ją išdėstyti taip:</w:t>
      </w:r>
    </w:p>
    <w:p>
      <w:pPr>
        <w:widowControl w:val="0"/>
        <w:suppressAutoHyphens/>
        <w:ind w:firstLine="567"/>
        <w:jc w:val="both"/>
        <w:rPr>
          <w:color w:val="000000"/>
        </w:rPr>
      </w:pPr>
      <w:r>
        <w:rPr>
          <w:color w:val="000000"/>
        </w:rPr>
        <w:t>„</w:t>
      </w:r>
      <w:r>
        <w:rPr>
          <w:color w:val="000000"/>
        </w:rPr>
        <w:t>3</w:t>
      </w:r>
      <w:r>
        <w:rPr>
          <w:color w:val="000000"/>
        </w:rPr>
        <w:t>. Šio straipsnio 2 dalyje nurodyti asmenys iki šio straipsnio 2 dalyje nustatyto termino pabaigos turi teisę laikyti šio įstatymo 1 straipsnyje išdėstyto Lietuvos Respublikos ginklų ir šaudmenų kontrolės įstatymo 5 straipsnio 6, 7 ar 8 punkte nurodytus šaunamuosius ginklus ar juos nešiotis be leidimo.“</w:t>
      </w:r>
    </w:p>
    <w:p>
      <w:pPr>
        <w:widowControl w:val="0"/>
        <w:suppressAutoHyphens/>
        <w:ind w:firstLine="567"/>
        <w:jc w:val="both"/>
        <w:rPr>
          <w:color w:val="000000"/>
        </w:rPr>
      </w:pPr>
      <w:r>
        <w:rPr>
          <w:color w:val="000000"/>
        </w:rPr>
        <w:t>3</w:t>
      </w:r>
      <w:r>
        <w:rPr>
          <w:color w:val="000000"/>
        </w:rPr>
        <w:t>. Pakeisti 2 straipsnio 4 dalį ir ją išdėstyti taip:</w:t>
      </w:r>
    </w:p>
    <w:p>
      <w:pPr>
        <w:widowControl w:val="0"/>
        <w:suppressAutoHyphens/>
        <w:ind w:firstLine="567"/>
        <w:jc w:val="both"/>
        <w:rPr>
          <w:color w:val="000000"/>
        </w:rPr>
      </w:pPr>
      <w:r>
        <w:rPr>
          <w:color w:val="000000"/>
        </w:rPr>
        <w:t>„</w:t>
      </w:r>
      <w:r>
        <w:rPr>
          <w:color w:val="000000"/>
        </w:rPr>
        <w:t>4</w:t>
      </w:r>
      <w:r>
        <w:rPr>
          <w:color w:val="000000"/>
        </w:rPr>
        <w:t>. Šio įstatymo 1 straipsnyje išdėstyto Lietuvos Respublikos ginklų ir šaudmenų kontrolės įstatymo 18 straipsnio 2 dalyje nustatyti griežtesni negu iki šio įstatymo įsigaliojimo galiojusio Lietuvos Respublikos ginklų ir šaudmenų kontrolės įstatymo 18 straipsnio 2 dalyje nustatyti apribojimai netaikomi asmenims, kurie 2011 m. vasario 28 d. turėjo leidimą laikyti ginklus ar leidimą nešiotis ginklus, jeigu aplinkybės, dėl kurių gali būti taikomi apribojimai, atsirado iki šio įstatymo įsigaliojimo.“</w:t>
      </w:r>
    </w:p>
    <w:p>
      <w:pPr>
        <w:widowControl w:val="0"/>
        <w:suppressAutoHyphens/>
        <w:jc w:val="both"/>
      </w:pPr>
      <w:r>
        <w:rPr>
          <w:b/>
          <w:i/>
          <w:sz w:val="20"/>
          <w:lang w:eastAsia="lt-LT"/>
        </w:rPr>
        <w:t>TAR pastaba.</w:t>
      </w:r>
      <w:r>
        <w:rPr>
          <w:i/>
          <w:sz w:val="20"/>
          <w:lang w:eastAsia="lt-LT"/>
        </w:rPr>
        <w:t xml:space="preserve"> Pripažinti, kad Lietuvos Respublikos </w:t>
      </w:r>
      <w:r>
        <w:rPr>
          <w:i/>
          <w:color w:val="000000"/>
          <w:sz w:val="20"/>
          <w:lang w:eastAsia="lt-LT"/>
        </w:rPr>
        <w:t>ginklų ir šaudmenų kontrolės įstatymo pakeitimo įstatymo 2 straipsnio 4 dalis (</w:t>
      </w:r>
      <w:smartTag w:uri="urn:schemas-microsoft-com:office:smarttags" w:element="metricconverter">
        <w:smartTagPr>
          <w:attr w:name="ProductID" w:val="2012 m"/>
        </w:smartTagPr>
        <w:r>
          <w:rPr>
            <w:i/>
            <w:color w:val="000000"/>
            <w:sz w:val="20"/>
            <w:lang w:eastAsia="lt-LT"/>
          </w:rPr>
          <w:t>2012 m</w:t>
        </w:r>
      </w:smartTag>
      <w:r>
        <w:rPr>
          <w:i/>
          <w:color w:val="000000"/>
          <w:sz w:val="20"/>
          <w:lang w:eastAsia="lt-LT"/>
        </w:rPr>
        <w:t xml:space="preserve">. birželio 29 d. redakcija; </w:t>
      </w:r>
      <w:r>
        <w:rPr>
          <w:i/>
          <w:sz w:val="20"/>
          <w:lang w:eastAsia="lt-LT"/>
        </w:rPr>
        <w:t xml:space="preserve">Žin., 2012, Nr. </w:t>
      </w:r>
      <w:hyperlink r:id="rId18" w:tgtFrame="_blank" w:history="1">
        <w:r>
          <w:rPr>
            <w:i/>
            <w:color w:val="0000FF" w:themeColor="hyperlink"/>
            <w:sz w:val="20"/>
            <w:u w:val="single"/>
            <w:lang w:eastAsia="lt-LT"/>
          </w:rPr>
          <w:t>81-4222</w:t>
        </w:r>
      </w:hyperlink>
      <w:r>
        <w:rPr>
          <w:i/>
          <w:color w:val="000000"/>
          <w:sz w:val="20"/>
          <w:lang w:eastAsia="lt-LT"/>
        </w:rPr>
        <w:t xml:space="preserve">) tiek, kiek pagal ją </w:t>
      </w:r>
      <w:r>
        <w:rPr>
          <w:i/>
          <w:sz w:val="20"/>
          <w:lang w:eastAsia="lt-LT"/>
        </w:rPr>
        <w:t>asmenims, turintiems Ginklų ir šaudmenų kontrolės įstatymo (</w:t>
      </w:r>
      <w:smartTag w:uri="urn:schemas-microsoft-com:office:smarttags" w:element="metricconverter">
        <w:smartTagPr>
          <w:attr w:name="ProductID" w:val="2010 m"/>
        </w:smartTagPr>
        <w:r>
          <w:rPr>
            <w:i/>
            <w:sz w:val="20"/>
            <w:lang w:eastAsia="lt-LT"/>
          </w:rPr>
          <w:t>2010 m</w:t>
        </w:r>
      </w:smartTag>
      <w:r>
        <w:rPr>
          <w:i/>
          <w:sz w:val="20"/>
          <w:lang w:eastAsia="lt-LT"/>
        </w:rPr>
        <w:t xml:space="preserve">. lapkričio 18 d. redakcija) 5 straipsnio 6, 7 ar 8 punkte nurodytų šaunamųjų ginklų, jeigu jie šiuos ginklus įsigijo ir aplinkybės, dėl kurių jie pagal šį įstatymą nelaikomi nepriekaištingos reputacijos asmenimis, atsirado iki Ginklų ir šaudmenų kontrolės įstatymo pakeitimo įstatymo įsigaliojimo (2011 m. kovo 1 d.), ir </w:t>
      </w:r>
      <w:smartTag w:uri="urn:schemas-microsoft-com:office:smarttags" w:element="metricconverter">
        <w:smartTagPr>
          <w:attr w:name="ProductID" w:val="2011 m"/>
        </w:smartTagPr>
        <w:r>
          <w:rPr>
            <w:i/>
            <w:sz w:val="20"/>
            <w:lang w:eastAsia="lt-LT"/>
          </w:rPr>
          <w:t>2011 m</w:t>
        </w:r>
      </w:smartTag>
      <w:r>
        <w:rPr>
          <w:i/>
          <w:sz w:val="20"/>
          <w:lang w:eastAsia="lt-LT"/>
        </w:rPr>
        <w:t xml:space="preserve">. vasario 28 d. neturėjusiems leidimo laikyti ar leidimo nešiotis ginklus, </w:t>
      </w:r>
      <w:r>
        <w:rPr>
          <w:i/>
          <w:color w:val="000000"/>
          <w:sz w:val="20"/>
          <w:lang w:eastAsia="lt-LT"/>
        </w:rPr>
        <w:t xml:space="preserve">nuo 2012 m. liepos 12 d. </w:t>
      </w:r>
      <w:r>
        <w:rPr>
          <w:i/>
          <w:sz w:val="20"/>
          <w:lang w:eastAsia="lt-LT"/>
        </w:rPr>
        <w:t>turi būti taikomi Ginklų ir šaudmenų kontrolės įstatymo (2010 m. lapkričio 18 d. redakcija) 18 straipsnio 2 dalyje nustatyti apribojimai, o ne nustatytieji Ginklų ir šaudmenų kontrolės įstatymo (2002 m. sausio 15 d. redakcija) 18 straipsnio (2007 m. gruodžio 4 d. redakcija) 2 dalyje, prieštarauja Lietuvos Respublikos Konstitucijos 29 straipsnio 1 daliai, konstituciniam teisinės valstybės principui.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9fd440c9b111e583a295d9366c7ab3">
        <w:r w:rsidRPr="00532B9F">
          <w:rPr>
            <w:rFonts w:ascii="Times New Roman" w:eastAsia="MS Mincho" w:hAnsi="Times New Roman"/>
            <w:sz w:val="20"/>
            <w:i/>
            <w:iCs/>
            <w:color w:val="0000FF" w:themeColor="hyperlink"/>
            <w:u w:val="single"/>
          </w:rPr>
          <w:t>KT6-N3/2016</w:t>
        </w:r>
      </w:fldSimple>
      <w:r>
        <w:rPr>
          <w:rFonts w:ascii="Times New Roman" w:eastAsia="MS Mincho" w:hAnsi="Times New Roman"/>
          <w:sz w:val="20"/>
          <w:i/>
          <w:iCs/>
        </w:rPr>
        <w:t>,
2016-02-02,
paskelbta TAR 2016-02-02, i. k. 2016-02124            </w:t>
      </w:r>
    </w:p>
    <w:p/>
    <w:p>
      <w:pPr>
        <w:widowControl w:val="0"/>
        <w:suppressAutoHyphens/>
        <w:ind w:firstLine="567"/>
        <w:jc w:val="both"/>
        <w:rPr>
          <w:i/>
          <w:iCs/>
          <w:color w:val="000000"/>
        </w:rPr>
      </w:pPr>
    </w:p>
    <w:p>
      <w:pPr>
        <w:widowControl w:val="0"/>
        <w:suppressAutoHyphens/>
        <w:ind w:firstLine="567"/>
        <w:jc w:val="both"/>
        <w:rPr>
          <w:i/>
          <w:iCs/>
          <w:color w:val="000000"/>
        </w:rPr>
      </w:pPr>
      <w:r>
        <w:rPr>
          <w:i/>
          <w:iCs/>
          <w:color w:val="000000"/>
        </w:rPr>
        <w:t xml:space="preserve">Skelbiu šį Lietuvos Respublikos Seimo priimtą įstatymą. </w:t>
      </w:r>
    </w:p>
    <w:p>
      <w:pPr>
        <w:widowControl w:val="0"/>
        <w:suppressAutoHyphens/>
        <w:jc w:val="center"/>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Konstitucinis Teismas,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d9fd440c9b111e583a295d9366c7ab3">
        <w:r w:rsidRPr="00532B9F">
          <w:rPr>
            <w:rFonts w:ascii="Times New Roman" w:eastAsia="MS Mincho" w:hAnsi="Times New Roman"/>
            <w:sz w:val="20"/>
            <w:iCs/>
            <w:color w:val="0000FF" w:themeColor="hyperlink"/>
            <w:u w:val="single"/>
          </w:rPr>
          <w:t>KT6-N3/2016</w:t>
        </w:r>
      </w:fldSimple>
      <w:r>
        <w:rPr>
          <w:rFonts w:ascii="Times New Roman" w:eastAsia="MS Mincho" w:hAnsi="Times New Roman"/>
          <w:sz w:val="20"/>
          <w:iCs/>
        </w:rPr>
        <w:t>,
2016-02-02,
paskelbta TAR 2016-02-02, i. k. 2016-02124                </w:t>
      </w:r>
    </w:p>
    <w:p>
      <w:pPr>
        <w:jc w:val="both"/>
        <w:rPr>
          <w:rFonts w:ascii="Times New Roman" w:hAnsi="Times New Roman"/>
        </w:rPr>
      </w:pPr>
      <w:r>
        <w:rPr>
          <w:rFonts w:ascii="Times New Roman" w:hAnsi="Times New Roman"/>
          <w:sz w:val="20"/>
        </w:rPr>
        <w:t>Dėl Lietuvos Respublikos ginklų ir šaudmenų kontrolės įstatymo pakeitimo įstatymo 2 straipsnio 4 dalies (2012 m. birželio 29 d. redakcija) atitikties Lietuvos Respublikos Konstitucijai</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2"/>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6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F95A35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84164DB5F665"/>
  <Relationship Id="rId18" Type="http://schemas.openxmlformats.org/officeDocument/2006/relationships/hyperlink" TargetMode="External" Target="https://www.e-tar.lt/portal/lt/legalAct/TAR.BB5BBFF17FE7"/>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2</Pages>
  <Words>2478</Words>
  <Characters>1414</Characters>
  <Application>Microsoft Office Word</Application>
  <DocSecurity>0</DocSecurity>
  <Lines>11</Lines>
  <Paragraphs>7</Paragraphs>
  <ScaleCrop>false</ScaleCrop>
  <Company/>
  <LinksUpToDate>false</LinksUpToDate>
  <CharactersWithSpaces>3885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2015-10-14T14:52:00Z</dcterms:created>
  <dc:creator>Rima</dc:creator>
  <lastModifiedBy>TRAPINSKIENĖ Aušrinė</lastModifiedBy>
  <dcterms:modified xsi:type="dcterms:W3CDTF">2016-02-03T08:31:00Z</dcterms:modified>
  <revision>4</revision>
  <dc:title>LIETUVOS RESPUBLIKOS GINKLŲ IR ŠAUDMENŲ KONTROLĖS ĮSTATYMO PAKEITIMO ĮSTATYMO 2 STRAIPSNIO PAKEITIMO ĮSTATYMAS</dc:title>
</coreProperties>
</file>