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2004-05-06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BBAE5E0569A1">
        <w:r w:rsidRPr="00532B9F">
          <w:rPr>
            <w:rFonts w:ascii="Times New Roman" w:eastAsia="MS Mincho" w:hAnsi="Times New Roman"/>
            <w:sz w:val="20"/>
            <w:i/>
            <w:iCs/>
            <w:color w:val="0000FF" w:themeColor="hyperlink"/>
            <w:u w:val="single"/>
          </w:rPr>
          <w:t>106-4760</w:t>
        </w:r>
      </w:fldSimple>
      <w:r>
        <w:rPr>
          <w:rFonts w:ascii="Times New Roman" w:eastAsia="MS Mincho" w:hAnsi="Times New Roman"/>
          <w:sz w:val="20"/>
          <w:i/>
          <w:iCs/>
        </w:rPr>
        <w:t>, i. k. 1032020ISAK0004-412</w:t>
      </w:r>
    </w:p>
    <w:p>
      <w:pPr>
        <w:jc w:val="both"/>
        <w:rPr>
          <w:rFonts w:ascii="Times New Roman" w:hAnsi="Times New Roman"/>
          <w:sz w:val="20"/>
        </w:rPr>
      </w:pPr>
    </w:p>
    <w:p>
      <w:pPr>
        <w:tabs>
          <w:tab w:val="center" w:pos="4153"/>
          <w:tab w:val="right" w:pos="8306"/>
        </w:tabs>
        <w:rPr>
          <w:lang w:val="en-GB"/>
        </w:rPr>
      </w:pPr>
    </w:p>
    <w:p>
      <w:pPr>
        <w:jc w:val="center"/>
        <w:rPr>
          <w:b/>
          <w:color w:val="000000"/>
          <w:szCs w:val="8"/>
        </w:rPr>
      </w:pPr>
      <w:r>
        <w:rPr>
          <w:b/>
          <w:color w:val="000000"/>
          <w:szCs w:val="8"/>
          <w:lang w:eastAsia="lt-LT"/>
        </w:rPr>
        <w:pict>
          <v:shapetype id="_x0000_t201" coordsize="21600,21600" o:spt="201" path="m,l,21600r21600,l21600,xe">
            <v:stroke joinstyle="miter"/>
            <v:path shadowok="f" o:extrusionok="f" strokeok="f" fillok="f" o:connecttype="rect"/>
            <o:lock v:ext="edit" shapetype="t"/>
          </v:shapetype>
          <v:shape id="_x0000_s1055" type="#_x0000_t201" style="position:absolute;left:0;text-align:left;margin-left:-85.05pt;margin-top:-56.7pt;width:.75pt;height:.75pt;z-index:251657728;visibility:hidden;mso-position-horizontal-relative:text;mso-position-vertical-relative:text" stroked="f">
            <v:imagedata r:id="rId15" o:title=""/>
          </v:shape>
          <w:control r:id="rId16" w:name="Control 31" w:shapeid="_x0000_s1055"/>
        </w:pict>
      </w:r>
      <w:r>
        <w:rPr>
          <w:b/>
          <w:color w:val="000000"/>
          <w:szCs w:val="8"/>
        </w:rPr>
        <w:t>LIETUVOS RESPUBLIKOS ŪKIO MINISTRO</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DĖL ĮMOKŲ UŽ SUNAUDOTĄ ELEKTROS ENERGIJĄ BENDRABUČIO TIPO DAUGIABUČIUOSE GYVENAMUOSIUOSE NAMUOSE PASKIRSTYMO GYVENAMŲJŲ IR NEGYVENAMŲJŲ PATALPŲ SAVININKAMS IR NUOMININKAMS METODIKOS PATVIRTINIMO</w:t>
      </w:r>
    </w:p>
    <w:p>
      <w:pPr>
        <w:jc w:val="center"/>
        <w:rPr>
          <w:color w:val="000000"/>
          <w:szCs w:val="8"/>
        </w:rPr>
      </w:pPr>
    </w:p>
    <w:p>
      <w:pPr>
        <w:jc w:val="center"/>
        <w:rPr>
          <w:color w:val="000000"/>
          <w:szCs w:val="8"/>
        </w:rPr>
      </w:pPr>
      <w:r>
        <w:rPr>
          <w:color w:val="000000"/>
          <w:szCs w:val="8"/>
        </w:rPr>
        <w:t>2003 m. lapkričio 3 d. Nr. 4-412</w:t>
      </w:r>
    </w:p>
    <w:p>
      <w:pPr>
        <w:jc w:val="center"/>
        <w:rPr>
          <w:color w:val="000000"/>
          <w:szCs w:val="8"/>
        </w:rPr>
      </w:pPr>
      <w:r>
        <w:rPr>
          <w:color w:val="000000"/>
          <w:szCs w:val="8"/>
        </w:rPr>
        <w:t>Vilnius</w:t>
      </w:r>
    </w:p>
    <w:p>
      <w:pPr>
        <w:ind w:firstLine="709"/>
        <w:jc w:val="both"/>
        <w:rPr>
          <w:color w:val="000000"/>
          <w:szCs w:val="8"/>
        </w:rPr>
      </w:pPr>
    </w:p>
    <w:p>
      <w:pPr>
        <w:ind w:firstLine="709"/>
        <w:rPr>
          <w:color w:val="000000"/>
        </w:rPr>
      </w:pPr>
      <w:r>
        <w:rPr>
          <w:color w:val="000000"/>
        </w:rPr>
        <w:t xml:space="preserve">Vadovaudamasis Lietuvos Respublikos civilinio kodekso (Žin., 2000, Nr. </w:t>
      </w:r>
      <w:hyperlink r:id="rId17" w:tgtFrame="_blank" w:history="1">
        <w:r>
          <w:rPr>
            <w:color w:val="0000FF" w:themeColor="hyperlink"/>
            <w:u w:val="single"/>
          </w:rPr>
          <w:t>74-2262</w:t>
        </w:r>
      </w:hyperlink>
      <w:r>
        <w:rPr>
          <w:color w:val="000000"/>
        </w:rPr>
        <w:t xml:space="preserve">) 4.76, 4.82 straipsniais, Lietuvos Respublikos energetikos įstatymo (Žin., 2002, Nr. </w:t>
      </w:r>
      <w:hyperlink r:id="rId18" w:tgtFrame="_blank" w:history="1">
        <w:r>
          <w:rPr>
            <w:color w:val="0000FF" w:themeColor="hyperlink"/>
            <w:u w:val="single"/>
          </w:rPr>
          <w:t>56-2224</w:t>
        </w:r>
      </w:hyperlink>
      <w:r>
        <w:rPr>
          <w:color w:val="000000"/>
        </w:rPr>
        <w:t xml:space="preserve">) 6 straipsniu ir atsižvelgdamas į Lietuvos Respublikos Vyriausybės </w:t>
      </w:r>
      <w:smartTag w:uri="urn:schemas-microsoft-com:office:smarttags" w:element="metricconverter">
        <w:smartTagPr>
          <w:attr w:name="ProductID" w:val="2001 m"/>
        </w:smartTagPr>
        <w:r>
          <w:rPr>
            <w:color w:val="000000"/>
          </w:rPr>
          <w:t>2001 m</w:t>
        </w:r>
      </w:smartTag>
      <w:r>
        <w:rPr>
          <w:color w:val="000000"/>
        </w:rPr>
        <w:t xml:space="preserve">. gegužės 23 d. nutarimą Nr. 603 „Dėl Butų ir kitų patalpų savininkų bendrosios nuosavybės administravimo pavyzdinių nuostatų patvirtinimo“ (Žin., 2001, Nr. </w:t>
      </w:r>
      <w:hyperlink r:id="rId19" w:tgtFrame="_blank" w:history="1">
        <w:r>
          <w:rPr>
            <w:color w:val="0000FF" w:themeColor="hyperlink"/>
            <w:u w:val="single"/>
          </w:rPr>
          <w:t>45-1584</w:t>
        </w:r>
      </w:hyperlink>
      <w:r>
        <w:rPr>
          <w:color w:val="000000"/>
        </w:rPr>
        <w:t xml:space="preserve">; 2002, Nr. </w:t>
      </w:r>
      <w:hyperlink r:id="rId20" w:tgtFrame="_blank" w:history="1">
        <w:r>
          <w:rPr>
            <w:color w:val="0000FF" w:themeColor="hyperlink"/>
            <w:u w:val="single"/>
          </w:rPr>
          <w:t>54-2123</w:t>
        </w:r>
      </w:hyperlink>
      <w:r>
        <w:rPr>
          <w:color w:val="000000"/>
        </w:rPr>
        <w:t>) bei kitus teisės aktus:</w:t>
      </w:r>
    </w:p>
    <w:p>
      <w:pPr>
        <w:rPr>
          <w:sz w:val="10"/>
          <w:szCs w:val="10"/>
        </w:rPr>
      </w:pPr>
    </w:p>
    <w:p>
      <w:pPr>
        <w:ind w:firstLine="709"/>
        <w:rPr>
          <w:color w:val="000000"/>
        </w:rPr>
      </w:pPr>
      <w:r>
        <w:rPr>
          <w:color w:val="000000"/>
        </w:rPr>
        <w:t>1</w:t>
      </w:r>
      <w:r>
        <w:rPr>
          <w:color w:val="000000"/>
        </w:rPr>
        <w:t xml:space="preserve">. </w:t>
      </w:r>
      <w:r>
        <w:rPr>
          <w:color w:val="000000"/>
          <w:spacing w:val="60"/>
        </w:rPr>
        <w:t>Tvirtinu</w:t>
      </w:r>
      <w:r>
        <w:rPr>
          <w:color w:val="000000"/>
        </w:rPr>
        <w:t xml:space="preserve"> Įmokų už sunaudotą elektros energiją bendrabučio tipo daugiabučiuose gyvenamuosiuose namuose paskirstymo gyvenamųjų ir negyvenamųjų patalpų savininkams ir nuomininkams metodiką (pridedama).</w:t>
      </w:r>
    </w:p>
    <w:p>
      <w:pPr>
        <w:rPr>
          <w:sz w:val="10"/>
          <w:szCs w:val="10"/>
        </w:rPr>
      </w:pPr>
    </w:p>
    <w:p>
      <w:pPr>
        <w:ind w:firstLine="709"/>
        <w:rPr>
          <w:color w:val="000000"/>
          <w:szCs w:val="8"/>
        </w:rPr>
      </w:pPr>
      <w:r>
        <w:rPr>
          <w:color w:val="000000"/>
        </w:rPr>
        <w:t>2</w:t>
      </w:r>
      <w:r>
        <w:rPr>
          <w:color w:val="000000"/>
        </w:rPr>
        <w:t xml:space="preserve">. </w:t>
      </w:r>
      <w:r>
        <w:rPr>
          <w:color w:val="000000"/>
          <w:spacing w:val="60"/>
        </w:rPr>
        <w:t>Nustata</w:t>
      </w:r>
      <w:r>
        <w:rPr>
          <w:color w:val="000000"/>
        </w:rPr>
        <w:t>u, kad 1 punkte nurodytą metodiką taiko visi asmenys, kurie skirsto įmokas už sunaudotą elektros energiją bendrabučio tipo daugiabučiuose gyvenamuosiuose namuose.</w:t>
      </w:r>
    </w:p>
    <w:p>
      <w:pPr>
        <w:tabs>
          <w:tab w:val="right" w:pos="9639"/>
        </w:tabs>
      </w:pPr>
    </w:p>
    <w:p>
      <w:pPr>
        <w:tabs>
          <w:tab w:val="right" w:pos="9639"/>
        </w:tabs>
      </w:pPr>
    </w:p>
    <w:p>
      <w:pPr>
        <w:tabs>
          <w:tab w:val="right" w:pos="9639"/>
        </w:tabs>
      </w:pPr>
    </w:p>
    <w:p>
      <w:pPr>
        <w:tabs>
          <w:tab w:val="right" w:pos="9639"/>
        </w:tabs>
        <w:rPr>
          <w:color w:val="000000"/>
          <w:szCs w:val="12"/>
        </w:rPr>
      </w:pPr>
      <w:r>
        <w:rPr>
          <w:caps/>
        </w:rPr>
        <w:t>Ūkio ministras</w:t>
        <w:tab/>
        <w:t>Petras Čėsna</w:t>
      </w:r>
    </w:p>
    <w:p>
      <w:pPr>
        <w:ind w:left="5102"/>
        <w:rPr>
          <w:szCs w:val="24"/>
        </w:rPr>
      </w:pPr>
      <w:r>
        <w:rPr>
          <w:szCs w:val="12"/>
        </w:rPr>
        <w:br w:type="page"/>
      </w:r>
      <w:r>
        <w:rPr>
          <w:szCs w:val="24"/>
        </w:rPr>
        <w:t>PATVIRTINTA</w:t>
      </w:r>
    </w:p>
    <w:p>
      <w:pPr>
        <w:tabs>
          <w:tab w:val="left" w:pos="1304"/>
          <w:tab w:val="left" w:pos="1457"/>
          <w:tab w:val="left" w:pos="1604"/>
          <w:tab w:val="left" w:pos="1757"/>
        </w:tabs>
        <w:ind w:firstLine="5102"/>
        <w:rPr>
          <w:color w:val="000000"/>
          <w:szCs w:val="24"/>
        </w:rPr>
      </w:pPr>
      <w:r>
        <w:rPr>
          <w:color w:val="000000"/>
          <w:szCs w:val="24"/>
        </w:rPr>
        <w:t>Lietuvos Respublikos ūkio ministro</w:t>
      </w:r>
    </w:p>
    <w:p>
      <w:pPr>
        <w:tabs>
          <w:tab w:val="left" w:pos="1304"/>
          <w:tab w:val="left" w:pos="1457"/>
          <w:tab w:val="left" w:pos="1604"/>
          <w:tab w:val="left" w:pos="1757"/>
        </w:tabs>
        <w:ind w:firstLine="5102"/>
        <w:rPr>
          <w:color w:val="000000"/>
          <w:szCs w:val="24"/>
        </w:rPr>
      </w:pPr>
      <w:smartTag w:uri="urn:schemas-microsoft-com:office:smarttags" w:element="metricconverter">
        <w:smartTagPr>
          <w:attr w:name="ProductID" w:val="2003 m"/>
        </w:smartTagPr>
        <w:r>
          <w:rPr>
            <w:color w:val="000000"/>
            <w:szCs w:val="24"/>
          </w:rPr>
          <w:t>2003 m</w:t>
        </w:r>
      </w:smartTag>
      <w:r>
        <w:rPr>
          <w:color w:val="000000"/>
          <w:szCs w:val="24"/>
        </w:rPr>
        <w:t>. lapkričio 3 d. įsakymu Nr. 4-412</w:t>
      </w:r>
    </w:p>
    <w:p>
      <w:pPr>
        <w:ind w:firstLine="709"/>
        <w:jc w:val="both"/>
        <w:rPr>
          <w:color w:val="000000"/>
          <w:szCs w:val="8"/>
        </w:rPr>
      </w:pPr>
    </w:p>
    <w:p>
      <w:pPr>
        <w:jc w:val="center"/>
        <w:rPr>
          <w:b/>
          <w:bCs/>
          <w:caps/>
          <w:color w:val="000000"/>
        </w:rPr>
      </w:pPr>
      <w:r>
        <w:rPr>
          <w:b/>
          <w:bCs/>
          <w:caps/>
          <w:color w:val="000000"/>
        </w:rPr>
        <w:t>ĮMOKŲ UŽ SUNAUDOTĄ ELEKTROS ENERGIJĄ BENDRABUČIO TIPO DAUGIABUČIUOSE GYVENAMUOSIUOSE NAMUOSE PASKIRSTYMO GYVENAMŲJŲ IR NEGYVENAMŲJŲ PATALPŲ SAVININKAMS IR NUOMININKAMS METODIKA</w:t>
      </w:r>
    </w:p>
    <w:p>
      <w:pPr>
        <w:ind w:firstLine="709"/>
        <w:jc w:val="both"/>
        <w:rPr>
          <w:color w:val="000000"/>
          <w:szCs w:val="8"/>
        </w:rPr>
      </w:pPr>
    </w:p>
    <w:p>
      <w:pPr>
        <w:jc w:val="center"/>
        <w:rPr>
          <w:b/>
          <w:bCs/>
          <w:caps/>
          <w:color w:val="000000"/>
        </w:rPr>
      </w:pPr>
      <w:r>
        <w:rPr>
          <w:b/>
          <w:bCs/>
          <w:caps/>
          <w:color w:val="000000"/>
        </w:rPr>
        <w:t>I</w:t>
      </w:r>
      <w:r>
        <w:rPr>
          <w:b/>
          <w:bCs/>
          <w:caps/>
          <w:color w:val="000000"/>
        </w:rPr>
        <w:t xml:space="preserve">. </w:t>
      </w:r>
      <w:r>
        <w:rPr>
          <w:b/>
          <w:bCs/>
          <w:caps/>
          <w:color w:val="000000"/>
        </w:rPr>
        <w:t>BENDROSIOS NUOSTATOS</w:t>
      </w:r>
    </w:p>
    <w:p>
      <w:pPr>
        <w:ind w:firstLine="709"/>
        <w:jc w:val="both"/>
        <w:rPr>
          <w:color w:val="000000"/>
          <w:szCs w:val="8"/>
        </w:rPr>
      </w:pPr>
    </w:p>
    <w:p>
      <w:pPr>
        <w:ind w:firstLine="709"/>
        <w:rPr>
          <w:color w:val="000000"/>
        </w:rPr>
      </w:pPr>
      <w:r>
        <w:rPr>
          <w:color w:val="000000"/>
        </w:rPr>
        <w:t>1</w:t>
      </w:r>
      <w:r>
        <w:rPr>
          <w:color w:val="000000"/>
        </w:rPr>
        <w:t>. Ši Įmokų už sunaudotą elektros energiją bendrabučio tipo daugiabučiuose gyvenamuosiuose namuose paskirstymo gyvenamųjų ir negyvenamųjų patalpų savininkams ir nuomininkams metodika (toliau – metodika) taikoma paskirstant įmokas už sunaudotą elektros energiją bendrabučio tipo daugiabučiuose gyvenamuosiuose namuose (toliau – bendrabutis), kuriuose įrengta įvadinė elektros energijos apskaitos įranga visam bendrabučiui (vienam ar jų grupei), o esama viso bendrabučio vidaus elektros energijos tiekimo inžinerinė įranga nėra sumontuota taip, kad galima būtų kiekvienam patalpų savininkui ir/ar nuomininkui atskirai apskaičiuoti sunaudotos per ataskaitinį laikotarpį elektros energijos kiekį namo bendrosioms reikmėms.</w:t>
      </w:r>
    </w:p>
    <w:p>
      <w:pPr>
        <w:rPr>
          <w:sz w:val="10"/>
          <w:szCs w:val="10"/>
        </w:rPr>
      </w:pPr>
    </w:p>
    <w:p>
      <w:pPr>
        <w:ind w:firstLine="709"/>
        <w:rPr>
          <w:color w:val="000000"/>
        </w:rPr>
      </w:pPr>
      <w:r>
        <w:rPr>
          <w:color w:val="000000"/>
        </w:rPr>
        <w:t>2</w:t>
      </w:r>
      <w:r>
        <w:rPr>
          <w:color w:val="000000"/>
        </w:rPr>
        <w:t>. Įmokas už sunaudotą elektros energiją skirstantis asmuo, vadovaudamasis šia metodika, kiekvienam gyvenamųjų ir negyvenamųjų patalpų savininkui ir nuomininkui atskirai apskaičiuoja įmokų už bendrabučio bendrosioms reikmėms (laiptinėms, rūsiams, kitoms bendrojo naudojimo patalpoms apšviesti, virtuvėms, liftų elektros įrenginiams, hidrauliniams siurbliams ir pan.) sunaudotą elektros energiją per ataskaitinį laikotarpį dydį ir pateikia jiems mokėjimo dokumentą, pagal kurį jie sumoka įmokas priimančių įstaigų kasoje.</w:t>
      </w:r>
    </w:p>
    <w:p>
      <w:pPr>
        <w:rPr>
          <w:sz w:val="10"/>
          <w:szCs w:val="10"/>
        </w:rPr>
      </w:pPr>
    </w:p>
    <w:p>
      <w:pPr>
        <w:ind w:firstLine="709"/>
        <w:rPr>
          <w:color w:val="000000"/>
        </w:rPr>
      </w:pPr>
      <w:r>
        <w:rPr>
          <w:color w:val="000000"/>
        </w:rPr>
        <w:t>3</w:t>
      </w:r>
      <w:r>
        <w:rPr>
          <w:color w:val="000000"/>
        </w:rPr>
        <w:t>. Savininkams ir nuomininkams įmokos už sunaudotą per ataskaitinį laikotarpį elektros energijos kiekį apskaičiuojamos pagal galiojančius tarifus, atsižvelgiant į kiekvieno bendrabučio atskiras faktines sąnaudas,</w:t>
      </w:r>
      <w:r>
        <w:rPr>
          <w:b/>
          <w:bCs/>
          <w:color w:val="000000"/>
        </w:rPr>
        <w:t xml:space="preserve"> </w:t>
      </w:r>
      <w:r>
        <w:rPr>
          <w:color w:val="000000"/>
        </w:rPr>
        <w:t>apskaičiuotas pagal namo įvadinės elektros energijos apskaitos prietaiso rodmenų skirtumą per ataskaitinį laikotarpį, ir paskirstomos minėtiems savininkams ir nuomininkams pagal šios metodikos III, IV ar V skyriaus nuostatas. Tokia įmokų už sunaudotą elektros energiją apskaičiavimo ir paskirstymo tvarka taikoma tol, kol bendrabutyje bus visiškai rekonstruoti vidaus elektros įrenginiai taip, kad galima būtų kiekvienam bendrabučio elektros energijos vartotojui įrengti komercinės elektros energijos apskaitos prietaisus ir atskirus apskaitos prietaisus bendrosioms namo reikmėms.</w:t>
      </w:r>
    </w:p>
    <w:p>
      <w:pPr>
        <w:rPr>
          <w:sz w:val="10"/>
          <w:szCs w:val="10"/>
        </w:rPr>
      </w:pPr>
    </w:p>
    <w:p>
      <w:pPr>
        <w:ind w:firstLine="709"/>
        <w:rPr>
          <w:color w:val="000000"/>
        </w:rPr>
      </w:pPr>
      <w:r>
        <w:rPr>
          <w:color w:val="000000"/>
        </w:rPr>
        <w:t xml:space="preserve">Jei keliems bendrabučiams (jų grupei) įrengtas vienas įvadinės elektros energijos apskaitos prietaisas, tai skirstomųjų tinklų operatorius (energijos tiekėjas), vadovaudamasis Lietuvos Respublikos Vyriausybės </w:t>
      </w:r>
      <w:smartTag w:uri="urn:schemas-microsoft-com:office:smarttags" w:element="metricconverter">
        <w:smartTagPr>
          <w:attr w:name="ProductID" w:val="1997 m"/>
        </w:smartTagPr>
        <w:r>
          <w:rPr>
            <w:color w:val="000000"/>
          </w:rPr>
          <w:t>1997 m</w:t>
        </w:r>
      </w:smartTag>
      <w:r>
        <w:rPr>
          <w:color w:val="000000"/>
        </w:rPr>
        <w:t xml:space="preserve">. gruodžio 31 d. nutarimu Nr. 1507 „Dėl dujų, elektros ir šiluminės energijos, šalto bei karšto vandens apskaitos prietaisų įrengimo ir eksploatavimo“ (Žin., 1998, Nr. </w:t>
      </w:r>
      <w:hyperlink r:id="rId21" w:tgtFrame="_blank" w:history="1">
        <w:r>
          <w:rPr>
            <w:color w:val="0000FF" w:themeColor="hyperlink"/>
            <w:u w:val="single"/>
          </w:rPr>
          <w:t>3-56</w:t>
        </w:r>
      </w:hyperlink>
      <w:r>
        <w:rPr>
          <w:color w:val="000000"/>
        </w:rPr>
        <w:t>), kiekvienam bendrabučiui (atskirai) ne ilgiau kaip per 30 kalendorinių dienų (nuo įmokas už sunaudotą elektros energiją skirstančio asmens raštiško pranešimo gavimo įmonėje dienos) įrengia įvadinės elektros energijos apskaitos prietaisą.</w:t>
      </w:r>
    </w:p>
    <w:p>
      <w:pPr>
        <w:rPr>
          <w:sz w:val="10"/>
          <w:szCs w:val="10"/>
        </w:rPr>
      </w:pPr>
    </w:p>
    <w:p>
      <w:pPr>
        <w:ind w:firstLine="709"/>
        <w:rPr>
          <w:color w:val="000000"/>
        </w:rPr>
      </w:pPr>
      <w:r>
        <w:rPr>
          <w:color w:val="000000"/>
        </w:rPr>
        <w:t>4</w:t>
      </w:r>
      <w:r>
        <w:rPr>
          <w:color w:val="000000"/>
        </w:rPr>
        <w:t>. Šioje metodikoje vartojamos sąvokos:</w:t>
      </w:r>
    </w:p>
    <w:p>
      <w:pPr>
        <w:rPr>
          <w:sz w:val="10"/>
          <w:szCs w:val="10"/>
        </w:rPr>
      </w:pPr>
    </w:p>
    <w:p>
      <w:pPr>
        <w:ind w:firstLine="709"/>
        <w:rPr>
          <w:color w:val="000000"/>
        </w:rPr>
      </w:pPr>
      <w:r>
        <w:rPr>
          <w:b/>
          <w:bCs/>
          <w:color w:val="000000"/>
        </w:rPr>
        <w:t>Savininkas</w:t>
      </w:r>
      <w:r>
        <w:rPr>
          <w:color w:val="000000"/>
        </w:rPr>
        <w:t xml:space="preserve"> – asmuo, turintis bendrabutyje gyvenamąsias ir/ar negyvenamąsias patalpas, įregistruotas valstybės įmonėje Registrų centre nekilnojamojo turto registre.</w:t>
      </w:r>
    </w:p>
    <w:p>
      <w:pPr>
        <w:rPr>
          <w:sz w:val="10"/>
          <w:szCs w:val="10"/>
        </w:rPr>
      </w:pPr>
    </w:p>
    <w:p>
      <w:pPr>
        <w:ind w:firstLine="709"/>
        <w:rPr>
          <w:color w:val="000000"/>
        </w:rPr>
      </w:pPr>
      <w:r>
        <w:rPr>
          <w:b/>
          <w:bCs/>
          <w:color w:val="000000"/>
        </w:rPr>
        <w:t>Nuomininkas</w:t>
      </w:r>
      <w:r>
        <w:rPr>
          <w:color w:val="000000"/>
        </w:rPr>
        <w:t xml:space="preserve"> – asmuo, turintis bendrabutyje nustatyta tvarka jam išnuomotas gyvenamąsias ir/ar negyvenamąsias patalpas. Minėtų patalpų nuomos sutartyje turi būti įrašyta sutartinė nuostata nuomininkui vykdyti atitinkamus atsiskaitymus, o sutarties kopija pateikiama įmokas už sunaudotą elektros energiją skirstančiam asmeniui.</w:t>
      </w:r>
    </w:p>
    <w:p>
      <w:pPr>
        <w:rPr>
          <w:sz w:val="10"/>
          <w:szCs w:val="10"/>
        </w:rPr>
      </w:pPr>
    </w:p>
    <w:p>
      <w:pPr>
        <w:ind w:firstLine="709"/>
        <w:rPr>
          <w:color w:val="000000"/>
        </w:rPr>
      </w:pPr>
      <w:r>
        <w:rPr>
          <w:b/>
          <w:bCs/>
          <w:color w:val="000000"/>
        </w:rPr>
        <w:t>Savininko ar nuomininko patalpos</w:t>
      </w:r>
      <w:r>
        <w:rPr>
          <w:color w:val="000000"/>
        </w:rPr>
        <w:t xml:space="preserve"> – gyvenamosios patalpos (butai, kambariai) ar negyvenamosios patalpos, esančios bendrabutyje ir priklausančios konkretiems savininkams ar nuomininkams bei nustatyta tvarka įregistruotos valstybės įmonėje Registrų centre nekilnojamojo turto registre.</w:t>
      </w:r>
    </w:p>
    <w:p>
      <w:pPr>
        <w:rPr>
          <w:sz w:val="10"/>
          <w:szCs w:val="10"/>
        </w:rPr>
      </w:pPr>
    </w:p>
    <w:p>
      <w:pPr>
        <w:ind w:firstLine="709"/>
        <w:rPr>
          <w:color w:val="000000"/>
        </w:rPr>
      </w:pPr>
      <w:r>
        <w:rPr>
          <w:b/>
          <w:bCs/>
          <w:color w:val="000000"/>
        </w:rPr>
        <w:t>Bendrabučio bendrojo naudojimo patalpos</w:t>
      </w:r>
      <w:r>
        <w:rPr>
          <w:color w:val="000000"/>
        </w:rPr>
        <w:t xml:space="preserve"> – virtuvės, koridoriai, vestibiuliai, laiptinės, tualetų ir vonių kambariai, skalbyklos, darbo ir poilsio kambariai ir pan.</w:t>
      </w:r>
    </w:p>
    <w:p>
      <w:pPr>
        <w:rPr>
          <w:sz w:val="10"/>
          <w:szCs w:val="10"/>
        </w:rPr>
      </w:pPr>
    </w:p>
    <w:p>
      <w:pPr>
        <w:ind w:firstLine="709"/>
        <w:rPr>
          <w:color w:val="000000"/>
        </w:rPr>
      </w:pPr>
      <w:r>
        <w:rPr>
          <w:b/>
          <w:bCs/>
          <w:color w:val="000000"/>
        </w:rPr>
        <w:t>Ataskaitinis laikotarpis</w:t>
      </w:r>
      <w:r>
        <w:rPr>
          <w:color w:val="000000"/>
        </w:rPr>
        <w:t xml:space="preserve"> – laikas (mėnuo), kai apskaičiuojamos įmokos už sunaudotą per šį laikotarpį elektros energiją.</w:t>
      </w:r>
    </w:p>
    <w:p>
      <w:pPr>
        <w:rPr>
          <w:sz w:val="10"/>
          <w:szCs w:val="10"/>
        </w:rPr>
      </w:pPr>
    </w:p>
    <w:p>
      <w:pPr>
        <w:ind w:firstLine="709"/>
        <w:rPr>
          <w:color w:val="000000"/>
        </w:rPr>
      </w:pPr>
      <w:r>
        <w:rPr>
          <w:b/>
          <w:bCs/>
          <w:color w:val="000000"/>
        </w:rPr>
        <w:t>Mokėjimo dokumentas</w:t>
      </w:r>
      <w:r>
        <w:rPr>
          <w:color w:val="000000"/>
        </w:rPr>
        <w:t xml:space="preserve"> – apskaitos dokumentas, atitinkantis teisės aktų nustatytus reikalavimus (PVM sąskaita faktūra, sąskaita faktūra, atsiskaitomosios knygelės sąskaita ar gyventojo atsiskaitomoji sąskaita, jų elektroninis atitikmuo ir pan.), kuriuo bendrabučio gyvenamųjų ar negyvenamųjų patalpų savininkas ar nuomininkas atsiskaito už sunaudotą elektros energiją, delspinigius ir pan.</w:t>
      </w:r>
    </w:p>
    <w:p>
      <w:pPr>
        <w:rPr>
          <w:sz w:val="10"/>
          <w:szCs w:val="10"/>
        </w:rPr>
      </w:pPr>
    </w:p>
    <w:p>
      <w:pPr>
        <w:ind w:firstLine="709"/>
        <w:rPr>
          <w:b/>
          <w:bCs/>
          <w:color w:val="000000"/>
        </w:rPr>
      </w:pPr>
      <w:r>
        <w:rPr>
          <w:b/>
          <w:bCs/>
          <w:color w:val="000000"/>
        </w:rPr>
        <w:t>Gyvenamosiose ar negyvenamosiose patalpose įrengta elektros energijos apskaitos įranga</w:t>
      </w:r>
      <w:r>
        <w:rPr>
          <w:color w:val="000000"/>
        </w:rPr>
        <w:t xml:space="preserve"> – elektros energijos apskaitos įranga, atitinkanti komercinės apskaitos įrangai keliamus reikalavimus ir įrengta prieš bendrabučio įvadinės apskaitos prietaisus.</w:t>
      </w:r>
    </w:p>
    <w:p>
      <w:pPr>
        <w:rPr>
          <w:sz w:val="10"/>
          <w:szCs w:val="10"/>
        </w:rPr>
      </w:pPr>
    </w:p>
    <w:p>
      <w:pPr>
        <w:ind w:firstLine="709"/>
        <w:rPr>
          <w:color w:val="000000"/>
        </w:rPr>
      </w:pPr>
      <w:r>
        <w:rPr>
          <w:b/>
          <w:bCs/>
          <w:color w:val="000000"/>
        </w:rPr>
        <w:t>Įmokas už sunaudotą elektros energiją skirstantis asmuo</w:t>
      </w:r>
      <w:r>
        <w:rPr>
          <w:color w:val="000000"/>
        </w:rPr>
        <w:t xml:space="preserve"> – juridinis ar fizinis asmuo, skirstantis įmokas už sunaudotą per ataskaitinį laikotarpį elektros energiją.</w:t>
      </w:r>
    </w:p>
    <w:p>
      <w:pPr>
        <w:rPr>
          <w:sz w:val="10"/>
          <w:szCs w:val="10"/>
        </w:rPr>
      </w:pPr>
    </w:p>
    <w:p>
      <w:pPr>
        <w:ind w:firstLine="709"/>
        <w:rPr>
          <w:color w:val="000000"/>
        </w:rPr>
      </w:pPr>
      <w:r>
        <w:rPr>
          <w:b/>
          <w:bCs/>
          <w:color w:val="000000"/>
        </w:rPr>
        <w:t>Bendrabučio įvade įrengti apskaitos prietaisai</w:t>
      </w:r>
      <w:r>
        <w:rPr>
          <w:color w:val="000000"/>
        </w:rPr>
        <w:t xml:space="preserve"> – elektros energijos apskaitos prietaisai, atitinkantys komercinės apskaitos prietaisams keliamus reikalavimus ir įrengti ties tiekėjo ir bendrabučio tinklo nuosavybės riba.</w:t>
      </w:r>
    </w:p>
    <w:p>
      <w:pPr>
        <w:rPr>
          <w:sz w:val="10"/>
          <w:szCs w:val="10"/>
        </w:rPr>
      </w:pPr>
    </w:p>
    <w:p>
      <w:pPr>
        <w:ind w:firstLine="709"/>
        <w:jc w:val="both"/>
        <w:rPr>
          <w:color w:val="000000"/>
          <w:szCs w:val="8"/>
        </w:rPr>
      </w:pPr>
    </w:p>
    <w:p>
      <w:pPr>
        <w:jc w:val="center"/>
        <w:rPr>
          <w:b/>
          <w:bCs/>
          <w:caps/>
          <w:color w:val="000000"/>
        </w:rPr>
      </w:pPr>
      <w:r>
        <w:rPr>
          <w:b/>
          <w:bCs/>
          <w:caps/>
          <w:color w:val="000000"/>
        </w:rPr>
        <w:t>II</w:t>
      </w:r>
      <w:r>
        <w:rPr>
          <w:b/>
          <w:bCs/>
          <w:caps/>
          <w:color w:val="000000"/>
        </w:rPr>
        <w:t xml:space="preserve">. </w:t>
      </w:r>
      <w:r>
        <w:rPr>
          <w:b/>
          <w:bCs/>
          <w:caps/>
          <w:color w:val="000000"/>
        </w:rPr>
        <w:t>TEISĖS AKTAI, TAIKOMI APSKAIČIUOJANT ĮMOKAS UŽ SUNAUDOTĄ ELEKTROS ENERGIJĄ BENDRABUTYJE</w:t>
      </w:r>
    </w:p>
    <w:p>
      <w:pPr>
        <w:ind w:firstLine="709"/>
        <w:jc w:val="both"/>
        <w:rPr>
          <w:color w:val="000000"/>
          <w:szCs w:val="8"/>
        </w:rPr>
      </w:pPr>
    </w:p>
    <w:p>
      <w:pPr>
        <w:ind w:firstLine="709"/>
        <w:rPr>
          <w:color w:val="000000"/>
        </w:rPr>
      </w:pPr>
      <w:r>
        <w:rPr>
          <w:color w:val="000000"/>
        </w:rPr>
        <w:t>5</w:t>
      </w:r>
      <w:r>
        <w:rPr>
          <w:color w:val="000000"/>
        </w:rPr>
        <w:t>. Metodika priimta remiantis šių teisės aktų nuostatomis:</w:t>
      </w:r>
    </w:p>
    <w:p>
      <w:pPr>
        <w:rPr>
          <w:sz w:val="10"/>
          <w:szCs w:val="10"/>
        </w:rPr>
      </w:pPr>
    </w:p>
    <w:p>
      <w:pPr>
        <w:ind w:firstLine="709"/>
        <w:rPr>
          <w:color w:val="000000"/>
        </w:rPr>
      </w:pPr>
      <w:r>
        <w:rPr>
          <w:color w:val="000000"/>
        </w:rPr>
        <w:t>5.1</w:t>
      </w:r>
      <w:r>
        <w:rPr>
          <w:color w:val="000000"/>
        </w:rPr>
        <w:t xml:space="preserve">. Lietuvos Respublikos energetikos įstatymu (Žin., 2002, Nr. </w:t>
      </w:r>
      <w:hyperlink r:id="rId22" w:tgtFrame="_blank" w:history="1">
        <w:r>
          <w:rPr>
            <w:color w:val="0000FF" w:themeColor="hyperlink"/>
            <w:u w:val="single"/>
          </w:rPr>
          <w:t>56-2224</w:t>
        </w:r>
      </w:hyperlink>
      <w:r>
        <w:rPr>
          <w:color w:val="000000"/>
        </w:rPr>
        <w:t>);</w:t>
      </w:r>
    </w:p>
    <w:p>
      <w:pPr>
        <w:rPr>
          <w:sz w:val="10"/>
          <w:szCs w:val="10"/>
        </w:rPr>
      </w:pPr>
    </w:p>
    <w:p>
      <w:pPr>
        <w:ind w:firstLine="709"/>
        <w:rPr>
          <w:color w:val="000000"/>
        </w:rPr>
      </w:pPr>
      <w:r>
        <w:rPr>
          <w:color w:val="000000"/>
        </w:rPr>
        <w:t>5.2</w:t>
      </w:r>
      <w:r>
        <w:rPr>
          <w:color w:val="000000"/>
        </w:rPr>
        <w:t xml:space="preserve">. Lietuvos Respublikos civiliniu kodeksu (Žin., 2000, Nr. </w:t>
      </w:r>
      <w:hyperlink r:id="rId23" w:tgtFrame="_blank" w:history="1">
        <w:r>
          <w:rPr>
            <w:color w:val="0000FF" w:themeColor="hyperlink"/>
            <w:u w:val="single"/>
          </w:rPr>
          <w:t>74-2262</w:t>
        </w:r>
      </w:hyperlink>
      <w:r>
        <w:rPr>
          <w:color w:val="000000"/>
        </w:rPr>
        <w:t>);</w:t>
      </w:r>
    </w:p>
    <w:p>
      <w:pPr>
        <w:rPr>
          <w:sz w:val="10"/>
          <w:szCs w:val="10"/>
        </w:rPr>
      </w:pPr>
    </w:p>
    <w:p>
      <w:pPr>
        <w:ind w:firstLine="709"/>
        <w:rPr>
          <w:color w:val="000000"/>
        </w:rPr>
      </w:pPr>
      <w:r>
        <w:rPr>
          <w:color w:val="000000"/>
        </w:rPr>
        <w:t>5.3</w:t>
      </w:r>
      <w:r>
        <w:rPr>
          <w:color w:val="000000"/>
        </w:rPr>
        <w:t xml:space="preserve">. Valstybės ir savivaldybių gyvenamųjų patalpų nuomininkų atsiskaitymo už šaltą ir karštą vandenį, elektros energiją, dujas, šiluminę energiją ir komunalines paslaugas tvarka, patvirtinta Lietuvos Respublikos Vyriausybės </w:t>
      </w:r>
      <w:smartTag w:uri="urn:schemas-microsoft-com:office:smarttags" w:element="metricconverter">
        <w:smartTagPr>
          <w:attr w:name="ProductID" w:val="2001 m"/>
        </w:smartTagPr>
        <w:r>
          <w:rPr>
            <w:color w:val="000000"/>
          </w:rPr>
          <w:t>2001 m</w:t>
        </w:r>
      </w:smartTag>
      <w:r>
        <w:rPr>
          <w:color w:val="000000"/>
        </w:rPr>
        <w:t xml:space="preserve">. liepos 11 d. nutarimu Nr. 876 (Žin., 2001, Nr. </w:t>
      </w:r>
      <w:hyperlink r:id="rId24" w:tgtFrame="_blank" w:history="1">
        <w:r>
          <w:rPr>
            <w:color w:val="0000FF" w:themeColor="hyperlink"/>
            <w:u w:val="single"/>
          </w:rPr>
          <w:t>62-2263</w:t>
        </w:r>
      </w:hyperlink>
      <w:r>
        <w:rPr>
          <w:color w:val="000000"/>
        </w:rPr>
        <w:t xml:space="preserve">; 2002, Nr. </w:t>
      </w:r>
      <w:hyperlink r:id="rId25" w:tgtFrame="_blank" w:history="1">
        <w:r>
          <w:rPr>
            <w:color w:val="0000FF" w:themeColor="hyperlink"/>
            <w:u w:val="single"/>
          </w:rPr>
          <w:t>48-1857</w:t>
        </w:r>
      </w:hyperlink>
      <w:r>
        <w:rPr>
          <w:color w:val="000000"/>
        </w:rPr>
        <w:t>);</w:t>
      </w:r>
    </w:p>
    <w:p>
      <w:pPr>
        <w:rPr>
          <w:sz w:val="10"/>
          <w:szCs w:val="10"/>
        </w:rPr>
      </w:pPr>
    </w:p>
    <w:p>
      <w:pPr>
        <w:ind w:firstLine="709"/>
        <w:rPr>
          <w:color w:val="000000"/>
        </w:rPr>
      </w:pPr>
      <w:r>
        <w:rPr>
          <w:color w:val="000000"/>
        </w:rPr>
        <w:t>5.4</w:t>
      </w:r>
      <w:r>
        <w:rPr>
          <w:color w:val="000000"/>
        </w:rPr>
        <w:t xml:space="preserve">. Lietuvos Respublikos Vyriausybės </w:t>
      </w:r>
      <w:smartTag w:uri="urn:schemas-microsoft-com:office:smarttags" w:element="metricconverter">
        <w:smartTagPr>
          <w:attr w:name="ProductID" w:val="2001 m"/>
        </w:smartTagPr>
        <w:r>
          <w:rPr>
            <w:color w:val="000000"/>
          </w:rPr>
          <w:t>2001 m</w:t>
        </w:r>
      </w:smartTag>
      <w:r>
        <w:rPr>
          <w:color w:val="000000"/>
        </w:rPr>
        <w:t xml:space="preserve">. gegužės 23 d. nutarimu Nr. 603 „Dėl butų ir kitų patalpų savininkų bendrosios nuosavybės administravimo pavyzdinių nuostatų patvirtinimo“ (Žin., 2001, Nr. </w:t>
      </w:r>
      <w:hyperlink r:id="rId26" w:tgtFrame="_blank" w:history="1">
        <w:r>
          <w:rPr>
            <w:color w:val="0000FF" w:themeColor="hyperlink"/>
            <w:u w:val="single"/>
          </w:rPr>
          <w:t>45-1584</w:t>
        </w:r>
      </w:hyperlink>
      <w:r>
        <w:rPr>
          <w:color w:val="000000"/>
        </w:rPr>
        <w:t xml:space="preserve">; 2002, Nr. </w:t>
      </w:r>
      <w:hyperlink r:id="rId27" w:tgtFrame="_blank" w:history="1">
        <w:r>
          <w:rPr>
            <w:color w:val="0000FF" w:themeColor="hyperlink"/>
            <w:u w:val="single"/>
          </w:rPr>
          <w:t>54-2123</w:t>
        </w:r>
      </w:hyperlink>
      <w:r>
        <w:rPr>
          <w:color w:val="000000"/>
        </w:rPr>
        <w:t>);</w:t>
      </w:r>
    </w:p>
    <w:p>
      <w:pPr>
        <w:rPr>
          <w:sz w:val="10"/>
          <w:szCs w:val="10"/>
        </w:rPr>
      </w:pPr>
    </w:p>
    <w:p>
      <w:pPr>
        <w:ind w:firstLine="709"/>
        <w:rPr>
          <w:color w:val="000000"/>
        </w:rPr>
      </w:pPr>
      <w:r>
        <w:rPr>
          <w:color w:val="000000"/>
        </w:rPr>
        <w:t>5.5</w:t>
      </w:r>
      <w:r>
        <w:rPr>
          <w:color w:val="000000"/>
        </w:rPr>
        <w:t xml:space="preserve">. Elektros energijos tiekimo ir naudojimo taisyklėmis, patvirtintomis Lietuvos Respublikos ūkio ministro </w:t>
      </w:r>
      <w:smartTag w:uri="urn:schemas-microsoft-com:office:smarttags" w:element="metricconverter">
        <w:smartTagPr>
          <w:attr w:name="ProductID" w:val="2001 m"/>
        </w:smartTagPr>
        <w:r>
          <w:rPr>
            <w:color w:val="000000"/>
          </w:rPr>
          <w:t>2001 m</w:t>
        </w:r>
      </w:smartTag>
      <w:r>
        <w:rPr>
          <w:color w:val="000000"/>
        </w:rPr>
        <w:t xml:space="preserve">. gruodžio 29 d. įsakymu Nr. 398 (Žin., 2002, Nr. </w:t>
      </w:r>
      <w:hyperlink r:id="rId28" w:tgtFrame="_blank" w:history="1">
        <w:r>
          <w:rPr>
            <w:color w:val="0000FF" w:themeColor="hyperlink"/>
            <w:u w:val="single"/>
          </w:rPr>
          <w:t>3-88</w:t>
        </w:r>
      </w:hyperlink>
      <w:r>
        <w:rPr>
          <w:color w:val="000000"/>
        </w:rPr>
        <w:t>);</w:t>
      </w:r>
    </w:p>
    <w:p>
      <w:pPr>
        <w:rPr>
          <w:sz w:val="10"/>
          <w:szCs w:val="10"/>
        </w:rPr>
      </w:pPr>
    </w:p>
    <w:p>
      <w:pPr>
        <w:ind w:firstLine="709"/>
        <w:rPr>
          <w:color w:val="000000"/>
        </w:rPr>
      </w:pPr>
      <w:r>
        <w:rPr>
          <w:color w:val="000000"/>
        </w:rPr>
        <w:t>5.6</w:t>
      </w:r>
      <w:r>
        <w:rPr>
          <w:color w:val="000000"/>
        </w:rPr>
        <w:t xml:space="preserve">. Valstybinės kainų ir energetikos kontrolės komisijos </w:t>
      </w:r>
      <w:smartTag w:uri="urn:schemas-microsoft-com:office:smarttags" w:element="metricconverter">
        <w:smartTagPr>
          <w:attr w:name="ProductID" w:val="2002 m"/>
        </w:smartTagPr>
        <w:r>
          <w:rPr>
            <w:color w:val="000000"/>
          </w:rPr>
          <w:t>2002 m</w:t>
        </w:r>
      </w:smartTag>
      <w:r>
        <w:rPr>
          <w:color w:val="000000"/>
        </w:rPr>
        <w:t xml:space="preserve">. kovo 5 d. nutarimu Nr. 20 „Dėl akcinės bendrovės „Rytų skirstomieji tinklai“ elektros energijos skirstymo paslaugos ir visuomeninių elektros energijos kainų, tarifų bei jų taikymo tvarkos“ (Žin., 2002, Nr. </w:t>
      </w:r>
      <w:hyperlink r:id="rId29" w:tgtFrame="_blank" w:history="1">
        <w:r>
          <w:rPr>
            <w:color w:val="0000FF" w:themeColor="hyperlink"/>
            <w:u w:val="single"/>
          </w:rPr>
          <w:t>26-960</w:t>
        </w:r>
      </w:hyperlink>
      <w:r>
        <w:rPr>
          <w:color w:val="000000"/>
        </w:rPr>
        <w:t>);</w:t>
      </w:r>
    </w:p>
    <w:p>
      <w:pPr>
        <w:rPr>
          <w:sz w:val="10"/>
          <w:szCs w:val="10"/>
        </w:rPr>
      </w:pPr>
    </w:p>
    <w:p>
      <w:pPr>
        <w:ind w:firstLine="709"/>
        <w:rPr>
          <w:color w:val="000000"/>
        </w:rPr>
      </w:pPr>
      <w:r>
        <w:rPr>
          <w:color w:val="000000"/>
        </w:rPr>
        <w:t>5.7</w:t>
      </w:r>
      <w:r>
        <w:rPr>
          <w:color w:val="000000"/>
        </w:rPr>
        <w:t xml:space="preserve">. Valstybinės kainų ir energetikos kontrolės komisijos </w:t>
      </w:r>
      <w:smartTag w:uri="urn:schemas-microsoft-com:office:smarttags" w:element="metricconverter">
        <w:smartTagPr>
          <w:attr w:name="ProductID" w:val="2002 m"/>
        </w:smartTagPr>
        <w:r>
          <w:rPr>
            <w:color w:val="000000"/>
          </w:rPr>
          <w:t>2002 m</w:t>
        </w:r>
      </w:smartTag>
      <w:r>
        <w:rPr>
          <w:color w:val="000000"/>
        </w:rPr>
        <w:t xml:space="preserve">. kovo 5 d. nutarimu Nr. 19 „Dėl akcinės bendrovės „Vakarų skirstomieji tinklai“ elektros energijos skirstymo paslaugos ir visuomeninių elektros energijos kainų, tarifų bei jų taikymo tvarkos“ (Žin., 2002, Nr. </w:t>
      </w:r>
      <w:hyperlink r:id="rId30" w:tgtFrame="_blank" w:history="1">
        <w:r>
          <w:rPr>
            <w:color w:val="0000FF" w:themeColor="hyperlink"/>
            <w:u w:val="single"/>
          </w:rPr>
          <w:t>26-959</w:t>
        </w:r>
      </w:hyperlink>
      <w:r>
        <w:rPr>
          <w:color w:val="000000"/>
        </w:rPr>
        <w:t>);</w:t>
      </w:r>
    </w:p>
    <w:p>
      <w:pPr>
        <w:rPr>
          <w:sz w:val="10"/>
          <w:szCs w:val="10"/>
        </w:rPr>
      </w:pPr>
    </w:p>
    <w:p>
      <w:pPr>
        <w:ind w:firstLine="709"/>
        <w:rPr>
          <w:color w:val="000000"/>
        </w:rPr>
      </w:pPr>
      <w:r>
        <w:rPr>
          <w:color w:val="000000"/>
        </w:rPr>
        <w:t>5.8</w:t>
      </w:r>
      <w:r>
        <w:rPr>
          <w:color w:val="000000"/>
        </w:rPr>
        <w:t xml:space="preserve">. Lietuvos Respublikos aplinkos ministro </w:t>
      </w:r>
      <w:smartTag w:uri="urn:schemas-microsoft-com:office:smarttags" w:element="metricconverter">
        <w:smartTagPr>
          <w:attr w:name="ProductID" w:val="1999 m"/>
        </w:smartTagPr>
        <w:r>
          <w:rPr>
            <w:color w:val="000000"/>
          </w:rPr>
          <w:t>1999 m</w:t>
        </w:r>
      </w:smartTag>
      <w:r>
        <w:rPr>
          <w:color w:val="000000"/>
        </w:rPr>
        <w:t xml:space="preserve">. rugsėjo 30 d. įsakymu Nr. 310 „Dėl reglamento STR 1.14. 01:1999 „Pastatų plotų ir tūrių skaičiavimo tvarka“ patvirtinimo“ (Žin., 1999, Nr. </w:t>
      </w:r>
      <w:hyperlink r:id="rId31" w:tgtFrame="_blank" w:history="1">
        <w:r>
          <w:rPr>
            <w:color w:val="0000FF" w:themeColor="hyperlink"/>
            <w:u w:val="single"/>
          </w:rPr>
          <w:t>84-2507</w:t>
        </w:r>
      </w:hyperlink>
      <w:r>
        <w:rPr>
          <w:color w:val="000000"/>
        </w:rPr>
        <w:t>).</w:t>
      </w:r>
    </w:p>
    <w:p>
      <w:pPr>
        <w:rPr>
          <w:sz w:val="10"/>
          <w:szCs w:val="10"/>
        </w:rPr>
      </w:pPr>
    </w:p>
    <w:p>
      <w:pPr>
        <w:ind w:firstLine="709"/>
        <w:jc w:val="both"/>
        <w:rPr>
          <w:color w:val="000000"/>
          <w:szCs w:val="8"/>
        </w:rPr>
      </w:pPr>
    </w:p>
    <w:p>
      <w:pPr>
        <w:jc w:val="center"/>
        <w:rPr>
          <w:b/>
          <w:bCs/>
          <w:caps/>
          <w:color w:val="000000"/>
        </w:rPr>
      </w:pPr>
      <w:r>
        <w:rPr>
          <w:b/>
          <w:bCs/>
          <w:caps/>
          <w:color w:val="000000"/>
        </w:rPr>
        <w:t>III</w:t>
      </w:r>
      <w:r>
        <w:rPr>
          <w:b/>
          <w:bCs/>
          <w:caps/>
          <w:color w:val="000000"/>
        </w:rPr>
        <w:t xml:space="preserve">. </w:t>
      </w:r>
      <w:r>
        <w:rPr>
          <w:b/>
          <w:bCs/>
          <w:caps/>
          <w:color w:val="000000"/>
        </w:rPr>
        <w:t>ĮMOKŲ UŽ SUNAUDOTĄ ELEKTROS ENERGIJĄ PASKIRSTYMAS SAVININKAMS IR NUOMININKAMS, KAI VISOSE SAVININKAMS IR NUOMININKAMS PRIKLAUSANČIOSE PATALPOSE NĖRA ĮRENGTŲ ELEKTROS ENERGIJOS APSKAITOS PRIETAISŲ</w:t>
      </w:r>
    </w:p>
    <w:p>
      <w:pPr>
        <w:ind w:firstLine="709"/>
        <w:jc w:val="both"/>
        <w:rPr>
          <w:color w:val="000000"/>
          <w:szCs w:val="8"/>
        </w:rPr>
      </w:pPr>
    </w:p>
    <w:p>
      <w:pPr>
        <w:ind w:firstLine="709"/>
        <w:rPr>
          <w:color w:val="000000"/>
        </w:rPr>
      </w:pPr>
      <w:r>
        <w:rPr>
          <w:color w:val="000000"/>
        </w:rPr>
        <w:t>6</w:t>
      </w:r>
      <w:r>
        <w:rPr>
          <w:color w:val="000000"/>
        </w:rPr>
        <w:t>. Jei visi bendrabučio gyvenamųjų ir negyvenamųjų patalpų savininkai ir nuomininkai turimose patalpose nėra įsirengę elektros energijos apskaitos prietaisų, fiksuojančių jų patalpose sunaudotos elektros energijos kiekį, tai kiekvieno gyvenamųjų ar negyvenamųjų patalpų savininko ar nuomininko įmokos už sunaudotą per ataskaitinį laikotarpį elektros energiją gyvenamosiose ar negyvenamosiose patalpose ir bendrabučio bendrosioms reikmėms (be įmokos už liftą (liftus)) dydis (pinigine išraiška) apskaičiuojamas pagal šią formulę:</w:t>
      </w:r>
    </w:p>
    <w:p>
      <w:pPr>
        <w:rPr>
          <w:sz w:val="10"/>
          <w:szCs w:val="10"/>
        </w:rPr>
      </w:pPr>
    </w:p>
    <w:p>
      <w:pPr>
        <w:rPr>
          <w:sz w:val="10"/>
          <w:szCs w:val="10"/>
        </w:rPr>
      </w:pPr>
    </w:p>
    <w:p>
      <w:pPr>
        <w:ind w:firstLine="709"/>
        <w:rPr>
          <w:color w:val="000000"/>
        </w:rPr>
      </w:pPr>
      <w:r>
        <w:rPr>
          <w:lang w:eastAsia="lt-LT"/>
        </w:rPr>
        <w:drawing>
          <wp:inline distT="0" distB="0" distL="0" distR="0">
            <wp:extent cx="1514475" cy="7143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14475" cy="714375"/>
                    </a:xfrm>
                    <a:prstGeom prst="rect">
                      <a:avLst/>
                    </a:prstGeom>
                  </pic:spPr>
                </pic:pic>
              </a:graphicData>
            </a:graphic>
          </wp:inline>
        </w:drawing>
      </w:r>
    </w:p>
    <w:p>
      <w:pPr>
        <w:ind w:firstLine="709"/>
        <w:rPr>
          <w:color w:val="000000"/>
        </w:rPr>
      </w:pPr>
      <w:r>
        <w:rPr>
          <w:color w:val="000000"/>
        </w:rPr>
        <w:t>kur:</w:t>
      </w:r>
    </w:p>
    <w:p>
      <w:pPr>
        <w:rPr>
          <w:sz w:val="10"/>
          <w:szCs w:val="10"/>
        </w:rPr>
      </w:pPr>
    </w:p>
    <w:p>
      <w:pPr>
        <w:ind w:firstLine="709"/>
        <w:rPr>
          <w:color w:val="000000"/>
        </w:rPr>
      </w:pPr>
      <w:r>
        <w:rPr>
          <w:color w:val="000000"/>
        </w:rPr>
        <w:t>E</w:t>
      </w:r>
      <w:r>
        <w:rPr>
          <w:color w:val="000000"/>
          <w:szCs w:val="24"/>
          <w:vertAlign w:val="subscript"/>
        </w:rPr>
        <w:t>bv</w:t>
      </w:r>
      <w:r>
        <w:rPr>
          <w:color w:val="000000"/>
        </w:rPr>
        <w:t xml:space="preserve"> – savininko ar nuomininko įmoka (pinigine išraiška) už sunaudotą per ataskaitinį laikotarpį elektros energiją (be įmokos už liftą (liftus), Lt;</w:t>
      </w:r>
    </w:p>
    <w:p>
      <w:pPr>
        <w:rPr>
          <w:sz w:val="10"/>
          <w:szCs w:val="10"/>
        </w:rPr>
      </w:pPr>
    </w:p>
    <w:p>
      <w:pPr>
        <w:ind w:firstLine="709"/>
        <w:rPr>
          <w:color w:val="000000"/>
        </w:rPr>
      </w:pPr>
      <w:r>
        <w:rPr>
          <w:color w:val="000000"/>
        </w:rPr>
        <w:t>E</w:t>
      </w:r>
      <w:r>
        <w:rPr>
          <w:color w:val="000000"/>
          <w:szCs w:val="24"/>
          <w:vertAlign w:val="subscript"/>
        </w:rPr>
        <w:t>iv</w:t>
      </w:r>
      <w:r>
        <w:rPr>
          <w:color w:val="000000"/>
        </w:rPr>
        <w:t xml:space="preserve"> – per ataskaitinį laikotarpį visame bendrabutyje sunaudotas elektros energijos kiekis pinigine išraiška (pagal bendrabučio įvade įrengto elektros energijos apskaitos prietaiso rodmenų skirtumą be elektros energijos kiekio, sunaudoto lifto (liftų) elektros įrenginiams), Lt;</w:t>
      </w:r>
    </w:p>
    <w:p>
      <w:pPr>
        <w:rPr>
          <w:sz w:val="10"/>
          <w:szCs w:val="10"/>
        </w:rPr>
      </w:pPr>
    </w:p>
    <w:p>
      <w:pPr>
        <w:ind w:firstLine="709"/>
        <w:rPr>
          <w:color w:val="000000"/>
        </w:rPr>
      </w:pPr>
      <w:r>
        <w:rPr>
          <w:color w:val="000000"/>
          <w:position w:val="-28"/>
        </w:rPr>
        <w:object w:dxaOrig="6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26.9pt" o:ole="">
            <v:imagedata r:id="rId33" o:title=""/>
          </v:shape>
          <o:OLEObject Type="Embed" ProgID="Equation.3" ShapeID="_x0000_i1026" DrawAspect="Content" ObjectID="_0000000001" r:id="rId34"/>
        </w:object>
      </w:r>
      <w:r>
        <w:rPr>
          <w:color w:val="000000"/>
        </w:rPr>
        <w:t xml:space="preserve"> – visų savininkų ir nuomininkų patalpų bendrojo (naudingojo) ploto suma, kv. m. Šis dydis nurodomas dviejų skaičių po kablelio tikslumu;</w:t>
      </w:r>
    </w:p>
    <w:p>
      <w:pPr>
        <w:rPr>
          <w:sz w:val="10"/>
          <w:szCs w:val="10"/>
        </w:rPr>
      </w:pPr>
    </w:p>
    <w:p>
      <w:pPr>
        <w:ind w:firstLine="709"/>
        <w:rPr>
          <w:color w:val="000000"/>
        </w:rPr>
      </w:pPr>
      <w:r>
        <w:rPr>
          <w:color w:val="000000"/>
        </w:rPr>
        <w:t>P</w:t>
      </w:r>
      <w:r>
        <w:rPr>
          <w:color w:val="000000"/>
          <w:szCs w:val="24"/>
          <w:vertAlign w:val="subscript"/>
        </w:rPr>
        <w:t>b</w:t>
      </w:r>
      <w:r>
        <w:rPr>
          <w:color w:val="000000"/>
        </w:rPr>
        <w:t xml:space="preserve"> – savininko ar nuomininko, kuriam skaičiuojama įmoka už per ataskaitinį laikotarpį sunaudotą elektros energiją, patalpų bendrasis (naudingasis) plotas, kv. m. Šis dydis nurodomas dviejų skaičių po kablelio tikslumu.</w:t>
      </w:r>
    </w:p>
    <w:p>
      <w:pPr>
        <w:rPr>
          <w:sz w:val="10"/>
          <w:szCs w:val="10"/>
        </w:rPr>
      </w:pPr>
    </w:p>
    <w:p>
      <w:pPr>
        <w:ind w:firstLine="709"/>
        <w:rPr>
          <w:color w:val="000000"/>
        </w:rPr>
      </w:pPr>
      <w:r>
        <w:rPr>
          <w:color w:val="000000"/>
        </w:rPr>
        <w:t>Jei bendrabutyje yra įrengtas liftas (liftai), tai kiekvienas gyvenamųjų ir negyvenamųjų patalpų savininkas ar nuomininkas (išskyrus pirmojo ir antrojo aukštų savininkus bei nuomininkus) dar apmoka ir už elektros energiją, sunaudotą lifto (liftų) elektros įrenginiams, pagal šios metodikos V skyriuje nustatytą tvarką.</w:t>
      </w:r>
    </w:p>
    <w:p>
      <w:pPr>
        <w:rPr>
          <w:sz w:val="10"/>
          <w:szCs w:val="10"/>
        </w:rPr>
      </w:pPr>
    </w:p>
    <w:p>
      <w:pPr>
        <w:ind w:firstLine="709"/>
        <w:rPr>
          <w:color w:val="000000"/>
        </w:rPr>
      </w:pPr>
      <w:r>
        <w:rPr>
          <w:b/>
          <w:bCs/>
          <w:color w:val="000000"/>
        </w:rPr>
        <w:t>Pavyzdys.</w:t>
      </w:r>
    </w:p>
    <w:p>
      <w:pPr>
        <w:rPr>
          <w:sz w:val="10"/>
          <w:szCs w:val="10"/>
        </w:rPr>
      </w:pPr>
    </w:p>
    <w:p>
      <w:pPr>
        <w:ind w:firstLine="709"/>
        <w:rPr>
          <w:color w:val="000000"/>
        </w:rPr>
      </w:pPr>
      <w:r>
        <w:rPr>
          <w:color w:val="000000"/>
        </w:rPr>
        <w:t>Bendrabučio įvade įrengtos elektros energijos apskaitos prietaiso rodmenų skirtumas per ataskaitinį laikotarpį, padaugintas iš galiojančio tarifo (be įmokos už liftą (liftus)), buvo (E</w:t>
      </w:r>
      <w:r>
        <w:rPr>
          <w:color w:val="000000"/>
          <w:szCs w:val="24"/>
          <w:vertAlign w:val="subscript"/>
        </w:rPr>
        <w:t>iv</w:t>
      </w:r>
      <w:r>
        <w:rPr>
          <w:color w:val="000000"/>
        </w:rPr>
        <w:t>) 500,00 Lt.</w:t>
      </w:r>
    </w:p>
    <w:p>
      <w:pPr>
        <w:rPr>
          <w:sz w:val="10"/>
          <w:szCs w:val="10"/>
        </w:rPr>
      </w:pPr>
    </w:p>
    <w:p>
      <w:pPr>
        <w:ind w:firstLine="709"/>
        <w:rPr>
          <w:color w:val="000000"/>
        </w:rPr>
      </w:pPr>
      <w:r>
        <w:rPr>
          <w:color w:val="000000"/>
        </w:rPr>
        <w:t>Bendrabučio visų savininkų ir nuomininkų patalpų bendrojo (naudingojo) ploto suma (</w:t>
      </w:r>
      <w:r>
        <w:rPr>
          <w:color w:val="000000"/>
          <w:position w:val="-14"/>
        </w:rPr>
        <w:object w:dxaOrig="615" w:dyaOrig="405">
          <v:shape id="_x0000_i1027" type="#_x0000_t75" style="width:30.85pt;height:19.8pt" o:ole="">
            <v:imagedata r:id="rId35" o:title=""/>
          </v:shape>
          <o:OLEObject Type="Embed" ProgID="Equation.3" ShapeID="_x0000_i1027" DrawAspect="Content" ObjectID="_0000000001" r:id="rId36"/>
        </w:object>
      </w:r>
      <w:r>
        <w:rPr>
          <w:color w:val="000000"/>
        </w:rPr>
        <w:t>) – 1000,49 kv. m.</w:t>
      </w:r>
    </w:p>
    <w:p>
      <w:pPr>
        <w:rPr>
          <w:sz w:val="10"/>
          <w:szCs w:val="10"/>
        </w:rPr>
      </w:pPr>
    </w:p>
    <w:p>
      <w:pPr>
        <w:ind w:firstLine="709"/>
        <w:rPr>
          <w:color w:val="000000"/>
        </w:rPr>
      </w:pPr>
      <w:r>
        <w:rPr>
          <w:color w:val="000000"/>
        </w:rPr>
        <w:t>Bendrabučio savininko (nuomininko), kuriam skaičiuojamas įmokos dydis, turimų patalpų bendrasis (naudingasis) plotas (P</w:t>
      </w:r>
      <w:r>
        <w:rPr>
          <w:color w:val="000000"/>
          <w:szCs w:val="24"/>
          <w:vertAlign w:val="subscript"/>
        </w:rPr>
        <w:t>b</w:t>
      </w:r>
      <w:r>
        <w:rPr>
          <w:color w:val="000000"/>
        </w:rPr>
        <w:t>) 40,36 kv. m.</w:t>
      </w:r>
    </w:p>
    <w:p>
      <w:pPr>
        <w:rPr>
          <w:sz w:val="10"/>
          <w:szCs w:val="10"/>
        </w:rPr>
      </w:pPr>
    </w:p>
    <w:p>
      <w:pPr>
        <w:ind w:firstLine="709"/>
        <w:rPr>
          <w:color w:val="000000"/>
        </w:rPr>
      </w:pPr>
      <w:r>
        <w:rPr>
          <w:color w:val="000000"/>
        </w:rPr>
        <w:t>Šiuo atveju įmokos už sunaudotą per ataskaitinį laikotarpį elektros energiją dydis (be įmokos už liftą (liftus)) minėtam savininkui ar nuomininkui būtų:</w:t>
      </w:r>
    </w:p>
    <w:p>
      <w:pPr>
        <w:rPr>
          <w:sz w:val="10"/>
          <w:szCs w:val="10"/>
        </w:rPr>
      </w:pPr>
    </w:p>
    <w:p>
      <w:pPr>
        <w:ind w:firstLine="709"/>
        <w:rPr>
          <w:color w:val="000000"/>
        </w:rPr>
      </w:pPr>
    </w:p>
    <w:p>
      <w:pPr>
        <w:ind w:firstLine="709"/>
        <w:rPr>
          <w:color w:val="000000"/>
        </w:rPr>
      </w:pPr>
      <w:r>
        <w:rPr>
          <w:lang w:eastAsia="lt-LT"/>
        </w:rPr>
        <w:drawing>
          <wp:inline distT="0" distB="0" distL="0" distR="0">
            <wp:extent cx="3771900" cy="65722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771900" cy="657225"/>
                    </a:xfrm>
                    <a:prstGeom prst="rect">
                      <a:avLst/>
                    </a:prstGeom>
                  </pic:spPr>
                </pic:pic>
              </a:graphicData>
            </a:graphic>
          </wp:inline>
        </w:drawing>
      </w:r>
    </w:p>
    <w:p>
      <w:pPr>
        <w:rPr>
          <w:sz w:val="10"/>
          <w:szCs w:val="10"/>
        </w:rPr>
      </w:pPr>
    </w:p>
    <w:p>
      <w:pPr>
        <w:ind w:firstLine="709"/>
        <w:jc w:val="both"/>
        <w:rPr>
          <w:color w:val="000000"/>
          <w:szCs w:val="8"/>
        </w:rPr>
      </w:pPr>
    </w:p>
    <w:p>
      <w:pPr>
        <w:jc w:val="center"/>
        <w:rPr>
          <w:b/>
          <w:bCs/>
          <w:caps/>
          <w:color w:val="000000"/>
        </w:rPr>
      </w:pPr>
      <w:r>
        <w:rPr>
          <w:b/>
          <w:bCs/>
          <w:caps/>
          <w:color w:val="000000"/>
        </w:rPr>
        <w:t>IV</w:t>
      </w:r>
      <w:r>
        <w:rPr>
          <w:b/>
          <w:bCs/>
          <w:caps/>
          <w:color w:val="000000"/>
        </w:rPr>
        <w:t xml:space="preserve">. </w:t>
      </w:r>
      <w:r>
        <w:rPr>
          <w:b/>
          <w:bCs/>
          <w:caps/>
          <w:color w:val="000000"/>
        </w:rPr>
        <w:t>ĮMOKŲ UŽ SUNAUDOTĄ ELEKTROS ENERGIJĄ PASKIRSTYMAS SAVININKAMS IR NUOMININKAMS, KAI NE VISOSE SAVININKAMS IR NUOMININKAMS PRIKLAUSANČIOSE PATALPOSE YRA ĮRENGTI ELEKTROS ENERGIJOS APSKAITOS PRIETAISAI</w:t>
      </w:r>
    </w:p>
    <w:p>
      <w:pPr>
        <w:ind w:firstLine="709"/>
        <w:jc w:val="both"/>
        <w:rPr>
          <w:color w:val="000000"/>
          <w:szCs w:val="8"/>
        </w:rPr>
      </w:pPr>
    </w:p>
    <w:p>
      <w:pPr>
        <w:ind w:firstLine="709"/>
        <w:rPr>
          <w:color w:val="000000"/>
        </w:rPr>
      </w:pPr>
      <w:r>
        <w:rPr>
          <w:color w:val="000000"/>
        </w:rPr>
        <w:t>7</w:t>
      </w:r>
      <w:r>
        <w:rPr>
          <w:color w:val="000000"/>
        </w:rPr>
        <w:t>. Jei ne visi bendrabučio gyvenamųjų ir negyvenamųjų patalpų savininkai ir nuomininkai turimose patalpose yra įsirengę elektros energijos apskaitos prietaisus, fiksuojančius jų patalpose sunaudotos elektros energijos kiekį, tai:</w:t>
      </w:r>
    </w:p>
    <w:p>
      <w:pPr>
        <w:rPr>
          <w:sz w:val="10"/>
          <w:szCs w:val="10"/>
        </w:rPr>
      </w:pPr>
    </w:p>
    <w:p>
      <w:pPr>
        <w:ind w:firstLine="709"/>
        <w:rPr>
          <w:color w:val="000000"/>
        </w:rPr>
      </w:pPr>
      <w:r>
        <w:rPr>
          <w:color w:val="000000"/>
        </w:rPr>
        <w:t>7.1</w:t>
      </w:r>
      <w:r>
        <w:rPr>
          <w:color w:val="000000"/>
        </w:rPr>
        <w:t>. Savininkui ar nuomininkui, kurio patalpose yra įrengti elektros energijos apskaitos prietaisai, įmokos už bendrabučio bendrojo naudojimo patalpose sunaudotą elektros energijos kiekį (be elektros energijos kiekio sunaudoto lifto (liftų) elektros įrenginiams), tenkantį jo patalpoms, dydis apskaičiuojamas pagal šią formulę:</w:t>
      </w:r>
    </w:p>
    <w:p>
      <w:pPr>
        <w:rPr>
          <w:sz w:val="10"/>
          <w:szCs w:val="10"/>
        </w:rPr>
      </w:pPr>
    </w:p>
    <w:p>
      <w:pPr>
        <w:ind w:firstLine="709"/>
        <w:rPr>
          <w:color w:val="000000"/>
        </w:rPr>
      </w:pPr>
      <w:r>
        <w:rPr>
          <w:lang w:eastAsia="lt-LT"/>
        </w:rPr>
        <w:drawing>
          <wp:inline distT="0" distB="0" distL="0" distR="0">
            <wp:extent cx="1685925" cy="68580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685925" cy="685800"/>
                    </a:xfrm>
                    <a:prstGeom prst="rect">
                      <a:avLst/>
                    </a:prstGeom>
                  </pic:spPr>
                </pic:pic>
              </a:graphicData>
            </a:graphic>
          </wp:inline>
        </w:drawing>
      </w:r>
    </w:p>
    <w:p>
      <w:pPr>
        <w:rPr>
          <w:sz w:val="10"/>
          <w:szCs w:val="10"/>
        </w:rPr>
      </w:pPr>
    </w:p>
    <w:p>
      <w:pPr>
        <w:rPr>
          <w:sz w:val="10"/>
          <w:szCs w:val="10"/>
        </w:rPr>
      </w:pPr>
    </w:p>
    <w:p>
      <w:pPr>
        <w:ind w:firstLine="709"/>
        <w:rPr>
          <w:color w:val="000000"/>
        </w:rPr>
      </w:pPr>
      <w:r>
        <w:rPr>
          <w:color w:val="000000"/>
        </w:rPr>
        <w:t>kur:</w:t>
      </w:r>
    </w:p>
    <w:p>
      <w:pPr>
        <w:rPr>
          <w:sz w:val="10"/>
          <w:szCs w:val="10"/>
        </w:rPr>
      </w:pPr>
    </w:p>
    <w:p>
      <w:pPr>
        <w:ind w:firstLine="709"/>
        <w:rPr>
          <w:color w:val="000000"/>
        </w:rPr>
      </w:pPr>
      <w:r>
        <w:rPr>
          <w:color w:val="000000"/>
        </w:rPr>
        <w:t>E</w:t>
      </w:r>
      <w:r>
        <w:rPr>
          <w:color w:val="000000"/>
          <w:szCs w:val="24"/>
          <w:vertAlign w:val="subscript"/>
        </w:rPr>
        <w:t>bn</w:t>
      </w:r>
      <w:r>
        <w:rPr>
          <w:color w:val="000000"/>
        </w:rPr>
        <w:t xml:space="preserve"> – savininko ar nuomininko, kurio patalpose yra įrengti elektros energijos apskaitos prietaisai, įmokos (pinigine išraiška) už bendrabučio bendrojo naudojimo patalpose sunaudotą per ataskaitinį laikotarpį elektros energijos kiekį (be elektros energijos kiekio, sunaudoto lifto (liftų) elektros įrenginiams), tenkantį jo patalpoms, dydis, Lt;</w:t>
      </w:r>
    </w:p>
    <w:p>
      <w:pPr>
        <w:rPr>
          <w:sz w:val="10"/>
          <w:szCs w:val="10"/>
        </w:rPr>
      </w:pPr>
    </w:p>
    <w:p>
      <w:pPr>
        <w:ind w:firstLine="709"/>
        <w:rPr>
          <w:color w:val="000000"/>
        </w:rPr>
      </w:pPr>
      <w:r>
        <w:rPr>
          <w:color w:val="000000"/>
        </w:rPr>
        <w:t>E</w:t>
      </w:r>
      <w:r>
        <w:rPr>
          <w:color w:val="000000"/>
          <w:szCs w:val="24"/>
          <w:vertAlign w:val="subscript"/>
        </w:rPr>
        <w:t>bnk</w:t>
      </w:r>
      <w:r>
        <w:rPr>
          <w:color w:val="000000"/>
        </w:rPr>
        <w:t xml:space="preserve"> – elektros energijos kiekis, sunaudotas visame bendrabutyje bendrosioms bendrabučio reikmėms (be elektros energijos kiekio, sunaudoto lifto (liftų) elektros įrenginiams) per ataskaitinį laikotarpį (pinigine išraiška), Lt. Šis kiekis apskaičiuojamas, pritaikant koeficientą, pagal šią formulę:</w:t>
      </w:r>
    </w:p>
    <w:p>
      <w:pPr>
        <w:rPr>
          <w:sz w:val="10"/>
          <w:szCs w:val="10"/>
        </w:rPr>
      </w:pPr>
    </w:p>
    <w:p>
      <w:pPr>
        <w:ind w:firstLine="709"/>
        <w:rPr>
          <w:color w:val="000000"/>
        </w:rPr>
      </w:pPr>
      <w:r>
        <w:rPr>
          <w:lang w:eastAsia="lt-LT"/>
        </w:rPr>
        <w:drawing>
          <wp:inline distT="0" distB="0" distL="0" distR="0">
            <wp:extent cx="1419225" cy="523875"/>
            <wp:effectExtent l="0" t="0" r="9525"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419225" cy="523875"/>
                    </a:xfrm>
                    <a:prstGeom prst="rect">
                      <a:avLst/>
                    </a:prstGeom>
                  </pic:spPr>
                </pic:pic>
              </a:graphicData>
            </a:graphic>
          </wp:inline>
        </w:drawing>
      </w:r>
    </w:p>
    <w:p>
      <w:pPr>
        <w:rPr>
          <w:sz w:val="10"/>
          <w:szCs w:val="10"/>
        </w:rPr>
      </w:pPr>
    </w:p>
    <w:p>
      <w:pPr>
        <w:rPr>
          <w:sz w:val="10"/>
          <w:szCs w:val="10"/>
        </w:rPr>
      </w:pPr>
    </w:p>
    <w:p>
      <w:pPr>
        <w:ind w:firstLine="709"/>
        <w:rPr>
          <w:color w:val="000000"/>
        </w:rPr>
      </w:pPr>
      <w:r>
        <w:rPr>
          <w:color w:val="000000"/>
        </w:rPr>
        <w:t>kur:</w:t>
      </w:r>
    </w:p>
    <w:p>
      <w:pPr>
        <w:rPr>
          <w:sz w:val="10"/>
          <w:szCs w:val="10"/>
        </w:rPr>
      </w:pPr>
    </w:p>
    <w:p>
      <w:pPr>
        <w:ind w:firstLine="709"/>
        <w:rPr>
          <w:color w:val="000000"/>
        </w:rPr>
      </w:pPr>
      <w:r>
        <w:rPr>
          <w:color w:val="000000"/>
        </w:rPr>
        <w:t>E</w:t>
      </w:r>
      <w:r>
        <w:rPr>
          <w:color w:val="000000"/>
          <w:szCs w:val="24"/>
          <w:vertAlign w:val="subscript"/>
        </w:rPr>
        <w:t>iv</w:t>
      </w:r>
      <w:r>
        <w:rPr>
          <w:color w:val="000000"/>
        </w:rPr>
        <w:t>– per ataskaitinį laikotarpį visame bendrabutyje sunaudotas elektros energijos kiekis pinigine išraiška (pagal bendrabučio įvade įrengto elektros energijos apskaitos prietaiso rodmenų skirtumą be elektros energijos kiekio, sunaudoto lifto (liftų) elektros įrenginiams), Lt;</w:t>
      </w:r>
    </w:p>
    <w:p>
      <w:pPr>
        <w:rPr>
          <w:sz w:val="10"/>
          <w:szCs w:val="10"/>
        </w:rPr>
      </w:pPr>
    </w:p>
    <w:p>
      <w:pPr>
        <w:ind w:firstLine="709"/>
        <w:rPr>
          <w:color w:val="000000"/>
        </w:rPr>
      </w:pPr>
      <w:r>
        <w:rPr>
          <w:color w:val="000000"/>
        </w:rPr>
        <w:t>k – bendrabučio bendrojo naudojimo patalpose sunaudoto per ataskaitinį laikotarpį elektros energijos kiekio (be elektros energijos kiekio, sunaudoto lifto (liftų) elektros įrenginiams) pinigine išraiška santykis su visame bendrabutyje sunaudotu per tą patį laikotarpį bendru elektros energijos kiekiu (be elektros energijos kiekio, sunaudoto lifto (liftų) elektros įrenginiams) pinigine išraiška. Vadovaujantis skirstomųjų tinklų operatorių atlikta analize, šis santykis yra 10%, t. y. koeficientas k = 0,1;</w:t>
      </w:r>
    </w:p>
    <w:p>
      <w:pPr>
        <w:rPr>
          <w:sz w:val="10"/>
          <w:szCs w:val="10"/>
        </w:rPr>
      </w:pPr>
    </w:p>
    <w:p>
      <w:pPr>
        <w:ind w:firstLine="709"/>
        <w:rPr>
          <w:color w:val="000000"/>
        </w:rPr>
      </w:pPr>
      <w:r>
        <w:rPr>
          <w:color w:val="000000"/>
          <w:position w:val="-28"/>
        </w:rPr>
        <w:object w:dxaOrig="600" w:dyaOrig="540">
          <v:shape id="_x0000_i1028" type="#_x0000_t75" style="width:30.05pt;height:26.9pt" o:ole="">
            <v:imagedata r:id="rId40" o:title=""/>
          </v:shape>
          <o:OLEObject Type="Embed" ProgID="Equation.3" ShapeID="_x0000_i1028" DrawAspect="Content" ObjectID="_0000000001" r:id="rId41"/>
        </w:object>
      </w:r>
      <w:r>
        <w:rPr>
          <w:color w:val="000000"/>
        </w:rPr>
        <w:t xml:space="preserve"> – visų savininkų ir nuomininkų patalpų bendrojo (naudingojo) ploto suma, kv. m. Šis dydis nurodomas dviejų skaičių po kablelio tikslumu;</w:t>
      </w:r>
    </w:p>
    <w:p>
      <w:pPr>
        <w:rPr>
          <w:sz w:val="10"/>
          <w:szCs w:val="10"/>
        </w:rPr>
      </w:pPr>
    </w:p>
    <w:p>
      <w:pPr>
        <w:ind w:firstLine="709"/>
        <w:rPr>
          <w:color w:val="000000"/>
        </w:rPr>
      </w:pPr>
      <w:r>
        <w:rPr>
          <w:color w:val="000000"/>
        </w:rPr>
        <w:t>P</w:t>
      </w:r>
      <w:r>
        <w:rPr>
          <w:color w:val="000000"/>
          <w:szCs w:val="24"/>
          <w:vertAlign w:val="subscript"/>
        </w:rPr>
        <w:t>b</w:t>
      </w:r>
      <w:r>
        <w:rPr>
          <w:color w:val="000000"/>
        </w:rPr>
        <w:t xml:space="preserve"> – vieno savininko ar nuomininko, kuriam skaičiuojamas įmokos už sunaudotą per ataskaitinį laikotarpį elektros energiją dydis, patalpų bendrasis (naudingasis) plotas, kv. m. Šis dydis nurodomas dviejų skaičių po kablelio tikslumu.</w:t>
      </w:r>
    </w:p>
    <w:p>
      <w:pPr>
        <w:rPr>
          <w:sz w:val="10"/>
          <w:szCs w:val="10"/>
        </w:rPr>
      </w:pPr>
    </w:p>
    <w:p>
      <w:pPr>
        <w:ind w:firstLine="709"/>
        <w:rPr>
          <w:color w:val="000000"/>
        </w:rPr>
      </w:pPr>
      <w:r>
        <w:rPr>
          <w:color w:val="000000"/>
        </w:rPr>
        <w:t>Savininkas ar nuomininkas, kurio patalpose yra įrengti elektros energijos apskaitos prietaisai, be įmokos už bendrabučio bendrojo naudojimo patalpose sunaudotą elektros energijos kiekį, tenkantį jo patalpoms (apskaičiuotą pagal šį punktą), dar sumoka ir už sunaudotą elektros energijos kiekį pagal jo patalpose įrengtos elektros energijos apskaitos prietaiso rodmenų ataskaitinio laikotarpio pabaigoje ir pradžioje skirtumą, padaugintą iš galiojančio tarifo.</w:t>
      </w:r>
    </w:p>
    <w:p>
      <w:pPr>
        <w:rPr>
          <w:sz w:val="10"/>
          <w:szCs w:val="10"/>
        </w:rPr>
      </w:pPr>
    </w:p>
    <w:p>
      <w:pPr>
        <w:ind w:firstLine="709"/>
        <w:rPr>
          <w:color w:val="000000"/>
        </w:rPr>
      </w:pPr>
      <w:r>
        <w:rPr>
          <w:color w:val="000000"/>
        </w:rPr>
        <w:t xml:space="preserve">Jei bendrabutyje yra įrengtas liftas (liftai), tai kiekvienas gyvenamųjų ir negyvenamųjų patalpų savininkas ar nuomininkas, kurio patalpose yra įrengti elektros energijos apskaitos prietaisai (išskyrus pirmojo ir antrojo aukštų savininkus ir nuomininkus), dar sumoka ir už elektros energiją, sunaudotą lifto (liftų) elektros įrenginiams, pagal šios metodikos </w:t>
        <w:br/>
        <w:t>V skyriuje nustatytą tvarką.</w:t>
      </w:r>
    </w:p>
    <w:p>
      <w:pPr>
        <w:rPr>
          <w:sz w:val="10"/>
          <w:szCs w:val="10"/>
        </w:rPr>
      </w:pPr>
    </w:p>
    <w:p>
      <w:pPr>
        <w:ind w:firstLine="709"/>
        <w:rPr>
          <w:color w:val="000000"/>
        </w:rPr>
      </w:pPr>
      <w:r>
        <w:rPr>
          <w:b/>
          <w:bCs/>
          <w:color w:val="000000"/>
        </w:rPr>
        <w:t>Pavyzdys.</w:t>
      </w:r>
    </w:p>
    <w:p>
      <w:pPr>
        <w:rPr>
          <w:sz w:val="10"/>
          <w:szCs w:val="10"/>
        </w:rPr>
      </w:pPr>
    </w:p>
    <w:p>
      <w:pPr>
        <w:ind w:firstLine="709"/>
        <w:rPr>
          <w:color w:val="000000"/>
        </w:rPr>
      </w:pPr>
      <w:r>
        <w:rPr>
          <w:color w:val="000000"/>
        </w:rPr>
        <w:t>Bendrabučio įvade įrengtos elektros energijos apskaitos prietaiso rodmenų skirtumas per ataskaitinį laikotarpį (be elektros energijos kiekio, sunaudoto lifto (liftų) elektros įrenginiams), padaugintas iš galiojančio tarifo, buvo (E</w:t>
      </w:r>
      <w:r>
        <w:rPr>
          <w:color w:val="000000"/>
          <w:szCs w:val="24"/>
          <w:vertAlign w:val="subscript"/>
        </w:rPr>
        <w:t>iv</w:t>
      </w:r>
      <w:r>
        <w:rPr>
          <w:color w:val="000000"/>
        </w:rPr>
        <w:t>) 500,00 Lt.</w:t>
      </w:r>
    </w:p>
    <w:p>
      <w:pPr>
        <w:rPr>
          <w:sz w:val="10"/>
          <w:szCs w:val="10"/>
        </w:rPr>
      </w:pPr>
    </w:p>
    <w:p>
      <w:pPr>
        <w:ind w:firstLine="709"/>
        <w:rPr>
          <w:color w:val="000000"/>
        </w:rPr>
      </w:pPr>
      <w:r>
        <w:rPr>
          <w:color w:val="000000"/>
        </w:rPr>
        <w:t>Koeficientas k = 0,1.</w:t>
      </w:r>
    </w:p>
    <w:p>
      <w:pPr>
        <w:rPr>
          <w:sz w:val="10"/>
          <w:szCs w:val="10"/>
        </w:rPr>
      </w:pPr>
    </w:p>
    <w:p>
      <w:pPr>
        <w:ind w:firstLine="709"/>
        <w:rPr>
          <w:color w:val="000000"/>
        </w:rPr>
      </w:pPr>
      <w:r>
        <w:rPr>
          <w:color w:val="000000"/>
        </w:rPr>
        <w:t>Bendrabučio bendrosioms reikmėms sunaudotas per ataskaitinį laikotarpį bendras elektros energijos kiekis (be elektros energijos kiekio, sunaudoto lifto (liftų) elektros įrenginiams)</w:t>
      </w:r>
      <w:r>
        <w:rPr>
          <w:b/>
          <w:bCs/>
          <w:color w:val="000000"/>
        </w:rPr>
        <w:t xml:space="preserve"> </w:t>
      </w:r>
      <w:r>
        <w:rPr>
          <w:color w:val="000000"/>
        </w:rPr>
        <w:t>pinigine išraiška (E</w:t>
      </w:r>
      <w:r>
        <w:rPr>
          <w:color w:val="000000"/>
          <w:szCs w:val="24"/>
          <w:vertAlign w:val="subscript"/>
        </w:rPr>
        <w:t>bnk</w:t>
      </w:r>
      <w:r>
        <w:rPr>
          <w:color w:val="000000"/>
        </w:rPr>
        <w:t>) – 50,00 Lt (500,00 × 0,1).</w:t>
      </w:r>
    </w:p>
    <w:p>
      <w:pPr>
        <w:rPr>
          <w:sz w:val="10"/>
          <w:szCs w:val="10"/>
        </w:rPr>
      </w:pPr>
    </w:p>
    <w:p>
      <w:pPr>
        <w:ind w:firstLine="709"/>
        <w:rPr>
          <w:color w:val="000000"/>
        </w:rPr>
      </w:pPr>
      <w:r>
        <w:rPr>
          <w:color w:val="000000"/>
        </w:rPr>
        <w:t>Visų savininkų ir nuomininkų patalpų bendrojo (naudingojo) ploto suma (</w:t>
      </w:r>
      <w:r>
        <w:rPr>
          <w:color w:val="000000"/>
          <w:position w:val="-14"/>
        </w:rPr>
        <w:object w:dxaOrig="600" w:dyaOrig="405">
          <v:shape id="_x0000_i1029" type="#_x0000_t75" style="width:30.05pt;height:19.8pt" o:ole="">
            <v:imagedata r:id="rId42" o:title=""/>
          </v:shape>
          <o:OLEObject Type="Embed" ProgID="Equation.3" ShapeID="_x0000_i1029" DrawAspect="Content" ObjectID="_0000000001" r:id="rId43"/>
        </w:object>
      </w:r>
      <w:r>
        <w:rPr>
          <w:color w:val="000000"/>
        </w:rPr>
        <w:t>) – 1000,78 kv. m.</w:t>
      </w:r>
    </w:p>
    <w:p>
      <w:pPr>
        <w:rPr>
          <w:sz w:val="10"/>
          <w:szCs w:val="10"/>
        </w:rPr>
      </w:pPr>
    </w:p>
    <w:p>
      <w:pPr>
        <w:ind w:firstLine="709"/>
        <w:rPr>
          <w:color w:val="000000"/>
        </w:rPr>
      </w:pPr>
      <w:r>
        <w:rPr>
          <w:color w:val="000000"/>
        </w:rPr>
        <w:t>Savininko ar nuomininko, kuriam skaičiuojamas įmokos dydis, turinčio patalpose įrengtus elektros energijos apskaitos prietaisus, turimas patalpų bendrasis (naudingasis) plotas (P</w:t>
      </w:r>
      <w:r>
        <w:rPr>
          <w:color w:val="000000"/>
          <w:szCs w:val="24"/>
          <w:vertAlign w:val="subscript"/>
        </w:rPr>
        <w:t>b</w:t>
      </w:r>
      <w:r>
        <w:rPr>
          <w:color w:val="000000"/>
        </w:rPr>
        <w:t>) – 40,65 kv. m.</w:t>
      </w:r>
    </w:p>
    <w:p>
      <w:pPr>
        <w:rPr>
          <w:sz w:val="10"/>
          <w:szCs w:val="10"/>
        </w:rPr>
      </w:pPr>
    </w:p>
    <w:p>
      <w:pPr>
        <w:ind w:firstLine="709"/>
        <w:rPr>
          <w:color w:val="000000"/>
        </w:rPr>
      </w:pPr>
      <w:r>
        <w:rPr>
          <w:color w:val="000000"/>
        </w:rPr>
        <w:t>Šiuo atveju savininko ar nuomininko, turinčio patalpose įrengtus elektros energijos apskaitos prietaisus, įmokos už bendrabučio bendrojo naudojimo patalpose sunaudotą per ataskaitinį laikotarpį elektros energijos kiekį (be elektros energijos kiekio, sunaudoto lifto (liftų) elektros įrenginiams) dydis (pinigine išraiška) būtų:</w:t>
      </w:r>
    </w:p>
    <w:p>
      <w:pPr>
        <w:rPr>
          <w:sz w:val="10"/>
          <w:szCs w:val="10"/>
        </w:rPr>
      </w:pPr>
    </w:p>
    <w:p>
      <w:pPr>
        <w:ind w:firstLine="709"/>
        <w:rPr>
          <w:color w:val="000000"/>
        </w:rPr>
      </w:pPr>
      <w:r>
        <w:rPr>
          <w:lang w:eastAsia="lt-LT"/>
        </w:rPr>
        <w:drawing>
          <wp:inline distT="0" distB="0" distL="0" distR="0">
            <wp:extent cx="3505200" cy="619125"/>
            <wp:effectExtent l="0" t="0" r="0" b="952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3505200" cy="619125"/>
                    </a:xfrm>
                    <a:prstGeom prst="rect">
                      <a:avLst/>
                    </a:prstGeom>
                  </pic:spPr>
                </pic:pic>
              </a:graphicData>
            </a:graphic>
          </wp:inline>
        </w:drawing>
      </w:r>
    </w:p>
    <w:p>
      <w:pPr>
        <w:rPr>
          <w:sz w:val="10"/>
          <w:szCs w:val="10"/>
        </w:rPr>
      </w:pPr>
    </w:p>
    <w:p>
      <w:pPr>
        <w:rPr>
          <w:sz w:val="10"/>
          <w:szCs w:val="10"/>
        </w:rPr>
      </w:pPr>
    </w:p>
    <w:p>
      <w:pPr>
        <w:ind w:firstLine="709"/>
        <w:rPr>
          <w:color w:val="000000"/>
        </w:rPr>
      </w:pPr>
      <w:r>
        <w:rPr>
          <w:color w:val="000000"/>
        </w:rPr>
        <w:t>7.2</w:t>
      </w:r>
      <w:r>
        <w:rPr>
          <w:color w:val="000000"/>
        </w:rPr>
        <w:t>. Savininkui ar nuomininkui, kurio patalpose nėra įrengti elektros energijos apskaitos prietaisai, įmokos už jo patalpose ir už bendrabučio bendrojo naudojimo patalpose sunaudotą elektros energijos kiekį (be elektros energijos kiekio, sunaudoto lifto (liftų) elektros įrenginiams), tenkantį jo patalpoms, dydis apskaičiuojamas pagal šią formulę:</w:t>
      </w:r>
    </w:p>
    <w:p>
      <w:pPr>
        <w:rPr>
          <w:sz w:val="10"/>
          <w:szCs w:val="10"/>
        </w:rPr>
      </w:pPr>
    </w:p>
    <w:p>
      <w:pPr>
        <w:rPr>
          <w:sz w:val="10"/>
          <w:szCs w:val="10"/>
        </w:rPr>
      </w:pPr>
    </w:p>
    <w:p>
      <w:pPr>
        <w:rPr>
          <w:sz w:val="10"/>
          <w:szCs w:val="10"/>
        </w:rPr>
      </w:pPr>
    </w:p>
    <w:p>
      <w:pPr>
        <w:ind w:firstLine="709"/>
        <w:rPr>
          <w:color w:val="000000"/>
        </w:rPr>
      </w:pPr>
      <w:r>
        <w:rPr>
          <w:lang w:eastAsia="lt-LT"/>
        </w:rPr>
        <w:drawing>
          <wp:inline distT="0" distB="0" distL="0" distR="0">
            <wp:extent cx="2209800" cy="866775"/>
            <wp:effectExtent l="0" t="0" r="0"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209800" cy="866775"/>
                    </a:xfrm>
                    <a:prstGeom prst="rect">
                      <a:avLst/>
                    </a:prstGeom>
                  </pic:spPr>
                </pic:pic>
              </a:graphicData>
            </a:graphic>
          </wp:inline>
        </w:drawing>
      </w:r>
    </w:p>
    <w:p>
      <w:pPr>
        <w:rPr>
          <w:sz w:val="10"/>
          <w:szCs w:val="10"/>
        </w:rPr>
      </w:pPr>
    </w:p>
    <w:p>
      <w:pPr>
        <w:ind w:firstLine="709"/>
        <w:rPr>
          <w:color w:val="000000"/>
        </w:rPr>
      </w:pPr>
      <w:r>
        <w:rPr>
          <w:color w:val="000000"/>
        </w:rPr>
        <w:t>kur:</w:t>
      </w:r>
    </w:p>
    <w:p>
      <w:pPr>
        <w:rPr>
          <w:sz w:val="10"/>
          <w:szCs w:val="10"/>
        </w:rPr>
      </w:pPr>
    </w:p>
    <w:p>
      <w:pPr>
        <w:ind w:firstLine="709"/>
        <w:rPr>
          <w:color w:val="000000"/>
        </w:rPr>
      </w:pPr>
      <w:r>
        <w:rPr>
          <w:color w:val="000000"/>
        </w:rPr>
        <w:t>E</w:t>
      </w:r>
      <w:r>
        <w:rPr>
          <w:color w:val="000000"/>
          <w:szCs w:val="24"/>
          <w:vertAlign w:val="subscript"/>
        </w:rPr>
        <w:t>nv</w:t>
      </w:r>
      <w:r>
        <w:rPr>
          <w:color w:val="000000"/>
        </w:rPr>
        <w:t xml:space="preserve"> – savininko ar nuomininko, kurio patalpose nėra įrengti elektros energijos apskaitos prietaisai, įmokos už jo patalpose ir už bendrabučio bendrojo naudojimo patalpose sunaudotą per ataskaitinį laikotarpį elektros energijos kiekį (be elektros energijos kiekio, sunaudoto lifto (liftų) elektros įrenginiams), dydis (pinigine išraiška), Lt;</w:t>
      </w:r>
    </w:p>
    <w:p>
      <w:pPr>
        <w:rPr>
          <w:sz w:val="10"/>
          <w:szCs w:val="10"/>
        </w:rPr>
      </w:pPr>
    </w:p>
    <w:p>
      <w:pPr>
        <w:ind w:firstLine="709"/>
        <w:rPr>
          <w:color w:val="000000"/>
        </w:rPr>
      </w:pPr>
      <w:r>
        <w:rPr>
          <w:color w:val="000000"/>
        </w:rPr>
        <w:t>E</w:t>
      </w:r>
      <w:r>
        <w:rPr>
          <w:color w:val="000000"/>
          <w:szCs w:val="24"/>
          <w:vertAlign w:val="subscript"/>
        </w:rPr>
        <w:t>iv</w:t>
      </w:r>
      <w:r>
        <w:rPr>
          <w:color w:val="000000"/>
        </w:rPr>
        <w:t xml:space="preserve"> – per ataskaitinį laikotarpį visame bendrabutyje sunaudotas elektros energijos kiekis pinigine išraiška (pagal bendrabučio įvade įrengto elektros energijos apskaitos prietaiso rodmenų skirtumą be elektros energijos kiekio, sunaudoto lifto (liftų) elektros įrenginiams), Lt;</w:t>
      </w:r>
    </w:p>
    <w:p>
      <w:pPr>
        <w:rPr>
          <w:sz w:val="10"/>
          <w:szCs w:val="10"/>
        </w:rPr>
      </w:pPr>
    </w:p>
    <w:p>
      <w:pPr>
        <w:ind w:firstLine="709"/>
        <w:rPr>
          <w:color w:val="000000"/>
        </w:rPr>
      </w:pPr>
      <w:r>
        <w:rPr>
          <w:color w:val="000000"/>
          <w:position w:val="-14"/>
        </w:rPr>
        <w:object w:dxaOrig="705" w:dyaOrig="405">
          <v:shape id="_x0000_i1030" type="#_x0000_t75" style="width:34.8pt;height:19.8pt" o:ole="">
            <v:imagedata r:id="rId46" o:title=""/>
          </v:shape>
          <o:OLEObject Type="Embed" ProgID="Equation.3" ShapeID="_x0000_i1030" DrawAspect="Content" ObjectID="_0000000001" r:id="rId47"/>
        </w:object>
      </w:r>
      <w:r>
        <w:rPr>
          <w:color w:val="000000"/>
        </w:rPr>
        <w:t xml:space="preserve"> – visų savininkų ir nuomininkų, kurių patalpose yra įrengti elektros energijos apskaitos prietaisai, apskaičiuotų (pagal 7.1 punkte nurodytą formulę) įmokų už bendrabučio bendrojo naudojimo patalpose sunaudotą per ataskaitinį laikotarpį elektros energijos kiekį (be įmokų už liftą (liftus)) suma, Lt;</w:t>
      </w:r>
    </w:p>
    <w:p>
      <w:pPr>
        <w:rPr>
          <w:sz w:val="10"/>
          <w:szCs w:val="10"/>
        </w:rPr>
      </w:pPr>
    </w:p>
    <w:p>
      <w:pPr>
        <w:ind w:firstLine="709"/>
        <w:rPr>
          <w:color w:val="000000"/>
        </w:rPr>
      </w:pPr>
      <w:r>
        <w:rPr>
          <w:color w:val="000000"/>
          <w:position w:val="-14"/>
          <w:szCs w:val="11"/>
        </w:rPr>
        <w:object w:dxaOrig="720" w:dyaOrig="405">
          <v:shape id="_x0000_i1031" type="#_x0000_t75" style="width:36.4pt;height:19.8pt" o:ole="">
            <v:imagedata r:id="rId48" o:title=""/>
          </v:shape>
          <o:OLEObject Type="Embed" ProgID="Equation.3" ShapeID="_x0000_i1031" DrawAspect="Content" ObjectID="_0000000001" r:id="rId49"/>
        </w:object>
      </w:r>
      <w:r>
        <w:rPr>
          <w:color w:val="000000"/>
          <w:position w:val="-6"/>
          <w:szCs w:val="11"/>
        </w:rPr>
        <w:t xml:space="preserve"> </w:t>
      </w:r>
      <w:r>
        <w:rPr>
          <w:color w:val="000000"/>
        </w:rPr>
        <w:t>–</w:t>
      </w:r>
      <w:r>
        <w:rPr>
          <w:color w:val="000000"/>
          <w:position w:val="-6"/>
          <w:szCs w:val="11"/>
        </w:rPr>
        <w:t xml:space="preserve"> </w:t>
      </w:r>
      <w:r>
        <w:rPr>
          <w:color w:val="000000"/>
        </w:rPr>
        <w:t>visų savininkų ir nuomininkų, kurių patalpose nėra įrengti elektros energijos apskaitos prietaisai, patalpų bendrojo (naudingojo) ploto suma, kv. m. Šis dydis nurodomas dviejų skaičių po kablelio tikslumu;</w:t>
      </w:r>
    </w:p>
    <w:p>
      <w:pPr>
        <w:rPr>
          <w:sz w:val="10"/>
          <w:szCs w:val="10"/>
        </w:rPr>
      </w:pPr>
    </w:p>
    <w:p>
      <w:pPr>
        <w:ind w:firstLine="709"/>
        <w:rPr>
          <w:color w:val="000000"/>
        </w:rPr>
      </w:pPr>
      <w:r>
        <w:rPr>
          <w:color w:val="000000"/>
        </w:rPr>
        <w:t>P</w:t>
      </w:r>
      <w:r>
        <w:rPr>
          <w:color w:val="000000"/>
          <w:szCs w:val="24"/>
          <w:vertAlign w:val="subscript"/>
        </w:rPr>
        <w:t>bnv</w:t>
      </w:r>
      <w:r>
        <w:rPr>
          <w:color w:val="000000"/>
        </w:rPr>
        <w:t xml:space="preserve"> – savininko ar nuomininko, kurio patalpose nėra įrengti elektros energijos apskaitos prietaisai, patalpų bendrasis (naudingasis) plotas, kv. m. Šis dydis nurodomas dviejų skaičių po kablelio tikslumu.</w:t>
      </w:r>
    </w:p>
    <w:p>
      <w:pPr>
        <w:rPr>
          <w:sz w:val="10"/>
          <w:szCs w:val="10"/>
        </w:rPr>
      </w:pPr>
    </w:p>
    <w:p>
      <w:pPr>
        <w:ind w:firstLine="709"/>
        <w:rPr>
          <w:color w:val="000000"/>
        </w:rPr>
      </w:pPr>
      <w:r>
        <w:rPr>
          <w:color w:val="000000"/>
        </w:rPr>
        <w:t>Jei bendrabutyje yra įrengtas liftas (liftai), tai kiekvienas gyvenamųjų ir negyvenamųjų patalpų savininkas ar nuomininkas (išskyrus pirmojo ir antrojo aukštų savininkus ir nuomininkus), kurio patalpose nėra įrengti elektros energijos apskaitos prietaisai, dar sumoka ir už elektros energijos kiekį, sunaudotą lifto (liftų) elektros įrenginiams, pagal šios metodikos V skyriuje nustatytą tvarką.</w:t>
      </w:r>
    </w:p>
    <w:p>
      <w:pPr>
        <w:rPr>
          <w:sz w:val="10"/>
          <w:szCs w:val="10"/>
        </w:rPr>
      </w:pPr>
    </w:p>
    <w:p>
      <w:pPr>
        <w:ind w:firstLine="709"/>
        <w:rPr>
          <w:color w:val="000000"/>
        </w:rPr>
      </w:pPr>
      <w:r>
        <w:rPr>
          <w:b/>
          <w:bCs/>
          <w:color w:val="000000"/>
        </w:rPr>
        <w:t>Pavyzdys.</w:t>
      </w:r>
    </w:p>
    <w:p>
      <w:pPr>
        <w:rPr>
          <w:sz w:val="10"/>
          <w:szCs w:val="10"/>
        </w:rPr>
      </w:pPr>
    </w:p>
    <w:p>
      <w:pPr>
        <w:ind w:firstLine="709"/>
        <w:rPr>
          <w:color w:val="000000"/>
        </w:rPr>
      </w:pPr>
      <w:r>
        <w:rPr>
          <w:color w:val="000000"/>
        </w:rPr>
        <w:t>Bendrabučio įvade įrengtos elektros energijos apskaitos prietaiso rodmenų skirtumas per ataskaitinį laikotarpį (be elektros energijos kiekio, sunaudoto lifto (liftų) elektros įrenginiams), padaugintas iš galiojančio tarifo, buvo (E</w:t>
      </w:r>
      <w:r>
        <w:rPr>
          <w:color w:val="000000"/>
          <w:szCs w:val="24"/>
          <w:vertAlign w:val="subscript"/>
        </w:rPr>
        <w:t>iv</w:t>
      </w:r>
      <w:r>
        <w:rPr>
          <w:color w:val="000000"/>
          <w:position w:val="-6"/>
          <w:szCs w:val="11"/>
        </w:rPr>
        <w:t>)</w:t>
      </w:r>
      <w:r>
        <w:rPr>
          <w:color w:val="000000"/>
        </w:rPr>
        <w:t xml:space="preserve"> 500,00 Lt.</w:t>
      </w:r>
    </w:p>
    <w:p>
      <w:pPr>
        <w:rPr>
          <w:sz w:val="10"/>
          <w:szCs w:val="10"/>
        </w:rPr>
      </w:pPr>
    </w:p>
    <w:p>
      <w:pPr>
        <w:ind w:firstLine="709"/>
        <w:rPr>
          <w:color w:val="000000"/>
        </w:rPr>
      </w:pPr>
      <w:r>
        <w:rPr>
          <w:color w:val="000000"/>
        </w:rPr>
        <w:t>Visų bendrabučio patalpų savininkų ir nuomininkų, kurių patalpose yra įrengti elektros energijos apskaitos prietaisai, apskaičiuotų (pagal 7.1 punkte nurodytą formulę) įmokų už bendrabučio bendrojo naudojimo patalpose sunaudotą per ataskaitinį laikotarpį elektros energijos kiekį (be įmokų už liftą (liftus)) suma buvo (</w:t>
      </w:r>
      <w:r>
        <w:rPr>
          <w:color w:val="000000"/>
          <w:position w:val="-14"/>
        </w:rPr>
        <w:object w:dxaOrig="705" w:dyaOrig="405">
          <v:shape id="_x0000_i1032" type="#_x0000_t75" style="width:34.8pt;height:19.8pt" o:ole="">
            <v:imagedata r:id="rId50" o:title=""/>
          </v:shape>
          <o:OLEObject Type="Embed" ProgID="Equation.3" ShapeID="_x0000_i1032" DrawAspect="Content" ObjectID="_0000000001" r:id="rId51"/>
        </w:object>
      </w:r>
      <w:r>
        <w:rPr>
          <w:color w:val="000000"/>
        </w:rPr>
        <w:t>) 20,00 Lt.</w:t>
      </w:r>
    </w:p>
    <w:p>
      <w:pPr>
        <w:rPr>
          <w:sz w:val="10"/>
          <w:szCs w:val="10"/>
        </w:rPr>
      </w:pPr>
    </w:p>
    <w:p>
      <w:pPr>
        <w:ind w:firstLine="709"/>
        <w:rPr>
          <w:color w:val="000000"/>
        </w:rPr>
      </w:pPr>
      <w:r>
        <w:rPr>
          <w:color w:val="000000"/>
        </w:rPr>
        <w:t>Visų savininkų ir nuomininkų, kurių patalpose nėra įrengti elektros energijos apskaitos prietaisai, patalpų bendrojo (naudingojo) ploto suma (</w:t>
      </w:r>
      <w:r>
        <w:rPr>
          <w:color w:val="000000"/>
          <w:position w:val="-14"/>
        </w:rPr>
        <w:object w:dxaOrig="720" w:dyaOrig="405">
          <v:shape id="_x0000_i1033" type="#_x0000_t75" style="width:36.4pt;height:19.8pt" o:ole="">
            <v:imagedata r:id="rId52" o:title=""/>
          </v:shape>
          <o:OLEObject Type="Embed" ProgID="Equation.3" ShapeID="_x0000_i1033" DrawAspect="Content" ObjectID="_0000000001" r:id="rId53"/>
        </w:object>
      </w:r>
      <w:r>
        <w:rPr>
          <w:color w:val="000000"/>
        </w:rPr>
        <w:t>), pvz., – 700,00 kv. m.</w:t>
      </w:r>
    </w:p>
    <w:p>
      <w:pPr>
        <w:rPr>
          <w:sz w:val="10"/>
          <w:szCs w:val="10"/>
        </w:rPr>
      </w:pPr>
    </w:p>
    <w:p>
      <w:pPr>
        <w:ind w:firstLine="709"/>
        <w:rPr>
          <w:color w:val="000000"/>
        </w:rPr>
      </w:pPr>
      <w:r>
        <w:rPr>
          <w:color w:val="000000"/>
        </w:rPr>
        <w:t>Savininko ar nuomininko, neturinčio patalpose įrengtų elektros energijos apskaitos prietaisų, kuriam skaičiuojamas įmokos dydis, turimas patalpų bendrasis (naudingasis) plotas (P</w:t>
      </w:r>
      <w:r>
        <w:rPr>
          <w:color w:val="000000"/>
          <w:position w:val="-6"/>
          <w:szCs w:val="11"/>
        </w:rPr>
        <w:t>bnv</w:t>
      </w:r>
      <w:r>
        <w:rPr>
          <w:color w:val="000000"/>
        </w:rPr>
        <w:t>) – 40,65 kv. m.</w:t>
      </w:r>
    </w:p>
    <w:p>
      <w:pPr>
        <w:rPr>
          <w:sz w:val="10"/>
          <w:szCs w:val="10"/>
        </w:rPr>
      </w:pPr>
    </w:p>
    <w:p>
      <w:pPr>
        <w:ind w:firstLine="709"/>
        <w:rPr>
          <w:color w:val="000000"/>
        </w:rPr>
      </w:pPr>
      <w:r>
        <w:rPr>
          <w:color w:val="000000"/>
        </w:rPr>
        <w:t>Šiuo atveju savininko ar nuomininko, neturinčio patalpose įrengtų elektros energijos apskaitos prietaisų, įmokos už sunaudotą per ataskaitinį laikotarpį jo patalpose ir bendrabučio bendrojo naudojimo patalpose elektros energijos kiekį (be elektros energijos kiekio, sunaudoto lifto (liftų) elektros įrenginiams) dydis būtų:</w:t>
      </w:r>
    </w:p>
    <w:p>
      <w:pPr>
        <w:rPr>
          <w:sz w:val="10"/>
          <w:szCs w:val="10"/>
        </w:rPr>
      </w:pPr>
    </w:p>
    <w:p>
      <w:pPr>
        <w:ind w:firstLine="709"/>
        <w:rPr>
          <w:color w:val="000000"/>
        </w:rPr>
      </w:pPr>
      <w:r>
        <w:rPr>
          <w:lang w:eastAsia="lt-LT"/>
        </w:rPr>
        <w:drawing>
          <wp:inline distT="0" distB="0" distL="0" distR="0">
            <wp:extent cx="4467225" cy="800100"/>
            <wp:effectExtent l="0" t="0" r="9525"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4467225" cy="800100"/>
                    </a:xfrm>
                    <a:prstGeom prst="rect">
                      <a:avLst/>
                    </a:prstGeom>
                  </pic:spPr>
                </pic:pic>
              </a:graphicData>
            </a:graphic>
          </wp:inline>
        </w:drawing>
      </w:r>
    </w:p>
    <w:p>
      <w:pPr>
        <w:rPr>
          <w:sz w:val="10"/>
          <w:szCs w:val="10"/>
        </w:rPr>
      </w:pPr>
    </w:p>
    <w:p>
      <w:pPr>
        <w:rPr>
          <w:sz w:val="10"/>
          <w:szCs w:val="10"/>
        </w:rPr>
      </w:pPr>
    </w:p>
    <w:p>
      <w:pPr>
        <w:jc w:val="center"/>
        <w:rPr>
          <w:b/>
          <w:bCs/>
          <w:caps/>
          <w:color w:val="000000"/>
        </w:rPr>
      </w:pPr>
      <w:r>
        <w:rPr>
          <w:b/>
          <w:bCs/>
          <w:caps/>
          <w:color w:val="000000"/>
        </w:rPr>
        <w:t>V</w:t>
      </w:r>
      <w:r>
        <w:rPr>
          <w:b/>
          <w:bCs/>
          <w:caps/>
          <w:color w:val="000000"/>
        </w:rPr>
        <w:t xml:space="preserve">. </w:t>
      </w:r>
      <w:r>
        <w:rPr>
          <w:b/>
          <w:bCs/>
          <w:caps/>
          <w:color w:val="000000"/>
        </w:rPr>
        <w:t>ĮMOKŲ UŽ LIFTO ELEKTROS ĮRENGINIAMS SUNAUDOTĄ ELEKTROS ENERGIJĄ PASKIRSTYMAS BENDRABUČIO PATALPŲ SAVININKAMS IR NUOMININKAMS</w:t>
      </w:r>
    </w:p>
    <w:p>
      <w:pPr>
        <w:ind w:firstLine="709"/>
        <w:jc w:val="both"/>
        <w:rPr>
          <w:color w:val="000000"/>
          <w:szCs w:val="8"/>
        </w:rPr>
      </w:pPr>
    </w:p>
    <w:p>
      <w:pPr>
        <w:ind w:firstLine="709"/>
        <w:rPr>
          <w:color w:val="000000"/>
        </w:rPr>
      </w:pPr>
      <w:r>
        <w:rPr>
          <w:color w:val="000000"/>
        </w:rPr>
        <w:t>8</w:t>
      </w:r>
      <w:r>
        <w:rPr>
          <w:color w:val="000000"/>
        </w:rPr>
        <w:t>. Jei bendrabutyje yra įrengtas liftas (liftai) ir jo (jų) elektros įrenginių sunaudotai elektros energijai apskaityti yra įrengta atskira elektros energijos apskaitos įranga, tai tokio bendrabučio patalpų savininkams ar nuomininkams (išskyrus pirmojo ir antrojo aukšto savininkus bei nuomininkus) įmokos už lifto (liftų) elektros įrenginiams sunaudotą elektros energiją dydis apskaičiuojamas pagal šią formulę:</w:t>
      </w:r>
    </w:p>
    <w:p>
      <w:pPr>
        <w:rPr>
          <w:sz w:val="10"/>
          <w:szCs w:val="10"/>
        </w:rPr>
      </w:pPr>
    </w:p>
    <w:p>
      <w:pPr>
        <w:ind w:firstLine="709"/>
        <w:rPr>
          <w:color w:val="000000"/>
        </w:rPr>
      </w:pPr>
      <w:r>
        <w:rPr>
          <w:lang w:eastAsia="lt-LT"/>
        </w:rPr>
        <w:drawing>
          <wp:inline distT="0" distB="0" distL="0" distR="0">
            <wp:extent cx="2619375" cy="771525"/>
            <wp:effectExtent l="0" t="0" r="9525" b="952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2619375" cy="771525"/>
                    </a:xfrm>
                    <a:prstGeom prst="rect">
                      <a:avLst/>
                    </a:prstGeom>
                  </pic:spPr>
                </pic:pic>
              </a:graphicData>
            </a:graphic>
          </wp:inline>
        </w:drawing>
      </w:r>
    </w:p>
    <w:p>
      <w:pPr>
        <w:rPr>
          <w:sz w:val="10"/>
          <w:szCs w:val="10"/>
        </w:rPr>
      </w:pPr>
    </w:p>
    <w:p>
      <w:pPr>
        <w:rPr>
          <w:sz w:val="10"/>
          <w:szCs w:val="10"/>
        </w:rPr>
      </w:pPr>
    </w:p>
    <w:p>
      <w:pPr>
        <w:ind w:firstLine="709"/>
        <w:rPr>
          <w:color w:val="000000"/>
        </w:rPr>
      </w:pPr>
      <w:r>
        <w:rPr>
          <w:color w:val="000000"/>
        </w:rPr>
        <w:t>kur:</w:t>
      </w:r>
    </w:p>
    <w:p>
      <w:pPr>
        <w:rPr>
          <w:sz w:val="10"/>
          <w:szCs w:val="10"/>
        </w:rPr>
      </w:pPr>
    </w:p>
    <w:p>
      <w:pPr>
        <w:ind w:firstLine="709"/>
        <w:rPr>
          <w:color w:val="000000"/>
        </w:rPr>
      </w:pPr>
      <w:r>
        <w:rPr>
          <w:color w:val="000000"/>
        </w:rPr>
        <w:t>E</w:t>
      </w:r>
      <w:r>
        <w:rPr>
          <w:color w:val="000000"/>
          <w:szCs w:val="24"/>
          <w:vertAlign w:val="subscript"/>
        </w:rPr>
        <w:t xml:space="preserve">lift but </w:t>
      </w:r>
      <w:r>
        <w:rPr>
          <w:color w:val="000000"/>
        </w:rPr>
        <w:t>– savininko ar nuomininko (išskyrus pirmojo ir antrojo aukštų savininkus bei nuomininkus) įmokos už lifto (liftų) elektros įrenginiams sunaudotą per ataskaitinį laikotarpį elektros energiją dydis, Lt;</w:t>
      </w:r>
    </w:p>
    <w:p>
      <w:pPr>
        <w:rPr>
          <w:sz w:val="10"/>
          <w:szCs w:val="10"/>
        </w:rPr>
      </w:pPr>
    </w:p>
    <w:p>
      <w:pPr>
        <w:ind w:firstLine="709"/>
        <w:rPr>
          <w:color w:val="000000"/>
        </w:rPr>
      </w:pPr>
      <w:r>
        <w:rPr>
          <w:color w:val="000000"/>
        </w:rPr>
        <w:t>E</w:t>
      </w:r>
      <w:r>
        <w:rPr>
          <w:color w:val="000000"/>
          <w:szCs w:val="24"/>
          <w:vertAlign w:val="subscript"/>
        </w:rPr>
        <w:t>lift</w:t>
      </w:r>
      <w:r>
        <w:rPr>
          <w:color w:val="000000"/>
        </w:rPr>
        <w:t>– bendras lifto (liftų) elektros įrenginiams sunaudotas per ataskaitinį laikotarpį elektros energijos kiekis (pagal elektros energijos apskaitos prietaiso, fiksuojančio lifto (liftų) elektros įrenginiams sunaudotą elektros energijos kiekį, rodmenų skirtumą) pinigine išraiška, Lt;</w:t>
      </w:r>
    </w:p>
    <w:p>
      <w:pPr>
        <w:rPr>
          <w:sz w:val="10"/>
          <w:szCs w:val="10"/>
        </w:rPr>
      </w:pPr>
    </w:p>
    <w:p>
      <w:pPr>
        <w:ind w:firstLine="709"/>
        <w:rPr>
          <w:color w:val="000000"/>
        </w:rPr>
      </w:pPr>
      <w:r>
        <w:rPr>
          <w:color w:val="000000"/>
          <w:position w:val="-14"/>
        </w:rPr>
        <w:object w:dxaOrig="600" w:dyaOrig="405">
          <v:shape id="_x0000_i1034" type="#_x0000_t75" style="width:30.05pt;height:19.8pt" o:ole="">
            <v:imagedata r:id="rId56" o:title=""/>
          </v:shape>
          <o:OLEObject Type="Embed" ProgID="Equation.3" ShapeID="_x0000_i1034" DrawAspect="Content" ObjectID="_0000000001" r:id="rId57"/>
        </w:object>
      </w:r>
      <w:r>
        <w:rPr>
          <w:color w:val="000000"/>
        </w:rPr>
        <w:t xml:space="preserve"> – visų savininkų ir nuomininkų patalpų bendrojo (naudingojo) ploto suma, kv. m. Šis dydis nurodomas dviejų skaičių po kablelio tikslumu;</w:t>
      </w:r>
    </w:p>
    <w:p>
      <w:pPr>
        <w:rPr>
          <w:sz w:val="10"/>
          <w:szCs w:val="10"/>
        </w:rPr>
      </w:pPr>
    </w:p>
    <w:p>
      <w:pPr>
        <w:ind w:firstLine="709"/>
        <w:rPr>
          <w:color w:val="000000"/>
        </w:rPr>
      </w:pPr>
      <w:r>
        <w:rPr>
          <w:color w:val="000000"/>
        </w:rPr>
        <w:t>P</w:t>
      </w:r>
      <w:r>
        <w:rPr>
          <w:color w:val="000000"/>
          <w:szCs w:val="24"/>
          <w:vertAlign w:val="subscript"/>
        </w:rPr>
        <w:t>b</w:t>
      </w:r>
      <w:r>
        <w:rPr>
          <w:color w:val="000000"/>
        </w:rPr>
        <w:t xml:space="preserve"> – vieno savininko ar nuomininko, kuriam skaičiuojama įmoka už lifto (liftų) elektros įrenginiams sunaudotą per ataskaitinį laikotarpį elektros energijos kiekį, patalpų bendrasis (naudingasis) plotas, kv. m. Šis dydis nurodomas dviejų skaičių po kablelio tikslumu;</w:t>
      </w:r>
    </w:p>
    <w:p>
      <w:pPr>
        <w:rPr>
          <w:sz w:val="10"/>
          <w:szCs w:val="10"/>
        </w:rPr>
      </w:pPr>
    </w:p>
    <w:p>
      <w:pPr>
        <w:ind w:firstLine="709"/>
        <w:rPr>
          <w:color w:val="000000"/>
        </w:rPr>
      </w:pPr>
      <w:r>
        <w:rPr>
          <w:color w:val="000000"/>
          <w:position w:val="-14"/>
        </w:rPr>
        <w:object w:dxaOrig="855" w:dyaOrig="405">
          <v:shape id="_x0000_i1035" type="#_x0000_t75" style="width:42.75pt;height:19.8pt" o:ole="">
            <v:imagedata r:id="rId58" o:title=""/>
          </v:shape>
          <o:OLEObject Type="Embed" ProgID="Equation.3" ShapeID="_x0000_i1035" DrawAspect="Content" ObjectID="_0000000001" r:id="rId59"/>
        </w:object>
      </w:r>
      <w:r>
        <w:rPr>
          <w:color w:val="000000"/>
        </w:rPr>
        <w:t xml:space="preserve"> – I ir II aukštų savininkų bei nuomininkų patalpų bendrojo (naudingojo) ploto suma, kv. m. Šis dydis nurodomas dviejų skaičių po kablelio tikslumu.</w:t>
      </w:r>
    </w:p>
    <w:p>
      <w:pPr>
        <w:rPr>
          <w:sz w:val="10"/>
          <w:szCs w:val="10"/>
        </w:rPr>
      </w:pPr>
    </w:p>
    <w:p>
      <w:pPr>
        <w:ind w:firstLine="709"/>
        <w:rPr>
          <w:color w:val="000000"/>
        </w:rPr>
      </w:pPr>
      <w:r>
        <w:rPr>
          <w:b/>
          <w:bCs/>
          <w:color w:val="000000"/>
        </w:rPr>
        <w:t>Pavyzdys.</w:t>
      </w:r>
    </w:p>
    <w:p>
      <w:pPr>
        <w:rPr>
          <w:sz w:val="10"/>
          <w:szCs w:val="10"/>
        </w:rPr>
      </w:pPr>
    </w:p>
    <w:p>
      <w:pPr>
        <w:ind w:firstLine="709"/>
        <w:rPr>
          <w:color w:val="000000"/>
        </w:rPr>
      </w:pPr>
      <w:r>
        <w:rPr>
          <w:color w:val="000000"/>
        </w:rPr>
        <w:t>Lifto (liftų) elektros įrenginių sunaudoto elektros energijos kiekio apskaitai įrengto apskaitos prietaiso rodmenų skirtumas per ataskaitinį laikotarpį, padaugintas iš galiojančio tarifo, buvo (E</w:t>
      </w:r>
      <w:r>
        <w:rPr>
          <w:color w:val="000000"/>
          <w:szCs w:val="24"/>
          <w:vertAlign w:val="subscript"/>
        </w:rPr>
        <w:t>lift</w:t>
      </w:r>
      <w:r>
        <w:rPr>
          <w:color w:val="000000"/>
        </w:rPr>
        <w:t>) 100,00 Lt.</w:t>
      </w:r>
    </w:p>
    <w:p>
      <w:pPr>
        <w:rPr>
          <w:sz w:val="10"/>
          <w:szCs w:val="10"/>
        </w:rPr>
      </w:pPr>
    </w:p>
    <w:p>
      <w:pPr>
        <w:ind w:firstLine="709"/>
        <w:rPr>
          <w:color w:val="000000"/>
        </w:rPr>
      </w:pPr>
      <w:r>
        <w:rPr>
          <w:color w:val="000000"/>
        </w:rPr>
        <w:t>Bendrabučio visų savininkų ir nuomininkų patalpų bendrojo (naudingojo) ploto suma (</w:t>
      </w:r>
      <w:r>
        <w:rPr>
          <w:color w:val="000000"/>
          <w:position w:val="-14"/>
        </w:rPr>
        <w:object w:dxaOrig="600" w:dyaOrig="405">
          <v:shape id="_x0000_i1036" type="#_x0000_t75" style="width:30.05pt;height:19.8pt" o:ole="">
            <v:imagedata r:id="rId60" o:title=""/>
          </v:shape>
          <o:OLEObject Type="Embed" ProgID="Equation.3" ShapeID="_x0000_i1036" DrawAspect="Content" ObjectID="_0000000001" r:id="rId61"/>
        </w:object>
      </w:r>
      <w:r>
        <w:rPr>
          <w:color w:val="000000"/>
        </w:rPr>
        <w:t>) – 1000,78 kv. m.</w:t>
      </w:r>
    </w:p>
    <w:p>
      <w:pPr>
        <w:rPr>
          <w:sz w:val="10"/>
          <w:szCs w:val="10"/>
        </w:rPr>
      </w:pPr>
    </w:p>
    <w:p>
      <w:pPr>
        <w:ind w:firstLine="709"/>
        <w:rPr>
          <w:color w:val="000000"/>
        </w:rPr>
      </w:pPr>
      <w:r>
        <w:rPr>
          <w:color w:val="000000"/>
        </w:rPr>
        <w:t>Bendrabučio pirmojo ir antrojo aukštų savininkų ir nuomininkų patalpų bendrojo (naudingojo) ploto suma (</w:t>
      </w:r>
      <w:r>
        <w:rPr>
          <w:color w:val="000000"/>
          <w:position w:val="-14"/>
        </w:rPr>
        <w:object w:dxaOrig="855" w:dyaOrig="405">
          <v:shape id="_x0000_i1037" type="#_x0000_t75" style="width:42.75pt;height:19.8pt" o:ole="">
            <v:imagedata r:id="rId62" o:title=""/>
          </v:shape>
          <o:OLEObject Type="Embed" ProgID="Equation.3" ShapeID="_x0000_i1037" DrawAspect="Content" ObjectID="_0000000001" r:id="rId63"/>
        </w:object>
      </w:r>
      <w:r>
        <w:rPr>
          <w:color w:val="000000"/>
        </w:rPr>
        <w:t>) – 200,46 kv. m.</w:t>
      </w:r>
    </w:p>
    <w:p>
      <w:pPr>
        <w:rPr>
          <w:sz w:val="10"/>
          <w:szCs w:val="10"/>
        </w:rPr>
      </w:pPr>
    </w:p>
    <w:p>
      <w:pPr>
        <w:ind w:firstLine="709"/>
        <w:rPr>
          <w:color w:val="000000"/>
        </w:rPr>
      </w:pPr>
      <w:r>
        <w:rPr>
          <w:color w:val="000000"/>
        </w:rPr>
        <w:t>Savininko ar nuomininko, kuriam skaičiuojamas įmokos už lifto elektros įrenginiams sunaudotą per ataskaitinį laikotarpį elektros energijos kiekį dydis, patalpų bendrasis (naudingasis) plotas (P</w:t>
      </w:r>
      <w:r>
        <w:rPr>
          <w:color w:val="000000"/>
          <w:szCs w:val="24"/>
          <w:vertAlign w:val="subscript"/>
        </w:rPr>
        <w:t>b</w:t>
      </w:r>
      <w:r>
        <w:rPr>
          <w:color w:val="000000"/>
        </w:rPr>
        <w:t>) – 40,65 kv. m.</w:t>
      </w:r>
    </w:p>
    <w:p>
      <w:pPr>
        <w:rPr>
          <w:sz w:val="10"/>
          <w:szCs w:val="10"/>
        </w:rPr>
      </w:pPr>
    </w:p>
    <w:p>
      <w:pPr>
        <w:ind w:firstLine="709"/>
        <w:rPr>
          <w:color w:val="000000"/>
        </w:rPr>
      </w:pPr>
      <w:r>
        <w:rPr>
          <w:color w:val="000000"/>
        </w:rPr>
        <w:t>Šiuo atveju savininko ar nuomininko (išskyrus pirmojo ir antrojo aukštų savininkus bei nuomininkus) įmokos už lifto (liftų) elektros įrenginiams sunaudotą per ataskaitinį laikotarpį elektros energijos kiekį dydis būtų:</w:t>
      </w:r>
    </w:p>
    <w:p>
      <w:pPr>
        <w:rPr>
          <w:sz w:val="10"/>
          <w:szCs w:val="10"/>
        </w:rPr>
      </w:pPr>
    </w:p>
    <w:p>
      <w:pPr>
        <w:ind w:firstLine="709"/>
        <w:rPr>
          <w:color w:val="000000"/>
        </w:rPr>
      </w:pPr>
      <w:r>
        <w:rPr>
          <w:lang w:eastAsia="lt-LT"/>
        </w:rPr>
        <w:drawing>
          <wp:inline distT="0" distB="0" distL="0" distR="0">
            <wp:extent cx="4524375" cy="781050"/>
            <wp:effectExtent l="0" t="0" r="9525"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4524375" cy="781050"/>
                    </a:xfrm>
                    <a:prstGeom prst="rect">
                      <a:avLst/>
                    </a:prstGeom>
                  </pic:spPr>
                </pic:pic>
              </a:graphicData>
            </a:graphic>
          </wp:inline>
        </w:drawing>
      </w:r>
    </w:p>
    <w:p>
      <w:pPr>
        <w:rPr>
          <w:sz w:val="10"/>
          <w:szCs w:val="10"/>
        </w:rPr>
      </w:pPr>
    </w:p>
    <w:p>
      <w:pPr>
        <w:ind w:firstLine="709"/>
        <w:rPr>
          <w:color w:val="000000"/>
        </w:rPr>
      </w:pPr>
    </w:p>
    <w:p>
      <w:pPr>
        <w:rPr>
          <w:sz w:val="10"/>
          <w:szCs w:val="10"/>
        </w:rPr>
      </w:pPr>
    </w:p>
    <w:p>
      <w:pPr>
        <w:ind w:firstLine="709"/>
        <w:rPr>
          <w:color w:val="000000"/>
        </w:rPr>
      </w:pPr>
    </w:p>
    <w:p>
      <w:pPr>
        <w:rPr>
          <w:sz w:val="10"/>
          <w:szCs w:val="10"/>
        </w:rPr>
      </w:pPr>
    </w:p>
    <w:p>
      <w:pPr>
        <w:ind w:firstLine="709"/>
        <w:rPr>
          <w:color w:val="000000"/>
        </w:rPr>
      </w:pPr>
      <w:r>
        <w:rPr>
          <w:color w:val="000000"/>
        </w:rPr>
        <w:t>9</w:t>
      </w:r>
      <w:r>
        <w:rPr>
          <w:color w:val="000000"/>
        </w:rPr>
        <w:t>. Jei bendrabutyje yra įrengtas liftas (liftai) ir jo (jų) elektros įrenginių sunaudotai elektros energijai apskaityti nėra įrengti atskiri elektros energijos apskaitos prietaisai, tai skirstomojo tinklo operatorius (elektros tiekėjas) savo lėšomis tokiam bendrabučiui ne ilgiau kaip per 30 kalendorinių dienų nuo įmokas už sunaudotą elektros energiją skirstančio asmens raštiško pranešimo gavimo įmonėje dienos (išskyrus 10 punkte nurodytą atvejį) įrengia atskiros elektros energijos apskaitos prietaisus, fiksuojančius lifto (liftų) elektros įrenginiams sunaudojamą elektros energijos kiekį, ir bendrabučio gyvenamųjų ir negyvenamųjų patalpų savininkams bei nuomininkams lifto (liftų) elektros įrenginiams sunaudotas elektros energijos kiekis (pinigine išraiška) apskaičiuojamas taip, kaip nurodyta 8 punkte.</w:t>
      </w:r>
    </w:p>
    <w:p>
      <w:pPr>
        <w:rPr>
          <w:sz w:val="10"/>
          <w:szCs w:val="10"/>
        </w:rPr>
      </w:pPr>
    </w:p>
    <w:p>
      <w:pPr>
        <w:ind w:firstLine="709"/>
        <w:rPr>
          <w:color w:val="000000"/>
        </w:rPr>
      </w:pPr>
      <w:r>
        <w:rPr>
          <w:color w:val="000000"/>
        </w:rPr>
        <w:t>10</w:t>
      </w:r>
      <w:r>
        <w:rPr>
          <w:color w:val="000000"/>
        </w:rPr>
        <w:t>. Jei bendrabutyje yra įrengtas liftas (liftai) ir jo (jų) elektros įrenginių sunaudotai elektros energijai apskaityti neįmanoma įrengti atskiros elektros energijos apskaitos prietaisų (dėl netinkamos bendrabučio vidaus elektros energijos tiekimo inžinerinės įrangos), tai savininko ar nuomininko (išskyrus pirmųjų ir antrųjų aukštų savininkus bei nuomininkus) įmoka už lifto (liftų) elektros įrenginiams sunaudotą per ataskaitinį laikotarpį elektros energijos kiekį (pinigine išraiška) apskaičiuojama pagal šią formulę:</w:t>
      </w:r>
    </w:p>
    <w:p>
      <w:pPr>
        <w:ind w:firstLine="709"/>
        <w:rPr>
          <w:color w:val="000000"/>
        </w:rPr>
      </w:pPr>
      <w:r>
        <w:rPr>
          <w:lang w:eastAsia="lt-LT"/>
        </w:rPr>
        <w:drawing>
          <wp:inline distT="0" distB="0" distL="0" distR="0">
            <wp:extent cx="3048000" cy="657225"/>
            <wp:effectExtent l="0" t="0" r="0" b="952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3048000" cy="657225"/>
                    </a:xfrm>
                    <a:prstGeom prst="rect">
                      <a:avLst/>
                    </a:prstGeom>
                  </pic:spPr>
                </pic:pic>
              </a:graphicData>
            </a:graphic>
          </wp:inline>
        </w:drawing>
      </w:r>
    </w:p>
    <w:p>
      <w:pPr>
        <w:rPr>
          <w:sz w:val="10"/>
          <w:szCs w:val="10"/>
        </w:rPr>
      </w:pPr>
    </w:p>
    <w:p>
      <w:pPr>
        <w:rPr>
          <w:sz w:val="10"/>
          <w:szCs w:val="10"/>
        </w:rPr>
      </w:pPr>
    </w:p>
    <w:p>
      <w:pPr>
        <w:ind w:firstLine="709"/>
        <w:rPr>
          <w:color w:val="000000"/>
        </w:rPr>
      </w:pPr>
    </w:p>
    <w:p>
      <w:pPr>
        <w:rPr>
          <w:sz w:val="10"/>
          <w:szCs w:val="10"/>
        </w:rPr>
      </w:pPr>
    </w:p>
    <w:p>
      <w:pPr>
        <w:ind w:firstLine="709"/>
        <w:rPr>
          <w:color w:val="000000"/>
        </w:rPr>
      </w:pPr>
      <w:r>
        <w:rPr>
          <w:color w:val="000000"/>
        </w:rPr>
        <w:t>E</w:t>
      </w:r>
      <w:r>
        <w:rPr>
          <w:color w:val="000000"/>
          <w:szCs w:val="24"/>
          <w:vertAlign w:val="subscript"/>
        </w:rPr>
        <w:t>lbn</w:t>
      </w:r>
      <w:r>
        <w:rPr>
          <w:color w:val="000000"/>
        </w:rPr>
        <w:t xml:space="preserve"> – savininko ar nuomininko (išskyrus pirmųjų ir antrųjų aukštų savininkus bei nuomininkus) įmoka už lifto (liftų) elektros įrenginiams sunaudotą per ataskaitinį laikotarpį elektros energijos kiekį (pinigine išraiška), Lt;</w:t>
      </w:r>
    </w:p>
    <w:p>
      <w:pPr>
        <w:rPr>
          <w:sz w:val="10"/>
          <w:szCs w:val="10"/>
        </w:rPr>
      </w:pPr>
    </w:p>
    <w:p>
      <w:pPr>
        <w:ind w:firstLine="709"/>
        <w:rPr>
          <w:color w:val="000000"/>
        </w:rPr>
      </w:pPr>
      <w:r>
        <w:rPr>
          <w:color w:val="000000"/>
        </w:rPr>
        <w:t>E</w:t>
      </w:r>
      <w:r>
        <w:rPr>
          <w:color w:val="000000"/>
          <w:szCs w:val="24"/>
          <w:vertAlign w:val="subscript"/>
        </w:rPr>
        <w:t>ln</w:t>
      </w:r>
      <w:r>
        <w:rPr>
          <w:color w:val="000000"/>
        </w:rPr>
        <w:t xml:space="preserve"> – bendras įmokos už sunaudotą per ataskaitinį laikotarpį lifto (liftų) elektros įrenginiams elektros energijos kiekį (pinigine išraiška) dydis, Lt. Šį kiekį apskaičiuoja pats įmokas už sunaudotą elektros energiją skirstantis asmuo, vadovaudamasis lifto darbo valandų skaičiumi ir/arba lifto keliamąja galia. Atliekant šiuos skaičiavimus vadovaujamasi Elektros energijos tiekimo ir naudojimo taisyklių, patvirtintų Lietuvos Respublikos ūkio ministro </w:t>
      </w:r>
      <w:smartTag w:uri="urn:schemas-microsoft-com:office:smarttags" w:element="metricconverter">
        <w:smartTagPr>
          <w:attr w:name="ProductID" w:val="2001 m"/>
        </w:smartTagPr>
        <w:r>
          <w:rPr>
            <w:color w:val="000000"/>
          </w:rPr>
          <w:t>2001 m</w:t>
        </w:r>
      </w:smartTag>
      <w:r>
        <w:rPr>
          <w:color w:val="000000"/>
        </w:rPr>
        <w:t>. gruodžio 29 d. įsakymu Nr. 398, 1 priedu;</w:t>
      </w:r>
    </w:p>
    <w:p>
      <w:pPr>
        <w:rPr>
          <w:sz w:val="10"/>
          <w:szCs w:val="10"/>
        </w:rPr>
      </w:pPr>
    </w:p>
    <w:p>
      <w:pPr>
        <w:ind w:firstLine="709"/>
        <w:rPr>
          <w:color w:val="000000"/>
        </w:rPr>
      </w:pPr>
      <w:r>
        <w:rPr>
          <w:color w:val="000000"/>
          <w:position w:val="-14"/>
        </w:rPr>
        <w:object w:dxaOrig="600" w:dyaOrig="405">
          <v:shape id="_x0000_i1038" type="#_x0000_t75" style="width:30.05pt;height:19.8pt" o:ole="">
            <v:imagedata r:id="rId66" o:title=""/>
          </v:shape>
          <o:OLEObject Type="Embed" ProgID="Equation.3" ShapeID="_x0000_i1038" DrawAspect="Content" ObjectID="_0000000001" r:id="rId67"/>
        </w:object>
      </w:r>
      <w:r>
        <w:rPr>
          <w:color w:val="000000"/>
        </w:rPr>
        <w:t xml:space="preserve"> – visų savininkų ir nuomininkų patalpų bendrojo (naudingojo) ploto suma, kv. m. Šis dydis nurodomas dviejų skaičių po kablelio tikslumu;</w:t>
      </w:r>
    </w:p>
    <w:p>
      <w:pPr>
        <w:rPr>
          <w:sz w:val="10"/>
          <w:szCs w:val="10"/>
        </w:rPr>
      </w:pPr>
    </w:p>
    <w:p>
      <w:pPr>
        <w:ind w:firstLine="709"/>
        <w:rPr>
          <w:color w:val="000000"/>
        </w:rPr>
      </w:pPr>
      <w:r>
        <w:rPr>
          <w:color w:val="000000"/>
        </w:rPr>
        <w:t>P</w:t>
      </w:r>
      <w:r>
        <w:rPr>
          <w:color w:val="000000"/>
          <w:szCs w:val="24"/>
          <w:vertAlign w:val="subscript"/>
        </w:rPr>
        <w:t>b</w:t>
      </w:r>
      <w:r>
        <w:rPr>
          <w:color w:val="000000"/>
        </w:rPr>
        <w:t xml:space="preserve"> – vieno savininko ar nuomininko, kuriam skaičiuojamas įmokos už sunaudotą per ataskaitinį laikotarpį elektros energijos kiekį dydis, patalpų bendrasis (naudingasis) plotas, kv. m. Šis dydis nurodomas dviejų skaičių po kablelio tikslumu;</w:t>
      </w:r>
    </w:p>
    <w:p>
      <w:pPr>
        <w:rPr>
          <w:sz w:val="10"/>
          <w:szCs w:val="10"/>
        </w:rPr>
      </w:pPr>
    </w:p>
    <w:p>
      <w:pPr>
        <w:ind w:firstLine="709"/>
        <w:rPr>
          <w:color w:val="000000"/>
        </w:rPr>
      </w:pPr>
      <w:r>
        <w:rPr>
          <w:color w:val="000000"/>
          <w:position w:val="-14"/>
        </w:rPr>
        <w:object w:dxaOrig="855" w:dyaOrig="405">
          <v:shape id="_x0000_i1039" type="#_x0000_t75" style="width:42.75pt;height:19.8pt" o:ole="">
            <v:imagedata r:id="rId68" o:title=""/>
          </v:shape>
          <o:OLEObject Type="Embed" ProgID="Equation.3" ShapeID="_x0000_i1039" DrawAspect="Content" ObjectID="_0000000001" r:id="rId69"/>
        </w:object>
      </w:r>
      <w:r>
        <w:rPr>
          <w:color w:val="000000"/>
        </w:rPr>
        <w:t xml:space="preserve"> – I ir II aukštų savininkų ir nuomininkų patalpų bendrojo (naudingo) ploto suma, kv. m. Šis dydis nurodomas dviejų skaičių po kablelio tikslumu.</w:t>
      </w:r>
    </w:p>
    <w:p>
      <w:pPr>
        <w:rPr>
          <w:sz w:val="10"/>
          <w:szCs w:val="10"/>
        </w:rPr>
      </w:pPr>
    </w:p>
    <w:p>
      <w:pPr>
        <w:ind w:firstLine="709"/>
        <w:rPr>
          <w:color w:val="000000"/>
        </w:rPr>
      </w:pPr>
      <w:r>
        <w:rPr>
          <w:b/>
          <w:bCs/>
          <w:color w:val="000000"/>
        </w:rPr>
        <w:t>Pavyzdys.</w:t>
      </w:r>
    </w:p>
    <w:p>
      <w:pPr>
        <w:rPr>
          <w:sz w:val="10"/>
          <w:szCs w:val="10"/>
        </w:rPr>
      </w:pPr>
    </w:p>
    <w:p>
      <w:pPr>
        <w:ind w:firstLine="709"/>
        <w:rPr>
          <w:color w:val="000000"/>
        </w:rPr>
      </w:pPr>
      <w:r>
        <w:rPr>
          <w:color w:val="000000"/>
        </w:rPr>
        <w:t xml:space="preserve">Vadovaujantis Elektros energijos tiekimo ir naudojimo taisyklių, patvirtintų Lietuvos Respublikos ūkio ministro </w:t>
      </w:r>
      <w:smartTag w:uri="urn:schemas-microsoft-com:office:smarttags" w:element="metricconverter">
        <w:smartTagPr>
          <w:attr w:name="ProductID" w:val="2001 m"/>
        </w:smartTagPr>
        <w:r>
          <w:rPr>
            <w:color w:val="000000"/>
          </w:rPr>
          <w:t>2001 m</w:t>
        </w:r>
      </w:smartTag>
      <w:r>
        <w:rPr>
          <w:color w:val="000000"/>
        </w:rPr>
        <w:t>. gruodžio 29 d. įsakymu Nr. 398, 1 priedu, lifto darbo valandų kiekis, pvz., sausio mėnesį buvo 7 val. Sausio mėnuo turi 31 kalendorinę dieną. Liftui naudojama galia buvo, pvz., 3,5 kW. Šiuo atveju liftui buvo sunaudota kWh: 7 val. × 31 dienos × 3,5 kW = 759 kWh.</w:t>
      </w:r>
    </w:p>
    <w:p>
      <w:pPr>
        <w:rPr>
          <w:sz w:val="10"/>
          <w:szCs w:val="10"/>
        </w:rPr>
      </w:pPr>
    </w:p>
    <w:p>
      <w:pPr>
        <w:ind w:firstLine="709"/>
        <w:rPr>
          <w:color w:val="000000"/>
        </w:rPr>
      </w:pPr>
      <w:r>
        <w:rPr>
          <w:color w:val="000000"/>
        </w:rPr>
        <w:t>Padauginę 759 kWh iš galiojančio tarifo, gautume bendrą įmokos už sunaudotą per ataskaitinį laikotarpį lifto elektros įrenginiams elektros energiją (E</w:t>
      </w:r>
      <w:r>
        <w:rPr>
          <w:color w:val="000000"/>
          <w:szCs w:val="24"/>
          <w:vertAlign w:val="subscript"/>
        </w:rPr>
        <w:t>ln</w:t>
      </w:r>
      <w:r>
        <w:rPr>
          <w:color w:val="000000"/>
        </w:rPr>
        <w:t>) dydį (759 kWh × 0,29 Lt = 220,11 Lt).</w:t>
      </w:r>
    </w:p>
    <w:p>
      <w:pPr>
        <w:rPr>
          <w:sz w:val="10"/>
          <w:szCs w:val="10"/>
        </w:rPr>
      </w:pPr>
    </w:p>
    <w:p>
      <w:pPr>
        <w:ind w:firstLine="709"/>
        <w:rPr>
          <w:color w:val="000000"/>
        </w:rPr>
      </w:pPr>
      <w:r>
        <w:rPr>
          <w:color w:val="000000"/>
        </w:rPr>
        <w:t>Bendrabučio visų savininkų ir nuomininkų patalpų bendrojo (naudingojo) ploto suma (</w:t>
      </w:r>
      <w:r>
        <w:rPr>
          <w:color w:val="000000"/>
          <w:position w:val="-14"/>
        </w:rPr>
        <w:object w:dxaOrig="600" w:dyaOrig="405">
          <v:shape id="_x0000_i1040" type="#_x0000_t75" style="width:30.05pt;height:19.8pt" o:ole="">
            <v:imagedata r:id="rId70" o:title=""/>
          </v:shape>
          <o:OLEObject Type="Embed" ProgID="Equation.3" ShapeID="_x0000_i1040" DrawAspect="Content" ObjectID="_0000000001" r:id="rId71"/>
        </w:object>
      </w:r>
      <w:r>
        <w:rPr>
          <w:color w:val="000000"/>
        </w:rPr>
        <w:t>) – 2000,78 kv. m.</w:t>
      </w:r>
    </w:p>
    <w:p>
      <w:pPr>
        <w:rPr>
          <w:sz w:val="10"/>
          <w:szCs w:val="10"/>
        </w:rPr>
      </w:pPr>
    </w:p>
    <w:p>
      <w:pPr>
        <w:ind w:firstLine="709"/>
        <w:rPr>
          <w:color w:val="000000"/>
        </w:rPr>
      </w:pPr>
      <w:r>
        <w:rPr>
          <w:color w:val="000000"/>
        </w:rPr>
        <w:t>Bendrabučio pirmojo ir antrojo aukštų savininkų bei nuomininkų patalpų bendrojo (naudingojo) ploto suma (</w:t>
      </w:r>
      <w:r>
        <w:rPr>
          <w:color w:val="000000"/>
          <w:position w:val="-14"/>
        </w:rPr>
        <w:object w:dxaOrig="855" w:dyaOrig="405">
          <v:shape id="_x0000_i1041" type="#_x0000_t75" style="width:42.75pt;height:19.8pt" o:ole="">
            <v:imagedata r:id="rId72" o:title=""/>
          </v:shape>
          <o:OLEObject Type="Embed" ProgID="Equation.3" ShapeID="_x0000_i1041" DrawAspect="Content" ObjectID="_0000000001" r:id="rId73"/>
        </w:object>
      </w:r>
      <w:r>
        <w:rPr>
          <w:color w:val="000000"/>
        </w:rPr>
        <w:t>) – 400,46 kv. m.</w:t>
      </w:r>
    </w:p>
    <w:p>
      <w:pPr>
        <w:rPr>
          <w:sz w:val="10"/>
          <w:szCs w:val="10"/>
        </w:rPr>
      </w:pPr>
    </w:p>
    <w:p>
      <w:pPr>
        <w:ind w:firstLine="709"/>
        <w:rPr>
          <w:color w:val="000000"/>
        </w:rPr>
      </w:pPr>
      <w:r>
        <w:rPr>
          <w:color w:val="000000"/>
        </w:rPr>
        <w:t>Savininko ar nuomininko, kuriam skaičiuojamas įmokos už lifto elektros įrenginiams sunaudotą per ataskaitinį laikotarpį elektros energiją dydis, patalpų bendrasis (naudingasis) plotas (P</w:t>
      </w:r>
      <w:r>
        <w:rPr>
          <w:color w:val="000000"/>
          <w:szCs w:val="24"/>
          <w:vertAlign w:val="subscript"/>
        </w:rPr>
        <w:t>b</w:t>
      </w:r>
      <w:r>
        <w:rPr>
          <w:color w:val="000000"/>
        </w:rPr>
        <w:t>) – 40,65 kv. m.</w:t>
      </w:r>
    </w:p>
    <w:p>
      <w:pPr>
        <w:rPr>
          <w:sz w:val="10"/>
          <w:szCs w:val="10"/>
        </w:rPr>
      </w:pPr>
    </w:p>
    <w:p>
      <w:pPr>
        <w:ind w:firstLine="709"/>
        <w:rPr>
          <w:color w:val="000000"/>
        </w:rPr>
      </w:pPr>
      <w:r>
        <w:rPr>
          <w:color w:val="000000"/>
        </w:rPr>
        <w:t>Šiuo atveju savininko ar nuomininko (išskyrus pirmojo ir antrojo aukštų savininkus bei nuomininkus) įmokos už lifto elektros įrenginiams sunaudotą per ataskaitinį laikotarpį elektros energiją dydis būtų:</w:t>
      </w:r>
    </w:p>
    <w:p>
      <w:pPr>
        <w:rPr>
          <w:sz w:val="10"/>
          <w:szCs w:val="10"/>
        </w:rPr>
      </w:pPr>
    </w:p>
    <w:p>
      <w:pPr>
        <w:ind w:firstLine="709"/>
        <w:rPr>
          <w:color w:val="000000"/>
        </w:rPr>
      </w:pPr>
      <w:r>
        <w:rPr>
          <w:lang w:eastAsia="lt-LT"/>
        </w:rPr>
        <w:drawing>
          <wp:inline distT="0" distB="0" distL="0" distR="0">
            <wp:extent cx="4648200" cy="762000"/>
            <wp:effectExtent l="0" t="0" r="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4648200" cy="762000"/>
                    </a:xfrm>
                    <a:prstGeom prst="rect">
                      <a:avLst/>
                    </a:prstGeom>
                  </pic:spPr>
                </pic:pic>
              </a:graphicData>
            </a:graphic>
          </wp:inline>
        </w:drawing>
      </w:r>
    </w:p>
    <w:p>
      <w:pPr>
        <w:rPr>
          <w:sz w:val="10"/>
          <w:szCs w:val="10"/>
        </w:rPr>
      </w:pPr>
    </w:p>
    <w:p>
      <w:pPr>
        <w:ind w:firstLine="709"/>
        <w:rPr>
          <w:color w:val="000000"/>
          <w:position w:val="-6"/>
          <w:szCs w:val="11"/>
        </w:rPr>
      </w:pPr>
    </w:p>
    <w:p>
      <w:pPr>
        <w:rPr>
          <w:sz w:val="10"/>
          <w:szCs w:val="10"/>
        </w:rPr>
      </w:pPr>
    </w:p>
    <w:p>
      <w:pPr>
        <w:ind w:firstLine="709"/>
        <w:rPr>
          <w:color w:val="000000"/>
        </w:rPr>
      </w:pPr>
      <w:r>
        <w:rPr>
          <w:color w:val="000000"/>
        </w:rPr>
        <w:t>11</w:t>
      </w:r>
      <w:r>
        <w:rPr>
          <w:color w:val="000000"/>
        </w:rPr>
        <w:t>. 10 punkte nurodytu atveju apskaičiuotas bendras per ataskaitinį laikotarpį lifto (liftų) elektros įrenginiams sunaudotas elektros energijos kiekis pinigine išraiška (E</w:t>
      </w:r>
      <w:r>
        <w:rPr>
          <w:color w:val="000000"/>
          <w:szCs w:val="24"/>
          <w:vertAlign w:val="subscript"/>
        </w:rPr>
        <w:t>ln</w:t>
      </w:r>
      <w:r>
        <w:rPr>
          <w:color w:val="000000"/>
        </w:rPr>
        <w:t>) atimamas iš visame bendrabutyje sunaudoto per ataskaitinį laikotarpį bendro elektros energijos kiekio (pagal bendrabučio įvade įrengto elektros energijos apskaitos prietaiso rodmenų skirtumą) pinigine išraiška ir gautas rezultatas (E</w:t>
      </w:r>
      <w:r>
        <w:rPr>
          <w:color w:val="000000"/>
          <w:szCs w:val="24"/>
          <w:vertAlign w:val="subscript"/>
        </w:rPr>
        <w:t>iv</w:t>
      </w:r>
      <w:r>
        <w:rPr>
          <w:color w:val="000000"/>
        </w:rPr>
        <w:t>), vadovaujantis šios metodikos III–IV skyriuose nustatyta tvarka, paskirstomas visiems bendrabučio patalpų savininkams ir nuomininkams. Esant minėtam apskaičiuotam dydžiui (E</w:t>
      </w:r>
      <w:r>
        <w:rPr>
          <w:color w:val="000000"/>
          <w:szCs w:val="24"/>
          <w:vertAlign w:val="subscript"/>
        </w:rPr>
        <w:t>ln</w:t>
      </w:r>
      <w:r>
        <w:rPr>
          <w:color w:val="000000"/>
        </w:rPr>
        <w:t>) didesniam už bendrabučio įvade įrengtos elektros energijos apskaitos prietaiso rodmenų per ataskaitinį laikotarpį skirtumui (pinigine išraiška), įmokas už sunaudotą elektros energiją skirstantis asmuo pritaiko atitinkamą koeficientą, pamažinantį apskaičiuotąjį (pagal 10 punkte nurodytą tvarką) E</w:t>
      </w:r>
      <w:r>
        <w:rPr>
          <w:color w:val="000000"/>
          <w:szCs w:val="24"/>
          <w:vertAlign w:val="subscript"/>
        </w:rPr>
        <w:t>ln</w:t>
      </w:r>
      <w:r>
        <w:rPr>
          <w:color w:val="000000"/>
        </w:rPr>
        <w:t xml:space="preserve"> dydį.</w:t>
      </w:r>
    </w:p>
    <w:p>
      <w:pPr>
        <w:rPr>
          <w:sz w:val="10"/>
          <w:szCs w:val="10"/>
        </w:rPr>
      </w:pPr>
    </w:p>
    <w:p>
      <w:pPr>
        <w:ind w:firstLine="709"/>
        <w:jc w:val="both"/>
        <w:rPr>
          <w:color w:val="000000"/>
          <w:szCs w:val="8"/>
        </w:rPr>
      </w:pPr>
    </w:p>
    <w:p>
      <w:pPr>
        <w:jc w:val="center"/>
        <w:rPr>
          <w:b/>
          <w:bCs/>
          <w:caps/>
          <w:color w:val="000000"/>
        </w:rPr>
      </w:pPr>
      <w:r>
        <w:rPr>
          <w:b/>
          <w:bCs/>
          <w:caps/>
          <w:color w:val="000000"/>
        </w:rPr>
        <w:t>VI</w:t>
      </w:r>
      <w:r>
        <w:rPr>
          <w:b/>
          <w:bCs/>
          <w:caps/>
          <w:color w:val="000000"/>
        </w:rPr>
        <w:t xml:space="preserve">. </w:t>
      </w:r>
      <w:r>
        <w:rPr>
          <w:b/>
          <w:bCs/>
          <w:caps/>
          <w:color w:val="000000"/>
        </w:rPr>
        <w:t>BAIGIAMOSIOS NUOSTATOS</w:t>
      </w:r>
    </w:p>
    <w:p>
      <w:pPr>
        <w:ind w:firstLine="709"/>
        <w:jc w:val="both"/>
        <w:rPr>
          <w:color w:val="000000"/>
          <w:szCs w:val="8"/>
        </w:rPr>
      </w:pPr>
    </w:p>
    <w:p>
      <w:pPr>
        <w:ind w:firstLine="709"/>
        <w:rPr>
          <w:color w:val="000000"/>
        </w:rPr>
      </w:pPr>
      <w:r>
        <w:rPr>
          <w:color w:val="000000"/>
        </w:rPr>
        <w:t>12</w:t>
      </w:r>
      <w:r>
        <w:rPr>
          <w:color w:val="000000"/>
        </w:rPr>
        <w:t>. Jei elektros energijos tiekėjas, tikrindamas bendrabučio įvadinę apskaitos spintą, randa pažeistą elektros energijos apskaitos prietaisą, jo plombas, apskaitos schemos elementus, taip pat nustato, kad buvo naudojama ir/ar rasta (tikrinimo metu) naudojant mechanines ir/ar kitas minėto prietaiso disko stabdymo priemones (siekiant sumažinti minėto įvadinio apskaitos prietaiso rodmenis) arba rasta pakeista įvadinės elektros energijos apskaitos prietaiso prijungimo schema ir pan., tai už šį ataskaitinį laikotarpį bendrabučio įvade įrengtos elektros energijos apskaitos prietaiso rodmenų skirtumas (pinigine išraiška) apskaičiuojamas pagal Elektros energijos tiekimo ir naudojimo taisykles ir šioje metodikoje nustatyta tvarka paskirstomas visiems patalpų savininkams bei nuomininkams.</w:t>
      </w:r>
    </w:p>
    <w:p>
      <w:pPr>
        <w:rPr>
          <w:sz w:val="10"/>
          <w:szCs w:val="10"/>
        </w:rPr>
      </w:pPr>
    </w:p>
    <w:p>
      <w:pPr>
        <w:ind w:firstLine="709"/>
        <w:rPr>
          <w:color w:val="000000"/>
        </w:rPr>
      </w:pPr>
      <w:r>
        <w:rPr>
          <w:color w:val="000000"/>
        </w:rPr>
        <w:t>13</w:t>
      </w:r>
      <w:r>
        <w:rPr>
          <w:color w:val="000000"/>
        </w:rPr>
        <w:t>. Įmokų už sunaudotą bendrabutyje per ataskaitinį mėnesį elektros energiją apskaičiavimo gyvenamųjų ir negyvenamųjų patalpų savininkams bei nuomininkams pavyzdys pateiktas šios metodikos priede.</w:t>
      </w:r>
    </w:p>
    <w:p/>
    <w:p>
      <w:pPr>
        <w:ind w:firstLine="709"/>
        <w:jc w:val="both"/>
        <w:rPr>
          <w:color w:val="000000"/>
        </w:rPr>
      </w:pPr>
      <w:r>
        <w:rPr>
          <w:color w:val="000000"/>
          <w:szCs w:val="22"/>
        </w:rPr>
        <w:t>14</w:t>
      </w:r>
      <w:r>
        <w:rPr>
          <w:color w:val="000000"/>
          <w:szCs w:val="22"/>
        </w:rPr>
        <w:t>. Bendrabučio gyvenamųjų ir negyvenamųjų patalpų savininkai ir nuomininkai turi teisę parengti ir nustatyti kitokias, negu yra nustatyta šioje metodikoje (6,7 ir 8 punktai), įmokų už bendrabutyje sunaudotą elektros energiją gyvenamųjų ir negyvenamųjų patalpų savininkams ir nuomininkams paskirstymo taisykles (toliau – taisyklės), kuriose gali būti nustatyta, kad įmokos paskirstomos atsižvelgiant į gyventojų lėšomis įrengtų grupinių ar individualių nekomercinių apskaitos prietaisų rodmenis, gyventojų skaičių bei kitas aplinkybes. Įmokas už sunaudotą elektros energiją skirstantis asmuo taiko gyvenamųjų ir negyvenamųjų patalpų savininkų ir nuomininkų nustatytas taisykles, jei:</w:t>
      </w:r>
    </w:p>
    <w:p>
      <w:pPr>
        <w:ind w:firstLine="709"/>
        <w:jc w:val="both"/>
        <w:rPr>
          <w:color w:val="000000"/>
        </w:rPr>
      </w:pPr>
      <w:r>
        <w:rPr>
          <w:color w:val="000000"/>
          <w:szCs w:val="22"/>
        </w:rPr>
        <w:t>14.1</w:t>
      </w:r>
      <w:r>
        <w:rPr>
          <w:color w:val="000000"/>
          <w:szCs w:val="22"/>
        </w:rPr>
        <w:t>. pagal jas paskirstomas visas per ataskaitinį laikotarpį bendrabutyje sunaudotas elektros energijos kiekis pinigine išraiška (pagal bendrabučio įvade įrengto elektros energijos apskaitos prietaiso rodmenų skirtumą);</w:t>
      </w:r>
    </w:p>
    <w:p>
      <w:pPr>
        <w:ind w:firstLine="709"/>
        <w:jc w:val="both"/>
      </w:pPr>
      <w:r>
        <w:rPr>
          <w:color w:val="000000"/>
          <w:szCs w:val="22"/>
        </w:rPr>
        <w:t>14.2</w:t>
      </w:r>
      <w:r>
        <w:rPr>
          <w:color w:val="000000"/>
          <w:szCs w:val="22"/>
        </w:rPr>
        <w:t>. jos teisės aktų nustatyta tvarka yra patvirtintos gyvenamųjų ir negyvenamųjų patalpų savininkų ir nuomininkų sprendimu.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609F3C48E4">
        <w:r w:rsidRPr="00532B9F">
          <w:rPr>
            <w:rFonts w:ascii="Times New Roman" w:eastAsia="MS Mincho" w:hAnsi="Times New Roman"/>
            <w:sz w:val="20"/>
            <w:i/>
            <w:iCs/>
            <w:color w:val="0000FF" w:themeColor="hyperlink"/>
            <w:u w:val="single"/>
          </w:rPr>
          <w:t>4-142</w:t>
        </w:r>
      </w:fldSimple>
      <w:r>
        <w:rPr>
          <w:rFonts w:ascii="Times New Roman" w:eastAsia="MS Mincho" w:hAnsi="Times New Roman"/>
          <w:sz w:val="20"/>
          <w:i/>
          <w:iCs/>
        </w:rPr>
        <w:t>,
2004-04-29,
Žin., 2004, Nr.
75-2599 (2004-05-05), i. k. 1042020ISAK0004-142        </w:t>
      </w:r>
    </w:p>
    <w:p/>
    <w:p>
      <w:pPr>
        <w:ind w:firstLine="709"/>
        <w:jc w:val="both"/>
      </w:pPr>
      <w:r>
        <w:rPr>
          <w:color w:val="000000"/>
          <w:szCs w:val="22"/>
        </w:rPr>
        <w:t>15</w:t>
      </w:r>
      <w:r>
        <w:rPr>
          <w:color w:val="000000"/>
          <w:szCs w:val="22"/>
        </w:rPr>
        <w:t>. Gyvenamųjų ir negyvenamųjų patalpų savininkų ir nuomininkų sprendimas ir juo patvirtintos taisyklės turi būti pateiktos įmokas už sunaudotą elektros energiją skirstančiam asmeniui ne vėliau kaip 30 kalendorinių dienų iki taisyklių taikymo pradžios. Kartu su taisyklėmis pateikiami ir duomenys (nekomercinių apskaitos prietaisų sąrašas, gyventojų skaičius gyvenamosiose patalpose ir asmenų skaičius negyvenamosiose patalpose, gyvenamųjų ir negyvenamųjų patalpų bendrieji (naudingieji) plotai ir pan.), pagal kuriuos, vadovaujantis nustatytomis taisyklėmis, turi būti skirstomos įmokos už sunaudotą elektros energiją.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609F3C48E4">
        <w:r w:rsidRPr="00532B9F">
          <w:rPr>
            <w:rFonts w:ascii="Times New Roman" w:eastAsia="MS Mincho" w:hAnsi="Times New Roman"/>
            <w:sz w:val="20"/>
            <w:i/>
            <w:iCs/>
            <w:color w:val="0000FF" w:themeColor="hyperlink"/>
            <w:u w:val="single"/>
          </w:rPr>
          <w:t>4-142</w:t>
        </w:r>
      </w:fldSimple>
      <w:r>
        <w:rPr>
          <w:rFonts w:ascii="Times New Roman" w:eastAsia="MS Mincho" w:hAnsi="Times New Roman"/>
          <w:sz w:val="20"/>
          <w:i/>
          <w:iCs/>
        </w:rPr>
        <w:t>,
2004-04-29,
Žin., 2004, Nr.
75-2599 (2004-05-05), i. k. 1042020ISAK0004-142        </w:t>
      </w:r>
    </w:p>
    <w:p/>
    <w:p>
      <w:pPr>
        <w:ind w:firstLine="709"/>
        <w:jc w:val="both"/>
        <w:rPr>
          <w:sz w:val="10"/>
          <w:szCs w:val="10"/>
        </w:rPr>
      </w:pPr>
      <w:r>
        <w:rPr>
          <w:color w:val="000000"/>
          <w:szCs w:val="22"/>
        </w:rPr>
        <w:t>16</w:t>
      </w:r>
      <w:r>
        <w:rPr>
          <w:color w:val="000000"/>
          <w:szCs w:val="22"/>
        </w:rPr>
        <w:t>. Įmokas už sunaudotą elektros energiją skirstantis asmuo, nustatęs, kad gyvenamųjų ir negyvenamųjų patalpų savininkų ir nuomininkų sprendimas ir (ar) juo tvirtinamos taisyklės neatitinka 14.1 ir (ar) 14.2 punktuose nustatytų reikalavimų, apie tai praneša jungtinės veiklos sutarties dalyvių įgaliotam asmeniui, bendrabučio butų ir kitų patalpų savininkų bendrosios nuosavybės administratoriui arba bendrabučio savininkų bendrijos pirmininkui ir iki neatitikimų pašalinimo įmokas už bendrabutyje sunaudotą elektros energiją skirsto šios metodikos 6, 7 ir (ar) 8 punktais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609F3C48E4">
        <w:r w:rsidRPr="00532B9F">
          <w:rPr>
            <w:rFonts w:ascii="Times New Roman" w:eastAsia="MS Mincho" w:hAnsi="Times New Roman"/>
            <w:sz w:val="20"/>
            <w:i/>
            <w:iCs/>
            <w:color w:val="0000FF" w:themeColor="hyperlink"/>
            <w:u w:val="single"/>
          </w:rPr>
          <w:t>4-142</w:t>
        </w:r>
      </w:fldSimple>
      <w:r>
        <w:rPr>
          <w:rFonts w:ascii="Times New Roman" w:eastAsia="MS Mincho" w:hAnsi="Times New Roman"/>
          <w:sz w:val="20"/>
          <w:i/>
          <w:iCs/>
        </w:rPr>
        <w:t>,
2004-04-29,
Žin., 2004, Nr.
75-2599 (2004-05-05), i. k. 1042020ISAK0004-142        </w:t>
      </w:r>
    </w:p>
    <w:p/>
    <w:p>
      <w:pPr>
        <w:jc w:val="center"/>
        <w:rPr>
          <w:sz w:val="10"/>
          <w:szCs w:val="10"/>
        </w:rPr>
      </w:pPr>
      <w:r>
        <w:rPr>
          <w:color w:val="000000"/>
        </w:rPr>
        <w:t>______________</w:t>
      </w:r>
    </w:p>
    <w:p>
      <w:pPr>
        <w:ind w:left="5102"/>
        <w:rPr>
          <w:szCs w:val="24"/>
        </w:rPr>
      </w:pPr>
      <w:r>
        <w:rPr>
          <w:color w:val="000000"/>
        </w:rPr>
        <w:br w:type="page"/>
      </w:r>
      <w:r>
        <w:rPr>
          <w:szCs w:val="24"/>
        </w:rPr>
        <w:t xml:space="preserve">Įmokų už sunaudotą elektros energiją </w:t>
      </w:r>
    </w:p>
    <w:p>
      <w:pPr>
        <w:rPr>
          <w:sz w:val="10"/>
          <w:szCs w:val="10"/>
        </w:rPr>
      </w:pPr>
    </w:p>
    <w:p>
      <w:pPr>
        <w:ind w:firstLine="5102"/>
        <w:rPr>
          <w:szCs w:val="24"/>
        </w:rPr>
      </w:pPr>
      <w:r>
        <w:rPr>
          <w:szCs w:val="24"/>
        </w:rPr>
        <w:t xml:space="preserve">bendrabučio tipo daugiabučiuose </w:t>
      </w:r>
    </w:p>
    <w:p>
      <w:pPr>
        <w:rPr>
          <w:sz w:val="10"/>
          <w:szCs w:val="10"/>
        </w:rPr>
      </w:pPr>
    </w:p>
    <w:p>
      <w:pPr>
        <w:ind w:firstLine="5102"/>
        <w:rPr>
          <w:szCs w:val="24"/>
        </w:rPr>
      </w:pPr>
      <w:r>
        <w:rPr>
          <w:szCs w:val="24"/>
        </w:rPr>
        <w:t xml:space="preserve">gyvenamuosiuose namuose paskirstymo </w:t>
      </w:r>
    </w:p>
    <w:p>
      <w:pPr>
        <w:rPr>
          <w:sz w:val="10"/>
          <w:szCs w:val="10"/>
        </w:rPr>
      </w:pPr>
    </w:p>
    <w:p>
      <w:pPr>
        <w:ind w:firstLine="5102"/>
        <w:rPr>
          <w:szCs w:val="24"/>
        </w:rPr>
      </w:pPr>
      <w:r>
        <w:rPr>
          <w:szCs w:val="24"/>
        </w:rPr>
        <w:t xml:space="preserve">gyvenamųjų ir negyvenamųjų patalpų </w:t>
      </w:r>
    </w:p>
    <w:p>
      <w:pPr>
        <w:rPr>
          <w:sz w:val="10"/>
          <w:szCs w:val="10"/>
        </w:rPr>
      </w:pPr>
    </w:p>
    <w:p>
      <w:pPr>
        <w:ind w:firstLine="5102"/>
        <w:rPr>
          <w:szCs w:val="24"/>
        </w:rPr>
      </w:pPr>
      <w:r>
        <w:rPr>
          <w:szCs w:val="24"/>
        </w:rPr>
        <w:t xml:space="preserve">savininkams ir nuomininkams metodikos </w:t>
      </w:r>
    </w:p>
    <w:p>
      <w:pPr>
        <w:rPr>
          <w:sz w:val="10"/>
          <w:szCs w:val="10"/>
        </w:rPr>
      </w:pPr>
    </w:p>
    <w:p>
      <w:pPr>
        <w:ind w:firstLine="5102"/>
        <w:rPr>
          <w:szCs w:val="24"/>
        </w:rPr>
      </w:pPr>
      <w:r>
        <w:rPr>
          <w:szCs w:val="24"/>
        </w:rPr>
        <w:t>priedas</w:t>
      </w:r>
    </w:p>
    <w:p>
      <w:pPr>
        <w:rPr>
          <w:sz w:val="10"/>
          <w:szCs w:val="10"/>
        </w:rPr>
      </w:pPr>
    </w:p>
    <w:p>
      <w:pPr>
        <w:ind w:firstLine="709"/>
      </w:pPr>
    </w:p>
    <w:p>
      <w:pPr>
        <w:rPr>
          <w:sz w:val="10"/>
          <w:szCs w:val="10"/>
        </w:rPr>
      </w:pPr>
    </w:p>
    <w:p>
      <w:pPr>
        <w:jc w:val="center"/>
        <w:rPr>
          <w:b/>
          <w:bCs/>
          <w:caps/>
        </w:rPr>
      </w:pPr>
      <w:r>
        <w:rPr>
          <w:b/>
          <w:bCs/>
          <w:caps/>
        </w:rPr>
        <w:t>ĮMOKŲ UŽ SUNAUDOTĄ BENDRABUTYJE PER ATASKAITINĮ MĖNESĮ ELEKTROS ENERGIJĄ APSKAIČIAVIMO GYVENAMŲJŲ IR NEGYVENAMŲJŲ PATALPŲ SAVININKAMS BEI NUOMININKAMS PAVYZDYS</w:t>
      </w:r>
    </w:p>
    <w:p>
      <w:pPr>
        <w:ind w:firstLine="709"/>
      </w:pPr>
    </w:p>
    <w:p>
      <w:pPr>
        <w:rPr>
          <w:sz w:val="10"/>
          <w:szCs w:val="10"/>
        </w:rPr>
      </w:pPr>
    </w:p>
    <w:p>
      <w:pPr>
        <w:ind w:firstLine="709"/>
      </w:pPr>
      <w:r>
        <w:t>Skaičiuojamojo bendrabučio pavyzdžio sąlygos:</w:t>
      </w:r>
    </w:p>
    <w:p>
      <w:pPr>
        <w:rPr>
          <w:sz w:val="10"/>
          <w:szCs w:val="10"/>
        </w:rPr>
      </w:pPr>
    </w:p>
    <w:p>
      <w:pPr>
        <w:ind w:firstLine="709"/>
      </w:pPr>
      <w:r>
        <w:t>Visas plotas – 700,00 kv. m.</w:t>
      </w:r>
    </w:p>
    <w:p>
      <w:pPr>
        <w:rPr>
          <w:sz w:val="10"/>
          <w:szCs w:val="10"/>
        </w:rPr>
      </w:pPr>
    </w:p>
    <w:p>
      <w:pPr>
        <w:ind w:firstLine="709"/>
      </w:pPr>
      <w:r>
        <w:t>Iš viso gyvenamųjų ir negyvenamųjų patalpų savininkų ir nuomininkų bendrasis (naudingasis) plotas – 540,00 kv. m.</w:t>
      </w:r>
    </w:p>
    <w:p>
      <w:pPr>
        <w:rPr>
          <w:sz w:val="10"/>
          <w:szCs w:val="10"/>
        </w:rPr>
      </w:pPr>
    </w:p>
    <w:p>
      <w:pPr>
        <w:ind w:firstLine="709"/>
      </w:pPr>
      <w:r>
        <w:t>Bendrabutyje yra 5 aukštai.</w:t>
      </w:r>
    </w:p>
    <w:p>
      <w:pPr>
        <w:rPr>
          <w:sz w:val="10"/>
          <w:szCs w:val="10"/>
        </w:rPr>
      </w:pPr>
    </w:p>
    <w:p>
      <w:pPr>
        <w:ind w:firstLine="709"/>
      </w:pPr>
      <w:r>
        <w:t>Bendrabutyje yra 8 butai.</w:t>
      </w:r>
    </w:p>
    <w:p>
      <w:pPr>
        <w:rPr>
          <w:sz w:val="10"/>
          <w:szCs w:val="10"/>
        </w:rPr>
      </w:pPr>
    </w:p>
    <w:p>
      <w:pPr>
        <w:ind w:firstLine="709"/>
      </w:pPr>
      <w:r>
        <w:t>Bendrabutyje yra liftas.</w:t>
      </w:r>
    </w:p>
    <w:p>
      <w:pPr>
        <w:rPr>
          <w:sz w:val="10"/>
          <w:szCs w:val="10"/>
        </w:rPr>
      </w:pPr>
    </w:p>
    <w:p>
      <w:pPr>
        <w:ind w:firstLine="709"/>
      </w:pPr>
      <w:r>
        <w:t>Bendrabutyje bendrosioms namo reikmėms ir liftui atskiros elektros energijos apskaitos prietaisų nėra.</w:t>
      </w:r>
    </w:p>
    <w:p>
      <w:pPr>
        <w:rPr>
          <w:sz w:val="10"/>
          <w:szCs w:val="10"/>
        </w:rPr>
      </w:pPr>
    </w:p>
    <w:p>
      <w:pPr>
        <w:ind w:firstLine="709"/>
      </w:pPr>
      <w:r>
        <w:t>Bendrabutyje per mėnesį pagal įvadinio elektros energijos apskaitos prietaiso rodmenų skirtumą sunaudota elektros energijos už 600,00 Lt (iš to skaičiaus liftui – už 115 Lt).</w:t>
      </w:r>
    </w:p>
    <w:p>
      <w:pPr>
        <w:rPr>
          <w:sz w:val="10"/>
          <w:szCs w:val="10"/>
        </w:rPr>
      </w:pPr>
    </w:p>
    <w:p>
      <w:pPr>
        <w:ind w:firstLine="709"/>
      </w:pPr>
      <w:r>
        <w:t>Bendrabutyje 1, 3, 5 ir 7 butai elektros energijos apskaitos prietaisų (prieš įvadinę apskaitą) neįsirengę.</w:t>
      </w:r>
    </w:p>
    <w:p>
      <w:pPr>
        <w:rPr>
          <w:sz w:val="10"/>
          <w:szCs w:val="10"/>
        </w:rPr>
      </w:pPr>
    </w:p>
    <w:p>
      <w:pPr>
        <w:ind w:firstLine="709"/>
      </w:pPr>
      <w:r>
        <w:t>Bendrabutyje 2, 4, 6 ir 8 butai yra įsirengę elektros energijos apskaitos prietaisus (prieš įvadinę apskaitą).</w:t>
      </w:r>
    </w:p>
    <w:p>
      <w:pPr>
        <w:rPr>
          <w:sz w:val="10"/>
          <w:szCs w:val="10"/>
        </w:rPr>
      </w:pPr>
    </w:p>
    <w:p>
      <w:pPr>
        <w:ind w:firstLine="709"/>
      </w:pPr>
    </w:p>
    <w:p>
      <w:pPr>
        <w:rPr>
          <w:sz w:val="10"/>
          <w:szCs w:val="10"/>
        </w:rPr>
      </w:pPr>
    </w:p>
    <w:p>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555"/>
        <w:gridCol w:w="1242"/>
        <w:gridCol w:w="1454"/>
        <w:gridCol w:w="1135"/>
        <w:gridCol w:w="874"/>
        <w:gridCol w:w="1107"/>
        <w:gridCol w:w="1107"/>
        <w:gridCol w:w="695"/>
        <w:gridCol w:w="967"/>
      </w:tblGrid>
      <w:tr>
        <w:tc>
          <w:tcPr>
            <w:tcW w:w="0" w:type="auto"/>
            <w:gridSpan w:val="6"/>
          </w:tcPr>
          <w:p>
            <w:pPr>
              <w:jc w:val="center"/>
              <w:rPr>
                <w:sz w:val="20"/>
              </w:rPr>
            </w:pPr>
          </w:p>
        </w:tc>
        <w:tc>
          <w:tcPr>
            <w:tcW w:w="0" w:type="auto"/>
            <w:gridSpan w:val="4"/>
          </w:tcPr>
          <w:p>
            <w:pPr>
              <w:jc w:val="center"/>
              <w:rPr>
                <w:sz w:val="20"/>
              </w:rPr>
            </w:pPr>
            <w:r>
              <w:rPr>
                <w:sz w:val="20"/>
              </w:rPr>
              <w:t>Priklauso sumokėti</w:t>
            </w:r>
          </w:p>
        </w:tc>
      </w:tr>
      <w:tr>
        <w:tc>
          <w:tcPr>
            <w:tcW w:w="0" w:type="auto"/>
          </w:tcPr>
          <w:p>
            <w:pPr>
              <w:jc w:val="center"/>
              <w:rPr>
                <w:sz w:val="20"/>
              </w:rPr>
            </w:pPr>
            <w:r>
              <w:rPr>
                <w:sz w:val="20"/>
              </w:rPr>
              <w:t>Aukšto Nr.</w:t>
            </w:r>
          </w:p>
        </w:tc>
        <w:tc>
          <w:tcPr>
            <w:tcW w:w="0" w:type="auto"/>
          </w:tcPr>
          <w:p>
            <w:pPr>
              <w:jc w:val="center"/>
              <w:rPr>
                <w:sz w:val="20"/>
              </w:rPr>
            </w:pPr>
            <w:r>
              <w:rPr>
                <w:sz w:val="20"/>
              </w:rPr>
              <w:t>Buto Nr.</w:t>
            </w:r>
          </w:p>
        </w:tc>
        <w:tc>
          <w:tcPr>
            <w:tcW w:w="0" w:type="auto"/>
          </w:tcPr>
          <w:p>
            <w:pPr>
              <w:jc w:val="center"/>
              <w:rPr>
                <w:sz w:val="20"/>
              </w:rPr>
            </w:pPr>
            <w:r>
              <w:rPr>
                <w:sz w:val="20"/>
              </w:rPr>
              <w:t>Savininkų ir nuomininkų gyvenamųjų ir negyvenamųjų patalpų bendrasis (naudingasis) plotas, kv. m</w:t>
            </w:r>
          </w:p>
        </w:tc>
        <w:tc>
          <w:tcPr>
            <w:tcW w:w="0" w:type="auto"/>
          </w:tcPr>
          <w:p>
            <w:pPr>
              <w:jc w:val="center"/>
              <w:rPr>
                <w:sz w:val="20"/>
              </w:rPr>
            </w:pPr>
            <w:r>
              <w:rPr>
                <w:sz w:val="20"/>
              </w:rPr>
              <w:t>Apskaičiuota suma pagal gyvenamosiose ar negyvenamosiose patalpose įrengto elektros energijos</w:t>
            </w:r>
          </w:p>
          <w:p>
            <w:pPr>
              <w:jc w:val="center"/>
              <w:rPr>
                <w:sz w:val="20"/>
              </w:rPr>
            </w:pPr>
            <w:r>
              <w:rPr>
                <w:sz w:val="20"/>
              </w:rPr>
              <w:t>apskaitos prietaiso rodmenis, Lt</w:t>
            </w:r>
          </w:p>
        </w:tc>
        <w:tc>
          <w:tcPr>
            <w:tcW w:w="0" w:type="auto"/>
          </w:tcPr>
          <w:p>
            <w:pPr>
              <w:jc w:val="center"/>
              <w:rPr>
                <w:sz w:val="20"/>
              </w:rPr>
            </w:pPr>
            <w:r>
              <w:rPr>
                <w:sz w:val="20"/>
              </w:rPr>
              <w:t>Apskaičiuota suma pagal pastato įvadinį elektros energijos apskaitos prietaisą (be įmokų už liftą), Lt</w:t>
            </w:r>
          </w:p>
        </w:tc>
        <w:tc>
          <w:tcPr>
            <w:tcW w:w="0" w:type="auto"/>
          </w:tcPr>
          <w:p>
            <w:pPr>
              <w:jc w:val="center"/>
              <w:rPr>
                <w:sz w:val="20"/>
              </w:rPr>
            </w:pPr>
            <w:r>
              <w:rPr>
                <w:sz w:val="20"/>
              </w:rPr>
              <w:t>Įrengti ar neįrengti apskaitos prietaisai</w:t>
            </w:r>
          </w:p>
        </w:tc>
        <w:tc>
          <w:tcPr>
            <w:tcW w:w="0" w:type="auto"/>
          </w:tcPr>
          <w:p>
            <w:pPr>
              <w:jc w:val="center"/>
              <w:rPr>
                <w:sz w:val="20"/>
              </w:rPr>
            </w:pPr>
            <w:r>
              <w:rPr>
                <w:sz w:val="20"/>
              </w:rPr>
              <w:t xml:space="preserve">už namo bendrosioms reikmėms sunaudotą elektros energiją (be įmokų už liftą), </w:t>
            </w:r>
            <w:r>
              <w:rPr>
                <w:b/>
                <w:sz w:val="20"/>
              </w:rPr>
              <w:t>turint</w:t>
            </w:r>
            <w:r>
              <w:rPr>
                <w:sz w:val="20"/>
              </w:rPr>
              <w:t xml:space="preserve"> patalpose įrengtą elektros energijos apskaitos prietaisą, Lt</w:t>
            </w:r>
          </w:p>
        </w:tc>
        <w:tc>
          <w:tcPr>
            <w:tcW w:w="0" w:type="auto"/>
          </w:tcPr>
          <w:p>
            <w:pPr>
              <w:jc w:val="center"/>
              <w:rPr>
                <w:sz w:val="20"/>
              </w:rPr>
            </w:pPr>
            <w:r>
              <w:rPr>
                <w:sz w:val="20"/>
              </w:rPr>
              <w:t xml:space="preserve">už patalpose ir namo bendrosioms reikmėms sunaudotą elektros energiją (be įmokų už liftą), </w:t>
            </w:r>
            <w:r>
              <w:rPr>
                <w:b/>
                <w:sz w:val="20"/>
              </w:rPr>
              <w:t>neturint</w:t>
            </w:r>
            <w:r>
              <w:rPr>
                <w:sz w:val="20"/>
              </w:rPr>
              <w:t xml:space="preserve"> patalpose įrengtų elektros energijos apskaitos prietaisų, Lt</w:t>
            </w:r>
          </w:p>
        </w:tc>
        <w:tc>
          <w:tcPr>
            <w:tcW w:w="0" w:type="auto"/>
          </w:tcPr>
          <w:p>
            <w:pPr>
              <w:jc w:val="center"/>
              <w:rPr>
                <w:sz w:val="20"/>
              </w:rPr>
            </w:pPr>
            <w:r>
              <w:rPr>
                <w:sz w:val="20"/>
              </w:rPr>
              <w:t>už liftą, Lt</w:t>
            </w:r>
          </w:p>
        </w:tc>
        <w:tc>
          <w:tcPr>
            <w:tcW w:w="0" w:type="auto"/>
          </w:tcPr>
          <w:p>
            <w:pPr>
              <w:jc w:val="center"/>
              <w:rPr>
                <w:sz w:val="20"/>
              </w:rPr>
            </w:pPr>
            <w:r>
              <w:rPr>
                <w:sz w:val="20"/>
              </w:rPr>
              <w:t>iš viso, Lt (4</w:t>
              <w:sym w:font="Symbol" w:char="F02B"/>
              <w:t>7</w:t>
              <w:sym w:font="Symbol" w:char="F02B"/>
              <w:t>8</w:t>
              <w:sym w:font="Symbol" w:char="F02B"/>
              <w:t>9)</w:t>
            </w:r>
          </w:p>
        </w:tc>
      </w:tr>
      <w:tr>
        <w:tc>
          <w:tcPr>
            <w:tcW w:w="0" w:type="auto"/>
          </w:tcPr>
          <w:p>
            <w:pPr>
              <w:jc w:val="center"/>
              <w:rPr>
                <w:sz w:val="20"/>
              </w:rPr>
            </w:pPr>
            <w:r>
              <w:rPr>
                <w:sz w:val="20"/>
              </w:rPr>
              <w:t>1</w:t>
            </w:r>
          </w:p>
        </w:tc>
        <w:tc>
          <w:tcPr>
            <w:tcW w:w="0" w:type="auto"/>
          </w:tcPr>
          <w:p>
            <w:pPr>
              <w:jc w:val="center"/>
              <w:rPr>
                <w:sz w:val="20"/>
              </w:rPr>
            </w:pPr>
            <w:r>
              <w:rPr>
                <w:sz w:val="20"/>
              </w:rPr>
              <w:t>2</w:t>
            </w:r>
          </w:p>
        </w:tc>
        <w:tc>
          <w:tcPr>
            <w:tcW w:w="0" w:type="auto"/>
          </w:tcPr>
          <w:p>
            <w:pPr>
              <w:jc w:val="center"/>
              <w:rPr>
                <w:sz w:val="20"/>
              </w:rPr>
            </w:pPr>
            <w:r>
              <w:rPr>
                <w:sz w:val="20"/>
              </w:rPr>
              <w:t>3</w:t>
            </w:r>
          </w:p>
        </w:tc>
        <w:tc>
          <w:tcPr>
            <w:tcW w:w="0" w:type="auto"/>
          </w:tcPr>
          <w:p>
            <w:pPr>
              <w:jc w:val="center"/>
              <w:rPr>
                <w:sz w:val="20"/>
              </w:rPr>
            </w:pPr>
            <w:r>
              <w:rPr>
                <w:sz w:val="20"/>
              </w:rPr>
              <w:t>4</w:t>
            </w:r>
          </w:p>
        </w:tc>
        <w:tc>
          <w:tcPr>
            <w:tcW w:w="0" w:type="auto"/>
          </w:tcPr>
          <w:p>
            <w:pPr>
              <w:jc w:val="center"/>
              <w:rPr>
                <w:sz w:val="20"/>
              </w:rPr>
            </w:pPr>
            <w:r>
              <w:rPr>
                <w:sz w:val="20"/>
              </w:rPr>
              <w:t>5</w:t>
            </w:r>
          </w:p>
        </w:tc>
        <w:tc>
          <w:tcPr>
            <w:tcW w:w="0" w:type="auto"/>
          </w:tcPr>
          <w:p>
            <w:pPr>
              <w:jc w:val="center"/>
              <w:rPr>
                <w:sz w:val="20"/>
              </w:rPr>
            </w:pPr>
            <w:r>
              <w:rPr>
                <w:sz w:val="20"/>
              </w:rPr>
              <w:t>6</w:t>
            </w:r>
          </w:p>
        </w:tc>
        <w:tc>
          <w:tcPr>
            <w:tcW w:w="0" w:type="auto"/>
          </w:tcPr>
          <w:p>
            <w:pPr>
              <w:jc w:val="center"/>
              <w:rPr>
                <w:sz w:val="20"/>
              </w:rPr>
            </w:pPr>
            <w:r>
              <w:rPr>
                <w:sz w:val="20"/>
              </w:rPr>
              <w:t>7</w:t>
            </w:r>
          </w:p>
        </w:tc>
        <w:tc>
          <w:tcPr>
            <w:tcW w:w="0" w:type="auto"/>
          </w:tcPr>
          <w:p>
            <w:pPr>
              <w:jc w:val="center"/>
              <w:rPr>
                <w:sz w:val="20"/>
              </w:rPr>
            </w:pPr>
            <w:r>
              <w:rPr>
                <w:sz w:val="20"/>
              </w:rPr>
              <w:t>8</w:t>
            </w:r>
          </w:p>
        </w:tc>
        <w:tc>
          <w:tcPr>
            <w:tcW w:w="0" w:type="auto"/>
          </w:tcPr>
          <w:p>
            <w:pPr>
              <w:jc w:val="center"/>
              <w:rPr>
                <w:sz w:val="20"/>
              </w:rPr>
            </w:pPr>
            <w:r>
              <w:rPr>
                <w:sz w:val="20"/>
              </w:rPr>
              <w:t>9</w:t>
            </w:r>
          </w:p>
        </w:tc>
        <w:tc>
          <w:tcPr>
            <w:tcW w:w="0" w:type="auto"/>
          </w:tcPr>
          <w:p>
            <w:pPr>
              <w:jc w:val="center"/>
              <w:rPr>
                <w:sz w:val="20"/>
              </w:rPr>
            </w:pPr>
            <w:r>
              <w:rPr>
                <w:sz w:val="20"/>
              </w:rPr>
              <w:t>10</w:t>
            </w:r>
          </w:p>
        </w:tc>
      </w:tr>
      <w:tr>
        <w:tc>
          <w:tcPr>
            <w:tcW w:w="0" w:type="auto"/>
          </w:tcPr>
          <w:p>
            <w:pPr>
              <w:jc w:val="center"/>
              <w:rPr>
                <w:sz w:val="20"/>
              </w:rPr>
            </w:pPr>
            <w:r>
              <w:rPr>
                <w:sz w:val="20"/>
              </w:rPr>
              <w:t>1</w:t>
            </w:r>
          </w:p>
        </w:tc>
        <w:tc>
          <w:tcPr>
            <w:tcW w:w="0" w:type="auto"/>
          </w:tcPr>
          <w:p>
            <w:pPr>
              <w:jc w:val="center"/>
              <w:rPr>
                <w:sz w:val="20"/>
              </w:rPr>
            </w:pPr>
            <w:r>
              <w:rPr>
                <w:sz w:val="20"/>
              </w:rPr>
              <w:t>1</w:t>
            </w:r>
          </w:p>
        </w:tc>
        <w:tc>
          <w:tcPr>
            <w:tcW w:w="0" w:type="auto"/>
          </w:tcPr>
          <w:p>
            <w:pPr>
              <w:jc w:val="center"/>
              <w:rPr>
                <w:sz w:val="20"/>
              </w:rPr>
            </w:pPr>
            <w:r>
              <w:rPr>
                <w:sz w:val="20"/>
              </w:rPr>
              <w:t>70,51</w:t>
            </w:r>
          </w:p>
        </w:tc>
        <w:tc>
          <w:tcPr>
            <w:tcW w:w="0" w:type="auto"/>
          </w:tcPr>
          <w:p>
            <w:pPr>
              <w:jc w:val="center"/>
              <w:rPr>
                <w:sz w:val="20"/>
              </w:rPr>
            </w:pPr>
            <w:r>
              <w:rPr>
                <w:sz w:val="20"/>
              </w:rPr>
              <w:t>-</w:t>
            </w:r>
          </w:p>
        </w:tc>
        <w:tc>
          <w:tcPr>
            <w:tcW w:w="0" w:type="auto"/>
          </w:tcPr>
          <w:p>
            <w:pPr>
              <w:jc w:val="center"/>
              <w:rPr>
                <w:sz w:val="20"/>
              </w:rPr>
            </w:pPr>
            <w:r>
              <w:rPr>
                <w:sz w:val="20"/>
              </w:rPr>
              <w:t>-</w:t>
            </w:r>
          </w:p>
        </w:tc>
        <w:tc>
          <w:tcPr>
            <w:tcW w:w="0" w:type="auto"/>
          </w:tcPr>
          <w:p>
            <w:pPr>
              <w:rPr>
                <w:sz w:val="20"/>
              </w:rPr>
            </w:pPr>
            <w:r>
              <w:rPr>
                <w:sz w:val="20"/>
              </w:rPr>
              <w:t>Neįrengti</w:t>
            </w:r>
          </w:p>
        </w:tc>
        <w:tc>
          <w:tcPr>
            <w:tcW w:w="0" w:type="auto"/>
          </w:tcPr>
          <w:p>
            <w:pPr>
              <w:jc w:val="center"/>
              <w:rPr>
                <w:sz w:val="20"/>
              </w:rPr>
            </w:pPr>
            <w:r>
              <w:rPr>
                <w:sz w:val="20"/>
              </w:rPr>
              <w:t>-</w:t>
            </w:r>
          </w:p>
        </w:tc>
        <w:tc>
          <w:tcPr>
            <w:tcW w:w="0" w:type="auto"/>
          </w:tcPr>
          <w:p>
            <w:pPr>
              <w:jc w:val="center"/>
              <w:rPr>
                <w:sz w:val="20"/>
              </w:rPr>
            </w:pPr>
            <w:r>
              <w:rPr>
                <w:sz w:val="20"/>
              </w:rPr>
              <w:t>108,57</w:t>
            </w:r>
          </w:p>
        </w:tc>
        <w:tc>
          <w:tcPr>
            <w:tcW w:w="0" w:type="auto"/>
          </w:tcPr>
          <w:p>
            <w:pPr>
              <w:jc w:val="center"/>
              <w:rPr>
                <w:sz w:val="20"/>
              </w:rPr>
            </w:pPr>
            <w:r>
              <w:rPr>
                <w:sz w:val="20"/>
              </w:rPr>
              <w:t>-</w:t>
            </w:r>
          </w:p>
        </w:tc>
        <w:tc>
          <w:tcPr>
            <w:tcW w:w="0" w:type="auto"/>
          </w:tcPr>
          <w:p>
            <w:pPr>
              <w:jc w:val="center"/>
              <w:rPr>
                <w:sz w:val="20"/>
              </w:rPr>
            </w:pPr>
            <w:r>
              <w:rPr>
                <w:sz w:val="20"/>
              </w:rPr>
              <w:t>108,57</w:t>
            </w:r>
          </w:p>
        </w:tc>
      </w:tr>
      <w:tr>
        <w:tc>
          <w:tcPr>
            <w:tcW w:w="0" w:type="auto"/>
          </w:tcPr>
          <w:p>
            <w:pPr>
              <w:jc w:val="center"/>
              <w:rPr>
                <w:sz w:val="20"/>
              </w:rPr>
            </w:pPr>
            <w:r>
              <w:rPr>
                <w:sz w:val="20"/>
              </w:rPr>
              <w:t>2</w:t>
            </w:r>
          </w:p>
        </w:tc>
        <w:tc>
          <w:tcPr>
            <w:tcW w:w="0" w:type="auto"/>
          </w:tcPr>
          <w:p>
            <w:pPr>
              <w:jc w:val="center"/>
              <w:rPr>
                <w:sz w:val="20"/>
              </w:rPr>
            </w:pPr>
            <w:r>
              <w:rPr>
                <w:sz w:val="20"/>
              </w:rPr>
              <w:t>2</w:t>
            </w:r>
          </w:p>
        </w:tc>
        <w:tc>
          <w:tcPr>
            <w:tcW w:w="0" w:type="auto"/>
          </w:tcPr>
          <w:p>
            <w:pPr>
              <w:jc w:val="center"/>
              <w:rPr>
                <w:sz w:val="20"/>
              </w:rPr>
            </w:pPr>
            <w:r>
              <w:rPr>
                <w:sz w:val="20"/>
              </w:rPr>
              <w:t>63,45</w:t>
            </w:r>
          </w:p>
        </w:tc>
        <w:tc>
          <w:tcPr>
            <w:tcW w:w="0" w:type="auto"/>
          </w:tcPr>
          <w:p>
            <w:pPr>
              <w:jc w:val="center"/>
              <w:rPr>
                <w:sz w:val="20"/>
              </w:rPr>
            </w:pPr>
            <w:r>
              <w:rPr>
                <w:sz w:val="20"/>
              </w:rPr>
              <w:t>60,0</w:t>
            </w:r>
          </w:p>
        </w:tc>
        <w:tc>
          <w:tcPr>
            <w:tcW w:w="0" w:type="auto"/>
          </w:tcPr>
          <w:p>
            <w:pPr>
              <w:jc w:val="center"/>
              <w:rPr>
                <w:sz w:val="20"/>
              </w:rPr>
            </w:pPr>
            <w:r>
              <w:rPr>
                <w:sz w:val="20"/>
              </w:rPr>
              <w:t>-</w:t>
            </w:r>
          </w:p>
        </w:tc>
        <w:tc>
          <w:tcPr>
            <w:tcW w:w="0" w:type="auto"/>
          </w:tcPr>
          <w:p>
            <w:pPr>
              <w:rPr>
                <w:sz w:val="20"/>
              </w:rPr>
            </w:pPr>
            <w:r>
              <w:rPr>
                <w:sz w:val="20"/>
              </w:rPr>
              <w:t>Įrengti</w:t>
            </w:r>
          </w:p>
        </w:tc>
        <w:tc>
          <w:tcPr>
            <w:tcW w:w="0" w:type="auto"/>
          </w:tcPr>
          <w:p>
            <w:pPr>
              <w:jc w:val="center"/>
              <w:rPr>
                <w:sz w:val="20"/>
              </w:rPr>
            </w:pPr>
            <w:r>
              <w:rPr>
                <w:sz w:val="20"/>
              </w:rPr>
              <w:t>5,70</w:t>
            </w:r>
          </w:p>
        </w:tc>
        <w:tc>
          <w:tcPr>
            <w:tcW w:w="0" w:type="auto"/>
          </w:tcPr>
          <w:p>
            <w:pPr>
              <w:jc w:val="center"/>
              <w:rPr>
                <w:sz w:val="20"/>
              </w:rPr>
            </w:pPr>
            <w:r>
              <w:rPr>
                <w:sz w:val="20"/>
              </w:rPr>
              <w:t>-</w:t>
            </w:r>
          </w:p>
        </w:tc>
        <w:tc>
          <w:tcPr>
            <w:tcW w:w="0" w:type="auto"/>
          </w:tcPr>
          <w:p>
            <w:pPr>
              <w:jc w:val="center"/>
              <w:rPr>
                <w:sz w:val="20"/>
              </w:rPr>
            </w:pPr>
            <w:r>
              <w:rPr>
                <w:sz w:val="20"/>
              </w:rPr>
              <w:t>-</w:t>
            </w:r>
          </w:p>
        </w:tc>
        <w:tc>
          <w:tcPr>
            <w:tcW w:w="0" w:type="auto"/>
          </w:tcPr>
          <w:p>
            <w:pPr>
              <w:jc w:val="center"/>
              <w:rPr>
                <w:sz w:val="20"/>
              </w:rPr>
            </w:pPr>
            <w:r>
              <w:rPr>
                <w:sz w:val="20"/>
              </w:rPr>
              <w:t>65,70</w:t>
            </w:r>
          </w:p>
        </w:tc>
      </w:tr>
      <w:tr>
        <w:tc>
          <w:tcPr>
            <w:tcW w:w="0" w:type="auto"/>
          </w:tcPr>
          <w:p>
            <w:pPr>
              <w:jc w:val="center"/>
              <w:rPr>
                <w:sz w:val="20"/>
              </w:rPr>
            </w:pPr>
            <w:r>
              <w:rPr>
                <w:sz w:val="20"/>
              </w:rPr>
              <w:t>3</w:t>
            </w:r>
          </w:p>
        </w:tc>
        <w:tc>
          <w:tcPr>
            <w:tcW w:w="0" w:type="auto"/>
          </w:tcPr>
          <w:p>
            <w:pPr>
              <w:jc w:val="center"/>
              <w:rPr>
                <w:sz w:val="20"/>
              </w:rPr>
            </w:pPr>
            <w:r>
              <w:rPr>
                <w:sz w:val="20"/>
              </w:rPr>
              <w:t>3</w:t>
            </w:r>
          </w:p>
        </w:tc>
        <w:tc>
          <w:tcPr>
            <w:tcW w:w="0" w:type="auto"/>
          </w:tcPr>
          <w:p>
            <w:pPr>
              <w:jc w:val="center"/>
              <w:rPr>
                <w:sz w:val="20"/>
              </w:rPr>
            </w:pPr>
            <w:r>
              <w:rPr>
                <w:sz w:val="20"/>
              </w:rPr>
              <w:t>40,51</w:t>
            </w:r>
          </w:p>
        </w:tc>
        <w:tc>
          <w:tcPr>
            <w:tcW w:w="0" w:type="auto"/>
          </w:tcPr>
          <w:p>
            <w:pPr>
              <w:jc w:val="center"/>
              <w:rPr>
                <w:sz w:val="20"/>
              </w:rPr>
            </w:pPr>
            <w:r>
              <w:rPr>
                <w:sz w:val="20"/>
              </w:rPr>
              <w:t>-</w:t>
            </w:r>
          </w:p>
        </w:tc>
        <w:tc>
          <w:tcPr>
            <w:tcW w:w="0" w:type="auto"/>
          </w:tcPr>
          <w:p>
            <w:pPr>
              <w:jc w:val="center"/>
              <w:rPr>
                <w:sz w:val="20"/>
              </w:rPr>
            </w:pPr>
            <w:r>
              <w:rPr>
                <w:sz w:val="20"/>
              </w:rPr>
              <w:t>-</w:t>
            </w:r>
          </w:p>
        </w:tc>
        <w:tc>
          <w:tcPr>
            <w:tcW w:w="0" w:type="auto"/>
          </w:tcPr>
          <w:p>
            <w:pPr>
              <w:rPr>
                <w:sz w:val="20"/>
              </w:rPr>
            </w:pPr>
            <w:r>
              <w:rPr>
                <w:sz w:val="20"/>
              </w:rPr>
              <w:t>Neįrengti</w:t>
            </w:r>
          </w:p>
        </w:tc>
        <w:tc>
          <w:tcPr>
            <w:tcW w:w="0" w:type="auto"/>
          </w:tcPr>
          <w:p>
            <w:pPr>
              <w:jc w:val="center"/>
              <w:rPr>
                <w:sz w:val="20"/>
              </w:rPr>
            </w:pPr>
            <w:r>
              <w:rPr>
                <w:sz w:val="20"/>
              </w:rPr>
              <w:t>-</w:t>
            </w:r>
          </w:p>
        </w:tc>
        <w:tc>
          <w:tcPr>
            <w:tcW w:w="0" w:type="auto"/>
          </w:tcPr>
          <w:p>
            <w:pPr>
              <w:jc w:val="center"/>
              <w:rPr>
                <w:sz w:val="20"/>
              </w:rPr>
            </w:pPr>
            <w:r>
              <w:rPr>
                <w:sz w:val="20"/>
              </w:rPr>
              <w:t>62,37</w:t>
            </w:r>
          </w:p>
        </w:tc>
        <w:tc>
          <w:tcPr>
            <w:tcW w:w="0" w:type="auto"/>
          </w:tcPr>
          <w:p>
            <w:pPr>
              <w:jc w:val="center"/>
              <w:rPr>
                <w:sz w:val="20"/>
              </w:rPr>
            </w:pPr>
            <w:r>
              <w:rPr>
                <w:sz w:val="20"/>
              </w:rPr>
              <w:t>11,47</w:t>
            </w:r>
          </w:p>
        </w:tc>
        <w:tc>
          <w:tcPr>
            <w:tcW w:w="0" w:type="auto"/>
          </w:tcPr>
          <w:p>
            <w:pPr>
              <w:jc w:val="center"/>
              <w:rPr>
                <w:sz w:val="20"/>
              </w:rPr>
            </w:pPr>
            <w:r>
              <w:rPr>
                <w:sz w:val="20"/>
              </w:rPr>
              <w:t>73,84</w:t>
            </w:r>
          </w:p>
        </w:tc>
      </w:tr>
      <w:tr>
        <w:tc>
          <w:tcPr>
            <w:tcW w:w="0" w:type="auto"/>
          </w:tcPr>
          <w:p>
            <w:pPr>
              <w:jc w:val="center"/>
              <w:rPr>
                <w:sz w:val="20"/>
              </w:rPr>
            </w:pPr>
            <w:r>
              <w:rPr>
                <w:sz w:val="20"/>
              </w:rPr>
              <w:t>3</w:t>
            </w:r>
          </w:p>
        </w:tc>
        <w:tc>
          <w:tcPr>
            <w:tcW w:w="0" w:type="auto"/>
          </w:tcPr>
          <w:p>
            <w:pPr>
              <w:jc w:val="center"/>
              <w:rPr>
                <w:sz w:val="20"/>
              </w:rPr>
            </w:pPr>
            <w:r>
              <w:rPr>
                <w:sz w:val="20"/>
              </w:rPr>
              <w:t>4</w:t>
            </w:r>
          </w:p>
        </w:tc>
        <w:tc>
          <w:tcPr>
            <w:tcW w:w="0" w:type="auto"/>
          </w:tcPr>
          <w:p>
            <w:pPr>
              <w:jc w:val="center"/>
              <w:rPr>
                <w:sz w:val="20"/>
              </w:rPr>
            </w:pPr>
            <w:r>
              <w:rPr>
                <w:sz w:val="20"/>
              </w:rPr>
              <w:t>63,50</w:t>
            </w:r>
          </w:p>
        </w:tc>
        <w:tc>
          <w:tcPr>
            <w:tcW w:w="0" w:type="auto"/>
          </w:tcPr>
          <w:p>
            <w:pPr>
              <w:jc w:val="center"/>
              <w:rPr>
                <w:sz w:val="20"/>
              </w:rPr>
            </w:pPr>
            <w:r>
              <w:rPr>
                <w:sz w:val="20"/>
              </w:rPr>
              <w:t>72,0</w:t>
            </w:r>
          </w:p>
        </w:tc>
        <w:tc>
          <w:tcPr>
            <w:tcW w:w="0" w:type="auto"/>
          </w:tcPr>
          <w:p>
            <w:pPr>
              <w:jc w:val="center"/>
              <w:rPr>
                <w:sz w:val="20"/>
              </w:rPr>
            </w:pPr>
            <w:r>
              <w:rPr>
                <w:sz w:val="20"/>
              </w:rPr>
              <w:t>-</w:t>
            </w:r>
          </w:p>
        </w:tc>
        <w:tc>
          <w:tcPr>
            <w:tcW w:w="0" w:type="auto"/>
          </w:tcPr>
          <w:p>
            <w:pPr>
              <w:rPr>
                <w:sz w:val="20"/>
              </w:rPr>
            </w:pPr>
            <w:r>
              <w:rPr>
                <w:sz w:val="20"/>
              </w:rPr>
              <w:t>Įrengti</w:t>
            </w:r>
          </w:p>
        </w:tc>
        <w:tc>
          <w:tcPr>
            <w:tcW w:w="0" w:type="auto"/>
          </w:tcPr>
          <w:p>
            <w:pPr>
              <w:jc w:val="center"/>
              <w:rPr>
                <w:sz w:val="20"/>
              </w:rPr>
            </w:pPr>
            <w:r>
              <w:rPr>
                <w:sz w:val="20"/>
              </w:rPr>
              <w:t>5,70</w:t>
            </w:r>
          </w:p>
        </w:tc>
        <w:tc>
          <w:tcPr>
            <w:tcW w:w="0" w:type="auto"/>
          </w:tcPr>
          <w:p>
            <w:pPr>
              <w:jc w:val="center"/>
              <w:rPr>
                <w:sz w:val="20"/>
              </w:rPr>
            </w:pPr>
            <w:r>
              <w:rPr>
                <w:sz w:val="20"/>
              </w:rPr>
              <w:t>-</w:t>
            </w:r>
          </w:p>
        </w:tc>
        <w:tc>
          <w:tcPr>
            <w:tcW w:w="0" w:type="auto"/>
          </w:tcPr>
          <w:p>
            <w:pPr>
              <w:jc w:val="center"/>
              <w:rPr>
                <w:sz w:val="20"/>
              </w:rPr>
            </w:pPr>
            <w:r>
              <w:rPr>
                <w:sz w:val="20"/>
              </w:rPr>
              <w:t>17,98</w:t>
            </w:r>
          </w:p>
        </w:tc>
        <w:tc>
          <w:tcPr>
            <w:tcW w:w="0" w:type="auto"/>
          </w:tcPr>
          <w:p>
            <w:pPr>
              <w:jc w:val="center"/>
              <w:rPr>
                <w:sz w:val="20"/>
              </w:rPr>
            </w:pPr>
            <w:r>
              <w:rPr>
                <w:sz w:val="20"/>
              </w:rPr>
              <w:t>95,68</w:t>
            </w:r>
          </w:p>
        </w:tc>
      </w:tr>
      <w:tr>
        <w:tc>
          <w:tcPr>
            <w:tcW w:w="0" w:type="auto"/>
          </w:tcPr>
          <w:p>
            <w:pPr>
              <w:jc w:val="center"/>
              <w:rPr>
                <w:sz w:val="20"/>
              </w:rPr>
            </w:pPr>
            <w:r>
              <w:rPr>
                <w:sz w:val="20"/>
              </w:rPr>
              <w:t>4</w:t>
            </w:r>
          </w:p>
        </w:tc>
        <w:tc>
          <w:tcPr>
            <w:tcW w:w="0" w:type="auto"/>
          </w:tcPr>
          <w:p>
            <w:pPr>
              <w:jc w:val="center"/>
              <w:rPr>
                <w:sz w:val="20"/>
              </w:rPr>
            </w:pPr>
            <w:r>
              <w:rPr>
                <w:sz w:val="20"/>
              </w:rPr>
              <w:t>5</w:t>
            </w:r>
          </w:p>
        </w:tc>
        <w:tc>
          <w:tcPr>
            <w:tcW w:w="0" w:type="auto"/>
          </w:tcPr>
          <w:p>
            <w:pPr>
              <w:jc w:val="center"/>
              <w:rPr>
                <w:sz w:val="20"/>
              </w:rPr>
            </w:pPr>
            <w:r>
              <w:rPr>
                <w:sz w:val="20"/>
              </w:rPr>
              <w:t>70,00</w:t>
            </w:r>
          </w:p>
        </w:tc>
        <w:tc>
          <w:tcPr>
            <w:tcW w:w="0" w:type="auto"/>
          </w:tcPr>
          <w:p>
            <w:pPr>
              <w:jc w:val="center"/>
              <w:rPr>
                <w:sz w:val="20"/>
              </w:rPr>
            </w:pPr>
            <w:r>
              <w:rPr>
                <w:sz w:val="20"/>
              </w:rPr>
              <w:t>-</w:t>
            </w:r>
          </w:p>
        </w:tc>
        <w:tc>
          <w:tcPr>
            <w:tcW w:w="0" w:type="auto"/>
          </w:tcPr>
          <w:p>
            <w:pPr>
              <w:jc w:val="center"/>
              <w:rPr>
                <w:sz w:val="20"/>
              </w:rPr>
            </w:pPr>
            <w:r>
              <w:rPr>
                <w:sz w:val="20"/>
              </w:rPr>
              <w:t>-</w:t>
            </w:r>
          </w:p>
        </w:tc>
        <w:tc>
          <w:tcPr>
            <w:tcW w:w="0" w:type="auto"/>
          </w:tcPr>
          <w:p>
            <w:pPr>
              <w:rPr>
                <w:sz w:val="20"/>
              </w:rPr>
            </w:pPr>
            <w:r>
              <w:rPr>
                <w:sz w:val="20"/>
              </w:rPr>
              <w:t>Neįrengti</w:t>
            </w:r>
          </w:p>
        </w:tc>
        <w:tc>
          <w:tcPr>
            <w:tcW w:w="0" w:type="auto"/>
          </w:tcPr>
          <w:p>
            <w:pPr>
              <w:jc w:val="center"/>
              <w:rPr>
                <w:sz w:val="20"/>
              </w:rPr>
            </w:pPr>
            <w:r>
              <w:rPr>
                <w:sz w:val="20"/>
              </w:rPr>
              <w:t>-</w:t>
            </w:r>
          </w:p>
        </w:tc>
        <w:tc>
          <w:tcPr>
            <w:tcW w:w="0" w:type="auto"/>
          </w:tcPr>
          <w:p>
            <w:pPr>
              <w:jc w:val="center"/>
              <w:rPr>
                <w:sz w:val="20"/>
              </w:rPr>
            </w:pPr>
            <w:r>
              <w:rPr>
                <w:sz w:val="20"/>
              </w:rPr>
              <w:t>107,78</w:t>
            </w:r>
          </w:p>
        </w:tc>
        <w:tc>
          <w:tcPr>
            <w:tcW w:w="0" w:type="auto"/>
          </w:tcPr>
          <w:p>
            <w:pPr>
              <w:jc w:val="center"/>
              <w:rPr>
                <w:sz w:val="20"/>
              </w:rPr>
            </w:pPr>
            <w:r>
              <w:rPr>
                <w:sz w:val="20"/>
              </w:rPr>
              <w:t>19,83</w:t>
            </w:r>
          </w:p>
        </w:tc>
        <w:tc>
          <w:tcPr>
            <w:tcW w:w="0" w:type="auto"/>
          </w:tcPr>
          <w:p>
            <w:pPr>
              <w:jc w:val="center"/>
              <w:rPr>
                <w:sz w:val="20"/>
              </w:rPr>
            </w:pPr>
            <w:r>
              <w:rPr>
                <w:sz w:val="20"/>
              </w:rPr>
              <w:t>127,61</w:t>
            </w:r>
          </w:p>
        </w:tc>
      </w:tr>
      <w:tr>
        <w:tc>
          <w:tcPr>
            <w:tcW w:w="0" w:type="auto"/>
          </w:tcPr>
          <w:p>
            <w:pPr>
              <w:jc w:val="center"/>
              <w:rPr>
                <w:sz w:val="20"/>
              </w:rPr>
            </w:pPr>
            <w:r>
              <w:rPr>
                <w:sz w:val="20"/>
              </w:rPr>
              <w:t>4</w:t>
            </w:r>
          </w:p>
        </w:tc>
        <w:tc>
          <w:tcPr>
            <w:tcW w:w="0" w:type="auto"/>
          </w:tcPr>
          <w:p>
            <w:pPr>
              <w:jc w:val="center"/>
              <w:rPr>
                <w:sz w:val="20"/>
              </w:rPr>
            </w:pPr>
            <w:r>
              <w:rPr>
                <w:sz w:val="20"/>
              </w:rPr>
              <w:t>6</w:t>
            </w:r>
          </w:p>
        </w:tc>
        <w:tc>
          <w:tcPr>
            <w:tcW w:w="0" w:type="auto"/>
          </w:tcPr>
          <w:p>
            <w:pPr>
              <w:jc w:val="center"/>
              <w:rPr>
                <w:sz w:val="20"/>
              </w:rPr>
            </w:pPr>
            <w:r>
              <w:rPr>
                <w:sz w:val="20"/>
              </w:rPr>
              <w:t>42,00</w:t>
            </w:r>
          </w:p>
        </w:tc>
        <w:tc>
          <w:tcPr>
            <w:tcW w:w="0" w:type="auto"/>
          </w:tcPr>
          <w:p>
            <w:pPr>
              <w:jc w:val="center"/>
              <w:rPr>
                <w:sz w:val="20"/>
              </w:rPr>
            </w:pPr>
            <w:r>
              <w:rPr>
                <w:sz w:val="20"/>
              </w:rPr>
              <w:t>120,0</w:t>
            </w:r>
          </w:p>
        </w:tc>
        <w:tc>
          <w:tcPr>
            <w:tcW w:w="0" w:type="auto"/>
          </w:tcPr>
          <w:p>
            <w:pPr>
              <w:jc w:val="center"/>
              <w:rPr>
                <w:sz w:val="20"/>
              </w:rPr>
            </w:pPr>
            <w:r>
              <w:rPr>
                <w:sz w:val="20"/>
              </w:rPr>
              <w:t>-</w:t>
            </w:r>
          </w:p>
        </w:tc>
        <w:tc>
          <w:tcPr>
            <w:tcW w:w="0" w:type="auto"/>
          </w:tcPr>
          <w:p>
            <w:pPr>
              <w:rPr>
                <w:sz w:val="20"/>
              </w:rPr>
            </w:pPr>
            <w:r>
              <w:rPr>
                <w:sz w:val="20"/>
              </w:rPr>
              <w:t>Įrengti</w:t>
            </w:r>
          </w:p>
        </w:tc>
        <w:tc>
          <w:tcPr>
            <w:tcW w:w="0" w:type="auto"/>
          </w:tcPr>
          <w:p>
            <w:pPr>
              <w:jc w:val="center"/>
              <w:rPr>
                <w:sz w:val="20"/>
              </w:rPr>
            </w:pPr>
            <w:r>
              <w:rPr>
                <w:sz w:val="20"/>
              </w:rPr>
              <w:t>3,77</w:t>
            </w:r>
          </w:p>
        </w:tc>
        <w:tc>
          <w:tcPr>
            <w:tcW w:w="0" w:type="auto"/>
          </w:tcPr>
          <w:p>
            <w:pPr>
              <w:jc w:val="center"/>
              <w:rPr>
                <w:sz w:val="20"/>
              </w:rPr>
            </w:pPr>
            <w:r>
              <w:rPr>
                <w:sz w:val="20"/>
              </w:rPr>
              <w:t>-</w:t>
            </w:r>
          </w:p>
        </w:tc>
        <w:tc>
          <w:tcPr>
            <w:tcW w:w="0" w:type="auto"/>
          </w:tcPr>
          <w:p>
            <w:pPr>
              <w:jc w:val="center"/>
              <w:rPr>
                <w:sz w:val="20"/>
              </w:rPr>
            </w:pPr>
            <w:r>
              <w:rPr>
                <w:sz w:val="20"/>
              </w:rPr>
              <w:t>11,89</w:t>
            </w:r>
          </w:p>
        </w:tc>
        <w:tc>
          <w:tcPr>
            <w:tcW w:w="0" w:type="auto"/>
          </w:tcPr>
          <w:p>
            <w:pPr>
              <w:jc w:val="center"/>
              <w:rPr>
                <w:sz w:val="20"/>
              </w:rPr>
            </w:pPr>
            <w:r>
              <w:rPr>
                <w:sz w:val="20"/>
              </w:rPr>
              <w:t>135,66</w:t>
            </w:r>
          </w:p>
        </w:tc>
      </w:tr>
      <w:tr>
        <w:tc>
          <w:tcPr>
            <w:tcW w:w="0" w:type="auto"/>
          </w:tcPr>
          <w:p>
            <w:pPr>
              <w:jc w:val="center"/>
              <w:rPr>
                <w:sz w:val="20"/>
              </w:rPr>
            </w:pPr>
            <w:r>
              <w:rPr>
                <w:sz w:val="20"/>
              </w:rPr>
              <w:t>5</w:t>
            </w:r>
          </w:p>
        </w:tc>
        <w:tc>
          <w:tcPr>
            <w:tcW w:w="0" w:type="auto"/>
          </w:tcPr>
          <w:p>
            <w:pPr>
              <w:jc w:val="center"/>
              <w:rPr>
                <w:sz w:val="20"/>
              </w:rPr>
            </w:pPr>
            <w:r>
              <w:rPr>
                <w:sz w:val="20"/>
              </w:rPr>
              <w:t>7</w:t>
            </w:r>
          </w:p>
        </w:tc>
        <w:tc>
          <w:tcPr>
            <w:tcW w:w="0" w:type="auto"/>
          </w:tcPr>
          <w:p>
            <w:pPr>
              <w:jc w:val="center"/>
              <w:rPr>
                <w:sz w:val="20"/>
              </w:rPr>
            </w:pPr>
            <w:r>
              <w:rPr>
                <w:sz w:val="20"/>
              </w:rPr>
              <w:t>120,03</w:t>
            </w:r>
          </w:p>
        </w:tc>
        <w:tc>
          <w:tcPr>
            <w:tcW w:w="0" w:type="auto"/>
          </w:tcPr>
          <w:p>
            <w:pPr>
              <w:jc w:val="center"/>
              <w:rPr>
                <w:sz w:val="20"/>
              </w:rPr>
            </w:pPr>
            <w:r>
              <w:rPr>
                <w:sz w:val="20"/>
              </w:rPr>
              <w:t>-</w:t>
            </w:r>
          </w:p>
        </w:tc>
        <w:tc>
          <w:tcPr>
            <w:tcW w:w="0" w:type="auto"/>
          </w:tcPr>
          <w:p>
            <w:pPr>
              <w:jc w:val="center"/>
              <w:rPr>
                <w:sz w:val="20"/>
              </w:rPr>
            </w:pPr>
            <w:r>
              <w:rPr>
                <w:sz w:val="20"/>
              </w:rPr>
              <w:t>-</w:t>
            </w:r>
          </w:p>
        </w:tc>
        <w:tc>
          <w:tcPr>
            <w:tcW w:w="0" w:type="auto"/>
          </w:tcPr>
          <w:p>
            <w:pPr>
              <w:rPr>
                <w:sz w:val="20"/>
              </w:rPr>
            </w:pPr>
            <w:r>
              <w:rPr>
                <w:sz w:val="20"/>
              </w:rPr>
              <w:t>Neįrengti</w:t>
            </w:r>
          </w:p>
        </w:tc>
        <w:tc>
          <w:tcPr>
            <w:tcW w:w="0" w:type="auto"/>
          </w:tcPr>
          <w:p>
            <w:pPr>
              <w:jc w:val="center"/>
              <w:rPr>
                <w:sz w:val="20"/>
              </w:rPr>
            </w:pPr>
            <w:r>
              <w:rPr>
                <w:sz w:val="20"/>
              </w:rPr>
              <w:t>-</w:t>
            </w:r>
          </w:p>
        </w:tc>
        <w:tc>
          <w:tcPr>
            <w:tcW w:w="0" w:type="auto"/>
          </w:tcPr>
          <w:p>
            <w:pPr>
              <w:jc w:val="center"/>
              <w:rPr>
                <w:sz w:val="20"/>
              </w:rPr>
            </w:pPr>
            <w:r>
              <w:rPr>
                <w:sz w:val="20"/>
              </w:rPr>
              <w:t>184,82</w:t>
            </w:r>
          </w:p>
        </w:tc>
        <w:tc>
          <w:tcPr>
            <w:tcW w:w="0" w:type="auto"/>
          </w:tcPr>
          <w:p>
            <w:pPr>
              <w:jc w:val="center"/>
              <w:rPr>
                <w:sz w:val="20"/>
              </w:rPr>
            </w:pPr>
            <w:r>
              <w:rPr>
                <w:sz w:val="20"/>
              </w:rPr>
              <w:t>34,00</w:t>
            </w:r>
          </w:p>
        </w:tc>
        <w:tc>
          <w:tcPr>
            <w:tcW w:w="0" w:type="auto"/>
          </w:tcPr>
          <w:p>
            <w:pPr>
              <w:jc w:val="center"/>
              <w:rPr>
                <w:sz w:val="20"/>
              </w:rPr>
            </w:pPr>
            <w:r>
              <w:rPr>
                <w:sz w:val="20"/>
              </w:rPr>
              <w:t>218,82</w:t>
            </w:r>
          </w:p>
        </w:tc>
      </w:tr>
      <w:tr>
        <w:tc>
          <w:tcPr>
            <w:tcW w:w="0" w:type="auto"/>
          </w:tcPr>
          <w:p>
            <w:pPr>
              <w:jc w:val="center"/>
              <w:rPr>
                <w:sz w:val="20"/>
              </w:rPr>
            </w:pPr>
            <w:r>
              <w:rPr>
                <w:sz w:val="20"/>
              </w:rPr>
              <w:t>5</w:t>
            </w:r>
          </w:p>
        </w:tc>
        <w:tc>
          <w:tcPr>
            <w:tcW w:w="0" w:type="auto"/>
          </w:tcPr>
          <w:p>
            <w:pPr>
              <w:jc w:val="center"/>
              <w:rPr>
                <w:sz w:val="20"/>
              </w:rPr>
            </w:pPr>
            <w:r>
              <w:rPr>
                <w:sz w:val="20"/>
              </w:rPr>
              <w:t>8</w:t>
            </w:r>
          </w:p>
        </w:tc>
        <w:tc>
          <w:tcPr>
            <w:tcW w:w="0" w:type="auto"/>
          </w:tcPr>
          <w:p>
            <w:pPr>
              <w:jc w:val="center"/>
              <w:rPr>
                <w:sz w:val="20"/>
              </w:rPr>
            </w:pPr>
            <w:r>
              <w:rPr>
                <w:sz w:val="20"/>
              </w:rPr>
              <w:t>70,00</w:t>
            </w:r>
          </w:p>
        </w:tc>
        <w:tc>
          <w:tcPr>
            <w:tcW w:w="0" w:type="auto"/>
          </w:tcPr>
          <w:p>
            <w:pPr>
              <w:jc w:val="center"/>
              <w:rPr>
                <w:sz w:val="20"/>
              </w:rPr>
            </w:pPr>
            <w:r>
              <w:rPr>
                <w:sz w:val="20"/>
              </w:rPr>
              <w:t>80,00</w:t>
            </w:r>
          </w:p>
        </w:tc>
        <w:tc>
          <w:tcPr>
            <w:tcW w:w="0" w:type="auto"/>
          </w:tcPr>
          <w:p>
            <w:pPr>
              <w:jc w:val="center"/>
              <w:rPr>
                <w:sz w:val="20"/>
              </w:rPr>
            </w:pPr>
            <w:r>
              <w:rPr>
                <w:sz w:val="20"/>
              </w:rPr>
              <w:t>-</w:t>
            </w:r>
          </w:p>
        </w:tc>
        <w:tc>
          <w:tcPr>
            <w:tcW w:w="0" w:type="auto"/>
          </w:tcPr>
          <w:p>
            <w:pPr>
              <w:rPr>
                <w:sz w:val="20"/>
              </w:rPr>
            </w:pPr>
            <w:r>
              <w:rPr>
                <w:sz w:val="20"/>
              </w:rPr>
              <w:t>Įrengti</w:t>
            </w:r>
          </w:p>
        </w:tc>
        <w:tc>
          <w:tcPr>
            <w:tcW w:w="0" w:type="auto"/>
          </w:tcPr>
          <w:p>
            <w:pPr>
              <w:jc w:val="center"/>
              <w:rPr>
                <w:sz w:val="20"/>
              </w:rPr>
            </w:pPr>
            <w:r>
              <w:rPr>
                <w:sz w:val="20"/>
              </w:rPr>
              <w:t>6,29</w:t>
            </w:r>
          </w:p>
        </w:tc>
        <w:tc>
          <w:tcPr>
            <w:tcW w:w="0" w:type="auto"/>
          </w:tcPr>
          <w:p>
            <w:pPr>
              <w:jc w:val="center"/>
              <w:rPr>
                <w:sz w:val="20"/>
              </w:rPr>
            </w:pPr>
            <w:r>
              <w:rPr>
                <w:sz w:val="20"/>
              </w:rPr>
              <w:t>-</w:t>
            </w:r>
          </w:p>
        </w:tc>
        <w:tc>
          <w:tcPr>
            <w:tcW w:w="0" w:type="auto"/>
          </w:tcPr>
          <w:p>
            <w:pPr>
              <w:jc w:val="center"/>
              <w:rPr>
                <w:sz w:val="20"/>
              </w:rPr>
            </w:pPr>
            <w:r>
              <w:rPr>
                <w:sz w:val="20"/>
              </w:rPr>
              <w:t>19,83</w:t>
            </w:r>
          </w:p>
        </w:tc>
        <w:tc>
          <w:tcPr>
            <w:tcW w:w="0" w:type="auto"/>
          </w:tcPr>
          <w:p>
            <w:pPr>
              <w:jc w:val="center"/>
              <w:rPr>
                <w:sz w:val="20"/>
              </w:rPr>
            </w:pPr>
            <w:r>
              <w:rPr>
                <w:sz w:val="20"/>
              </w:rPr>
              <w:t>106,12</w:t>
            </w:r>
          </w:p>
        </w:tc>
      </w:tr>
      <w:tr>
        <w:tc>
          <w:tcPr>
            <w:tcW w:w="0" w:type="auto"/>
            <w:vAlign w:val="center"/>
          </w:tcPr>
          <w:p>
            <w:pPr>
              <w:jc w:val="center"/>
              <w:rPr>
                <w:sz w:val="20"/>
              </w:rPr>
            </w:pPr>
            <w:r>
              <w:rPr>
                <w:sz w:val="20"/>
              </w:rPr>
              <w:t>Iš viso</w:t>
            </w:r>
          </w:p>
        </w:tc>
        <w:tc>
          <w:tcPr>
            <w:tcW w:w="0" w:type="auto"/>
            <w:vAlign w:val="center"/>
          </w:tcPr>
          <w:p>
            <w:pPr>
              <w:jc w:val="center"/>
              <w:rPr>
                <w:sz w:val="20"/>
              </w:rPr>
            </w:pPr>
          </w:p>
        </w:tc>
        <w:tc>
          <w:tcPr>
            <w:tcW w:w="0" w:type="auto"/>
            <w:vAlign w:val="center"/>
          </w:tcPr>
          <w:p>
            <w:pPr>
              <w:jc w:val="center"/>
              <w:rPr>
                <w:sz w:val="20"/>
              </w:rPr>
            </w:pPr>
            <w:r>
              <w:rPr>
                <w:sz w:val="20"/>
              </w:rPr>
              <w:t>540,00</w:t>
            </w:r>
          </w:p>
        </w:tc>
        <w:tc>
          <w:tcPr>
            <w:tcW w:w="0" w:type="auto"/>
            <w:vAlign w:val="center"/>
          </w:tcPr>
          <w:p>
            <w:pPr>
              <w:jc w:val="center"/>
              <w:rPr>
                <w:sz w:val="20"/>
              </w:rPr>
            </w:pPr>
            <w:r>
              <w:rPr>
                <w:sz w:val="20"/>
              </w:rPr>
              <w:t>332,00</w:t>
            </w:r>
          </w:p>
        </w:tc>
        <w:tc>
          <w:tcPr>
            <w:tcW w:w="0" w:type="auto"/>
            <w:vAlign w:val="center"/>
          </w:tcPr>
          <w:p>
            <w:pPr>
              <w:jc w:val="center"/>
              <w:rPr>
                <w:sz w:val="20"/>
              </w:rPr>
            </w:pPr>
            <w:r>
              <w:rPr>
                <w:sz w:val="20"/>
              </w:rPr>
              <w:t>485</w:t>
            </w:r>
          </w:p>
          <w:p>
            <w:pPr>
              <w:jc w:val="center"/>
              <w:rPr>
                <w:sz w:val="20"/>
              </w:rPr>
            </w:pPr>
            <w:r>
              <w:rPr>
                <w:sz w:val="20"/>
              </w:rPr>
              <w:t>(600-115</w:t>
              <w:sym w:font="Symbol" w:char="F03D"/>
            </w:r>
          </w:p>
          <w:p>
            <w:pPr>
              <w:jc w:val="center"/>
              <w:rPr>
                <w:sz w:val="20"/>
              </w:rPr>
            </w:pPr>
            <w:r>
              <w:rPr>
                <w:sz w:val="20"/>
              </w:rPr>
              <w:t>485)</w:t>
            </w:r>
          </w:p>
        </w:tc>
        <w:tc>
          <w:tcPr>
            <w:tcW w:w="0" w:type="auto"/>
            <w:vAlign w:val="center"/>
          </w:tcPr>
          <w:p>
            <w:pPr>
              <w:jc w:val="center"/>
              <w:rPr>
                <w:sz w:val="20"/>
              </w:rPr>
            </w:pPr>
            <w:r>
              <w:rPr>
                <w:sz w:val="20"/>
              </w:rPr>
              <w:t>_</w:t>
            </w:r>
          </w:p>
        </w:tc>
        <w:tc>
          <w:tcPr>
            <w:tcW w:w="0" w:type="auto"/>
            <w:vAlign w:val="center"/>
          </w:tcPr>
          <w:p>
            <w:pPr>
              <w:jc w:val="center"/>
              <w:rPr>
                <w:sz w:val="20"/>
              </w:rPr>
            </w:pPr>
            <w:r>
              <w:rPr>
                <w:sz w:val="20"/>
              </w:rPr>
              <w:t>21,46</w:t>
            </w:r>
          </w:p>
        </w:tc>
        <w:tc>
          <w:tcPr>
            <w:tcW w:w="0" w:type="auto"/>
            <w:vAlign w:val="center"/>
          </w:tcPr>
          <w:p>
            <w:pPr>
              <w:jc w:val="center"/>
              <w:rPr>
                <w:sz w:val="20"/>
              </w:rPr>
            </w:pPr>
            <w:r>
              <w:rPr>
                <w:sz w:val="20"/>
              </w:rPr>
              <w:t>463,54</w:t>
            </w:r>
          </w:p>
        </w:tc>
        <w:tc>
          <w:tcPr>
            <w:tcW w:w="0" w:type="auto"/>
            <w:vAlign w:val="center"/>
          </w:tcPr>
          <w:p>
            <w:pPr>
              <w:jc w:val="center"/>
              <w:rPr>
                <w:sz w:val="20"/>
              </w:rPr>
            </w:pPr>
            <w:r>
              <w:rPr>
                <w:sz w:val="20"/>
              </w:rPr>
              <w:t>115,00</w:t>
            </w:r>
          </w:p>
        </w:tc>
        <w:tc>
          <w:tcPr>
            <w:tcW w:w="0" w:type="auto"/>
            <w:vAlign w:val="center"/>
          </w:tcPr>
          <w:p>
            <w:pPr>
              <w:jc w:val="center"/>
              <w:rPr>
                <w:sz w:val="20"/>
              </w:rPr>
            </w:pPr>
            <w:r>
              <w:rPr>
                <w:sz w:val="20"/>
              </w:rPr>
              <w:t>932,00</w:t>
            </w:r>
          </w:p>
        </w:tc>
      </w:tr>
    </w:tbl>
    <w:p>
      <w:pPr>
        <w:ind w:firstLine="709"/>
      </w:pPr>
    </w:p>
    <w:p>
      <w:r>
        <w:t>SKAIČIAVIMŲ PAAIŠKINIMAI</w:t>
      </w:r>
    </w:p>
    <w:p>
      <w:pPr>
        <w:ind w:firstLine="709"/>
      </w:pPr>
    </w:p>
    <w:p>
      <w:pPr>
        <w:ind w:firstLine="709"/>
        <w:jc w:val="both"/>
      </w:pPr>
      <w:r>
        <w:t>2, 4, 6 ir 8 butams (turintiems patalpose įrengtą elektros energijos apskaitos prietaisą) įmokos už bendrosioms namo reikmėms sunaudotą elektros energiją dydis (be įmokos už liftą) apskaičiuojamas pagal šios metodikos 7.1 punkte nurodytą formulę.</w:t>
      </w:r>
    </w:p>
    <w:p>
      <w:pPr>
        <w:ind w:firstLine="720"/>
        <w:jc w:val="both"/>
      </w:pPr>
      <w:r>
        <w:t>Iš pradžių apskaičiuojama pagal šios metodikos 7.1 punkte nurodytą formulę bendras įmokos už viso namo bendrosioms reikmėms sunaudotą per ataskaitinį mėnesį elektros energijos kiekį dydis (be įmokos už liftą), t. y. E</w:t>
      </w:r>
      <w:r>
        <w:rPr>
          <w:vertAlign w:val="subscript"/>
        </w:rPr>
        <w:t>bnk</w:t>
      </w:r>
      <w:r>
        <w:t xml:space="preserve"> </w:t>
        <w:sym w:font="Symbol" w:char="F03D"/>
        <w:t xml:space="preserve"> E</w:t>
      </w:r>
      <w:r>
        <w:rPr>
          <w:vertAlign w:val="subscript"/>
        </w:rPr>
        <w:t>iv</w:t>
      </w:r>
      <w:r>
        <w:t xml:space="preserve"> × k </w:t>
        <w:sym w:font="Symbol" w:char="F03D"/>
        <w:t xml:space="preserve"> 485,00 Lt × 0,1 </w:t>
        <w:sym w:font="Symbol" w:char="F03D"/>
        <w:t xml:space="preserve"> 48,50 Lt.</w:t>
      </w:r>
    </w:p>
    <w:p>
      <w:pPr>
        <w:ind w:firstLine="720"/>
        <w:jc w:val="both"/>
      </w:pPr>
      <w:r>
        <w:t>Po to apskaičiuojama įmokos už bendrosioms namo reikmėms sunaudotą per ataskaitinį mėnesį elektros energiją dydis tiems gyvenamųjų ir negyvenamųjų patalpų savininkams ir nuomininkams, kurie turi patalpose įrengtą elektros energijos apskaitos prietaisą:</w:t>
      </w:r>
    </w:p>
    <w:p>
      <w:pPr>
        <w:ind w:firstLine="720"/>
        <w:jc w:val="both"/>
      </w:pPr>
      <w:r>
        <w:rPr>
          <w:lang w:eastAsia="lt-LT"/>
        </w:rPr>
        <w:drawing>
          <wp:inline distT="0" distB="0" distL="0" distR="0">
            <wp:extent cx="5153025" cy="790575"/>
            <wp:effectExtent l="0" t="0" r="9525" b="952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5153025" cy="790575"/>
                    </a:xfrm>
                    <a:prstGeom prst="rect">
                      <a:avLst/>
                    </a:prstGeom>
                  </pic:spPr>
                </pic:pic>
              </a:graphicData>
            </a:graphic>
          </wp:inline>
        </w:drawing>
      </w:r>
    </w:p>
    <w:p>
      <w:pPr>
        <w:ind w:firstLine="709"/>
        <w:rPr>
          <w:b/>
        </w:rPr>
      </w:pPr>
    </w:p>
    <w:p>
      <w:pPr>
        <w:ind w:firstLine="709"/>
      </w:pPr>
      <w:r>
        <w:rPr>
          <w:lang w:eastAsia="lt-LT"/>
        </w:rPr>
        <w:drawing>
          <wp:inline distT="0" distB="0" distL="0" distR="0">
            <wp:extent cx="4867275" cy="714375"/>
            <wp:effectExtent l="0" t="0" r="9525" b="9525"/>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4867275" cy="714375"/>
                    </a:xfrm>
                    <a:prstGeom prst="rect">
                      <a:avLst/>
                    </a:prstGeom>
                  </pic:spPr>
                </pic:pic>
              </a:graphicData>
            </a:graphic>
          </wp:inline>
        </w:drawing>
      </w:r>
    </w:p>
    <w:p>
      <w:pPr>
        <w:ind w:firstLine="709"/>
      </w:pPr>
      <w:r>
        <w:rPr>
          <w:lang w:eastAsia="lt-LT"/>
        </w:rPr>
        <w:drawing>
          <wp:inline distT="0" distB="0" distL="0" distR="0">
            <wp:extent cx="4819650" cy="619125"/>
            <wp:effectExtent l="0" t="0" r="0" b="9525"/>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4819650" cy="619125"/>
                    </a:xfrm>
                    <a:prstGeom prst="rect">
                      <a:avLst/>
                    </a:prstGeom>
                  </pic:spPr>
                </pic:pic>
              </a:graphicData>
            </a:graphic>
          </wp:inline>
        </w:drawing>
      </w:r>
    </w:p>
    <w:p>
      <w:pPr>
        <w:ind w:firstLine="709"/>
      </w:pPr>
      <w:r>
        <w:rPr>
          <w:lang w:eastAsia="lt-LT"/>
        </w:rPr>
        <w:drawing>
          <wp:inline distT="0" distB="0" distL="0" distR="0">
            <wp:extent cx="4705350" cy="857250"/>
            <wp:effectExtent l="0" t="0" r="0" b="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stretch>
                      <a:fillRect/>
                    </a:stretch>
                  </pic:blipFill>
                  <pic:spPr>
                    <a:xfrm>
                      <a:off x="0" y="0"/>
                      <a:ext cx="4705350" cy="857250"/>
                    </a:xfrm>
                    <a:prstGeom prst="rect">
                      <a:avLst/>
                    </a:prstGeom>
                  </pic:spPr>
                </pic:pic>
              </a:graphicData>
            </a:graphic>
          </wp:inline>
        </w:drawing>
      </w:r>
    </w:p>
    <w:p>
      <w:pPr>
        <w:ind w:firstLine="709"/>
      </w:pPr>
    </w:p>
    <w:p>
      <w:pPr>
        <w:ind w:firstLine="709"/>
        <w:jc w:val="both"/>
        <w:rPr>
          <w:u w:val="single"/>
        </w:rPr>
      </w:pPr>
      <w:r>
        <w:rPr>
          <w:u w:val="single"/>
        </w:rPr>
        <w:t>1, 3, 5 ir 7 butams (neturintiems patalpose įrengto elektros energijos apskaitos prietaiso) įmokos už gyvenamųjų ar negyvenamųjų patalpų savininko ar nuomininko patalpose ir už bendrosioms bendrabučio reikmėms sunaudotą elektros energiją dydis (be įmokos už liftą) apskaičiuojamas pagal šios metodikos 7.2 punkte nurodytą formulę:</w:t>
      </w:r>
    </w:p>
    <w:p>
      <w:pPr>
        <w:ind w:right="283"/>
        <w:jc w:val="both"/>
        <w:rPr>
          <w:u w:val="single"/>
        </w:rPr>
      </w:pPr>
      <w:r>
        <w:rPr>
          <w:lang w:eastAsia="lt-LT"/>
        </w:rPr>
        <w:drawing>
          <wp:inline distT="0" distB="0" distL="0" distR="0">
            <wp:extent cx="6120765" cy="553029"/>
            <wp:effectExtent l="0" t="0" r="0" b="0"/>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6120765" cy="553029"/>
                    </a:xfrm>
                    <a:prstGeom prst="rect">
                      <a:avLst/>
                    </a:prstGeom>
                  </pic:spPr>
                </pic:pic>
              </a:graphicData>
            </a:graphic>
          </wp:inline>
        </w:drawing>
      </w:r>
    </w:p>
    <w:p>
      <w:pPr>
        <w:ind w:firstLine="709"/>
        <w:rPr>
          <w:color w:val="000000"/>
          <w:vertAlign w:val="subscript"/>
        </w:rPr>
      </w:pPr>
    </w:p>
    <w:p>
      <w:pPr>
        <w:rPr>
          <w:b/>
          <w:color w:val="000000"/>
        </w:rPr>
      </w:pPr>
      <w:r>
        <w:rPr>
          <w:lang w:eastAsia="lt-LT"/>
        </w:rPr>
        <w:drawing>
          <wp:inline distT="0" distB="0" distL="0" distR="0">
            <wp:extent cx="6120765" cy="612568"/>
            <wp:effectExtent l="0" t="0" r="0" b="0"/>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6120765" cy="612568"/>
                    </a:xfrm>
                    <a:prstGeom prst="rect">
                      <a:avLst/>
                    </a:prstGeom>
                  </pic:spPr>
                </pic:pic>
              </a:graphicData>
            </a:graphic>
          </wp:inline>
        </w:drawing>
      </w:r>
    </w:p>
    <w:p>
      <w:r>
        <w:rPr>
          <w:lang w:eastAsia="lt-LT"/>
        </w:rPr>
        <w:drawing>
          <wp:inline distT="0" distB="0" distL="0" distR="0">
            <wp:extent cx="6120765" cy="567760"/>
            <wp:effectExtent l="0" t="0" r="0" b="3810"/>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a:stretch>
                      <a:fillRect/>
                    </a:stretch>
                  </pic:blipFill>
                  <pic:spPr>
                    <a:xfrm>
                      <a:off x="0" y="0"/>
                      <a:ext cx="6120765" cy="567760"/>
                    </a:xfrm>
                    <a:prstGeom prst="rect">
                      <a:avLst/>
                    </a:prstGeom>
                  </pic:spPr>
                </pic:pic>
              </a:graphicData>
            </a:graphic>
          </wp:inline>
        </w:drawing>
      </w:r>
    </w:p>
    <w:p>
      <w:r>
        <w:rPr>
          <w:lang w:eastAsia="lt-LT"/>
        </w:rPr>
        <w:drawing>
          <wp:inline distT="0" distB="0" distL="0" distR="0">
            <wp:extent cx="6120765" cy="535229"/>
            <wp:effectExtent l="0" t="0" r="0" b="0"/>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a:stretch>
                      <a:fillRect/>
                    </a:stretch>
                  </pic:blipFill>
                  <pic:spPr>
                    <a:xfrm>
                      <a:off x="0" y="0"/>
                      <a:ext cx="6120765" cy="535229"/>
                    </a:xfrm>
                    <a:prstGeom prst="rect">
                      <a:avLst/>
                    </a:prstGeom>
                  </pic:spPr>
                </pic:pic>
              </a:graphicData>
            </a:graphic>
          </wp:inline>
        </w:drawing>
      </w:r>
    </w:p>
    <w:p>
      <w:pPr>
        <w:ind w:firstLine="709"/>
      </w:pPr>
    </w:p>
    <w:p>
      <w:pPr>
        <w:ind w:firstLine="709"/>
        <w:jc w:val="both"/>
      </w:pPr>
      <w:r>
        <w:t xml:space="preserve">3–7 butams įmokos už liftą (jei bendrabutyje yra liftas ir jo elektros įrenginių sunaudotai elektros energijai apskaityti nėra arba neįmanoma įrengti atskiros elektros energijos apskaitos prietaisų dėl netinkamos bendrabučio vidaus elektros energijos tiekimo inžinerinės įrangos) dydis apskaičiuojamas pagal šios metodikos 10 punkte nurodytą formulę. Prieš tai apskaičiuojamas liftui sunaudotas bendras elektros energijos kiekis pagal Elektros energijos tiekimo ir naudojimo taisyklių 1 priedą. Pvz., šis kiekis (pinigine išraiška) yra 115,00 Lt. </w:t>
      </w:r>
    </w:p>
    <w:p>
      <w:pPr>
        <w:ind w:firstLine="709"/>
        <w:jc w:val="both"/>
        <w:rPr>
          <w:color w:val="000000"/>
        </w:rPr>
      </w:pPr>
      <w:r>
        <w:t>Po to 3–7 butams apskaičiuojamas įmokos už liftą dydis:</w:t>
      </w:r>
    </w:p>
    <w:p>
      <w:pPr>
        <w:rPr>
          <w:color w:val="000000"/>
        </w:rPr>
      </w:pPr>
      <w:r>
        <w:rPr>
          <w:lang w:eastAsia="lt-LT"/>
        </w:rPr>
        <w:drawing>
          <wp:inline distT="0" distB="0" distL="0" distR="0">
            <wp:extent cx="6120765" cy="533388"/>
            <wp:effectExtent l="0" t="0" r="0" b="635"/>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a:stretch>
                      <a:fillRect/>
                    </a:stretch>
                  </pic:blipFill>
                  <pic:spPr>
                    <a:xfrm>
                      <a:off x="0" y="0"/>
                      <a:ext cx="6120765" cy="533388"/>
                    </a:xfrm>
                    <a:prstGeom prst="rect">
                      <a:avLst/>
                    </a:prstGeom>
                  </pic:spPr>
                </pic:pic>
              </a:graphicData>
            </a:graphic>
          </wp:inline>
        </w:drawing>
      </w:r>
    </w:p>
    <w:p>
      <w:pPr>
        <w:ind w:firstLine="709"/>
        <w:rPr>
          <w:b/>
        </w:rPr>
      </w:pPr>
    </w:p>
    <w:p>
      <w:pPr>
        <w:rPr>
          <w:b/>
        </w:rPr>
      </w:pPr>
      <w:r>
        <w:rPr>
          <w:lang w:eastAsia="lt-LT"/>
        </w:rPr>
        <w:drawing>
          <wp:inline distT="0" distB="0" distL="0" distR="0">
            <wp:extent cx="6120765" cy="527864"/>
            <wp:effectExtent l="0" t="0" r="0" b="5715"/>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a:stretch>
                      <a:fillRect/>
                    </a:stretch>
                  </pic:blipFill>
                  <pic:spPr>
                    <a:xfrm>
                      <a:off x="0" y="0"/>
                      <a:ext cx="6120765" cy="527864"/>
                    </a:xfrm>
                    <a:prstGeom prst="rect">
                      <a:avLst/>
                    </a:prstGeom>
                  </pic:spPr>
                </pic:pic>
              </a:graphicData>
            </a:graphic>
          </wp:inline>
        </w:drawing>
      </w:r>
    </w:p>
    <w:p>
      <w:pPr>
        <w:rPr>
          <w:b/>
          <w:color w:val="000000"/>
        </w:rPr>
      </w:pPr>
      <w:r>
        <w:rPr>
          <w:lang w:eastAsia="lt-LT"/>
        </w:rPr>
        <w:drawing>
          <wp:inline distT="0" distB="0" distL="0" distR="0">
            <wp:extent cx="6120765" cy="505153"/>
            <wp:effectExtent l="0" t="0" r="0" b="9525"/>
            <wp:docPr id="24" name="Paveikslėli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a:stretch>
                      <a:fillRect/>
                    </a:stretch>
                  </pic:blipFill>
                  <pic:spPr>
                    <a:xfrm>
                      <a:off x="0" y="0"/>
                      <a:ext cx="6120765" cy="505153"/>
                    </a:xfrm>
                    <a:prstGeom prst="rect">
                      <a:avLst/>
                    </a:prstGeom>
                  </pic:spPr>
                </pic:pic>
              </a:graphicData>
            </a:graphic>
          </wp:inline>
        </w:drawing>
      </w:r>
    </w:p>
    <w:p>
      <w:pPr>
        <w:rPr>
          <w:b/>
          <w:color w:val="000000"/>
        </w:rPr>
      </w:pPr>
      <w:r>
        <w:rPr>
          <w:lang w:eastAsia="lt-LT"/>
        </w:rPr>
        <w:drawing>
          <wp:inline distT="0" distB="0" distL="0" distR="0">
            <wp:extent cx="6120765" cy="492877"/>
            <wp:effectExtent l="0" t="0" r="0" b="2540"/>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6"/>
                    <a:stretch>
                      <a:fillRect/>
                    </a:stretch>
                  </pic:blipFill>
                  <pic:spPr>
                    <a:xfrm>
                      <a:off x="0" y="0"/>
                      <a:ext cx="6120765" cy="492877"/>
                    </a:xfrm>
                    <a:prstGeom prst="rect">
                      <a:avLst/>
                    </a:prstGeom>
                  </pic:spPr>
                </pic:pic>
              </a:graphicData>
            </a:graphic>
          </wp:inline>
        </w:drawing>
      </w:r>
    </w:p>
    <w:p>
      <w:pPr>
        <w:ind w:firstLine="709"/>
        <w:rPr>
          <w:b/>
          <w:color w:val="000000"/>
        </w:rPr>
      </w:pPr>
    </w:p>
    <w:p>
      <w:pPr>
        <w:rPr>
          <w:b/>
          <w:color w:val="000000"/>
        </w:rPr>
      </w:pPr>
      <w:r>
        <w:rPr>
          <w:lang w:eastAsia="lt-LT"/>
        </w:rPr>
        <w:drawing>
          <wp:inline distT="0" distB="0" distL="0" distR="0">
            <wp:extent cx="6120765" cy="577581"/>
            <wp:effectExtent l="0" t="0" r="0" b="0"/>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6120765" cy="577581"/>
                    </a:xfrm>
                    <a:prstGeom prst="rect">
                      <a:avLst/>
                    </a:prstGeom>
                  </pic:spPr>
                </pic:pic>
              </a:graphicData>
            </a:graphic>
          </wp:inline>
        </w:drawing>
      </w:r>
    </w:p>
    <w:p>
      <w:pPr>
        <w:rPr>
          <w:b/>
          <w:color w:val="000000"/>
        </w:rPr>
      </w:pPr>
      <w:r>
        <w:rPr>
          <w:lang w:eastAsia="lt-LT"/>
        </w:rPr>
        <w:drawing>
          <wp:inline distT="0" distB="0" distL="0" distR="0">
            <wp:extent cx="6120765" cy="540140"/>
            <wp:effectExtent l="0" t="0" r="0" b="0"/>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8"/>
                    <a:stretch>
                      <a:fillRect/>
                    </a:stretch>
                  </pic:blipFill>
                  <pic:spPr>
                    <a:xfrm>
                      <a:off x="0" y="0"/>
                      <a:ext cx="6120765" cy="540140"/>
                    </a:xfrm>
                    <a:prstGeom prst="rect">
                      <a:avLst/>
                    </a:prstGeom>
                  </pic:spPr>
                </pic:pic>
              </a:graphicData>
            </a:graphic>
          </wp:inline>
        </w:drawing>
      </w:r>
    </w:p>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7609F3C48E4">
        <w:r w:rsidRPr="00532B9F">
          <w:rPr>
            <w:rFonts w:ascii="Times New Roman" w:eastAsia="MS Mincho" w:hAnsi="Times New Roman"/>
            <w:sz w:val="20"/>
            <w:iCs/>
            <w:color w:val="0000FF" w:themeColor="hyperlink"/>
            <w:u w:val="single"/>
          </w:rPr>
          <w:t>4-142</w:t>
        </w:r>
      </w:fldSimple>
      <w:r>
        <w:rPr>
          <w:rFonts w:ascii="Times New Roman" w:eastAsia="MS Mincho" w:hAnsi="Times New Roman"/>
          <w:sz w:val="20"/>
          <w:iCs/>
        </w:rPr>
        <w:t>,
2004-04-29,
Žin., 2004, Nr.
75-2599 (2004-05-05), i. k. 1042020ISAK0004-142                </w:t>
      </w:r>
    </w:p>
    <w:p>
      <w:pPr>
        <w:jc w:val="both"/>
        <w:rPr>
          <w:rFonts w:ascii="Times New Roman" w:hAnsi="Times New Roman"/>
        </w:rPr>
      </w:pPr>
      <w:r>
        <w:rPr>
          <w:rFonts w:ascii="Times New Roman" w:hAnsi="Times New Roman"/>
          <w:sz w:val="20"/>
        </w:rPr>
        <w:t>Dėl Įmokų už sunaudotą elektros energiją bendrabučio tipo daugiabučiuose gyvenamuosiuose namuose paskirstymo gyvenamųjų ir negyvenamųjų patalpų savininkams ir nuomininkams metodikos, patvirtintos Lietuvos Respublikos ūkio ministro 2003 m. lapkričio 3 d. įsakymu Nr. 4-412, papildymo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07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2"/>
    <o:shapelayout v:ext="edit">
      <o:idmap v:ext="edit" data="1"/>
    </o:shapelayout>
  </w:shapeDefaults>
  <w:decimalSymbol w:val=","/>
  <w:listSeparator w:val=";"/>
  <w14:docId w14:val="46EF3A4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8A39C83848CB"/>
  <Relationship Id="rId18" Type="http://schemas.openxmlformats.org/officeDocument/2006/relationships/hyperlink" TargetMode="External" Target="https://www.e-tar.lt/portal/lt/legalAct/TAR.44235B485568"/>
  <Relationship Id="rId19" Type="http://schemas.openxmlformats.org/officeDocument/2006/relationships/hyperlink" TargetMode="External" Target="https://www.e-tar.lt/portal/lt/legalAct/TAR.3C888BB3A723"/>
  <Relationship Id="rId2" Type="http://schemas.openxmlformats.org/officeDocument/2006/relationships/header" Target="header2.xml"/>
  <Relationship Id="rId20" Type="http://schemas.openxmlformats.org/officeDocument/2006/relationships/hyperlink" TargetMode="External" Target="https://www.e-tar.lt/portal/lt/legalAct/TAR.050AFCEC90E6"/>
  <Relationship Id="rId21" Type="http://schemas.openxmlformats.org/officeDocument/2006/relationships/hyperlink" TargetMode="External" Target="https://www.e-tar.lt/portal/lt/legalAct/TAR.A891B495AB6B"/>
  <Relationship Id="rId22" Type="http://schemas.openxmlformats.org/officeDocument/2006/relationships/hyperlink" TargetMode="External" Target="https://www.e-tar.lt/portal/lt/legalAct/TAR.44235B485568"/>
  <Relationship Id="rId23" Type="http://schemas.openxmlformats.org/officeDocument/2006/relationships/hyperlink" TargetMode="External" Target="https://www.e-tar.lt/portal/lt/legalAct/TAR.8A39C83848CB"/>
  <Relationship Id="rId24" Type="http://schemas.openxmlformats.org/officeDocument/2006/relationships/hyperlink" TargetMode="External" Target="https://www.e-tar.lt/portal/lt/legalAct/TAR.EDDE3D0FB137"/>
  <Relationship Id="rId25" Type="http://schemas.openxmlformats.org/officeDocument/2006/relationships/hyperlink" TargetMode="External" Target="https://www.e-tar.lt/portal/lt/legalAct/TAR.C7C888F5F228"/>
  <Relationship Id="rId26" Type="http://schemas.openxmlformats.org/officeDocument/2006/relationships/hyperlink" TargetMode="External" Target="https://www.e-tar.lt/portal/lt/legalAct/TAR.3C888BB3A723"/>
  <Relationship Id="rId27" Type="http://schemas.openxmlformats.org/officeDocument/2006/relationships/hyperlink" TargetMode="External" Target="https://www.e-tar.lt/portal/lt/legalAct/TAR.050AFCEC90E6"/>
  <Relationship Id="rId28" Type="http://schemas.openxmlformats.org/officeDocument/2006/relationships/hyperlink" TargetMode="External" Target="https://www.e-tar.lt/portal/lt/legalAct/TAR.CD611C4E110C"/>
  <Relationship Id="rId29" Type="http://schemas.openxmlformats.org/officeDocument/2006/relationships/hyperlink" TargetMode="External" Target="https://www.e-tar.lt/portal/lt/legalAct/TAR.0BAED7010C0B"/>
  <Relationship Id="rId3" Type="http://schemas.openxmlformats.org/officeDocument/2006/relationships/footer" Target="footer1.xml"/>
  <Relationship Id="rId30" Type="http://schemas.openxmlformats.org/officeDocument/2006/relationships/hyperlink" TargetMode="External" Target="https://www.e-tar.lt/portal/lt/legalAct/TAR.FDF02B7DC571"/>
  <Relationship Id="rId31" Type="http://schemas.openxmlformats.org/officeDocument/2006/relationships/hyperlink" TargetMode="External" Target="https://www.e-tar.lt/portal/lt/legalAct/TAR.FEBBAA83F47B"/>
  <Relationship Id="rId32" Type="http://schemas.openxmlformats.org/officeDocument/2006/relationships/image" Target="media/image3.png"/>
  <Relationship Id="rId33" Type="http://schemas.openxmlformats.org/officeDocument/2006/relationships/image" Target="media/image5.wmf"/>
  <Relationship Id="rId34" Type="http://schemas.openxmlformats.org/officeDocument/2006/relationships/oleObject" Target="embeddings/oleObject3.bin"/>
  <Relationship Id="rId35" Type="http://schemas.openxmlformats.org/officeDocument/2006/relationships/image" Target="media/image6.wmf"/>
  <Relationship Id="rId36" Type="http://schemas.openxmlformats.org/officeDocument/2006/relationships/oleObject" Target="embeddings/oleObject4.bin"/>
  <Relationship Id="rId37" Type="http://schemas.openxmlformats.org/officeDocument/2006/relationships/image" Target="media/image4.png"/>
  <Relationship Id="rId38" Type="http://schemas.openxmlformats.org/officeDocument/2006/relationships/image" Target="media/image8.png"/>
  <Relationship Id="rId39" Type="http://schemas.openxmlformats.org/officeDocument/2006/relationships/image" Target="media/image9.png"/>
  <Relationship Id="rId4" Type="http://schemas.openxmlformats.org/officeDocument/2006/relationships/footer" Target="footer2.xml"/>
  <Relationship Id="rId40" Type="http://schemas.openxmlformats.org/officeDocument/2006/relationships/image" Target="media/image9.wmf"/>
  <Relationship Id="rId41" Type="http://schemas.openxmlformats.org/officeDocument/2006/relationships/oleObject" Target="embeddings/oleObject7.bin"/>
  <Relationship Id="rId42" Type="http://schemas.openxmlformats.org/officeDocument/2006/relationships/image" Target="media/image10.wmf"/>
  <Relationship Id="rId43" Type="http://schemas.openxmlformats.org/officeDocument/2006/relationships/oleObject" Target="embeddings/oleObject8.bin"/>
  <Relationship Id="rId44" Type="http://schemas.openxmlformats.org/officeDocument/2006/relationships/image" Target="media/image10.png"/>
  <Relationship Id="rId45" Type="http://schemas.openxmlformats.org/officeDocument/2006/relationships/image" Target="media/image13.png"/>
  <Relationship Id="rId46" Type="http://schemas.openxmlformats.org/officeDocument/2006/relationships/image" Target="media/image15.wmf"/>
  <Relationship Id="rId47" Type="http://schemas.openxmlformats.org/officeDocument/2006/relationships/oleObject" Target="embeddings/oleObject13.bin"/>
  <Relationship Id="rId48" Type="http://schemas.openxmlformats.org/officeDocument/2006/relationships/image" Target="media/image16.wmf"/>
  <Relationship Id="rId49" Type="http://schemas.openxmlformats.org/officeDocument/2006/relationships/oleObject" Target="embeddings/oleObject14.bin"/>
  <Relationship Id="rId5" Type="http://schemas.openxmlformats.org/officeDocument/2006/relationships/header" Target="header3.xml"/>
  <Relationship Id="rId50" Type="http://schemas.openxmlformats.org/officeDocument/2006/relationships/image" Target="media/image17.wmf"/>
  <Relationship Id="rId51" Type="http://schemas.openxmlformats.org/officeDocument/2006/relationships/oleObject" Target="embeddings/oleObject15.bin"/>
  <Relationship Id="rId52" Type="http://schemas.openxmlformats.org/officeDocument/2006/relationships/image" Target="media/image18.wmf"/>
  <Relationship Id="rId53" Type="http://schemas.openxmlformats.org/officeDocument/2006/relationships/oleObject" Target="embeddings/oleObject16.bin"/>
  <Relationship Id="rId54" Type="http://schemas.openxmlformats.org/officeDocument/2006/relationships/image" Target="media/image14.png"/>
  <Relationship Id="rId55" Type="http://schemas.openxmlformats.org/officeDocument/2006/relationships/image" Target="media/image17.png"/>
  <Relationship Id="rId56" Type="http://schemas.openxmlformats.org/officeDocument/2006/relationships/image" Target="media/image23.wmf"/>
  <Relationship Id="rId57" Type="http://schemas.openxmlformats.org/officeDocument/2006/relationships/oleObject" Target="embeddings/oleObject21.bin"/>
  <Relationship Id="rId58" Type="http://schemas.openxmlformats.org/officeDocument/2006/relationships/image" Target="media/image24.wmf"/>
  <Relationship Id="rId59" Type="http://schemas.openxmlformats.org/officeDocument/2006/relationships/oleObject" Target="embeddings/oleObject22.bin"/>
  <Relationship Id="rId6" Type="http://schemas.openxmlformats.org/officeDocument/2006/relationships/footer" Target="footer3.xml"/>
  <Relationship Id="rId60" Type="http://schemas.openxmlformats.org/officeDocument/2006/relationships/image" Target="media/image25.wmf"/>
  <Relationship Id="rId61" Type="http://schemas.openxmlformats.org/officeDocument/2006/relationships/oleObject" Target="embeddings/oleObject23.bin"/>
  <Relationship Id="rId62" Type="http://schemas.openxmlformats.org/officeDocument/2006/relationships/image" Target="media/image26.wmf"/>
  <Relationship Id="rId63" Type="http://schemas.openxmlformats.org/officeDocument/2006/relationships/oleObject" Target="embeddings/oleObject24.bin"/>
  <Relationship Id="rId64" Type="http://schemas.openxmlformats.org/officeDocument/2006/relationships/image" Target="media/image18.png"/>
  <Relationship Id="rId65" Type="http://schemas.openxmlformats.org/officeDocument/2006/relationships/image" Target="media/image21.png"/>
  <Relationship Id="rId66" Type="http://schemas.openxmlformats.org/officeDocument/2006/relationships/image" Target="media/image31.wmf"/>
  <Relationship Id="rId67" Type="http://schemas.openxmlformats.org/officeDocument/2006/relationships/oleObject" Target="embeddings/oleObject29.bin"/>
  <Relationship Id="rId68" Type="http://schemas.openxmlformats.org/officeDocument/2006/relationships/image" Target="media/image32.wmf"/>
  <Relationship Id="rId69" Type="http://schemas.openxmlformats.org/officeDocument/2006/relationships/oleObject" Target="embeddings/oleObject30.bin"/>
  <Relationship Id="rId7" Type="http://schemas.openxmlformats.org/officeDocument/2006/relationships/endnotes" Target="endnotes.xml"/>
  <Relationship Id="rId70" Type="http://schemas.openxmlformats.org/officeDocument/2006/relationships/image" Target="media/image33.wmf"/>
  <Relationship Id="rId71" Type="http://schemas.openxmlformats.org/officeDocument/2006/relationships/oleObject" Target="embeddings/oleObject31.bin"/>
  <Relationship Id="rId72" Type="http://schemas.openxmlformats.org/officeDocument/2006/relationships/image" Target="media/image34.wmf"/>
  <Relationship Id="rId73" Type="http://schemas.openxmlformats.org/officeDocument/2006/relationships/oleObject" Target="embeddings/oleObject32.bin"/>
  <Relationship Id="rId74" Type="http://schemas.openxmlformats.org/officeDocument/2006/relationships/image" Target="media/image22.png"/>
  <Relationship Id="rId75" Type="http://schemas.openxmlformats.org/officeDocument/2006/relationships/image" Target="media/image23.png"/>
  <Relationship Id="rId76" Type="http://schemas.openxmlformats.org/officeDocument/2006/relationships/image" Target="media/image24.png"/>
  <Relationship Id="rId77" Type="http://schemas.openxmlformats.org/officeDocument/2006/relationships/image" Target="media/image25.png"/>
  <Relationship Id="rId78" Type="http://schemas.openxmlformats.org/officeDocument/2006/relationships/image" Target="media/image26.png"/>
  <Relationship Id="rId79" Type="http://schemas.openxmlformats.org/officeDocument/2006/relationships/image" Target="media/image27.png"/>
  <Relationship Id="rId8" Type="http://schemas.openxmlformats.org/officeDocument/2006/relationships/fontTable" Target="fontTable.xml"/>
  <Relationship Id="rId80" Type="http://schemas.openxmlformats.org/officeDocument/2006/relationships/image" Target="media/image28.png"/>
  <Relationship Id="rId81" Type="http://schemas.openxmlformats.org/officeDocument/2006/relationships/image" Target="media/image29.png"/>
  <Relationship Id="rId82" Type="http://schemas.openxmlformats.org/officeDocument/2006/relationships/image" Target="media/image30.png"/>
  <Relationship Id="rId83" Type="http://schemas.openxmlformats.org/officeDocument/2006/relationships/image" Target="media/image31.png"/>
  <Relationship Id="rId84" Type="http://schemas.openxmlformats.org/officeDocument/2006/relationships/image" Target="media/image32.png"/>
  <Relationship Id="rId85" Type="http://schemas.openxmlformats.org/officeDocument/2006/relationships/image" Target="media/image33.png"/>
  <Relationship Id="rId86" Type="http://schemas.openxmlformats.org/officeDocument/2006/relationships/image" Target="media/image34.png"/>
  <Relationship Id="rId87" Type="http://schemas.openxmlformats.org/officeDocument/2006/relationships/image" Target="media/image35.png"/>
  <Relationship Id="rId88" Type="http://schemas.openxmlformats.org/officeDocument/2006/relationships/image" Target="media/image36.png"/>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22</TotalTime>
  <Pages>14</Pages>
  <Words>22208</Words>
  <Characters>12659</Characters>
  <Application>Microsoft Office Word</Application>
  <DocSecurity>0</DocSecurity>
  <Lines>105</Lines>
  <Paragraphs>69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34798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2015-09-13T22:50:00Z</dcterms:created>
  <dc:creator>Win2003Stdx32</dc:creator>
  <lastModifiedBy>GUMBYTĖ Danguolė</lastModifiedBy>
  <dcterms:modified xsi:type="dcterms:W3CDTF">2016-09-06T13:19:00Z</dcterms:modified>
  <revision>6</revision>
</coreProperties>
</file>