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2020-01-01:</w:t>
      </w:r>
    </w:p>
    <w:p>
      <w:pPr>
        <w:jc w:val="both"/>
        <w:rPr>
          <w:rFonts w:ascii="Times New Roman" w:hAnsi="Times New Roman"/>
          <w:i/>
        </w:rPr>
      </w:pPr>
      <w:r>
        <w:rPr>
          <w:rFonts w:ascii="Times New Roman" w:hAnsi="Times New Roman"/>
          <w:sz w:val="20"/>
          <w:i/>
        </w:rPr>
        <w:t>
                    Muitinės departamentas prie Lietuvos Respublikos finansų ministerijos,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f5d03d00fbdd11e99681cd81dcdca52c">
        <w:r w:rsidRPr="00532B9F">
          <w:rPr>
            <w:rFonts w:ascii="Times New Roman" w:eastAsia="MS Mincho" w:hAnsi="Times New Roman"/>
            <w:sz w:val="20"/>
            <w:i/>
            <w:iCs/>
            <w:color w:val="0000FF" w:themeColor="hyperlink"/>
            <w:u w:val="single"/>
          </w:rPr>
          <w:t>1B-989</w:t>
        </w:r>
      </w:fldSimple>
      <w:r>
        <w:rPr>
          <w:rFonts w:ascii="Times New Roman" w:eastAsia="MS Mincho" w:hAnsi="Times New Roman"/>
          <w:sz w:val="20"/>
          <w:iCs/>
          <w:i/>
        </w:rPr>
        <w:t>,
2019-10-31,
paskelbta TAR 2019-11-04, i. k. 2019-17495                </w:t>
      </w:r>
    </w:p>
    <w:p>
      <w:pPr>
        <w:jc w:val="both"/>
        <w:rPr>
          <w:rFonts w:ascii="Times New Roman" w:hAnsi="Times New Roman"/>
          <w:i/>
        </w:rPr>
      </w:pPr>
      <w:r>
        <w:rPr>
          <w:rFonts w:ascii="Times New Roman" w:hAnsi="Times New Roman"/>
          <w:sz w:val="20"/>
          <w:i/>
        </w:rPr>
        <w:t>Dėl Importuojamų naudotų transporto priemonių muitinio įvertinimo taisyklių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2016-12-17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C84F4DBACD6E">
        <w:r w:rsidRPr="00532B9F">
          <w:rPr>
            <w:rFonts w:ascii="Times New Roman" w:eastAsia="MS Mincho" w:hAnsi="Times New Roman"/>
            <w:sz w:val="20"/>
            <w:i/>
            <w:iCs/>
            <w:color w:val="0000FF" w:themeColor="hyperlink"/>
            <w:u w:val="single"/>
          </w:rPr>
          <w:t>78-3259</w:t>
        </w:r>
      </w:fldSimple>
      <w:r>
        <w:rPr>
          <w:rFonts w:ascii="Times New Roman" w:eastAsia="MS Mincho" w:hAnsi="Times New Roman"/>
          <w:sz w:val="20"/>
          <w:i/>
          <w:iCs/>
        </w:rPr>
        <w:t>, i. k. 1093030ISAK001B-361</w:t>
      </w:r>
    </w:p>
    <w:p>
      <w:pPr>
        <w:jc w:val="both"/>
        <w:rPr>
          <w:rFonts w:ascii="Times New Roman" w:hAnsi="Times New Roman"/>
          <w:sz w:val="20"/>
        </w:rPr>
      </w:pPr>
    </w:p>
    <w:p>
      <w:pPr>
        <w:jc w:val="center"/>
      </w:pPr>
      <w:r>
        <w:rPr>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0" o:title=""/>
          </v:shape>
          <w:control r:id="rId11" w:name="Control 2" w:shapeid="_x0000_s1026"/>
        </w:pict>
      </w:r>
      <w:r>
        <w:t>MUITINĖS DEPARTAMENTO PRIE LIETUVOS RESPUBLIKOS FINANSŲ MINISTERIJOS GENERALINIO DIREKTORIAUS</w:t>
      </w:r>
    </w:p>
    <w:p>
      <w:pPr>
        <w:jc w:val="center"/>
        <w:rPr>
          <w:spacing w:val="60"/>
        </w:rPr>
      </w:pPr>
      <w:r>
        <w:rPr>
          <w:spacing w:val="60"/>
        </w:rPr>
        <w:t>ĮSAKYMAS</w:t>
      </w:r>
    </w:p>
    <w:p>
      <w:pPr>
        <w:jc w:val="center"/>
        <w:rPr>
          <w:spacing w:val="60"/>
        </w:rPr>
      </w:pPr>
    </w:p>
    <w:p>
      <w:pPr>
        <w:jc w:val="center"/>
        <w:rPr>
          <w:b/>
          <w:bCs/>
        </w:rPr>
      </w:pPr>
      <w:r>
        <w:rPr>
          <w:b/>
          <w:bCs/>
        </w:rPr>
        <w:t>DĖL IMPORTUOJAMŲ NAUDOTŲ TRANSPORTO PRIEMONIŲ MUITINIO ĮVERTINIMO TAISYKLIŲ PATVIRTINIMO</w:t>
      </w:r>
    </w:p>
    <w:p>
      <w:pPr>
        <w:jc w:val="center"/>
      </w:pPr>
    </w:p>
    <w:p>
      <w:pPr>
        <w:jc w:val="center"/>
      </w:pPr>
      <w:r>
        <w:t>2009 m. birželio 26 d. Nr. 1B-361</w:t>
      </w:r>
    </w:p>
    <w:p>
      <w:pPr>
        <w:jc w:val="center"/>
      </w:pPr>
      <w:r>
        <w:t>Vilnius</w:t>
      </w:r>
    </w:p>
    <w:p>
      <w:pPr>
        <w:ind w:firstLine="567"/>
        <w:jc w:val="both"/>
      </w:pPr>
    </w:p>
    <w:p>
      <w:pPr>
        <w:tabs>
          <w:tab w:val="left" w:pos="709"/>
        </w:tabs>
        <w:ind w:firstLine="567"/>
        <w:jc w:val="both"/>
      </w:pPr>
      <w:r>
        <w:rPr>
          <w:rFonts w:eastAsia="SimSun"/>
          <w:szCs w:val="24"/>
        </w:rPr>
        <w:t>Vadovaudamasis Sąjungos muitinės kodekso įgyvendinimo taisyklių, patvirtintų Lietuvos Respublikos Vyriausybės 2016 m. gruodžio 7 d. nutarimu Nr. 1224 „Dėl Sąjungos muitinės kodekso įgyvendinimo ir Lietuvos Respublikos Vyriausybės 2004 m. spalio 27 d. nutarimo Nr. 1332 „Dėl 1992 m. spalio 12 d. Tarybos reglamento (EEB) Nr. 2913/92, nustatančio Bendrijos muitinės kodeksą, ir 1993 m. liepos 2 d. Komisijos reglamento (EEB) Nr. 2454/93, išdėstančio Tarybos reglamento (EEB) Nr. 2913/92, nustatančio Bendrijos muitinės kodeksą, įgyvendinimo nuostatas, taikymo Lietuvos Respublikoje taisyklių patvirtinimo“ pripažinimo netekusiu galios“, 23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87b40c2bd11e69dec860c1f4a5372">
        <w:r w:rsidRPr="00532B9F">
          <w:rPr>
            <w:rFonts w:ascii="Times New Roman" w:eastAsia="MS Mincho" w:hAnsi="Times New Roman"/>
            <w:sz w:val="20"/>
            <w:i/>
            <w:iCs/>
            <w:color w:val="0000FF" w:themeColor="hyperlink"/>
            <w:u w:val="single"/>
          </w:rPr>
          <w:t>1B-1026</w:t>
        </w:r>
      </w:fldSimple>
      <w:r>
        <w:rPr>
          <w:rFonts w:ascii="Times New Roman" w:eastAsia="MS Mincho" w:hAnsi="Times New Roman"/>
          <w:sz w:val="20"/>
          <w:i/>
          <w:iCs/>
        </w:rPr>
        <w:t>,
2016-12-15,
paskelbta TAR 2016-12-16, i. k. 2016-29002            </w:t>
      </w:r>
    </w:p>
    <w:p/>
    <w:p>
      <w:pPr>
        <w:ind w:firstLine="567"/>
        <w:jc w:val="both"/>
      </w:pPr>
      <w:r>
        <w:t>1</w:t>
      </w:r>
      <w:r>
        <w:t xml:space="preserve">. </w:t>
      </w:r>
      <w:r>
        <w:rPr>
          <w:spacing w:val="60"/>
        </w:rPr>
        <w:t>Tvirtinu</w:t>
      </w:r>
      <w:r>
        <w:t xml:space="preserve"> pridedamas Importuojamų naudotų transporto priemonių muitinio įvertinimo taisykles.</w:t>
      </w:r>
    </w:p>
    <w:p>
      <w:pPr>
        <w:ind w:firstLine="567"/>
        <w:jc w:val="both"/>
      </w:pPr>
      <w:r>
        <w:t>2</w:t>
      </w:r>
      <w:r>
        <w:t xml:space="preserve">. </w:t>
      </w:r>
      <w:r>
        <w:rPr>
          <w:spacing w:val="60"/>
        </w:rPr>
        <w:t>Nustata</w:t>
      </w:r>
      <w:r>
        <w:t>u, kad šio įsakymo 1 punktu patvirtintų Importuojamų naudotų transporto priemonių muitinio įvertinimo taisyklių 21 punkto nustatyta tvarka turi būti surašomas Importuojamos transporto priemonės defektų, atsiradusių dėl apgadinimo, aktas, jei su muitinės sandėlyje saugomomis apgadintomis transporto priemonėmis numatoma atlikti įprastines tvarkymo operacijas.</w:t>
      </w:r>
    </w:p>
    <w:p>
      <w:pPr>
        <w:ind w:firstLine="567"/>
        <w:jc w:val="both"/>
      </w:pPr>
      <w:r>
        <w:t>3</w:t>
      </w:r>
      <w:r>
        <w:t xml:space="preserve">. </w:t>
      </w:r>
      <w:r>
        <w:rPr>
          <w:spacing w:val="60"/>
        </w:rPr>
        <w:t>Pripažįstu</w:t>
      </w:r>
      <w:r>
        <w:t xml:space="preserve"> netekusiais galios:</w:t>
      </w:r>
    </w:p>
    <w:p>
      <w:pPr>
        <w:ind w:firstLine="567"/>
        <w:jc w:val="both"/>
      </w:pPr>
      <w:r>
        <w:t>3.1</w:t>
      </w:r>
      <w:r>
        <w:t xml:space="preserve">. Muitinės departamento generalinio direktoriaus 2004 m. gruodžio 29 d. įsakymą Nr. 1B-1198 „Dėl Importuojamų naudotų automobilių muitinio įvertinimo metodikos patvirtinimo“ (Žin., 2004, Nr. </w:t>
      </w:r>
      <w:hyperlink r:id="rId12" w:tgtFrame="_blank" w:history="1">
        <w:r>
          <w:rPr>
            <w:color w:val="0000FF" w:themeColor="hyperlink"/>
            <w:u w:val="single"/>
          </w:rPr>
          <w:t>188-7044</w:t>
        </w:r>
      </w:hyperlink>
      <w:r>
        <w:t>);</w:t>
      </w:r>
    </w:p>
    <w:p>
      <w:pPr>
        <w:ind w:firstLine="567"/>
        <w:jc w:val="both"/>
      </w:pPr>
      <w:r>
        <w:t>3.2</w:t>
      </w:r>
      <w:r>
        <w:t xml:space="preserve">. Muitinės departamento direktoriaus 2005 m. gegužės 2 d. įsakymą Nr. 1B-312 „Dėl Muitinės departamento generalinio direktoriaus 2004 m. gruodžio 29 d. įsakymo Nr. 1B-1198 „Dėl Importuojamų naudotų automobilių muitinio įvertinimo metodikos patvirtinimo“ pakeitimo“ (Žin., 2005, Nr. </w:t>
      </w:r>
      <w:hyperlink r:id="rId13" w:tgtFrame="_blank" w:history="1">
        <w:r>
          <w:rPr>
            <w:color w:val="0000FF" w:themeColor="hyperlink"/>
            <w:u w:val="single"/>
          </w:rPr>
          <w:t>58-2063</w:t>
        </w:r>
      </w:hyperlink>
      <w:r>
        <w:t>);</w:t>
      </w:r>
    </w:p>
    <w:p>
      <w:pPr>
        <w:ind w:firstLine="567"/>
        <w:jc w:val="both"/>
      </w:pPr>
      <w:r>
        <w:t>3.3</w:t>
      </w:r>
      <w:r>
        <w:t xml:space="preserve">. Muitinės departamento direktoriaus 2005 m. rugpjūčio 19 d. įsakymą Nr. 1B-572 „Dėl Muitinės departamento generalinio direktoriaus 2004 m. gruodžio 29 d. įsakymo Nr. 1B-1198 „Dėl Importuojamų naudotų automobilių muitinio įvertinimo metodikos patvirtinimo“ pakeitimo“ (Žin., 2005, Nr. </w:t>
      </w:r>
      <w:hyperlink r:id="rId14" w:tgtFrame="_blank" w:history="1">
        <w:r>
          <w:rPr>
            <w:color w:val="0000FF" w:themeColor="hyperlink"/>
            <w:u w:val="single"/>
          </w:rPr>
          <w:t>102-3804</w:t>
        </w:r>
      </w:hyperlink>
      <w:r>
        <w:t>);</w:t>
      </w:r>
    </w:p>
    <w:p>
      <w:pPr>
        <w:ind w:firstLine="567"/>
        <w:jc w:val="both"/>
      </w:pPr>
      <w:r>
        <w:t>3.4</w:t>
      </w:r>
      <w:r>
        <w:t>. Muitinės departamento direktoriaus 2005 m. lapkričio 17 d. įsakymą Nr. 1B-733 „Dėl Muitinės departamento generalinio direktoriaus 2004 m. gruodžio 29 d. įsakymo Nr. 1B-1198 „Dėl Importuojamų naudotų automobilių muitinio įvertinimo metodikos patvirtinimo“ pakeitimo“ (Žin., 2005, Nr. Nr. 137-4954);</w:t>
      </w:r>
    </w:p>
    <w:p>
      <w:pPr>
        <w:ind w:firstLine="567"/>
        <w:jc w:val="both"/>
      </w:pPr>
      <w:r>
        <w:t>3.5</w:t>
      </w:r>
      <w:r>
        <w:t xml:space="preserve">. Muitinės departamento direktoriaus 2006 m. rugpjūčio 19 d. įsakymą Nr. 1B-532 „Dėl Muitinės departamento generalinio direktoriaus 2004 m. gruodžio 29 d. įsakymo Nr. 1B-1198 „Dėl Importuojamų naudotų automobilių muitinio įvertinimo metodikos patvirtinimo“ pakeitimo“ (Žin., 2006, Nr. </w:t>
      </w:r>
      <w:hyperlink r:id="rId15" w:tgtFrame="_blank" w:history="1">
        <w:r>
          <w:rPr>
            <w:color w:val="0000FF" w:themeColor="hyperlink"/>
            <w:u w:val="single"/>
          </w:rPr>
          <w:t>90-3559</w:t>
        </w:r>
      </w:hyperlink>
      <w:r>
        <w:t>);</w:t>
      </w:r>
    </w:p>
    <w:p>
      <w:pPr>
        <w:ind w:firstLine="567"/>
        <w:jc w:val="both"/>
      </w:pPr>
      <w:r>
        <w:t>3.6</w:t>
      </w:r>
      <w:r>
        <w:t xml:space="preserve">. Muitinės departamento direktoriaus 2008 m. kovo 31 d. įsakymą Nr. 1B-221 „Dėl Muitinės departamento generalinio direktoriaus 2004 m. gruodžio 29 d. įsakymo Nr. 1B-1198 „Dėl Importuojamų naudotų automobilių muitinio įvertinimo metodikos patvirtinimo“ pakeitimo“ (Žin., 2008, Nr. </w:t>
      </w:r>
      <w:hyperlink r:id="rId16" w:tgtFrame="_blank" w:history="1">
        <w:r>
          <w:rPr>
            <w:color w:val="0000FF" w:themeColor="hyperlink"/>
            <w:u w:val="single"/>
          </w:rPr>
          <w:t>38-1418</w:t>
        </w:r>
      </w:hyperlink>
      <w:r>
        <w:t>);</w:t>
      </w:r>
    </w:p>
    <w:p>
      <w:pPr>
        <w:keepNext/>
        <w:keepLines/>
        <w:ind w:firstLine="567"/>
        <w:jc w:val="both"/>
      </w:pPr>
      <w:r>
        <w:t>3.7</w:t>
      </w:r>
      <w:r>
        <w:t xml:space="preserve">. Muitinės departamento direktoriaus 2008 m. liepos 2 d. įsakymą Nr. 1B-449 „Dėl Muitinės departamento generalinio direktoriaus 2004 m. gruodžio 29 d. įsakymo Nr. 1B-1198 „Dėl Importuojamų naudotų automobilių muitinio įvertinimo metodikos patvirtinimo“ pakeitimo“ (Žin., 2008, Nr. </w:t>
      </w:r>
      <w:hyperlink r:id="rId17" w:tgtFrame="_blank" w:history="1">
        <w:r>
          <w:rPr>
            <w:color w:val="0000FF" w:themeColor="hyperlink"/>
            <w:u w:val="single"/>
          </w:rPr>
          <w:t>77-3066</w:t>
        </w:r>
      </w:hyperlink>
      <w:r>
        <w:t>).</w:t>
      </w:r>
    </w:p>
    <w:p>
      <w:pPr>
        <w:keepNext/>
        <w:keepLines/>
        <w:ind w:firstLine="567"/>
        <w:jc w:val="both"/>
      </w:pPr>
      <w:r>
        <w:t>4</w:t>
      </w:r>
      <w:r>
        <w:t>. Šis įsakymas įsigalioja nuo 2009 m. liepos 1 d.</w:t>
      </w:r>
    </w:p>
    <w:p>
      <w:pPr>
        <w:keepNext/>
        <w:keepLines/>
        <w:tabs>
          <w:tab w:val="right" w:pos="9071"/>
        </w:tabs>
      </w:pPr>
    </w:p>
    <w:p>
      <w:pPr>
        <w:keepNext/>
        <w:keepLines/>
        <w:tabs>
          <w:tab w:val="right" w:pos="9071"/>
        </w:tabs>
      </w:pPr>
    </w:p>
    <w:p>
      <w:pPr>
        <w:tabs>
          <w:tab w:val="right" w:pos="9071"/>
        </w:tabs>
      </w:pPr>
    </w:p>
    <w:p>
      <w:pPr>
        <w:tabs>
          <w:tab w:val="right" w:pos="9071"/>
        </w:tabs>
      </w:pPr>
      <w:r>
        <w:t>L. E. GENERALINIO DIREKTORIAUS PAREIGAS</w:t>
        <w:tab/>
        <w:t>ALGIS CIBULSKAS</w:t>
      </w:r>
    </w:p>
    <w:p>
      <w:pPr>
        <w:tabs>
          <w:tab w:val="left" w:pos="720"/>
          <w:tab w:val="center" w:pos="4153"/>
          <w:tab w:val="right" w:pos="8306"/>
        </w:tabs>
        <w:ind w:left="4962"/>
        <w:jc w:val="both"/>
      </w:pPr>
      <w:r>
        <w:br w:type="page"/>
      </w:r>
    </w:p>
    <w:p>
      <w:pPr>
        <w:tabs>
          <w:tab w:val="left" w:pos="720"/>
          <w:tab w:val="center" w:pos="4153"/>
          <w:tab w:val="right" w:pos="8306"/>
        </w:tabs>
        <w:ind w:left="4962"/>
        <w:rPr>
          <w:szCs w:val="24"/>
        </w:rPr>
      </w:pPr>
      <w:r>
        <w:rPr>
          <w:szCs w:val="24"/>
        </w:rPr>
        <w:t>PATVIRTINTA</w:t>
      </w:r>
    </w:p>
    <w:p>
      <w:pPr>
        <w:tabs>
          <w:tab w:val="left" w:pos="720"/>
          <w:tab w:val="center" w:pos="4153"/>
          <w:tab w:val="right" w:pos="8306"/>
        </w:tabs>
        <w:ind w:left="4962"/>
        <w:rPr>
          <w:szCs w:val="24"/>
        </w:rPr>
      </w:pPr>
      <w:r>
        <w:rPr>
          <w:szCs w:val="24"/>
        </w:rPr>
        <w:t>Muitinės departamento prie Lietuvos Respublikos finansų ministerijos generalinio direktoriaus 2009 m. birželio 26 d. įsakymu Nr. 1B-361</w:t>
      </w:r>
    </w:p>
    <w:p>
      <w:pPr>
        <w:tabs>
          <w:tab w:val="left" w:pos="720"/>
        </w:tabs>
        <w:ind w:left="4962"/>
        <w:rPr>
          <w:szCs w:val="24"/>
        </w:rPr>
      </w:pPr>
      <w:r>
        <w:rPr>
          <w:szCs w:val="24"/>
        </w:rPr>
        <w:t>(Muitinės departamento prie Lietuvos Respublikos finansų ministerijos generalinio direktoriaus 2016 m. gruodžio 15 d. įsakymo Nr. 1B-1026 redakcija)</w:t>
      </w:r>
    </w:p>
    <w:p>
      <w:pPr>
        <w:tabs>
          <w:tab w:val="left" w:pos="720"/>
          <w:tab w:val="center" w:pos="4153"/>
          <w:tab w:val="right" w:pos="8306"/>
        </w:tabs>
        <w:rPr>
          <w:szCs w:val="24"/>
        </w:rPr>
      </w:pPr>
    </w:p>
    <w:p>
      <w:pPr>
        <w:jc w:val="center"/>
        <w:rPr>
          <w:b/>
          <w:bCs/>
          <w:caps/>
          <w:szCs w:val="24"/>
        </w:rPr>
      </w:pPr>
      <w:r>
        <w:rPr>
          <w:b/>
          <w:bCs/>
          <w:caps/>
          <w:szCs w:val="24"/>
        </w:rPr>
        <w:t>IMPORTUOJAMŲ NAUDOTŲ transporto priemonių MUITINIO ĮVERTINIMO taisyklės</w:t>
      </w:r>
    </w:p>
    <w:p>
      <w:pPr>
        <w:jc w:val="center"/>
        <w:rPr>
          <w:b/>
          <w:bCs/>
          <w:caps/>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I</w:t>
      </w:r>
      <w:r>
        <w:rPr>
          <w:rFonts w:eastAsia="Arial Unicode MS"/>
          <w:b/>
          <w:bCs/>
          <w:szCs w:val="24"/>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BENDROSIOS NUOSTATOS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4"/>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w:t>
      </w:r>
      <w:r>
        <w:rPr>
          <w:rFonts w:eastAsia="Arial Unicode MS"/>
          <w:szCs w:val="24"/>
        </w:rPr>
        <w:t>. Importuojamų naudotų transporto priemonių muitinio įvertinimo taisyklės (toliau – Taisyklės) reglamentuoja importuojamų naudotų transporto priemonių muitinės vertės nustatymo tvarką ir šiai vertei nustatyti naudojamų muitinio įvertinimo metodų taikymo sąlygas ir ypatybes.</w:t>
      </w:r>
    </w:p>
    <w:p>
      <w:pPr>
        <w:tabs>
          <w:tab w:val="left" w:pos="720"/>
          <w:tab w:val="left" w:pos="916"/>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w:t>
      </w:r>
      <w:r>
        <w:rPr>
          <w:rFonts w:eastAsia="Arial Unicode MS"/>
          <w:szCs w:val="24"/>
        </w:rPr>
        <w:t>. Taisyklės taikomos asmenų importuojamų naudotų transporto priemonių, priskiriamų Kombinuotosios nomenklatūros, patvirtintos 1987 m. liepos 23 d. Tarybos reglamentu (EEB) Nr. 2658/87 (OL 2004 m. specialusis leidimas, 2 skyrius, 2 tomas, p. 382), su paskutiniais pakeitimais, padarytais 2016 m. gruodžio 5 d. Komisijos įgyvendinimo reglamentu (ES) 2016/2222 (OL 2016 L 336, p. 17), 8701, 8702, 8703, 8704 ir 8711 pozicijoms ir turinčių Taisyklių 3 punkte nurodytas eksploatavimo charakteristikas (toliau – naudotos transporto priemonės), kurioms įforminama išleidimo į laisvą apyvartą muitinės procedūra.</w:t>
      </w:r>
    </w:p>
    <w:p>
      <w:pPr>
        <w:tabs>
          <w:tab w:val="left" w:pos="72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3</w:t>
      </w:r>
      <w:r>
        <w:rPr>
          <w:rFonts w:eastAsia="Arial Unicode MS"/>
          <w:szCs w:val="24"/>
        </w:rPr>
        <w:t>. Taisyklėse naudotomis transporto priemonėmis laikomi automobiliai, nuo kurių eksploatavimo pradžios praėjo daugiau kaip 6 mėnesiai (arba jų rida iki pateikimo išleidimo į laisvą apyvartą arba laikinojo įvežimo perdirbti muitinės procedūrai įforminti buvo didesnė kaip 6 000 km), apgadinti eismo įvykio metu ar dėl kitų priežasčių automobiliai, taip pat kitos transporto priemonės (motociklai, keturračiai motociklai), nusidėvėjusios dėl įprastinio naudojimo, apgadintos eismo įvykio metu ar dėl kitų priežasčių.</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4</w:t>
      </w:r>
      <w:r>
        <w:rPr>
          <w:rFonts w:eastAsia="Arial Unicode MS"/>
          <w:szCs w:val="24"/>
        </w:rPr>
        <w:t xml:space="preserve">. Taisyklės parengtos remiantis Europos Parlamento ir Tarybos reglamento (ES) Nr. 952/2013, kuriuo nustatomas Sąjungos muitinės kodeksas (OL 2013 L 269, p. 1) (toliau – Sąjungos muitinės kodeksas), 70–72 ir 74 straipsniais, 2015 m. lapkričio 24 d. Komisijos įgyvendinimo reglamento (ES) 2015/2447, kuriuo nustatomos išsamios tam tikrų Europos Parlamento ir Tarybos reglamento (ES) Nr. 952/2013, kuriuo nustatomas Sąjungos muitinės kodeksas, nuostatų įgyvendinimo taisyklės (OL 2015 L 343, p. 558) (toliau – Sąjungos muitinės kodekso įgyvendinimo aktas), 127–145 straipsniais, Sąjungos muitinės kodekso įgyvendinimo taisyklių, patvirtintų Lietuvos Respublikos Vyriausybės 2016 m. gruodžio 7 d. nutarimu </w:t>
        <w:br/>
        <w:t>Nr. 1224 „Dėl Sąjungos muitinės kodekso įgyvendinimo ir Lietuvos Respublikos Vyriausybės 2004 m. spalio 27 d. nutarimo Nr. 1332 „Dėl 1992 m. spalio 12 d. Tarybos reglamento (EEB) Nr. 2913/92, nustatančio Bendrijos muitinės kodeksą, ir 1993 m. liepos 2 d. Komisijos reglamento (EEB) Nr. 2454/93, išdėstančio Tarybos reglamento (EEB) Nr. 2913/92, nustatančio Bendrijos muitinės kodeksą, įgyvendinimo nuostatas, taikymo Lietuvos Respublikoje taisyklių patvirtinimo“ pripažinimo netekusiu galios“ (toliau – Sąjungos muitinės kodekso įgyvendinimo taisyklės), 23 punktu, taip pat atsižvelgiant į Pasaulio muitinių organizacijos (toliau – PMO) Muitinio įvertinimo techninio komiteto dokumentą „Naudotų transporto priemonių su varikliu vertinimas“ (PMO Muitinio įvertinimo kompendiumas, PMO 2005 m., www.wcoomd.org).</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5</w:t>
      </w:r>
      <w:r>
        <w:rPr>
          <w:rFonts w:eastAsia="Arial Unicode MS"/>
          <w:szCs w:val="24"/>
        </w:rPr>
        <w:t>. Taisyklėse vartojamos sąvokos atitinka Taisyklių 4 punkte nurodytuose teisės aktuose vartojamas sąvokas.</w:t>
      </w:r>
    </w:p>
    <w:p>
      <w:pPr>
        <w:jc w:val="both"/>
        <w:rPr>
          <w:szCs w:val="24"/>
        </w:rPr>
      </w:pPr>
    </w:p>
    <w:p>
      <w:pPr>
        <w:jc w:val="center"/>
        <w:rPr>
          <w:b/>
          <w:bCs/>
          <w:caps/>
          <w:szCs w:val="24"/>
        </w:rPr>
      </w:pPr>
      <w:r>
        <w:rPr>
          <w:b/>
          <w:bCs/>
          <w:caps/>
          <w:szCs w:val="24"/>
        </w:rPr>
        <w:t>II</w:t>
      </w:r>
      <w:r>
        <w:rPr>
          <w:b/>
          <w:bCs/>
          <w:caps/>
          <w:szCs w:val="24"/>
        </w:rPr>
        <w:t xml:space="preserve"> SKYRIUS</w:t>
      </w:r>
    </w:p>
    <w:p>
      <w:pPr>
        <w:jc w:val="center"/>
        <w:rPr>
          <w:b/>
          <w:bCs/>
          <w:caps/>
          <w:szCs w:val="24"/>
        </w:rPr>
      </w:pPr>
      <w:r>
        <w:rPr>
          <w:b/>
          <w:bCs/>
          <w:caps/>
          <w:szCs w:val="24"/>
        </w:rPr>
        <w:t>muitinio įvertinimo metodų taikymas</w:t>
      </w:r>
    </w:p>
    <w:p>
      <w:pPr>
        <w:jc w:val="both"/>
        <w:rPr>
          <w:szCs w:val="24"/>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highlight w:val="yellow"/>
        </w:rPr>
      </w:pPr>
      <w:r>
        <w:rPr>
          <w:rFonts w:eastAsia="Arial Unicode MS"/>
          <w:szCs w:val="24"/>
        </w:rPr>
        <w:t>6</w:t>
      </w:r>
      <w:r>
        <w:rPr>
          <w:rFonts w:eastAsia="Arial Unicode MS"/>
          <w:szCs w:val="24"/>
        </w:rPr>
        <w:t>. Importuojamų naudotų transporto priemonių muitiniam įvertinimui taikomi tie patys muitinio įvertinimo principai ir metodai, kaip ir kitų prekių muitiniam įvertinimui. Šių metodų taikymo tvarka nustatyta Sąjungos muitinės kodekso 70–74 straipsniuose ir Sąjungos muitinės kodekso įgyvendinimo akto 127–146 ir 347 straipsniuose.</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7</w:t>
      </w:r>
      <w:r>
        <w:rPr>
          <w:rFonts w:eastAsia="Arial Unicode MS"/>
          <w:szCs w:val="24"/>
        </w:rPr>
        <w:t xml:space="preserve">. Importuojamų naudotų transporto priemonių muitiniam įvertinimui taikomas sandorio vertės metodas, jeigu įvykdomos Sąjungos muitinės kodekso 70 straipsnio 3 dalyje nurodytos sąlygos. Šiuo atveju naudotų transporto priemonių muitinė vertė yra sandorio vertė, t. y. pinigų suma, sumokėta ar mokėtina už importuojamas naudotas transporto priemones, pridėjus pirkėjui tenkančias Sąjungos muitinės kodekso 71 straipsnyje nurodytas išlaidas, įskaitant importuojamų naudotų transporto priemonių gabenimo iki įvežimo Sąjungos muitų teritoriją vietos, draudimo ir kitas su jų gabenimu susijusias išlaidas.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Importuojamų naudotų transporto priemonių sandorio vertė apskaičiuojama remiantis transporto priemonių pirkimo–pardavimo dokumentais, t. y. sąskaitomis faktūromis (</w:t>
      </w:r>
      <w:r>
        <w:rPr>
          <w:rFonts w:eastAsia="Arial Unicode MS"/>
          <w:i/>
          <w:iCs/>
          <w:szCs w:val="24"/>
        </w:rPr>
        <w:t>invoice</w:t>
      </w:r>
      <w:r>
        <w:rPr>
          <w:rFonts w:eastAsia="Arial Unicode MS"/>
          <w:szCs w:val="24"/>
        </w:rPr>
        <w:t>), sutartimis (kontraktais), transporto paslaugų sąskaitomis faktūromis. Jeigu importuojamos naudotos transporto priemonės gabenamos nemokamai arba pirkėjo transportu, transporto išlaidos, kurios įskaitomos į importuojamų naudotų transporto priemonių muitinę vertę, vadovaujantis Sąjungos muitinės kodekso įgyvendinimo akto 138 straipsnio 3 dalimi, apskaičiuojamos remiantis transporto tarifais, paprastai taikomais gabenant prekes tos pačios rūšies transporto priemonėmis.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8</w:t>
      </w:r>
      <w:r>
        <w:rPr>
          <w:rFonts w:eastAsia="Arial Unicode MS"/>
          <w:szCs w:val="24"/>
        </w:rPr>
        <w:t>. Importuojamų naudotų transporto priemonių muitiniam įvertinimui sandorio vertės metodas netaikomas Sąjungos muitinės kodekso įgyvendinimo akto 140 straipsnyje nurodytu atveju, jeigu:</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8.1</w:t>
      </w:r>
      <w:r>
        <w:rPr>
          <w:rFonts w:eastAsia="Arial Unicode MS"/>
          <w:szCs w:val="24"/>
        </w:rPr>
        <w:t>. kyla abejonių, ar deklaruojama naudotų transporto priemonių sandorio vertė lygi visai sumokėtai arba mokėtinai pinigų sumai; arba</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8.2</w:t>
      </w:r>
      <w:r>
        <w:rPr>
          <w:rFonts w:eastAsia="Arial Unicode MS"/>
          <w:szCs w:val="24"/>
        </w:rPr>
        <w:t>. muitiniam tikrinimui pateikti dokumentai, kuriuose nurodyti neišsamūs duomenys arba jų teisingumas kelia abejonių (pvz., pateikti pirkimo–pardavimo sandorio, sudaryto tarp fizinių asmenų, dokumentai, kuriuose nurodyta, kad atsiskaitoma grynaisiais pinigais ir pan.) ir deklaruota importuojamų naudotų transporto priemonių sandorio vertė gerokai skiriasi nuo tapačių ar panašių naudotų transporto priemonių importo kainų, kurios apskaičiuojamos remiantis transporto priemonių rinkos kainomis, nurodytomis Muitinės departamento aprobuotame naudotų transporto priemonių kainų žinyne (kataloge) (toliau – Naudotų transporto priemonių kainų žinynas (katalogas), ir vadovaujantis Taisyklių 22–24 punktais, o importuotojas nepateikia informacijos (pvz., turto vertintojų ar ekspertų išvadų arba kitų dokumentų), pagrindžiančios deklaruotą sandorio vertę, arba pateiktos informacijos nepakanka deklaruotos sandorio vertės pagrindimui.</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9</w:t>
      </w:r>
      <w:r>
        <w:rPr>
          <w:rFonts w:eastAsia="Arial Unicode MS"/>
          <w:szCs w:val="24"/>
        </w:rPr>
        <w:t>. Jeigu muitinio tikrinimo metu nustatoma, kad yra Sąjungos muitinės kodekso įgyvendinimo akto 134 straipsnio 1 dalyje nurodytos aplinkybės, vadovaujantis Sąjungos muitinės kodekso įgyvendinimo akto 140 straipsnio 1 dalimi, apie tai informuojamas importuotojas ir siūloma jam pateikti paaiškinimus ir įrodymus, pagrindžiančius jo deklaruotą muitinę vertę.</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 xml:space="preserve">Nesant galimybės importuojamų naudotų transporto priemonių muitiniam įvertinimui taikyti sandorio vertės metodo paeiliui taikomi tapačių, panašių prekių sandorio vertės ar dedukcinis metodai.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Sumavimo metodas, kurį taikant importuojamų prekių muitinė vertė apskaičiuojama pagal jų gamybos kaštus, importuojamų naudotų transporto priemonių muitinei vertei nustatyti netaikomas.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10</w:t>
      </w:r>
      <w:r>
        <w:rPr>
          <w:rFonts w:eastAsia="Arial Unicode MS"/>
          <w:szCs w:val="24"/>
        </w:rPr>
        <w:t>. Jeigu pripažįstama, kad sandorio vertės metodas negali būti taikomas, importuojamų naudotų transporto priemonių muitinė vertė nustatoma vadovaujantis Sąjungos muitinės kodekso 74 straipsnio 2 dalies a ir b punktais, jeigu turima duomenų apie tapačių arba panašių naudotų transporto priemonių, parduotų eksportui iš trečiųjų šalių į Sąjungos muitų teritoriją ir eksportuotų tuo pačiu arba maždaug tuo pačiu metu kaip ir transporto priemonės, kurių muitinė vertė turi būti nustatyta, sandorio vertes.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11</w:t>
      </w:r>
      <w:r>
        <w:rPr>
          <w:rFonts w:eastAsia="Arial Unicode MS"/>
          <w:szCs w:val="24"/>
        </w:rPr>
        <w:t>. Jeigu dėl skirtingo importuojamų naudotų transporto priemonių nusidėvėjimo, jų techninės būklės, papildomai įrengtos įrangos sudėtinga nustatyti, ar importuojamos naudotos transporto priemonės atitinka tapačių ar panašių prekių apibrėžtis, pateiktas Sąjungos muitinės kodekso įgyvendinimo akto 1 straipsnio 2 dalyje, tapačių ir panašių prekių muitinio įvertinimo metodai importuojamų naudotų transporto priemonių muitiniam įvertinimui negali būti taikomi. Sąjungos muitinės kodekso 74 straipsnio 2 dalies c punkto nuostatos (dedukcinis muitinio įvertinimo metodas) gali būti taikomos tik įmonių, kurių pagrindinė veikla yra naudotų transporto priemonių prekyba, kai importuotojas pateikia muitinei informaciją (anksčiau įformintas muitinės deklaracijas, transporto priemonių pardavimo Sąjungos muitų teritorijoje sąskaitas faktūras, remonto išlaidų kalkuliacijas, jeigu transporto priemonės buvo remontuojamos, ir pan.) apie importuotų naudotų transporto priemonių pardavimo Sąjungos muitų teritorijoje kainas.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12</w:t>
      </w:r>
      <w:r>
        <w:rPr>
          <w:rFonts w:eastAsia="Arial Unicode MS"/>
          <w:szCs w:val="24"/>
        </w:rPr>
        <w:t>. Jeigu importuojamų naudotų transporto priemonių muitinės vertės neįmanoma nustatyti pritaikius minėtus muitinio įvertinimo metodus, jų muitinis įvertinimas turi būti atliekamas vadovaujantis Sąjungos muitinės kodekso 74 straipsnio 3 dalimi ir Sąjungos muitinės kodekso įgyvendinimo taisyklių 23 punktu, taikant naudotų transporto priemonių importo kainas, kurios apskaičiuojamos remiantis transporto priemonių rinkos kainomis, nurodytomis Naudotų transporto priemonių kainų žinyne (kataloge), ir vadovaujantis Taisyklių 22–24 punktais.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13</w:t>
      </w:r>
      <w:r>
        <w:rPr>
          <w:rFonts w:eastAsia="Arial Unicode MS"/>
          <w:szCs w:val="24"/>
        </w:rPr>
        <w:t>. Jeigu atitinkamų transporto priemonių kainos Naudotų transporto priemonių kainų žinyne (kataloge) nepateiktos, importuojamų naudotų transporto priemonių muitinei vertei nustatyti taikomos naudotų transporto priemonių importo kainos apskaičiuotos remiantis Naudotų transporto priemonių kainų žinyne (kataloge) pateiktomis panašių (atitinkamo galingumo, panašių techninių charakteristikų ir senumo) transporto priemonių rinkos kainomis.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14</w:t>
      </w:r>
      <w:r>
        <w:rPr>
          <w:rFonts w:eastAsia="Arial Unicode MS"/>
          <w:szCs w:val="24"/>
        </w:rPr>
        <w:t>. Jeigu importuojama naudota transporto priemonė yra senesnė ar naujesnė už tos pačios markės ir modelio transporto priemonę, kurios rinkos kaina pateikta Naudotų transporto priemonių kainų žinyne (kataloge), jos rinkos kaina gali būti nustatoma ekstrapoliacijos būdu: apskaičiuojant vieneriems metams tenkantį dviejų pagal savo amžių šiai transporto priemonei artimiausių tos pačios markės ir modelio transporto priemonių importo kainų skirtumą, išreikštą procentais, jį padauginant iš pagal amžių artimiausios transporto priemonės importo kainos, ir priklausomai nuo to, ar ši transporto priemonė senesnė, ar naujesnė, pridedant prie šios kainos arba iš jos atimant. Šiuo būdu gali būti apskaičiuojama ne daugiau kaip trejais metais senesnės arba naujesnės nei kad nurodyta Naudotų transporto priemonių kainų žinyne (kataloge) transporto priemonės rinkos kaina.</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 pavyzdys. Automobilio „Dodge (USA) Avenger R/T“, 211 kW, 2011 m. laidos, rinkos kainos apskaičiavimas.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Naudotų transporto priemonių kainų žinyne (kataloge) tos pačios markės ir modelio automobilių rinkos kainos yra: 2012 m. automobilio – 10 943 Eur, 2013 m. automobilio – 12 384</w:t>
      </w:r>
      <w:r>
        <w:rPr>
          <w:rFonts w:eastAsia="Arial Unicode MS"/>
          <w:szCs w:val="24"/>
          <w:highlight w:val="yellow"/>
        </w:rPr>
        <w:t xml:space="preserve"> </w:t>
      </w:r>
      <w:r>
        <w:rPr>
          <w:rFonts w:eastAsia="Arial Unicode MS"/>
          <w:szCs w:val="24"/>
        </w:rPr>
        <w:t>Eur.</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(12 384 - 10 943) / 12 384) x 100 = 11,64 proc.</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10 943 Eur - 10 943 Eur x 11,64 / 100 = 9 669,23 Eur.</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Ekstrapoliacijos būdu apskaičiuota automobilio „Dodge (USA) Avenger R/T“, 211 kW, 2011 m. laidos, rinkos kaina lygi 9 669,23 Eur.</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 pavyzdys. Automobilio „Hummer (USA) H2 Luxury“, 289 kW, 2011 m. laidos, rinkos kainos apskaičiavimas.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Naudotų transporto priemonių kainų žinyne (kataloge) tos pačios markės ir modelio automobilių rinkos kainos yra: 2009 m. automobilio – 29 220 Eur, 2010 m. automobilio – 32 869 Eur.</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((32 869 - 29 220) / 29 220) x 100 = 12,49 proc.</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32 869 Eur + 32 869 Eur x 12,49 / 100 = 36 974,34 Eur.</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Ekstrapoliacijos būdu apskaičiuota automobilio „Hummer (USA) H2 Luxury“, 289 kW, 2011 m. laidos, rinkos kaina yra 36 974,34 Eur.</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15</w:t>
      </w:r>
      <w:r>
        <w:rPr>
          <w:rFonts w:eastAsia="Arial Unicode MS"/>
          <w:szCs w:val="24"/>
        </w:rPr>
        <w:t>. Jeigu transporto priemonių, pagal savo technines charakteristikas, senumą ir galingumą panašių į importuojamas naudotas transporto priemones, kurių muitinę vertę reikia nustatyti, rinkos kainos Naudotų transporto priemonių kainų žinyne (kataloge) nepateiktos, importuojamų naudotų transporto priemonių muitinė vertė nustatoma remiantis muitinės turimais duomenimis (turto vertintojų arba ekspertų išvadomis, kitais transporto priemonių rinkos kainų katalogais ar kitais duomenimis) ir apskaičiuojama taikant Sąjungos muitinės kodekso 74 straipsnio 2 dalies c punkto bei Sąjungos muitinės kodekso įgyvendinimo akto 142 straipsnio nuostatas, t. y. iš tos pačios markės ir modelio transporto priemonės arba į ją panašios transporto priemonės rinkos kainos, priklausomai nuo transporto priemonės senumo pakoreguotos pagal Taisyklių 14 punktą, atimant naudotos transporto priemonės importo kainos elementus, kurie nurodyti Taisyklių 22 ir 23 punktuose ir apskaičiuojami Taisyklių 24 punkto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caps/>
          <w:szCs w:val="24"/>
        </w:rPr>
      </w:pPr>
      <w:r>
        <w:rPr>
          <w:rFonts w:eastAsia="Arial Unicode MS"/>
          <w:b/>
          <w:bCs/>
          <w:caps/>
          <w:szCs w:val="24"/>
        </w:rPr>
        <w:t>III</w:t>
      </w:r>
      <w:r>
        <w:rPr>
          <w:rFonts w:eastAsia="Arial Unicode MS"/>
          <w:b/>
          <w:bCs/>
          <w:caps/>
          <w:szCs w:val="24"/>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caps/>
          <w:szCs w:val="24"/>
        </w:rPr>
      </w:pPr>
      <w:r>
        <w:rPr>
          <w:rFonts w:eastAsia="Arial Unicode MS"/>
          <w:b/>
          <w:bCs/>
          <w:caps/>
          <w:szCs w:val="24"/>
        </w:rPr>
        <w:t>KITI NAUDOTŲ transporto priemonių MUITINIO ĮVERTINIMO ATVEJAI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16</w:t>
      </w:r>
      <w:r>
        <w:rPr>
          <w:rFonts w:eastAsia="Arial Unicode MS"/>
          <w:szCs w:val="24"/>
        </w:rPr>
        <w:t>. Jeigu muitinė apgadintoms importuojamoms naudotoms transporto priemonėms įvertinti netaiko sandorio vertės metodo ir kitų Sąjungos muitinės kodekse nustatytų muitinio įvertinimo metodų, apgadintų importuojamų naudotų transporto priemonių muitinė vertė gali būti nustatoma remiantis turto vertintojų surašytomis turto vertinimo ataskaitomis, kuriose apskaičiuota apgadintų importuojamų naudotų transporto priemonių rinkos vertė. Turto vertinimo ataskaitos pateikiamos iki apgadintų importuojamų naudotų transporto priemonių išleidimo.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w:t>
      </w:r>
      <w:r>
        <w:rPr>
          <w:rFonts w:eastAsia="Arial Unicode MS"/>
          <w:szCs w:val="24"/>
        </w:rPr>
        <w:t>. Turto vertinimo ataskaitoje, kuri pateikiama apgadintų importuojamų naudotų transporto priemonių muitinei vertei pagrįsti, rinkos vertė turi būti nustatyta vadovaujantis Lietuvos Respublikos turto ir verslo vertinimo pagrindų įstatymu, Turto ir verslo vertinimo metodika, patvirtinta Lietuvos Respublikos finansų ministro 2012 m. balandžio 27 d. įsakymu Nr. 1K-159 „Dėl Turto ir verslo vertinimo metodikos patvirtinimo“, Kelių transporto priemonių vertės nustatymo tvarka ir Kelių transporto priemonių vertinimo instrukcija, patvirtintomis bendru Lietuvos Respublikos susisiekimo ministro 2000 m. balandžio 17 d. įsakymu Nr. 120 ir finansų ministro 2000 m. balandžio 14 d. įsakymu Nr. 101 „Dėl Kelių transporto priemonių vertės nustatymo tvarkos ir Kelių transporto priemonių vertinimo instrukcijos patvirtinimo“, ir Taisyklių nuostatomis: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17.1</w:t>
      </w:r>
      <w:r>
        <w:rPr>
          <w:rFonts w:eastAsia="Arial Unicode MS"/>
          <w:szCs w:val="24"/>
        </w:rPr>
        <w:t>. Turto vertinimo ataskaitose nevertinamos išlaidos, reikalingos importuojamų naudotų transporto priemonių sudėtinių dalių (pvz., žibintų, šviesos signalizacijos prietaisų ir kt.), kurios neatitinka transporto priemonių atitikties reikalavimų, nustatytų Motorinių transporto priemonių, priekabų ir šių transporto priemonių sudedamųjų dalių atitikties įvertinimo atlikimo taisyklių, patvirtintų Lietuvos Respublikos susisiekimo ministro 2009 m. balandžio 28 d. įsakymu Nr. 3-169 „Dėl Motorinių transporto priemonių, priekabų ir šių transporto priemonių sudedamųjų dalių atitikties įvertinimo atlikimo taisyklių patvirtinimo“, pakeitimui, jeigu šios sudėtinės dalys neturi vizualiai matomų defektų.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17.2</w:t>
      </w:r>
      <w:r>
        <w:rPr>
          <w:rFonts w:eastAsia="Arial Unicode MS"/>
          <w:szCs w:val="24"/>
        </w:rPr>
        <w:t xml:space="preserve">. Apskaičiuojant vertinamų apgadintų importuojamų naudotų transporto priemonių atkūrimo (remonto) kaštus, į juos neįskaitoma išmontuotų importuojamų naudotų transporto priemonių sudėtinių dalių (pvz., išmontuotų durų, žibintų ir kt.) vertė ir importuojamų naudotų transporto priemonių sudėtinių dalių defektams, kurie nėra apgadinimų pasekmė, pašalinti reikalingos išlaidos.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 xml:space="preserve">Nustatant vertinamų apgadintų importuojamų naudotų transporto priemonių atkūrimo (remonto) kaštus importuojamų naudotų transporto priemonių turimiems vizualiai nematomiems defektams, kurių neįmanoma nufotografuoti ir identifikuoti importuojamų naudotų transporto priemonių vizualios apžiūros (fizinio tikrinimo) metu, pašalinti reikalingos išlaidos skaičiuojamos (vertinamos) tik tada, jeigu prie turto vertintojų sudarytų importuojamų naudotų transporto priemonių vertinimo ataskaitų pridėti transporto priemonių gamintojų įgaliotų atstovų Lietuvoje arba transporto priemonių remonto įmonių, įtrauktų į Muitinės departamento sudarytą Transporto priemonių remonto įmonių, kurios gali atlikti importuojamų transporto priemonių tikrinimą, sąrašą, dokumentai, kuriuose surašyti duomenys apie nustatytus defektus. Šiuose dokumentuose turi būti nurodyta, kad jie yra skirti turto vertintojams apgadintų transporto priemonių vertės nustatymui.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Apgadintų importuojamų naudotų transporto priemonių tikrinimo dokumentuose, kuriuose nurodomi variklio defektai, turi būti nurodomas tikrinto variklio numeris.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17.3</w:t>
      </w:r>
      <w:r>
        <w:rPr>
          <w:rFonts w:eastAsia="Arial Unicode MS"/>
          <w:szCs w:val="24"/>
        </w:rPr>
        <w:t>. Vertinamų apgadintų transporto priemonių rinkos vertė iki apgadinimo nustatoma pagal Naudotų transporto priemonių rinkos kainų žinyno (katalogo) duomenis. Jeigu duomenų apie vertinamų transporto priemonių (tos pačios markės ir modelio transporto priemonių) rinkos kainas Naudotų transporto priemonių rinkos kainų žinyne (kataloge) nėra, transporto priemonių rinkos vertė iki apgadinimo nustatoma atsižvelgiant į panašių markių ir modelių naudotų transporto priemonių rinkos kainas, nurodytas Naudotų transporto priemonių rinkos kainų žinyne (kataloge).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Jeigu nėra galimybės apgadintų importuojamų naudotų transporto priemonių rinkos vertės iki apgadinimo nustatyti šiame papunktyje nurodytais būdais, ji nustatoma lyginamosios vertės metodu.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17.4</w:t>
      </w:r>
      <w:r>
        <w:rPr>
          <w:rFonts w:eastAsia="Arial Unicode MS"/>
          <w:szCs w:val="24"/>
        </w:rPr>
        <w:t>. Jeigu turto vertinimo ataskaitose apskaičiuojama vertinamų apgadintų importuojamų naudotų transporto priemonių likutinė vertė, taikomos tokios koeficientų reikšmės: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17.4.1</w:t>
      </w:r>
      <w:r>
        <w:rPr>
          <w:rFonts w:eastAsia="Arial Unicode MS"/>
          <w:szCs w:val="24"/>
        </w:rPr>
        <w:t>. automobilio populiarumo apgadintų automobilių rinkoje koeficientas: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17.4.1.1</w:t>
      </w:r>
      <w:r>
        <w:rPr>
          <w:rFonts w:eastAsia="Arial Unicode MS"/>
          <w:szCs w:val="24"/>
        </w:rPr>
        <w:t>. nuo 1 iki 0,9 – jeigu apgadinta importuojamos naudotos transporto priemonės priekinė dalis arba deformuota jo laikančioji konstrukcija (kėbulo karkasas);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17.4.1.2</w:t>
      </w:r>
      <w:r>
        <w:rPr>
          <w:rFonts w:eastAsia="Arial Unicode MS"/>
          <w:szCs w:val="24"/>
        </w:rPr>
        <w:t>. 1 – jeigu apgadinta importuojamos naudotos transporto priemonės užpakalinė dalis;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17.4.2</w:t>
      </w:r>
      <w:r>
        <w:rPr>
          <w:rFonts w:eastAsia="Arial Unicode MS"/>
          <w:szCs w:val="24"/>
        </w:rPr>
        <w:t>. rizikos dėl neįvertintų gedimų bei pakitimų (paklausos) rinkoje koeficientas: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17.4.2.1</w:t>
      </w:r>
      <w:r>
        <w:rPr>
          <w:rFonts w:eastAsia="Arial Unicode MS"/>
          <w:szCs w:val="24"/>
        </w:rPr>
        <w:t>. nuo 1 iki 0,95 – jeigu yra akivaizdi transmisijos pažeidimų tikimybė;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17.4.2.2</w:t>
      </w:r>
      <w:r>
        <w:rPr>
          <w:rFonts w:eastAsia="Arial Unicode MS"/>
          <w:szCs w:val="24"/>
        </w:rPr>
        <w:t>. 1 – kitais nei Taisyklių 17.4.2.1 papunktyje nurodytais atvejais.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18</w:t>
      </w:r>
      <w:r>
        <w:rPr>
          <w:rFonts w:eastAsia="Arial Unicode MS"/>
          <w:szCs w:val="24"/>
        </w:rPr>
        <w:t>. Jeigu nustatant apgadintų importuojamų naudotų transporto priemonių muitinę vertę naudojamasi turto vertinimo ataskaitos duomenimis, iš turto vertintojų apskaičiuotos importuojamos naudotos transporto priemonės rinkos vertės atimami Taisyklių 22 ir 23 punktuose nurodyti importuojamos naudotos transporto priemonės importo kainos elementai, kurie apskaičiuojami Taisyklių 24 punkto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19</w:t>
      </w:r>
      <w:r>
        <w:rPr>
          <w:rFonts w:eastAsia="Arial Unicode MS"/>
          <w:szCs w:val="24"/>
        </w:rPr>
        <w:t>. Išnagrinėjus apgadintų importuojamų naudotų transporto priemonių muitiniam įvertinimui pateiktus dokumentus, priimamas vienas iš sprendimų: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19.1</w:t>
      </w:r>
      <w:r>
        <w:rPr>
          <w:rFonts w:eastAsia="Arial Unicode MS"/>
          <w:szCs w:val="24"/>
        </w:rPr>
        <w:t>. apgadintų importuojamų naudotų transporto priemonių muitine verte laikyti deklaruotą transporto priemonių sandorio vertę, jeigu Taisyklių 18 punkto nustatyta tvarka apskaičiuota jų muitinė vertė pagrindžia deklaruotą sandorio vertę (yra ne mažesnė arba jai artima); arba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19.2</w:t>
      </w:r>
      <w:r>
        <w:rPr>
          <w:rFonts w:eastAsia="Arial Unicode MS"/>
          <w:szCs w:val="24"/>
        </w:rPr>
        <w:t>. apgadintų importuojamų naudotų transporto priemonių muitine verte laikyti Taisyklių 18 punkto nustatyta tvarka apskaičiuotą importuojamų transporto priemonių muitinę vertę, jeigu ji yra didesnė už deklaruotą apgadintų importuojamų naudotų transporto priemonių sandorio vertę ir nėra šiai vertei artima; arba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19.3</w:t>
      </w:r>
      <w:r>
        <w:rPr>
          <w:rFonts w:eastAsia="Arial Unicode MS"/>
          <w:szCs w:val="24"/>
        </w:rPr>
        <w:t>. transporto priemonių muitinę vertę nustatyti remiantis naudotų transporto priemonių importo kainomis vadovaujantis Taisyklių 12–15 punktais, jeigu: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19.3.1</w:t>
      </w:r>
      <w:r>
        <w:rPr>
          <w:rFonts w:eastAsia="Arial Unicode MS"/>
          <w:szCs w:val="24"/>
        </w:rPr>
        <w:t>. muitiniam tikrinimui kartu su importo deklaracija nepateikta turto vertintojo surašyta turto vertinimo ataskaita; arba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19.3.2</w:t>
      </w:r>
      <w:r>
        <w:rPr>
          <w:rFonts w:eastAsia="Arial Unicode MS"/>
          <w:szCs w:val="24"/>
        </w:rPr>
        <w:t>. muitiniam tikrinimui pateikta turto vertintojo surašyta turto vertinimo ataskaita parengta ne pagal Taisyklių 17 punkto reikalavimus. Nustatęs neatitikimus, muitinės pareigūnas, vadovaudamasis Elektroninės importo deklaracijos pateikimo, priėmimo ir kitos elektroninės informacijos, susijusios su importo procedūrų vykdymu, mainų taisyklių, patvirtintų Muitinės departamento prie Lietuvos Respublikos finansų ministerijos generalinio direktoriaus 2009 m. birželio 26 d. įsakymu Nr. 1B-360 „Dėl Elektroninės importo deklaracijos pateikimo, priėmimo ir kitos elektroninės informacijos, susijusios su importo procedūrų vykdymu, mainų taisyklių patvirtinimo“, 4.15 papunkčiu, Muitinės deklaracijų apdorojimo sistemoje deklarantui siunčia elektroninį pranešimą „Prašymas atlikti muitinės nurodytus veiksmus“ (IESUPLT), kuriame nurodo muitinio tikrinimo metu rastus neatitikimus (pvz. „Turto vertinimo ataskaitoje rasti neatitikimai: vertinamos išlaidos reikalingos išmontuotų dalių (priekinis bamperis, kapotas) pakeitimui)“.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Jei pateikiama rašytinė deklaracija, muitinės pareigūnas turto vertinimo ataskaitoje deda B grupės spaudą su įrašu „Nepriimta, nes...“, nurodo neatitikimus ir patvirtina tai savo parašu, C grupės asmeninio naudojimo spaudu ir numeruotu muitinės įstaigos antspaudu; arba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19.3.3</w:t>
      </w:r>
      <w:r>
        <w:rPr>
          <w:rFonts w:eastAsia="Arial Unicode MS"/>
          <w:szCs w:val="24"/>
        </w:rPr>
        <w:t>. jeigu nėra pateikti dokumentai, kuriuose laikinojo įvežimo perdirbti muitinės procedūros įforminimo metu būtų užfiksuoti importuojamų naudotų transporto priemonių defektai.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20</w:t>
      </w:r>
      <w:r>
        <w:rPr>
          <w:rFonts w:eastAsia="Arial Unicode MS"/>
          <w:szCs w:val="24"/>
        </w:rPr>
        <w:t>. Taisyklių 19 punkte nurodyti sprendimai laikomi priimtais išleidus apgadintas importuojamas naudotas transporto priemones į laisvą apyvartą, kai joms įformintos importo deklaracijos 46 langelyje nurodyta muitinės poste nustatyta importuojamos naudotos transporto priemonės muitinė vertė.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21</w:t>
      </w:r>
      <w:r>
        <w:rPr>
          <w:rFonts w:eastAsia="Arial Unicode MS"/>
          <w:szCs w:val="24"/>
        </w:rPr>
        <w:t>. Įforminant išleidimo į laisvą apyvartą procedūrą naudotoms transporto priemonėms po laikinojo įvežimo perdirbti muitinės procedūros, dokumentu, pagrindžiančiu importuojamų naudotų transporto priemonių turimus defektus, gali būti Importuojamos naudotos transporto priemonės defektų, atsiradusių dėl apgadinimo, aktas (priedas), surašytas laikinojo įvežimo perdirbti muitinės procedūros įforminimo metu.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 xml:space="preserve">Importuojamos naudotos transporto priemonės defektų, atsiradusių dėl apgadinimo, aktą deklarantas surašo dviem egzemplioriais, iš kurių vienas lieka deklarantui, o kitas pridedamas prie įforminamos importo deklaracijos. Deklarantas privalo prie Importuojamos transporto priemonės defektų, atsiradusių dėl apgadinimo, akto pridėti apgadintos importuojamos naudotos transporto priemonės spalvotas fotografijas, kuriose matomi jos defektai. Prie fotografijų turi būti nurodyta apgadintos importuojamos naudotos transporto priemonės markė, identifikavimo numeris ir deklaranto vardas ir pavardė. Fotografijų ir prie jų nurodytų duomenų tikrumas turi būti patvirtintas deklaranto parašu. Importuojamos transporto priemonės defektų, atsiradusių dėl apgadinimo, aktą (abu egzempliorius) pasirašo deklarantas. Jeigu atliekamas apgadintos importuojamos naudotos transporto priemonės muitinis tikrinimas, jį atliekantis muitinės pareigūnas turi patikrinti, ar Importuojamos naudotos transporto priemonės defektų, atsiradusių dėl apgadinimo, akte nurodyti defektai atitinka importuojamos transporto priemonės defektus. Jeigu nustatoma, kad nurodytieji defektai atitinka apgadintos importuojamos naudotos transporto priemonės defektus, muitinės pareigūnas Importuojamos naudotos transporto priemonės defektų, atsiradusių dėl apgadinimo, akte deda B grupės spaudą su įrašu arba užrašo „Atitinka“, patvirtindamas tai savo parašu, C grupės asmeninio naudojimo spaudu ir numeruotu muitinės įstaigos antspaudu. </w:t>
      </w:r>
    </w:p>
    <w:p>
      <w:pPr>
        <w:jc w:val="both"/>
        <w:rPr>
          <w:szCs w:val="24"/>
        </w:rPr>
      </w:pPr>
    </w:p>
    <w:p>
      <w:pPr>
        <w:jc w:val="center"/>
        <w:rPr>
          <w:b/>
          <w:bCs/>
          <w:caps/>
          <w:szCs w:val="24"/>
        </w:rPr>
      </w:pPr>
      <w:r>
        <w:rPr>
          <w:b/>
          <w:bCs/>
          <w:caps/>
          <w:szCs w:val="24"/>
        </w:rPr>
        <w:t>IV</w:t>
      </w:r>
      <w:r>
        <w:rPr>
          <w:b/>
          <w:bCs/>
          <w:caps/>
          <w:szCs w:val="24"/>
        </w:rPr>
        <w:t xml:space="preserve"> SKYRIUS</w:t>
      </w:r>
    </w:p>
    <w:p>
      <w:pPr>
        <w:jc w:val="center"/>
        <w:rPr>
          <w:b/>
          <w:bCs/>
          <w:caps/>
          <w:szCs w:val="24"/>
        </w:rPr>
      </w:pPr>
      <w:r>
        <w:rPr>
          <w:b/>
          <w:bCs/>
          <w:caps/>
          <w:szCs w:val="24"/>
        </w:rPr>
        <w:t>NAUDOTŲ transporto priemonių IMPORTO KAINŲ APSKAIČIAVIMAS</w:t>
      </w:r>
    </w:p>
    <w:p>
      <w:pPr>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22</w:t>
      </w:r>
      <w:r>
        <w:rPr>
          <w:rFonts w:eastAsia="Arial Unicode MS"/>
          <w:szCs w:val="24"/>
        </w:rPr>
        <w:t>. Naudotų transporto priemonių importo kainos apskaičiuojamos remiantis Naudotų transporto priemonių rinkos kainų žinyne (kataloge) pateiktomis atitinkamų naudotų transporto priemonių rinkos kainomis, vadovaujantis Sąjungos muitinės kodekso 74 straipsnio 2 dalies c punkto ir Sąjungos muitinės kodekso įgyvendinimo akto 142 straipsnio nuostatomis, t. y. taikant dedukcinį muitinio įvertinimo metodą. Apskaičiuojant naudotos transporto priemonės importo kainą, iš Naudotų transporto priemonių rinkos kainų žinyne (kataloge) nurodytos atitinkamos naudotos transporto priemonės rinkos kainos atimama: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22.1</w:t>
      </w:r>
      <w:r>
        <w:rPr>
          <w:rFonts w:eastAsia="Arial Unicode MS"/>
          <w:szCs w:val="24"/>
        </w:rPr>
        <w:t>. Lietuvoje registruotų įmonių, kurių pagrindinė veikla yra transporto priemonių prekyba, vidutinis pelnas;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22.2</w:t>
      </w:r>
      <w:r>
        <w:rPr>
          <w:rFonts w:eastAsia="Arial Unicode MS"/>
          <w:szCs w:val="24"/>
        </w:rPr>
        <w:t>. vidutinės išlaidos, susijusios su naudotų transporto priemonių pardavimu Lietuvos rinkoje;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22.3</w:t>
      </w:r>
      <w:r>
        <w:rPr>
          <w:rFonts w:eastAsia="Arial Unicode MS"/>
          <w:szCs w:val="24"/>
        </w:rPr>
        <w:t>. už į Sąjungos muitų teritoriją importuojamas trečiųjų šalių naudotas transporto priemones nustatyti importo muitai ir Lietuvos Respublikoje nustatyti importo mokesčiai.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23</w:t>
      </w:r>
      <w:r>
        <w:rPr>
          <w:rFonts w:eastAsia="Arial Unicode MS"/>
          <w:szCs w:val="24"/>
        </w:rPr>
        <w:t>. Tam tikros markės ir modelio bei amžiaus naudotos transporto priemonės importo kaina apskaičiuojama pagal šią formulę: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IKij = RKij - BP - Mpvm - Mim;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čia IKij – tam tikros markės ir modelio bei amžiaus naudotos transporto priemonės importo kaina eurais;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RKij – naudotų transporto priemonių rinkos kainų žinyne (kataloge) nurodyta tam tikros markės ir modelio naudotos transporto priemonės rinkos kaina eurais;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BP – apskaičiuotas vidutinis įmonių, kurių pagrindinė veikla yra transporto priemonių prekyba, veiklos pelnas ir bendrosios išlaidos, susijusios su transporto priemonių pardavimu, eurais;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Mpvm – pridėtinės vertės mokesčio (toliau – PVM) suma eurais;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Mim – importo muito suma eurais.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24</w:t>
      </w:r>
      <w:r>
        <w:rPr>
          <w:rFonts w:eastAsia="Arial Unicode MS"/>
          <w:szCs w:val="24"/>
        </w:rPr>
        <w:t>. Naudotos transporto priemonės importo kainos elementai apskaičiuojami tokia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24.1</w:t>
      </w:r>
      <w:r>
        <w:rPr>
          <w:rFonts w:eastAsia="Arial Unicode MS"/>
          <w:szCs w:val="24"/>
        </w:rPr>
        <w:t>. vidutinis įmonių, kurių pagrindinė veikla yra transporto priemonių prekyba, veiklos pelnas ir bendrosios išlaidos, susijusios su transporto priemonių pardavimu, eurais: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BP = RKij x % Pk /100;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čia Pk – įmonių, kurių pagrindinė veikla yra variklinių transporto priemonių pardavimas, bendrojo pelningumo norma, kuri apima įmonių pelną ir bendrąsias išlaidas, nustatoma pagal Lietuvos statistikos departamento apskaičiuoto įmonių, kurių kodas pagal Ekonominės veiklos rūšių klasifikatorių yra G451, bendrojo veiklos pelningumo ataskaitinio laikotarpio duomenis;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24.2</w:t>
      </w:r>
      <w:r>
        <w:rPr>
          <w:rFonts w:eastAsia="Arial Unicode MS"/>
          <w:szCs w:val="24"/>
        </w:rPr>
        <w:t>. PVM suma eurais apskaičiuojama atitinkamos naudotos transporto priemonės PVM apmokestinamąją vertę padauginus iš Lietuvos Respublikos pridėtinės vertės mokesčio įstatymo nustatyto PVM tarifo: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Mpvm = (RKij - BP) x % PVM / (100 + % PVM);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čia PVM – nustatytas PVM tarifas už importuojamas transporto priemones;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24.3</w:t>
      </w:r>
      <w:r>
        <w:rPr>
          <w:rFonts w:eastAsia="Arial Unicode MS"/>
          <w:szCs w:val="24"/>
        </w:rPr>
        <w:t>. importo muito suma eurais apskaičiuojama atitinkamos transporto priemonės apmokestinamąją vertę padauginus iš Sąjungos muitų teisės aktų nustatytos importo muito normos, taikomos atitinkamai naudotai transporto priemonei: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Mim = (RKij - BP - Mpvm) x % IM / (100 + % IM);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čia IM – importo muito tarifas, nustatytas už į Sąjungos muitų teritoriją importuojamas naudotas transporto priemones, kilusias iš trečiųjų šalių. Importo muito tarifo normos nustatomos Europos Sąjungos muitų teisės aktuose ir skelbiamos Europos Sąjungos oficialiajame leidinyje ir oficialiajame</w:t>
      </w:r>
      <w:r>
        <w:rPr>
          <w:rFonts w:ascii="Arial Unicode MS" w:eastAsia="Arial Unicode MS" w:hAnsi="Arial Unicode MS" w:cs="Arial Unicode MS"/>
          <w:sz w:val="20"/>
        </w:rPr>
        <w:t xml:space="preserve"> </w:t>
      </w:r>
      <w:r>
        <w:rPr>
          <w:rFonts w:eastAsia="Arial Unicode MS"/>
          <w:szCs w:val="24"/>
        </w:rPr>
        <w:t xml:space="preserve">Europos Sąjungos integruotojo tarifo (TARIC) tinklalapyje internete adresu:  http://ec.europa.eu/taxation_customs/dds2/taric/taric_consultation.jsp?Lang=lt, ir Lietuvos Respublikos integruotojo tarifo (LITAR) duomenų bazėje adresu: http://litarweb.cust.lt.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p>
    <w:p>
      <w:pPr>
        <w:jc w:val="center"/>
        <w:rPr>
          <w:b/>
          <w:bCs/>
          <w:caps/>
          <w:szCs w:val="24"/>
        </w:rPr>
      </w:pPr>
      <w:r>
        <w:rPr>
          <w:b/>
          <w:bCs/>
          <w:caps/>
          <w:szCs w:val="24"/>
        </w:rPr>
        <w:t>V</w:t>
      </w:r>
      <w:r>
        <w:rPr>
          <w:b/>
          <w:bCs/>
          <w:caps/>
          <w:szCs w:val="24"/>
        </w:rPr>
        <w:t xml:space="preserve"> SKYRIUS</w:t>
      </w:r>
    </w:p>
    <w:p>
      <w:pPr>
        <w:jc w:val="center"/>
        <w:rPr>
          <w:b/>
          <w:bCs/>
          <w:caps/>
          <w:szCs w:val="24"/>
        </w:rPr>
      </w:pPr>
      <w:r>
        <w:rPr>
          <w:b/>
          <w:bCs/>
          <w:caps/>
          <w:szCs w:val="24"/>
        </w:rPr>
        <w:t>BAIGIAMOSIOS NUOSTATOS</w:t>
      </w:r>
    </w:p>
    <w:p>
      <w:pPr>
        <w:ind w:firstLine="720"/>
        <w:jc w:val="both"/>
        <w:rPr>
          <w:szCs w:val="24"/>
        </w:rPr>
      </w:pPr>
    </w:p>
    <w:p>
      <w:pPr>
        <w:ind w:firstLine="720"/>
        <w:jc w:val="both"/>
        <w:rPr>
          <w:szCs w:val="24"/>
        </w:rPr>
      </w:pPr>
      <w:r>
        <w:rPr>
          <w:szCs w:val="24"/>
        </w:rPr>
        <w:t>25</w:t>
      </w:r>
      <w:r>
        <w:rPr>
          <w:szCs w:val="24"/>
        </w:rPr>
        <w:t>. Importuojamų naudotų transporto priemonių muitiniam įvertinimui taikant atitinkamų markių ir modelių naudotų transporto priemonių importo kainas, apskaičiuotas vadovaujantis Taisyklių 22–24 punktais, taip pat nustatant transporto priemonių rinkos vertę iki apgadinimo, JAV ir Kanadoje pagamintų transporto priemonių pagaminimo metai laikomi tokias transporto priemones lydinčiuose registracijos dokumentuose nurodyti metai (modelio metai). Kitų transporto priemonių pagaminimo metai nustatomi remiantis šias transporto priemones lydinčiuose registracijos dokumentuose pateikta informacija ir kitais prieinamais informacijos apie transporto priemonių senumą šaltiniais (pvz., remiantis transporto priemonės identifikavimo numeriu (VIN).</w:t>
      </w:r>
    </w:p>
    <w:p>
      <w:pPr>
        <w:ind w:firstLine="720"/>
        <w:jc w:val="both"/>
        <w:rPr>
          <w:szCs w:val="24"/>
        </w:rPr>
      </w:pPr>
      <w:r>
        <w:rPr>
          <w:szCs w:val="24"/>
        </w:rPr>
        <w:t>26</w:t>
      </w:r>
      <w:r>
        <w:rPr>
          <w:szCs w:val="24"/>
        </w:rPr>
        <w:t>. Taisyklių 24.1 papunktyje nurodytą įmonių, kurių pagrindinė veikla yra variklinių transporto priemonių pardavimas, bendrojo pelningumo normą Muitinės departamentas pateikia teritorinėms muitinėms ir skelbia Lietuvos Respublikos muitinės interneto svetainės www.lrmuitine.lt rubrikoje „Verslui ir privatiems asmenims“ / „Prekių muitinis įvertinimas“.</w:t>
      </w:r>
    </w:p>
    <w:p>
      <w:pPr>
        <w:ind w:firstLine="720"/>
        <w:jc w:val="both"/>
        <w:rPr>
          <w:szCs w:val="24"/>
        </w:rPr>
      </w:pPr>
      <w:r>
        <w:rPr>
          <w:szCs w:val="24"/>
        </w:rPr>
        <w:t>27</w:t>
      </w:r>
      <w:r>
        <w:rPr>
          <w:szCs w:val="24"/>
        </w:rPr>
        <w:t>. Transporto priemonių remonto įmonės, pageidaujančios atlikti importuojamų transporto priemonių tikrinimus ir surašyti Taisyklių 17.2 papunktyje nurodytus tikrinimo dokumentus, kreipiasi į teritorinę muitinę, kurios veiklos zonoje įmonė vykdo veiklą, su prašymu įtraukti į Transporto priemonių remonto įmonių, kurios gali atlikti importuojamų transporto priemonių tikrinimą, sąrašą ir sudaro sutartis su muitine dėl importuojamų transporto priemonių tikrinimo. Savo prašyme transporto priemonių remonto įmonė turi nurodyti:</w:t>
      </w:r>
    </w:p>
    <w:p>
      <w:pPr>
        <w:ind w:firstLine="720"/>
        <w:jc w:val="both"/>
        <w:rPr>
          <w:szCs w:val="24"/>
        </w:rPr>
      </w:pPr>
      <w:r>
        <w:rPr>
          <w:szCs w:val="24"/>
        </w:rPr>
        <w:t>27.1</w:t>
      </w:r>
      <w:r>
        <w:rPr>
          <w:szCs w:val="24"/>
        </w:rPr>
        <w:t>. įmonės pavadinimą ir kodą;</w:t>
      </w:r>
    </w:p>
    <w:p>
      <w:pPr>
        <w:ind w:firstLine="720"/>
        <w:jc w:val="both"/>
        <w:rPr>
          <w:szCs w:val="24"/>
        </w:rPr>
      </w:pPr>
      <w:r>
        <w:rPr>
          <w:szCs w:val="24"/>
        </w:rPr>
        <w:t>27.2</w:t>
      </w:r>
      <w:r>
        <w:rPr>
          <w:szCs w:val="24"/>
        </w:rPr>
        <w:t>. remonto dirbtuvių, kuriose bus atliekamas importuojamų transporto priemonių tikrinimas, adresus;</w:t>
      </w:r>
    </w:p>
    <w:p>
      <w:pPr>
        <w:ind w:firstLine="720"/>
        <w:jc w:val="both"/>
        <w:rPr>
          <w:szCs w:val="24"/>
        </w:rPr>
      </w:pPr>
      <w:r>
        <w:rPr>
          <w:szCs w:val="24"/>
        </w:rPr>
        <w:t>27.3</w:t>
      </w:r>
      <w:r>
        <w:rPr>
          <w:szCs w:val="24"/>
        </w:rPr>
        <w:t>. transporto priemonių markes, kurių tikrinimui įmonė turi reikiamą įrangą (turi būti nurodoma, kokia įranga bus naudojama vizualiai nematomų defektų tikrinimui);</w:t>
      </w:r>
    </w:p>
    <w:p>
      <w:pPr>
        <w:ind w:firstLine="720"/>
        <w:jc w:val="both"/>
        <w:rPr>
          <w:szCs w:val="24"/>
        </w:rPr>
      </w:pPr>
      <w:r>
        <w:rPr>
          <w:szCs w:val="24"/>
        </w:rPr>
        <w:t>27.4</w:t>
      </w:r>
      <w:r>
        <w:rPr>
          <w:szCs w:val="24"/>
        </w:rPr>
        <w:t>. įmonės vadovą ir (arba) įmonės darbuotojus, kurie įgalioti tvirtinti importuojamų transporto priemonių tikrinimo protokolus.</w:t>
      </w:r>
    </w:p>
    <w:p>
      <w:pPr>
        <w:ind w:firstLine="720"/>
        <w:jc w:val="both"/>
        <w:rPr>
          <w:szCs w:val="24"/>
        </w:rPr>
      </w:pPr>
      <w:r>
        <w:rPr>
          <w:szCs w:val="24"/>
        </w:rPr>
        <w:t>28</w:t>
      </w:r>
      <w:r>
        <w:rPr>
          <w:szCs w:val="24"/>
        </w:rPr>
        <w:t>. Transporto priemonių remonto įmonių, kurios gali atlikti importuojamų transporto priemonių tikrinimą, sąrašą Muitinės departamentas skelbia Lietuvos Respublikos muitinės interneto svetainės www.lrmuitine.lt rubrikoje „Verslui ir privatiems asmenims“ / „Prekių muitinis įvertinimas“.</w:t>
      </w:r>
    </w:p>
    <w:p>
      <w:pPr>
        <w:ind w:firstLine="720"/>
        <w:jc w:val="both"/>
        <w:rPr>
          <w:szCs w:val="24"/>
        </w:rPr>
      </w:pPr>
      <w:r>
        <w:rPr>
          <w:szCs w:val="24"/>
        </w:rPr>
        <w:t>29</w:t>
      </w:r>
      <w:r>
        <w:rPr>
          <w:szCs w:val="24"/>
        </w:rPr>
        <w:t>. Jeigu atliekant muitinį tikrinimą nustatoma, kad transporto priemonių remonto įmonės surašytame importuojamos transporto priemonės tikrinimo protokole nurodyti transporto priemonės defektai neatitinka transporto priemonės turimų defektų, transporto priemonių remonto įmonė išbraukiama iš Transporto priemonių remonto įmonių, kurios gali atlikti importuojamų transporto priemonių tikrinimą, sąrašo.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eastAsia="Arial Unicode MS"/>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87b40c2bd11e69dec860c1f4a5372">
        <w:r w:rsidRPr="00532B9F">
          <w:rPr>
            <w:rFonts w:ascii="Times New Roman" w:eastAsia="MS Mincho" w:hAnsi="Times New Roman"/>
            <w:sz w:val="20"/>
            <w:i/>
            <w:iCs/>
            <w:color w:val="0000FF" w:themeColor="hyperlink"/>
            <w:u w:val="single"/>
          </w:rPr>
          <w:t>1B-1026</w:t>
        </w:r>
      </w:fldSimple>
      <w:r>
        <w:rPr>
          <w:rFonts w:ascii="Times New Roman" w:eastAsia="MS Mincho" w:hAnsi="Times New Roman"/>
          <w:sz w:val="20"/>
          <w:i/>
          <w:iCs/>
        </w:rPr>
        <w:t>,
2016-12-15,
paskelbta TAR 2016-12-16, i. k. 2016-29002            </w:t>
      </w:r>
    </w:p>
    <w:p/>
    <w:p>
      <w:pPr>
        <w:ind w:firstLine="5906"/>
      </w:pPr>
      <w:r>
        <w:br w:type="page"/>
      </w:r>
    </w:p>
    <w:p>
      <w:pPr>
        <w:ind w:firstLine="5906"/>
        <w:rPr>
          <w:szCs w:val="24"/>
        </w:rPr>
      </w:pPr>
      <w:r>
        <w:rPr>
          <w:szCs w:val="24"/>
        </w:rPr>
        <w:t xml:space="preserve">Importuojamų naudotų </w:t>
      </w:r>
    </w:p>
    <w:p>
      <w:pPr>
        <w:ind w:firstLine="5897"/>
        <w:rPr>
          <w:szCs w:val="24"/>
        </w:rPr>
      </w:pPr>
      <w:r>
        <w:rPr>
          <w:szCs w:val="24"/>
        </w:rPr>
        <w:t xml:space="preserve">transporto priemonių muitinio </w:t>
      </w:r>
    </w:p>
    <w:p>
      <w:pPr>
        <w:ind w:firstLine="5897"/>
        <w:rPr>
          <w:szCs w:val="24"/>
        </w:rPr>
      </w:pPr>
      <w:r>
        <w:rPr>
          <w:szCs w:val="24"/>
        </w:rPr>
        <w:t>įvertinimo taisyklių</w:t>
      </w:r>
    </w:p>
    <w:p>
      <w:pPr>
        <w:ind w:firstLine="5897"/>
        <w:rPr>
          <w:szCs w:val="24"/>
        </w:rPr>
      </w:pPr>
      <w:r>
        <w:rPr>
          <w:szCs w:val="24"/>
        </w:rPr>
        <w:t>priedas</w:t>
      </w:r>
    </w:p>
    <w:p>
      <w:pPr>
        <w:tabs>
          <w:tab w:val="left" w:pos="0"/>
          <w:tab w:val="left" w:pos="959"/>
          <w:tab w:val="left" w:pos="1918"/>
          <w:tab w:val="left" w:pos="2877"/>
          <w:tab w:val="left" w:pos="3836"/>
          <w:tab w:val="left" w:pos="4795"/>
          <w:tab w:val="left" w:pos="5754"/>
          <w:tab w:val="left" w:pos="6713"/>
          <w:tab w:val="left" w:pos="7672"/>
          <w:tab w:val="left" w:pos="8631"/>
        </w:tabs>
        <w:ind w:left="57"/>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ind w:left="57"/>
        <w:jc w:val="center"/>
        <w:rPr>
          <w:b/>
          <w:bCs/>
          <w:caps/>
          <w:szCs w:val="24"/>
        </w:rPr>
      </w:pPr>
      <w:r>
        <w:rPr>
          <w:b/>
          <w:bCs/>
          <w:caps/>
          <w:szCs w:val="24"/>
        </w:rPr>
        <w:t>Importuojamos transporto priemonės defektų, atsiradusių dėl apgadinimo,</w:t>
      </w:r>
    </w:p>
    <w:p>
      <w:pPr>
        <w:tabs>
          <w:tab w:val="left" w:pos="0"/>
          <w:tab w:val="left" w:pos="959"/>
          <w:tab w:val="left" w:pos="1918"/>
          <w:tab w:val="left" w:pos="2877"/>
          <w:tab w:val="left" w:pos="3836"/>
          <w:tab w:val="left" w:pos="4795"/>
          <w:tab w:val="left" w:pos="5754"/>
          <w:tab w:val="left" w:pos="6713"/>
          <w:tab w:val="left" w:pos="7672"/>
          <w:tab w:val="left" w:pos="8631"/>
        </w:tabs>
        <w:ind w:left="57" w:firstLine="63"/>
        <w:jc w:val="center"/>
        <w:rPr>
          <w:szCs w:val="24"/>
        </w:rPr>
      </w:pPr>
      <w:r>
        <w:rPr>
          <w:b/>
          <w:bCs/>
          <w:szCs w:val="24"/>
        </w:rPr>
        <w:t>A K T A S</w:t>
      </w:r>
    </w:p>
    <w:p>
      <w:pPr>
        <w:tabs>
          <w:tab w:val="left" w:pos="0"/>
          <w:tab w:val="left" w:pos="959"/>
          <w:tab w:val="left" w:pos="1918"/>
          <w:tab w:val="left" w:pos="2877"/>
          <w:tab w:val="left" w:pos="3836"/>
          <w:tab w:val="left" w:pos="4795"/>
          <w:tab w:val="left" w:pos="5754"/>
          <w:tab w:val="left" w:pos="6713"/>
          <w:tab w:val="left" w:pos="7672"/>
          <w:tab w:val="left" w:pos="8631"/>
        </w:tabs>
        <w:ind w:left="57" w:firstLine="63"/>
        <w:jc w:val="center"/>
        <w:rPr>
          <w:i/>
          <w:iCs/>
          <w:szCs w:val="24"/>
        </w:rPr>
      </w:pPr>
      <w:r>
        <w:rPr>
          <w:i/>
          <w:iCs/>
          <w:szCs w:val="24"/>
        </w:rPr>
        <w:t>________________________</w:t>
      </w:r>
    </w:p>
    <w:p>
      <w:pPr>
        <w:tabs>
          <w:tab w:val="left" w:pos="0"/>
          <w:tab w:val="left" w:pos="959"/>
          <w:tab w:val="left" w:pos="1918"/>
          <w:tab w:val="left" w:pos="2877"/>
          <w:tab w:val="left" w:pos="3836"/>
          <w:tab w:val="left" w:pos="4795"/>
          <w:tab w:val="left" w:pos="5754"/>
          <w:tab w:val="left" w:pos="6713"/>
          <w:tab w:val="left" w:pos="7672"/>
          <w:tab w:val="left" w:pos="8631"/>
        </w:tabs>
        <w:ind w:left="57" w:firstLine="63"/>
        <w:jc w:val="center"/>
        <w:rPr>
          <w:i/>
          <w:iCs/>
          <w:szCs w:val="24"/>
        </w:rPr>
      </w:pPr>
      <w:r>
        <w:rPr>
          <w:i/>
          <w:iCs/>
          <w:szCs w:val="24"/>
        </w:rPr>
        <w:t xml:space="preserve"> (data)</w:t>
      </w:r>
    </w:p>
    <w:p>
      <w:pPr>
        <w:tabs>
          <w:tab w:val="left" w:pos="0"/>
          <w:tab w:val="left" w:pos="959"/>
          <w:tab w:val="left" w:pos="1918"/>
          <w:tab w:val="left" w:pos="2877"/>
          <w:tab w:val="left" w:pos="3836"/>
          <w:tab w:val="left" w:pos="4795"/>
          <w:tab w:val="left" w:pos="5754"/>
          <w:tab w:val="left" w:pos="6713"/>
          <w:tab w:val="left" w:pos="7672"/>
          <w:tab w:val="left" w:pos="8631"/>
        </w:tabs>
        <w:ind w:left="57" w:firstLine="63"/>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ind w:left="57" w:firstLine="930"/>
        <w:rPr>
          <w:szCs w:val="24"/>
        </w:rPr>
      </w:pPr>
      <w:r>
        <w:rPr>
          <w:szCs w:val="24"/>
        </w:rPr>
        <w:t>____________________ teritorinės muitinės ____________________ poste deklarantas,</w:t>
      </w:r>
    </w:p>
    <w:p>
      <w:pPr>
        <w:tabs>
          <w:tab w:val="left" w:pos="0"/>
          <w:tab w:val="left" w:pos="959"/>
          <w:tab w:val="left" w:pos="1918"/>
          <w:tab w:val="left" w:pos="2877"/>
          <w:tab w:val="left" w:pos="3836"/>
          <w:tab w:val="left" w:pos="4795"/>
          <w:tab w:val="left" w:pos="5754"/>
          <w:tab w:val="left" w:pos="6713"/>
          <w:tab w:val="left" w:pos="7672"/>
          <w:tab w:val="left" w:pos="8631"/>
        </w:tabs>
        <w:ind w:left="284" w:firstLine="720"/>
        <w:rPr>
          <w:szCs w:val="24"/>
        </w:rPr>
      </w:pPr>
    </w:p>
    <w:p>
      <w:pPr>
        <w:tabs>
          <w:tab w:val="left" w:pos="0"/>
          <w:tab w:val="left" w:pos="959"/>
          <w:tab w:val="left" w:pos="1918"/>
          <w:tab w:val="left" w:pos="2877"/>
          <w:tab w:val="left" w:pos="3836"/>
          <w:tab w:val="left" w:pos="4795"/>
          <w:tab w:val="left" w:pos="5754"/>
          <w:tab w:val="left" w:pos="6713"/>
          <w:tab w:val="left" w:pos="7672"/>
          <w:tab w:val="left" w:pos="8631"/>
          <w:tab w:val="left" w:pos="9590"/>
        </w:tabs>
        <w:ind w:left="284"/>
        <w:rPr>
          <w:szCs w:val="24"/>
        </w:rPr>
      </w:pPr>
      <w:r>
        <w:rPr>
          <w:szCs w:val="24"/>
          <w:lang w:eastAsia="lt-LT"/>
        </w:rPr>
        <mc:AlternateContent>
          <mc:Choice Requires="wps">
            <w:drawing>
              <wp:anchor distT="0" distB="0" distL="114300" distR="114300" simplePos="0" relativeHeight="251661824" behindDoc="0" locked="0" layoutInCell="1" allowOverlap="1">
                <wp:simplePos x="0" y="0"/>
                <wp:positionH relativeFrom="column">
                  <wp:posOffset>4013200</wp:posOffset>
                </wp:positionH>
                <wp:positionV relativeFrom="paragraph">
                  <wp:posOffset>166370</wp:posOffset>
                </wp:positionV>
                <wp:extent cx="2115820" cy="2540"/>
                <wp:effectExtent l="8255" t="12065"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13.1pt" to="482.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mJ99IgIAADsEAAAOAAAAZHJzL2Uyb0RvYy54bWysU8uu2jAQ3VfqP1jeQx4NFCLCVZVAN7e9 SNx+gLEdYtWxLdsQUNV/79g8WtpNVZWFsT0zJ2fOGS+eTr1ER26d0KrC2TjFiCuqmVD7Cn95XY9m GDlPFCNSK17hM3f4afn2zWIwJc91pyXjFgGIcuVgKtx5b8okcbTjPXFjbbiCYKttTzwc7T5hlgyA 3sskT9NpMmjLjNWUOwe3zSWIlxG/bTn1L23ruEeywsDNx9XGdRfWZLkg5d4S0wl6pUH+gUVPhIKP 3qEa4gk6WPEHVC+o1U63fkx1n+i2FZTHHqCbLP2tm21HDI+9gDjO3GVy/w+Wfj5uLBIMvMswUqQH j7beErHvPKq1UqCgtgiCoNRgXAkFtdrY0Cs9qa151vSrQ0rXHVF7Hhm/ng2gxIrkoSQcnIHv7YZP mkEOOXgdZTu1tg+QIAg6RXfOd3f4ySMKl3mWTWY5mEghlk+KaF5Cylutsc5/5LpHYVNhKVTQjpTk +Ow8sIfUW0q4VnotpIz+S4WGCs8n+SQWOC0FC8GQ5ux+V0uLjiRMUPwFKQDsIc3qg2IRrOOEra57 T4S87CFfqoAH3QCd6+4yIt/m6Xw1W82KUZFPV6MibZrRh3VdjKbr7P2kedfUdZN9D9SyouwEY1wF drdxzYq/G4frw7kM2n1g7zIkj+ixRSB7+4+ko53Bwcss7DQ7b2xQIzgLExqTr68pPIFfzzHr55tf /gAAAP//AwBQSwMEFAAGAAgAAAAhAM9X5aXeAAAACQEAAA8AAABkcnMvZG93bnJldi54bWxMj0FP wzAMhe9I/IfISFymLSUT0ShNJwT0xoUB4uo1pq1okq7JtsKvxzuNm+339Py9Yj25XhxojF3wBm4W GQjydbCdbwy8v1XzFYiY0FvsgycDPxRhXV5eFJjbcPSvdNikRnCIjzkaaFMacilj3ZLDuAgDeda+ wugw8To20o545HDXS5VlWjrsPH9ocaDHlurvzd4ZiNUH7arfWT3LPpdNILV7enlGY66vpod7EImm dDbDCZ/RoWSmbdh7G0VvQC8Vd0kGlFYg2HCnb3nYng4aZFnI/w3KPwAAAP//AwBQSwECLQAUAAYA CAAAACEAtoM4kv4AAADhAQAAEwAAAAAAAAAAAAAAAAAAAAAAW0NvbnRlbnRfVHlwZXNdLnhtbFBL AQItABQABgAIAAAAIQA4/SH/1gAAAJQBAAALAAAAAAAAAAAAAAAAAC8BAABfcmVscy8ucmVsc1BL AQItABQABgAIAAAAIQDmmJ99IgIAADsEAAAOAAAAAAAAAAAAAAAAAC4CAABkcnMvZTJvRG9jLnht bFBLAQItABQABgAIAAAAIQDPV+Wl3gAAAAkBAAAPAAAAAAAAAAAAAAAAAHwEAABkcnMvZG93bnJl di54bWxQSwUGAAAAAAQABADzAAAAhwUAAAAA "/>
            </w:pict>
          </mc:Fallback>
        </mc:AlternateContent>
      </w:r>
      <w:r>
        <w:rPr>
          <w:szCs w:val="24"/>
        </w:rPr>
        <w:t xml:space="preserve">dalyvaujant turto vertintojui </w:t>
      </w:r>
      <w:r>
        <w:rPr>
          <w:i/>
          <w:iCs/>
          <w:szCs w:val="24"/>
        </w:rPr>
        <w:t xml:space="preserve">(jeigu jis nedalyvavo – išbraukti) </w:t>
      </w:r>
      <w:r>
        <w:rPr>
          <w:szCs w:val="24"/>
        </w:rPr>
        <w:tab/>
        <w:tab/>
        <w:tab/>
        <w:tab/>
        <w:t xml:space="preserve"> ,</w:t>
      </w:r>
    </w:p>
    <w:p>
      <w:pPr>
        <w:tabs>
          <w:tab w:val="left" w:pos="0"/>
          <w:tab w:val="left" w:pos="959"/>
          <w:tab w:val="left" w:pos="1918"/>
          <w:tab w:val="left" w:pos="2877"/>
          <w:tab w:val="left" w:pos="3836"/>
          <w:tab w:val="left" w:pos="4795"/>
          <w:tab w:val="left" w:pos="5754"/>
          <w:tab w:val="left" w:pos="6713"/>
          <w:tab w:val="left" w:pos="7672"/>
          <w:tab w:val="left" w:pos="8631"/>
        </w:tabs>
        <w:ind w:left="284" w:firstLine="720"/>
        <w:jc w:val="right"/>
        <w:rPr>
          <w:szCs w:val="24"/>
        </w:rPr>
      </w:pPr>
      <w:r>
        <w:rPr>
          <w:i/>
          <w:iCs/>
          <w:szCs w:val="24"/>
        </w:rPr>
        <w:t>(vardas, pavardė</w:t>
      </w:r>
      <w:r>
        <w:rPr>
          <w:szCs w:val="24"/>
        </w:rPr>
        <w:t>)</w:t>
      </w:r>
    </w:p>
    <w:p>
      <w:pPr>
        <w:tabs>
          <w:tab w:val="left" w:pos="0"/>
          <w:tab w:val="left" w:pos="959"/>
          <w:tab w:val="left" w:pos="1918"/>
          <w:tab w:val="left" w:pos="2877"/>
          <w:tab w:val="left" w:pos="3836"/>
          <w:tab w:val="left" w:pos="4795"/>
          <w:tab w:val="left" w:pos="5754"/>
          <w:tab w:val="left" w:pos="6713"/>
          <w:tab w:val="left" w:pos="7672"/>
          <w:tab w:val="left" w:pos="8631"/>
        </w:tabs>
        <w:ind w:left="284" w:firstLine="2236"/>
        <w:rPr>
          <w:szCs w:val="24"/>
        </w:rPr>
      </w:pPr>
      <w:r>
        <w:rPr>
          <w:szCs w:val="24"/>
          <w:lang w:eastAsia="lt-LT"/>
        </w:rPr>
        <mc:AlternateContent>
          <mc:Choice Requires="wps">
            <w:drawing>
              <wp:anchor distT="0" distB="0" distL="114300" distR="114300" simplePos="0" relativeHeight="251667968" behindDoc="0" locked="0" layoutInCell="1" allowOverlap="1">
                <wp:simplePos x="0" y="0"/>
                <wp:positionH relativeFrom="column">
                  <wp:posOffset>2152650</wp:posOffset>
                </wp:positionH>
                <wp:positionV relativeFrom="paragraph">
                  <wp:posOffset>132080</wp:posOffset>
                </wp:positionV>
                <wp:extent cx="457200" cy="0"/>
                <wp:effectExtent l="5080" t="13970" r="1397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4pt" to="205.5pt,1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rxgnIwIAAEEEAAAOAAAAZHJzL2Uyb0RvYy54bWysU02P2yAQvVfqf0DcE9ups5tYcVaVnfSy bSNl2zsBbKNiQEDiRFX/ewfy0Wx7qar6gAdm5vHmzbB4OvYSHbh1QqsSZ+MUI66oZkK1Jf7ysh7N MHKeKEakVrzEJ+7w0/Ltm8VgCj7RnZaMWwQgyhWDKXHnvSmSxNGO98SNteEKnI22PfGwtW3CLBkA vZfJJE0fkkFbZqym3Dk4rc9OvIz4TcOp/9w0jnskSwzcfFxtXHdhTZYLUrSWmE7QCw3yDyx6IhRc eoOqiSdob8UfUL2gVjvd+DHVfaKbRlAea4BqsvS3arYdMTzWAuI4c5PJ/T9Y+umwsUgw6B3Io0gP Pdp6S0TbeVRppUBBbRE4QanBuAISKrWxoVZ6VFvzrOk3h5SuOqJaHhm/nAygZCEjeZUSNs7Afbvh o2YQQ/ZeR9mOje1RI4X5GhIDOEiDjrFPp1uf+NEjCof59BF6jxG9uhJSBISQZ6zzH7juUTBKLIUK CpKCHJ6dD4x+hYRjpddCyjgFUqGhxPPpZBoTnJaCBWcIc7bdVdKiAwlzFL9YHnjuw6zeKxbBOk7Y 6mJ7IuTZhsulCnhQCdC5WOdB+T5P56vZapaP8snDapSndT16v67y0cM6e5zW7+qqqrMfgVqWF51g jKvA7jq0Wf53Q3F5Pudxu43tTYbkNXrUC8he/5F0bGro43kidpqdNvbabJjTGHx5U+Eh3O/Bvn/5 y58AAAD//wMAUEsDBBQABgAIAAAAIQBTvXK03AAAAAkBAAAPAAAAZHJzL2Rvd25yZXYueG1sTI/B TsMwEETvSPyDtUjcqJ0EIZrGqSoEXJCQKIGzE2+TiHgdxW4a/p5FHOhxZ0cz84rt4gYx4xR6TxqS lQKB1HjbU6uhen+6uQcRoiFrBk+o4RsDbMvLi8Lk1p/oDed9bAWHUMiNhi7GMZcyNB06E1Z+ROLf wU/ORD6nVtrJnDjcDTJV6k460xM3dGbEhw6br/3Radh9vjxmr3Pt/GDXbfVhXaWeU62vr5bdBkTE Jf6b4Xc+T4eSN9X+SDaIQUOWrZklakgVI7DhNklYqP8EWRbynKD8AQAA//8DAFBLAQItABQABgAI AAAAIQC2gziS/gAAAOEBAAATAAAAAAAAAAAAAAAAAAAAAABbQ29udGVudF9UeXBlc10ueG1sUEsB Ai0AFAAGAAgAAAAhADj9If/WAAAAlAEAAAsAAAAAAAAAAAAAAAAALwEAAF9yZWxzLy5yZWxzUEsB Ai0AFAAGAAgAAAAhAGavGCcjAgAAQQQAAA4AAAAAAAAAAAAAAAAALgIAAGRycy9lMm9Eb2MueG1s UEsBAi0AFAAGAAgAAAAhAFO9crTcAAAACQEAAA8AAAAAAAAAAAAAAAAAfQQAAGRycy9kb3ducmV2 LnhtbFBLBQYAAAAABAAEAPMAAACGBQAAAAA= "/>
            </w:pict>
          </mc:Fallback>
        </mc:AlternateContent>
        <mc:AlternateContent>
          <mc:Choice Requires="wps">
            <w:drawing>
              <wp:anchor distT="0" distB="0" distL="114300" distR="114300" simplePos="0" relativeHeight="251662848" behindDoc="0" locked="0" layoutInCell="1" allowOverlap="1">
                <wp:simplePos x="0" y="0"/>
                <wp:positionH relativeFrom="column">
                  <wp:posOffset>4001135</wp:posOffset>
                </wp:positionH>
                <wp:positionV relativeFrom="paragraph">
                  <wp:posOffset>158115</wp:posOffset>
                </wp:positionV>
                <wp:extent cx="2159635" cy="635"/>
                <wp:effectExtent l="5715" t="11430" r="635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2.45pt" to="485.1pt,1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6FKGHgIAADgEAAAOAAAAZHJzL2Uyb0RvYy54bWysU8GO2jAQvVfqP1i+QxI2UIgIqyqBXrYt EtsPMLZDrDq2ZRsCqvrvHTtAS3upqubgjD0zz2/ejJfP506iE7dOaFXibJxixBXVTKhDib+8bkZz jJwnihGpFS/xhTv8vHr7Ztmbgk90qyXjFgGIckVvStx6b4okcbTlHXFjbbgCZ6NtRzxs7SFhlvSA 3slkkqazpNeWGaspdw5O68GJVxG/aTj1n5vGcY9kiYGbj6uN6z6syWpJioMlphX0SoP8A4uOCAWX 3qFq4gk6WvEHVCeo1U43fkx1l+imEZTHGqCaLP2tml1LDI+1gDjO3GVy/w+WfjptLRKsxAuMFOmg RTtviTi0HlVaKRBQW7QIOvXGFRBeqa0NldKz2pkXTb86pHTVEnXgke/rxQBIFjKSh5SwcQZu2/cf NYMYcvQ6inZubBcgQQ50jr253HvDzx5ROJxk08XsaYoRBV8wAj4pbqnGOv+B6w4Fo8RSqCAcKcjp xfkh9BYSjpXeCCnhnBRSoR6qn06mMcFpKVhwBp+zh30lLTqRMD7xu977EGb1UbEI1nLC1lfbEyEH G3hKFfCgGKBztYb5+LZIF+v5ep6P8slsPcrTuh6931T5aLbJ3k3rp7qq6ux7oJblRSsY4yqwu81q lv/dLFxfzTBl92m9y5A8okdpgeztH0nHboYGDqOw1+yytUHa0FgYzxh8fUph/n/dx6ifD371AwAA //8DAFBLAwQUAAYACAAAACEAT01Ri94AAAAJAQAADwAAAGRycy9kb3ducmV2LnhtbEyPwU7DMAyG 70i8Q2QkLhNL1sFgpemEgN64MDZx9VrTVjRO12Rb4ekxJzja/vT7+7PV6Dp1pCG0ni3MpgYUcemr lmsLm7fi6g5UiMgVdp7JwhcFWOXnZxmmlT/xKx3XsVYSwiFFC02Mfap1KBtyGKa+J5bbhx8cRhmH WlcDniTcdToxZqEdtiwfGuzpsaHyc31wFkKxpX3xPSkn5n1ee0r2Ty/PaO3lxfhwDyrSGP9g+NUX dcjFaecPXAXVWVjMzUxQC8n1EpQAy1uTgNrJ4saAzjP9v0H+AwAA//8DAFBLAQItABQABgAIAAAA IQC2gziS/gAAAOEBAAATAAAAAAAAAAAAAAAAAAAAAABbQ29udGVudF9UeXBlc10ueG1sUEsBAi0A FAAGAAgAAAAhADj9If/WAAAAlAEAAAsAAAAAAAAAAAAAAAAALwEAAF9yZWxzLy5yZWxzUEsBAi0A FAAGAAgAAAAhABXoUoYeAgAAOAQAAA4AAAAAAAAAAAAAAAAALgIAAGRycy9lMm9Eb2MueG1sUEsB Ai0AFAAGAAgAAAAhAE9NUYveAAAACQEAAA8AAAAAAAAAAAAAAAAAeAQAAGRycy9kb3ducmV2Lnht bFBLBQYAAAAABAAEAPMAAACDBQAAAAA= "/>
            </w:pict>
          </mc:Fallback>
        </mc:AlternateContent>
        <mc:AlternateContent>
          <mc:Choice Requires="wps">
            <w:drawing>
              <wp:anchor distT="0" distB="0" distL="114300" distR="114300" simplePos="0" relativeHeight="251666944" behindDoc="0" locked="0" layoutInCell="1" allowOverlap="1">
                <wp:simplePos x="0" y="0"/>
                <wp:positionH relativeFrom="column">
                  <wp:posOffset>170180</wp:posOffset>
                </wp:positionH>
                <wp:positionV relativeFrom="paragraph">
                  <wp:posOffset>138430</wp:posOffset>
                </wp:positionV>
                <wp:extent cx="1394460" cy="5080"/>
                <wp:effectExtent l="13335" t="10795" r="1143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446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0.9pt" to="123.2pt,1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yVZYJwIAAEMEAAAOAAAAZHJzL2Uyb0RvYy54bWysU02P2yAQvVfqf0DcE9tZJ02sOKvKTnrZ tpGy7Z0AtlExIGDjRFX/ewfy0Wx7qar6gAdm5vHmzbB8PPYSHbh1QqsSZ+MUI66oZkK1Jf7yvBnN MXKeKEakVrzEJ+7w4+rtm+VgCj7RnZaMWwQgyhWDKXHnvSmSxNGO98SNteEKnI22PfGwtW3CLBkA vZfJJE1nyaAtM1ZT7hyc1mcnXkX8puHUf24axz2SJQZuPq42rvuwJqslKVpLTCfohQb5BxY9EQou vUHVxBP0YsUfUL2gVjvd+DHVfaKbRlAea4BqsvS3anYdMTzWAuI4c5PJ/T9Y+umwtUiwEkOjFOmh RTtviWg7jyqtFAioLZoHnQbjCgiv1NaGSulR7cyTpt8cUrrqiGp55Pt8MgCShYzkVUrYOAO37YeP mkEMefE6inZsbI8aKczXkBjAQRh0jF063brEjx5ROMweFnk+g2ZS8E3TeWxiQoqAEnKNdf4D1z0K RomlUEFDUpDDk/OB1a+QcKz0RkgZ50AqNJR4MZ1MY4LTUrDgDGHOtvtKWnQgYZLiF0sEz32Y1S+K RbCOE7a+2J4IebbhcqkCHlQDdC7WeVS+L9LFer6e56N8MluP8rSuR+83VT6abbJ30/qhrqo6+xGo ZXnRCca4CuyuY5vlfzcWlwd0Hrjb4N5kSF6jR72A7PUfScfGhl6ep2Kv2Wlrrw2HSY3Bl1cVnsL9 Huz7t7/6CQAA//8DAFBLAwQUAAYACAAAACEA4YRe7dwAAAAIAQAADwAAAGRycy9kb3ducmV2Lnht bEyPQU/DMAyF70j8h8hI3Fi6MFXQNZ0mBFyQkBiFc9p4bUXiVE3WlX+POcHp2XrW8/fK3eKdmHGK QyAN61UGAqkNdqBOQ/3+dHMHIiZD1rhAqOEbI+yqy4vSFDac6Q3nQ+oEh1AsjIY+pbGQMrY9ehNX YURi7xgmbxKvUyftZM4c7p1UWZZLbwbiD70Z8aHH9utw8hr2ny+Pt69z44Oz9139YX2dPSutr6+W /RZEwiX9HcMvPqNDxUxNOJGNwmlQOZMn1jUr+2qTb0A0PKgcZFXK/wWqHwAAAP//AwBQSwECLQAU AAYACAAAACEAtoM4kv4AAADhAQAAEwAAAAAAAAAAAAAAAAAAAAAAW0NvbnRlbnRfVHlwZXNdLnht bFBLAQItABQABgAIAAAAIQA4/SH/1gAAAJQBAAALAAAAAAAAAAAAAAAAAC8BAABfcmVscy8ucmVs c1BLAQItABQABgAIAAAAIQCgyVZYJwIAAEMEAAAOAAAAAAAAAAAAAAAAAC4CAABkcnMvZTJvRG9j LnhtbFBLAQItABQABgAIAAAAIQDhhF7t3AAAAAgBAAAPAAAAAAAAAAAAAAAAAIEEAABkcnMvZG93 bnJldi54bWxQSwUGAAAAAAQABADzAAAAigUAAAAA "/>
            </w:pict>
          </mc:Fallback>
        </mc:AlternateContent>
      </w:r>
      <w:r>
        <w:rPr>
          <w:szCs w:val="24"/>
        </w:rPr>
        <w:t xml:space="preserve">, nustatė               transporto priemonės </w:t>
      </w:r>
    </w:p>
    <w:p>
      <w:pPr>
        <w:tabs>
          <w:tab w:val="left" w:pos="0"/>
          <w:tab w:val="left" w:pos="959"/>
          <w:tab w:val="left" w:pos="1918"/>
          <w:tab w:val="left" w:pos="2877"/>
          <w:tab w:val="left" w:pos="3836"/>
          <w:tab w:val="left" w:pos="4795"/>
          <w:tab w:val="left" w:pos="5754"/>
          <w:tab w:val="left" w:pos="6713"/>
          <w:tab w:val="left" w:pos="7672"/>
          <w:tab w:val="left" w:pos="8280"/>
          <w:tab w:val="left" w:pos="8631"/>
          <w:tab w:val="left" w:pos="9120"/>
        </w:tabs>
        <w:ind w:left="284" w:firstLine="1331"/>
        <w:jc w:val="right"/>
        <w:rPr>
          <w:i/>
          <w:iCs/>
          <w:szCs w:val="24"/>
        </w:rPr>
      </w:pPr>
      <w:r>
        <w:rPr>
          <w:i/>
          <w:iCs/>
          <w:szCs w:val="24"/>
        </w:rPr>
        <w:t>(defektų skaičius)</w:t>
      </w:r>
      <w:r>
        <w:rPr>
          <w:szCs w:val="24"/>
        </w:rPr>
        <w:tab/>
        <w:tab/>
        <w:tab/>
      </w:r>
      <w:r>
        <w:rPr>
          <w:i/>
          <w:iCs/>
          <w:szCs w:val="24"/>
        </w:rPr>
        <w:t>(markė, modelis)</w:t>
      </w:r>
    </w:p>
    <w:p>
      <w:pPr>
        <w:tabs>
          <w:tab w:val="left" w:pos="0"/>
          <w:tab w:val="left" w:pos="959"/>
          <w:tab w:val="left" w:pos="1918"/>
          <w:tab w:val="left" w:pos="2877"/>
          <w:tab w:val="left" w:pos="3836"/>
          <w:tab w:val="left" w:pos="4795"/>
          <w:tab w:val="left" w:pos="5754"/>
          <w:tab w:val="left" w:pos="6713"/>
          <w:tab w:val="left" w:pos="7672"/>
          <w:tab w:val="left" w:pos="8631"/>
          <w:tab w:val="left" w:pos="9356"/>
        </w:tabs>
        <w:ind w:left="284"/>
        <w:rPr>
          <w:szCs w:val="24"/>
        </w:rPr>
      </w:pPr>
      <w:r>
        <w:rPr>
          <w:szCs w:val="24"/>
          <w:lang w:eastAsia="lt-LT"/>
        </w:rPr>
        <mc:AlternateContent>
          <mc:Choice Requires="wps">
            <w:drawing>
              <wp:anchor distT="0" distB="0" distL="114300" distR="114300" simplePos="0" relativeHeight="251663872" behindDoc="0" locked="0" layoutInCell="1" allowOverlap="1">
                <wp:simplePos x="0" y="0"/>
                <wp:positionH relativeFrom="column">
                  <wp:posOffset>4038600</wp:posOffset>
                </wp:positionH>
                <wp:positionV relativeFrom="paragraph">
                  <wp:posOffset>133985</wp:posOffset>
                </wp:positionV>
                <wp:extent cx="2090420" cy="1270"/>
                <wp:effectExtent l="5080" t="13970"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0.55pt" to="482.6pt,10.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KUhvIQIAADkEAAAOAAAAZHJzL2Uyb0RvYy54bWysU8uu2yAQ3VfqPyD2iR91bhIrzlVlJ93c tpFy+wEEcIyKAQGJE1X99w7kodx2U1X1Ag/McDhzZmbxfOolOnLrhFYVzsYpRlxRzYTaV/jb63o0 w8h5ohiRWvEKn7nDz8v37xaDKXmuOy0ZtwhAlCsHU+HOe1MmiaMd74kba8MVOFtte+Jha/cJs2QA 9F4meZo+JYO2zFhNuXNw2lyceBnx25ZT/7VtHfdIVhi4+bjauO7CmiwXpNxbYjpBrzTIP7DoiVDw 6B2qIZ6ggxV/QPWCWu1068dU94luW0F5zAGyydLfstl2xPCYC4jjzF0m9/9g6ZfjxiLBKjzFSJEe SrT1loh951GtlQIBtUXToNNgXAnhtdrYkCk9qa150fS7Q0rXHVF7Hvm+ng2AZOFG8uZK2DgDr+2G z5pBDDl4HUU7tbYPkCAHOsXanO+14SePKBzm6TwtcighBV+WT2PpElLe7hrr/CeuexSMCkuhgnKk JMcX5wMXUt5CwrHSayFlrL5UaKjwfJJP4gWnpWDBGcKc3e9qadGRhP6JX0wMPI9hVh8Ui2AdJ2x1 tT0R8mLD41IFPMgG6FytS4P8mKfz1Ww1K0ZF/rQaFWnTjD6u62L0tM6mk+ZDU9dN9jNQy4qyE4xx FdjdmjUr/q4ZrmNzabN7u95lSN6iR72A7O0fScdyhgpeemGn2Xljb2WG/ozB11kKA/C4B/tx4pe/ AAAA//8DAFBLAwQUAAYACAAAACEANMUyyd8AAAAJAQAADwAAAGRycy9kb3ducmV2LnhtbEyPzU7D MBCE75X6DtZW4lJR50eNSohTISA3LhQqrtt4SSLidRq7beDpcU9wnJ3R7DfFdjK9ONPoOssK4lUE gri2uuNGwftbdbsB4Tyyxt4yKfgmB9tyPisw1/bCr3Te+UaEEnY5Kmi9H3IpXd2SQbeyA3HwPu1o 0Ac5NlKPeAnlppdJFGXSYMfhQ4sDPbZUf+1ORoGr9nSsfpb1MvpIG0vJ8enlGZW6WUwP9yA8Tf4v DFf8gA5lYDrYE2snegVZmoUtXkESxyBC4C5bJyAO10MKsizk/wXlLwAAAP//AwBQSwECLQAUAAYA CAAAACEAtoM4kv4AAADhAQAAEwAAAAAAAAAAAAAAAAAAAAAAW0NvbnRlbnRfVHlwZXNdLnhtbFBL AQItABQABgAIAAAAIQA4/SH/1gAAAJQBAAALAAAAAAAAAAAAAAAAAC8BAABfcmVscy8ucmVsc1BL AQItABQABgAIAAAAIQDNKUhvIQIAADkEAAAOAAAAAAAAAAAAAAAAAC4CAABkcnMvZTJvRG9jLnht bFBLAQItABQABgAIAAAAIQA0xTLJ3wAAAAkBAAAPAAAAAAAAAAAAAAAAAHsEAABkcnMvZG93bnJl di54bWxQSwUGAAAAAAQABADzAAAAhwUAAAAA "/>
            </w:pict>
          </mc:Fallback>
        </mc:AlternateContent>
      </w:r>
      <w:r>
        <w:rPr>
          <w:szCs w:val="24"/>
        </w:rPr>
        <w:t xml:space="preserve">pagaminimo metai ___________________, identifikavimo Nr.                                                        ,</w:t>
      </w:r>
    </w:p>
    <w:p>
      <w:pPr>
        <w:tabs>
          <w:tab w:val="left" w:pos="0"/>
          <w:tab w:val="left" w:pos="959"/>
          <w:tab w:val="left" w:pos="1918"/>
          <w:tab w:val="left" w:pos="2877"/>
          <w:tab w:val="left" w:pos="3836"/>
          <w:tab w:val="left" w:pos="4795"/>
          <w:tab w:val="left" w:pos="5754"/>
          <w:tab w:val="left" w:pos="6713"/>
          <w:tab w:val="left" w:pos="7672"/>
          <w:tab w:val="left" w:pos="8631"/>
        </w:tabs>
        <w:ind w:left="284" w:firstLine="6758"/>
        <w:rPr>
          <w:szCs w:val="24"/>
        </w:rPr>
      </w:pPr>
    </w:p>
    <w:p>
      <w:pPr>
        <w:tabs>
          <w:tab w:val="left" w:pos="0"/>
          <w:tab w:val="left" w:pos="959"/>
          <w:tab w:val="left" w:pos="1918"/>
          <w:tab w:val="left" w:pos="2877"/>
          <w:tab w:val="left" w:pos="3836"/>
          <w:tab w:val="left" w:pos="4795"/>
          <w:tab w:val="left" w:pos="5754"/>
          <w:tab w:val="left" w:pos="6713"/>
          <w:tab w:val="left" w:pos="7672"/>
          <w:tab w:val="left" w:pos="8631"/>
        </w:tabs>
        <w:ind w:left="284"/>
        <w:rPr>
          <w:szCs w:val="24"/>
        </w:rPr>
      </w:pPr>
      <w:r>
        <w:rPr>
          <w:szCs w:val="24"/>
        </w:rPr>
        <w:t>defektus (duomenys apie transporto priemonės defektus pateikti lentelėje).</w:t>
      </w:r>
    </w:p>
    <w:p>
      <w:pPr>
        <w:tabs>
          <w:tab w:val="left" w:pos="0"/>
          <w:tab w:val="left" w:pos="959"/>
          <w:tab w:val="left" w:pos="1918"/>
          <w:tab w:val="left" w:pos="2877"/>
          <w:tab w:val="left" w:pos="3836"/>
          <w:tab w:val="left" w:pos="4795"/>
          <w:tab w:val="left" w:pos="5754"/>
          <w:tab w:val="left" w:pos="6713"/>
          <w:tab w:val="left" w:pos="7672"/>
          <w:tab w:val="left" w:pos="8631"/>
        </w:tabs>
        <w:ind w:left="284" w:firstLine="720"/>
        <w:rPr>
          <w:szCs w:val="24"/>
        </w:rPr>
      </w:pPr>
    </w:p>
    <w:p>
      <w:pPr>
        <w:tabs>
          <w:tab w:val="left" w:pos="0"/>
          <w:tab w:val="left" w:pos="959"/>
          <w:tab w:val="left" w:pos="1918"/>
          <w:tab w:val="left" w:pos="2877"/>
          <w:tab w:val="left" w:pos="3836"/>
          <w:tab w:val="left" w:pos="4795"/>
          <w:tab w:val="left" w:pos="5754"/>
          <w:tab w:val="left" w:pos="6713"/>
          <w:tab w:val="left" w:pos="7672"/>
          <w:tab w:val="left" w:pos="8631"/>
        </w:tabs>
        <w:ind w:left="284" w:firstLine="720"/>
        <w:rPr>
          <w:szCs w:val="24"/>
        </w:rPr>
      </w:pPr>
      <w:r>
        <w:rPr>
          <w:szCs w:val="24"/>
          <w:lang w:eastAsia="lt-LT"/>
        </w:rPr>
        <mc:AlternateContent>
          <mc:Choice Requires="wps">
            <w:drawing>
              <wp:anchor distT="0" distB="0" distL="114300" distR="114300" simplePos="0" relativeHeight="251659776" behindDoc="0" locked="0" layoutInCell="1" allowOverlap="1">
                <wp:simplePos x="0" y="0"/>
                <wp:positionH relativeFrom="column">
                  <wp:posOffset>1675765</wp:posOffset>
                </wp:positionH>
                <wp:positionV relativeFrom="paragraph">
                  <wp:posOffset>145415</wp:posOffset>
                </wp:positionV>
                <wp:extent cx="278130" cy="4445"/>
                <wp:effectExtent l="13970" t="12065" r="1270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13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11.45pt" to="153.85pt,1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BlsBJgIAAEIEAAAOAAAAZHJzL2Uyb0RvYy54bWysU02P2yAQvVfqf0DcE9tZJ5tYcVaVnfSy 7UbKtncCOEbFgIDEiar+9w7ko5v2UlX1AQ8w8+bNzGP+dOwkOnDrhFYlzoYpRlxRzYTalfjL62ow xch5ohiRWvESn7jDT4v37+a9KfhIt1oybhGAKFf0psSt96ZIEkdb3hE31IYruGy07YiHrd0lzJIe 0DuZjNJ0kvTaMmM15c7BaX2+xIuI3zSc+pemcdwjWWLg5uNq47oNa7KYk2JniWkFvdAg/8CiI0JB 0htUTTxBeyv+gOoEtdrpxg+p7hLdNILyWANUk6W/VbNpieGxFmiOM7c2uf8HSz8f1hYJVuIJRop0 MKKNt0TsWo8qrRQ0UFs0CX3qjSvAvVJrGyqlR7Uxz5p+c0jpqiVqxyPf15MBkCxEJHchYeMMZNv2 nzQDH7L3Ojbt2NgONVKYryEwgENj0DFO6XSbEj96ROFw9DjNHmCWFK7yPB/HTKQIICHUWOc/ct2h YJRYChVaSApyeHY+kPrlEo6VXgkpowykQn2JZ+PROAY4LQULl8HN2d22khYdSBBS/C5579ys3isW wVpO2PJieyLk2YbkUgU8KAboXKyzUr7P0tlyupzmg3w0WQ7ytK4HH1ZVPpisssdx/VBXVZ39CNSy vGgFY1wFdlfVZvnfqeLyfs56u+n21obkHj32C8he/5F0nGsY5VkUW81Oa3udNwg1Ol8eVXgJb/dg v336i58AAAD//wMAUEsDBBQABgAIAAAAIQCHIE/T3QAAAAkBAAAPAAAAZHJzL2Rvd25yZXYueG1s TI/NTsMwEITvSLyDtUjcqE0ipTSNU1UIuCAhUQJnJ94mEfE6it00vD3LiZ72bzTzbbFb3CBmnELv ScP9SoFAarztqdVQfTzfPYAI0ZA1gyfU8IMBduX1VWFy68/0jvMhtoJNKORGQxfjmEsZmg6dCSs/ IvHt6CdnIo9TK+1kzmzuBpkolUlneuKEzoz42GHzfTg5Dfuv16f0ba6dH+ymrT6tq9RLovXtzbLf goi4xH8x/OEzOpTMVPsT2SAGDUmWbljKTcKVBalar0HUvEgzkGUhLz8ofwEAAP//AwBQSwECLQAU AAYACAAAACEAtoM4kv4AAADhAQAAEwAAAAAAAAAAAAAAAAAAAAAAW0NvbnRlbnRfVHlwZXNdLnht bFBLAQItABQABgAIAAAAIQA4/SH/1gAAAJQBAAALAAAAAAAAAAAAAAAAAC8BAABfcmVscy8ucmVs c1BLAQItABQABgAIAAAAIQAJBlsBJgIAAEIEAAAOAAAAAAAAAAAAAAAAAC4CAABkcnMvZTJvRG9j LnhtbFBLAQItABQABgAIAAAAIQCHIE/T3QAAAAkBAAAPAAAAAAAAAAAAAAAAAIAEAABkcnMvZG93 bnJldi54bWxQSwUGAAAAAAQABADzAAAAigUAAAAA "/>
            </w:pict>
          </mc:Fallback>
        </mc:AlternateContent>
      </w:r>
      <w:r>
        <w:rPr>
          <w:szCs w:val="24"/>
        </w:rPr>
        <w:t xml:space="preserve">PRIDEDAMA.            fotografijų.</w:t>
      </w:r>
    </w:p>
    <w:p>
      <w:pPr>
        <w:tabs>
          <w:tab w:val="left" w:pos="0"/>
          <w:tab w:val="left" w:pos="959"/>
          <w:tab w:val="left" w:pos="1918"/>
          <w:tab w:val="left" w:pos="2877"/>
          <w:tab w:val="left" w:pos="3836"/>
          <w:tab w:val="left" w:pos="4795"/>
          <w:tab w:val="left" w:pos="5754"/>
          <w:tab w:val="left" w:pos="6713"/>
          <w:tab w:val="left" w:pos="7672"/>
          <w:tab w:val="left" w:pos="8631"/>
        </w:tabs>
        <w:ind w:left="284" w:firstLine="720"/>
        <w:rPr>
          <w:szCs w:val="24"/>
        </w:rPr>
      </w:pPr>
    </w:p>
    <w:p>
      <w:pPr>
        <w:tabs>
          <w:tab w:val="left" w:pos="0"/>
          <w:tab w:val="left" w:pos="959"/>
          <w:tab w:val="left" w:pos="1918"/>
          <w:tab w:val="left" w:pos="2877"/>
          <w:tab w:val="left" w:pos="3836"/>
          <w:tab w:val="left" w:pos="4795"/>
          <w:tab w:val="left" w:pos="5754"/>
          <w:tab w:val="left" w:pos="6713"/>
          <w:tab w:val="left" w:pos="7672"/>
          <w:tab w:val="left" w:pos="8631"/>
        </w:tabs>
        <w:ind w:left="284" w:hanging="44"/>
        <w:rPr>
          <w:szCs w:val="24"/>
        </w:rPr>
      </w:pPr>
      <w:r>
        <w:rPr>
          <w:szCs w:val="24"/>
        </w:rPr>
        <w:t xml:space="preserve">Deklarantas                       </w:t>
        <w:tab/>
        <w:tab/>
        <w:t xml:space="preserve">                       Turto vertintojas</w:t>
      </w:r>
    </w:p>
    <w:p>
      <w:pPr>
        <w:tabs>
          <w:tab w:val="left" w:pos="0"/>
          <w:tab w:val="left" w:pos="959"/>
          <w:tab w:val="left" w:pos="1918"/>
          <w:tab w:val="left" w:pos="2877"/>
          <w:tab w:val="left" w:pos="3836"/>
          <w:tab w:val="left" w:pos="4795"/>
          <w:tab w:val="left" w:pos="5754"/>
          <w:tab w:val="left" w:pos="6713"/>
          <w:tab w:val="left" w:pos="7672"/>
          <w:tab w:val="left" w:pos="8631"/>
        </w:tabs>
        <w:ind w:left="284" w:hanging="44"/>
        <w:rPr>
          <w:szCs w:val="24"/>
        </w:rPr>
      </w:pPr>
    </w:p>
    <w:p>
      <w:pPr>
        <w:tabs>
          <w:tab w:val="left" w:pos="0"/>
          <w:tab w:val="left" w:pos="959"/>
          <w:tab w:val="left" w:pos="1918"/>
          <w:tab w:val="left" w:pos="2877"/>
          <w:tab w:val="left" w:pos="3836"/>
          <w:tab w:val="left" w:pos="4795"/>
          <w:tab w:val="left" w:pos="5754"/>
          <w:tab w:val="left" w:pos="6713"/>
          <w:tab w:val="left" w:pos="7672"/>
          <w:tab w:val="left" w:pos="8631"/>
        </w:tabs>
        <w:ind w:left="284" w:hanging="44"/>
        <w:rPr>
          <w:i/>
          <w:iCs/>
          <w:szCs w:val="24"/>
        </w:rPr>
      </w:pPr>
      <w:r>
        <w:rPr>
          <w:szCs w:val="24"/>
          <w:lang w:eastAsia="lt-LT"/>
        </w:rPr>
        <mc:AlternateContent>
          <mc:Choice Requires="wps">
            <w:drawing>
              <wp:anchor distT="0" distB="0" distL="114300" distR="114300" simplePos="0" relativeHeight="251670016" behindDoc="0" locked="0" layoutInCell="1" allowOverlap="1">
                <wp:simplePos x="0" y="0"/>
                <wp:positionH relativeFrom="column">
                  <wp:posOffset>3329940</wp:posOffset>
                </wp:positionH>
                <wp:positionV relativeFrom="paragraph">
                  <wp:posOffset>13970</wp:posOffset>
                </wp:positionV>
                <wp:extent cx="2173605" cy="0"/>
                <wp:effectExtent l="10795" t="10160" r="635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1.1pt" to="433.35pt,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7Z3dJAIAAEAEAAAOAAAAZHJzL2Uyb0RvYy54bWysU02P2yAQvVfqf0DcE9vZJJtYcVaVnfSy 7UbKtncC2EbFgIDEiar+9w7ko9n2UlX1AQ/MzOPNm2HxdOwkOnDrhFYFzoYpRlxRzYRqCvzldT2Y YeQ8UYxIrXiBT9zhp+X7d4ve5HykWy0ZtwhAlMt7U+DWe5MniaMt74gbasMVOGttO+Jha5uEWdID eieTUZpOk15bZqym3Dk4rc5OvIz4dc2pf6lrxz2SBQZuPq42rruwJssFyRtLTCvohQb5BxYdEQou vUFVxBO0t+IPqE5Qq52u/ZDqLtF1LSiPNUA1WfpbNduWGB5rAXGcucnk/h8s/XzYWCRYgScYKdJB i7beEtG0HpVaKRBQWzQJOvXG5RBeqo0NldKj2ppnTb85pHTZEtXwyPf1ZAAkCxnJm5SwcQZu2/Wf NIMYsvc6inasbYdqKczXkBjAQRh0jF063brEjx5ROBxljw/TFOjSqy8heYAIicY6/5HrDgWjwFKo ICDJyeHZ+UDpV0g4VnotpIxDIBXqCzyfjCYxwWkpWHCGMGebXSktOpAwRvGL9YHnPszqvWIRrOWE rS62J0KebbhcqoAHpQCdi3Wek+/zdL6arWbjwXg0XQ3GaVUNPqzL8WC6zh4n1UNVllX2I1DLxnkr GOMqsLvObDb+u5m4vJ7ztN2m9iZD8hY96gVkr/9IOnY1NPI8EjvNTht77TaMaQy+PKnwDu73YN8/ /OVPAAAA//8DAFBLAwQUAAYACAAAACEASBxjU9sAAAAHAQAADwAAAGRycy9kb3ducmV2LnhtbEyO wU7DMBBE70j9B2srcaMOpoQS4lRVBVyQKlHSnp14SaLa6yh20/D3GC5wHM3ozcvXkzVsxMF3jiTc LhJgSLXTHTUSyo+XmxUwHxRpZRyhhC/0sC5mV7nKtLvQO4770LAIIZ8pCW0Ifca5r1u0yi9cjxS7 TzdYFWIcGq4HdYlwa7hIkpRb1VF8aFWP2xbr0/5sJWyOb893u7GyzujHpjxoWyavQsrr+bR5AhZw Cn9j+NGP6lBEp8qdSXtmJNyL5TJOJQgBLParNH0AVv1mXuT8v3/xDQAA//8DAFBLAQItABQABgAI AAAAIQC2gziS/gAAAOEBAAATAAAAAAAAAAAAAAAAAAAAAABbQ29udGVudF9UeXBlc10ueG1sUEsB Ai0AFAAGAAgAAAAhADj9If/WAAAAlAEAAAsAAAAAAAAAAAAAAAAALwEAAF9yZWxzLy5yZWxzUEsB Ai0AFAAGAAgAAAAhAErtnd0kAgAAQAQAAA4AAAAAAAAAAAAAAAAALgIAAGRycy9lMm9Eb2MueG1s UEsBAi0AFAAGAAgAAAAhAEgcY1PbAAAABwEAAA8AAAAAAAAAAAAAAAAAfgQAAGRycy9kb3ducmV2 LnhtbFBLBQYAAAAABAAEAPMAAACGBQAAAAA= "/>
            </w:pict>
          </mc:Fallback>
        </mc:AlternateContent>
        <mc:AlternateContent>
          <mc:Choice Requires="wps">
            <w:drawing>
              <wp:anchor distT="0" distB="0" distL="114300" distR="114300" simplePos="0" relativeHeight="251668992" behindDoc="0" locked="0" layoutInCell="1" allowOverlap="1">
                <wp:simplePos x="0" y="0"/>
                <wp:positionH relativeFrom="column">
                  <wp:posOffset>166370</wp:posOffset>
                </wp:positionH>
                <wp:positionV relativeFrom="paragraph">
                  <wp:posOffset>13335</wp:posOffset>
                </wp:positionV>
                <wp:extent cx="2282825" cy="3175"/>
                <wp:effectExtent l="9525" t="9525" r="1270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282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05pt" to="192.85pt,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iOx6JAIAAEMEAAAOAAAAZHJzL2Uyb0RvYy54bWysU02P2yAQvVfqf0DcE9tZZ5tYcVaVnfSy bSNl2zsBbKNiQEDiRFX/ewfy0U17qaomEh6Y4c2bN8Pi6dhLdODWCa1KnI1TjLiimgnVlvjLy3o0 w8h5ohiRWvESn7jDT8u3bxaDKfhEd1oybhGAKFcMpsSd96ZIEkc73hM31oYrcDba9sTD1rYJs2QA 9F4mkzR9TAZtmbGacufgtD478TLiNw2n/nPTOO6RLDFw83G1cd2FNVkuSNFaYjpBLzTIP7DoiVCQ 9AZVE0/Q3oo/oHpBrXa68WOq+0Q3jaA81gDVZOlv1Ww7YnisBcRx5iaT+3+w9NNhY5FgJc4xUqSH Fm29JaLtPKq0UiCgtigPOg3GFRBeqY0NldKj2ppnTb85pHTVEdXyyPflZAAkCzeSuyth4wxk2w0f NYMYsvc6inZsbI8aKczXcDGAgzDoGLt0unWJHz2icDiZzOA/xYiC7yF7N42pSBFQwl1jnf/AdY+C UWIpVNCQFOTw7Hxg9SskHCu9FlLGOZAKDSWeTwE8eJyWggVn3Nh2V0mLDiRMUvxd8t6FWb1XLIJ1 nLDVxfZEyLMNyaUKeFAN0LlY51H5Pk/nq9lqlo/yyeNqlKd1PXq/rvLR4xqqrB/qqqqzH4Falhed YIyrwO46tln+d2NxeUDngbsN7k2G5B496gVkr99IOjY29PI8FTvNTht7bThMagy+vKrwFF7vwX79 9pc/AQAA//8DAFBLAwQUAAYACAAAACEAQCnYYdsAAAAGAQAADwAAAGRycy9kb3ducmV2LnhtbEyO wU7DMBBE70j9B2srcaNOU1FKiFNVVeGChNQSODvxkkTY6yh20/D3bE9wGu3MaPbl28lZMeIQOk8K losEBFLtTUeNgvL9+W4DIkRNRltPqOAHA2yL2U2uM+MvdMTxFBvBIxQyraCNsc+kDHWLToeF75E4 +/KD05HPoZFm0Bced1amSbKWTnfEH1rd477F+vt0dgp2n6+H1dtYOW/NY1N+GFcmL6lSt/Np9wQi 4hT/ynDFZ3QomKnyZzJBWAXpOuUm6xIEx6vN/QOI6uqDLHL5H7/4BQAA//8DAFBLAQItABQABgAI AAAAIQC2gziS/gAAAOEBAAATAAAAAAAAAAAAAAAAAAAAAABbQ29udGVudF9UeXBlc10ueG1sUEsB Ai0AFAAGAAgAAAAhADj9If/WAAAAlAEAAAsAAAAAAAAAAAAAAAAALwEAAF9yZWxzLy5yZWxzUEsB Ai0AFAAGAAgAAAAhAJGI7HokAgAAQwQAAA4AAAAAAAAAAAAAAAAALgIAAGRycy9lMm9Eb2MueG1s UEsBAi0AFAAGAAgAAAAhAEAp2GHbAAAABgEAAA8AAAAAAAAAAAAAAAAAfgQAAGRycy9kb3ducmV2 LnhtbFBLBQYAAAAABAAEAPMAAACGBQAAAAA= "/>
            </w:pict>
          </mc:Fallback>
        </mc:AlternateContent>
      </w:r>
      <w:r>
        <w:rPr>
          <w:i/>
          <w:iCs/>
          <w:szCs w:val="24"/>
        </w:rPr>
        <w:tab/>
        <w:tab/>
        <w:t xml:space="preserve">    (parašas)</w:t>
        <w:tab/>
        <w:tab/>
        <w:tab/>
        <w:tab/>
        <w:t xml:space="preserve">      (parašas)</w:t>
      </w:r>
    </w:p>
    <w:p>
      <w:pPr>
        <w:tabs>
          <w:tab w:val="left" w:pos="0"/>
          <w:tab w:val="left" w:pos="959"/>
          <w:tab w:val="left" w:pos="1918"/>
          <w:tab w:val="left" w:pos="2877"/>
          <w:tab w:val="left" w:pos="3836"/>
          <w:tab w:val="left" w:pos="4795"/>
          <w:tab w:val="left" w:pos="5754"/>
          <w:tab w:val="left" w:pos="6713"/>
          <w:tab w:val="left" w:pos="7672"/>
          <w:tab w:val="left" w:pos="8631"/>
        </w:tabs>
        <w:ind w:left="284" w:hanging="44"/>
        <w:rPr>
          <w:szCs w:val="24"/>
        </w:rPr>
      </w:pPr>
    </w:p>
    <w:p>
      <w:pPr>
        <w:tabs>
          <w:tab w:val="left" w:pos="0"/>
          <w:tab w:val="left" w:pos="959"/>
          <w:tab w:val="left" w:pos="1918"/>
          <w:tab w:val="left" w:pos="2877"/>
          <w:tab w:val="left" w:pos="3836"/>
          <w:tab w:val="left" w:pos="4795"/>
          <w:tab w:val="left" w:pos="5754"/>
          <w:tab w:val="left" w:pos="6713"/>
          <w:tab w:val="left" w:pos="7672"/>
          <w:tab w:val="left" w:pos="8631"/>
        </w:tabs>
        <w:ind w:firstLine="720"/>
        <w:rPr>
          <w:i/>
          <w:iCs/>
          <w:szCs w:val="24"/>
        </w:rPr>
      </w:pPr>
      <w:r>
        <w:rPr>
          <w:i/>
          <w:iCs/>
          <w:szCs w:val="24"/>
          <w:lang w:eastAsia="lt-LT"/>
        </w:rPr>
        <mc:AlternateContent>
          <mc:Choice Requires="wps">
            <w:drawing>
              <wp:anchor distT="0" distB="0" distL="114300" distR="114300" simplePos="0" relativeHeight="251664896" behindDoc="0" locked="0" layoutInCell="1" allowOverlap="1">
                <wp:simplePos x="0" y="0"/>
                <wp:positionH relativeFrom="column">
                  <wp:posOffset>228600</wp:posOffset>
                </wp:positionH>
                <wp:positionV relativeFrom="paragraph">
                  <wp:posOffset>-1905</wp:posOffset>
                </wp:positionV>
                <wp:extent cx="2298065" cy="1905"/>
                <wp:effectExtent l="5080" t="11430"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198.95pt,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5mLwIAIAADkEAAAOAAAAZHJzL2Uyb0RvYy54bWysU8uu2yAQ3VfqPyD2uX7ESRMrzlVlJ93c tpFy+wEEcIyKGQQkTlT13wvkoZt2U1X1Ag8wnDlzZmbxfOolOnJjBagKZ08pRlxRYELtK/ztdT2a YWQdUYxIULzCZ27x8/L9u8WgS55DB5JxgzyIsuWgK9w5p8sksbTjPbFPoLnyly2Ynji/NfuEGTJ4 9F4meZpOkwEM0wYot9afNpdLvIz4bcup+9q2ljskK+y5ubiauO7CmiwXpNwbojtBrzTIP7DoiVA+ 6B2qIY6ggxF/QPWCGrDQuicKfQJtKyiPOfhssvS3bLYd0Tzm4sWx+i6T/X+w9MtxY5BgFR5jpEjv S7R1hoh951ANSnkBwaBx0GnQtvTutdqYkCk9qa1+AfrdIgV1R9SeR76vZ+1BsvAieXgSNlb7aLvh MzDvQw4Oomin1vQB0suBTrE253tt+Mkh6g/zfD5LpxOMqL/L5ukkBiDl7a021n3i0KNgVFgKFZQj JTm+WBe4kPLmEo4VrIWUsfpSoaHC80k+iQ8sSMHCZXCzZr+rpUFHEvonfte4D24GDopFsI4Ttrra jgh5sX1wqQKez8bTuVqXBvkxT+er2WpWjIp8uhoVadOMPq7rYjRdZx8mzbip6yb7GahlRdkJxrgK 7G7NmhV/1wzXsbm02b1d7zIkj+hRL0/29o+kYzlDBS+9sAN23phbmX1/RufrLIUBeLv39tuJX/4C AAD//wMAUEsDBBQABgAIAAAAIQAvvg0w2wAAAAUBAAAPAAAAZHJzL2Rvd25yZXYueG1sTI/BTsMw EETvSPyDtUhcqtamkQoN2VQIyI0LBcR1Gy9JRLxOY7cNfD3mBMfRjGbeFJvJ9erIY+i8IFwtDCiW 2ttOGoTXl2p+AypEEku9F0b44gCb8vysoNz6kzzzcRsblUok5ITQxjjkWoe6ZUdh4QeW5H340VFM cmy0HemUyl2vl8astKNO0kJLA9+3XH9uDw4hVG+8r75n9cy8Z43n5f7h6ZEQLy+mu1tQkaf4F4Zf /IQOZWLa+YPYoHqEbJWuRIR5BirZ2fp6DWqHYECXhf5PX/4AAAD//wMAUEsBAi0AFAAGAAgAAAAh ALaDOJL+AAAA4QEAABMAAAAAAAAAAAAAAAAAAAAAAFtDb250ZW50X1R5cGVzXS54bWxQSwECLQAU AAYACAAAACEAOP0h/9YAAACUAQAACwAAAAAAAAAAAAAAAAAvAQAAX3JlbHMvLnJlbHNQSwECLQAU AAYACAAAACEA4eZi8CACAAA5BAAADgAAAAAAAAAAAAAAAAAuAgAAZHJzL2Uyb0RvYy54bWxQSwEC LQAUAAYACAAAACEAL74NMNsAAAAFAQAADwAAAAAAAAAAAAAAAAB6BAAAZHJzL2Rvd25yZXYueG1s UEsFBgAAAAAEAAQA8wAAAIIFAAAAAA== "/>
            </w:pict>
          </mc:Fallback>
        </mc:AlternateContent>
        <mc:AlternateContent>
          <mc:Choice Requires="wps">
            <w:drawing>
              <wp:anchor distT="0" distB="0" distL="114300" distR="114300" simplePos="0" relativeHeight="251665920" behindDoc="0" locked="0" layoutInCell="1" allowOverlap="1">
                <wp:simplePos x="0" y="0"/>
                <wp:positionH relativeFrom="column">
                  <wp:posOffset>3303270</wp:posOffset>
                </wp:positionH>
                <wp:positionV relativeFrom="paragraph">
                  <wp:posOffset>19050</wp:posOffset>
                </wp:positionV>
                <wp:extent cx="2165350" cy="1270"/>
                <wp:effectExtent l="12700" t="13335"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3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5pt" to="430.6pt,1.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DfvmKQIAAEMEAAAOAAAAZHJzL2Uyb0RvYy54bWysU8uO2yAU3VfqPyD2iR+TZBIrzqiyk26m baRMuyeAbVQMCJg4UdV/74U82rSbqqoXmMe9h3vPOSyfjr1EB26d0KrE2TjFiCuqmVBtiT+/bEZz jJwnihGpFS/xiTv8tHr7ZjmYgue605JxiwBEuWIwJe68N0WSONrxnrixNlzBYaNtTzwsbZswSwZA 72WSp+ksGbRlxmrKnYPd+nyIVxG/aTj1n5rGcY9kiaE2H0cbx30Yk9WSFK0lphP0Ugb5hyp6IhRc eoOqiSfo1Yo/oHpBrXa68WOq+0Q3jaA89gDdZOlv3ew6YnjsBchx5kaT+3+w9ONha5FgoB1GivQg 0c5bItrOo0orBQRqi7LA02BcAeGV2trQKT2qnXnW9KtDSlcdUS2P9b6cDIDEjOQuJSycgdv2wwfN IIa8eh1JOza2R40U5ktIDOBADDpGlU43lfjRIwqbeTabPkxBTApnWf4YRUxIEVBCrrHOv+e6R2FS YilU4JAU5PDsPPQBodeQsK30RkgZfSAVGkq8mObTmOC0FCwchjBn230lLTqQ4KT4BVIA7C7M6lfF IljHCVtf5p4IeZ5DvFQBD7qBci6zs1W+LdLFer6eT0aTfLYeTdK6Hr3bVJPRbJM9TuuHuqrq7Hso LZsUnWCMq1Dd1bbZ5O9scXlAZ8PdjHujIblHjy1Csdd/LDoKG7Q8u2Kv2WlrAxtBY3BqDL68qvAU fl3HqJ9vf/UDAAD//wMAUEsDBBQABgAIAAAAIQDOZyxP2wAAAAcBAAAPAAAAZHJzL2Rvd25yZXYu eG1sTI/BTsMwEETvSPyDtUjcqN1UVCWNU1UIuCAhUQJnJ94mEfY6it00/D3LiR6fZjT7ttjN3okJ x9gH0rBcKBBITbA9tRqqj+e7DYiYDFnjAqGGH4ywK6+vCpPbcKZ3nA6pFTxCMTcaupSGXMrYdOhN XIQBibNjGL1JjGMr7WjOPO6dzJRaS2964gudGfCxw+b7cPIa9l+vT6u3qfbB2Ye2+rS+Ui+Z1rc3 834LIuGc/svwp8/qULJTHU5ko3Aa7jOVcVXDil/ifLNeMtfMGciykJf+5S8AAAD//wMAUEsBAi0A FAAGAAgAAAAhALaDOJL+AAAA4QEAABMAAAAAAAAAAAAAAAAAAAAAAFtDb250ZW50X1R5cGVzXS54 bWxQSwECLQAUAAYACAAAACEAOP0h/9YAAACUAQAACwAAAAAAAAAAAAAAAAAvAQAAX3JlbHMvLnJl bHNQSwECLQAUAAYACAAAACEAyQ375ikCAABDBAAADgAAAAAAAAAAAAAAAAAuAgAAZHJzL2Uyb0Rv Yy54bWxQSwECLQAUAAYACAAAACEAzmcsT9sAAAAHAQAADwAAAAAAAAAAAAAAAACDBAAAZHJzL2Rv d25yZXYueG1sUEsFBgAAAAAEAAQA8wAAAIsFAAAAAA== "/>
            </w:pict>
          </mc:Fallback>
        </mc:AlternateContent>
      </w:r>
      <w:r>
        <w:rPr>
          <w:i/>
          <w:iCs/>
          <w:szCs w:val="24"/>
        </w:rPr>
        <w:t xml:space="preserve">   (vardas, pavardė)           </w:t>
        <w:tab/>
        <w:tab/>
        <w:t xml:space="preserve">               (vardas, pavardė)</w:t>
      </w:r>
    </w:p>
    <w:p>
      <w:pPr>
        <w:tabs>
          <w:tab w:val="left" w:pos="0"/>
          <w:tab w:val="left" w:pos="959"/>
          <w:tab w:val="left" w:pos="1918"/>
          <w:tab w:val="left" w:pos="2877"/>
          <w:tab w:val="left" w:pos="3836"/>
          <w:tab w:val="left" w:pos="4795"/>
          <w:tab w:val="left" w:pos="5754"/>
          <w:tab w:val="left" w:pos="6713"/>
          <w:tab w:val="left" w:pos="7672"/>
          <w:tab w:val="left" w:pos="8631"/>
        </w:tabs>
        <w:jc w:val="center"/>
        <w:rPr>
          <w:i/>
          <w:iCs/>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szCs w:val="24"/>
        </w:rPr>
        <w:t>Duomenys apie transporto priemonės defektus</w:t>
      </w: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tbl>
      <w:tblPr>
        <w:tblW w:w="9360" w:type="dxa"/>
        <w:tblInd w:w="2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774"/>
        <w:gridCol w:w="5226"/>
        <w:gridCol w:w="3360"/>
      </w:tblGrid>
      <w:tr>
        <w:tc>
          <w:tcPr>
            <w:tcW w:w="774" w:type="dxa"/>
            <w:tcBorders>
              <w:top w:val="single" w:sz="4" w:space="0" w:color="auto"/>
              <w:left w:val="single" w:sz="4" w:space="0" w:color="auto"/>
              <w:bottom w:val="single" w:sz="4" w:space="0" w:color="auto"/>
              <w:right w:val="single" w:sz="4" w:space="0" w:color="auto"/>
            </w:tcBorders>
          </w:tcPr>
          <w:p>
            <w:pPr>
              <w:tabs>
                <w:tab w:val="left" w:pos="0"/>
                <w:tab w:val="left" w:pos="959"/>
                <w:tab w:val="left" w:pos="1918"/>
                <w:tab w:val="left" w:pos="2877"/>
                <w:tab w:val="left" w:pos="3836"/>
                <w:tab w:val="left" w:pos="4795"/>
                <w:tab w:val="left" w:pos="5754"/>
                <w:tab w:val="left" w:pos="6713"/>
                <w:tab w:val="left" w:pos="7672"/>
                <w:tab w:val="left" w:pos="8631"/>
              </w:tabs>
              <w:rPr>
                <w:szCs w:val="24"/>
              </w:rPr>
            </w:pPr>
            <w:r>
              <w:rPr>
                <w:szCs w:val="24"/>
              </w:rPr>
              <w:t>Eil.</w:t>
            </w:r>
          </w:p>
          <w:p>
            <w:pPr>
              <w:tabs>
                <w:tab w:val="left" w:pos="0"/>
                <w:tab w:val="left" w:pos="959"/>
                <w:tab w:val="left" w:pos="1918"/>
                <w:tab w:val="left" w:pos="2877"/>
                <w:tab w:val="left" w:pos="3836"/>
                <w:tab w:val="left" w:pos="4795"/>
                <w:tab w:val="left" w:pos="5754"/>
                <w:tab w:val="left" w:pos="6713"/>
                <w:tab w:val="left" w:pos="7672"/>
                <w:tab w:val="left" w:pos="8631"/>
              </w:tabs>
              <w:rPr>
                <w:szCs w:val="24"/>
              </w:rPr>
            </w:pPr>
            <w:r>
              <w:rPr>
                <w:szCs w:val="24"/>
              </w:rPr>
              <w:t>Nr.</w:t>
            </w:r>
          </w:p>
        </w:tc>
        <w:tc>
          <w:tcPr>
            <w:tcW w:w="5226" w:type="dxa"/>
            <w:tcBorders>
              <w:top w:val="single" w:sz="4" w:space="0" w:color="auto"/>
              <w:left w:val="nil"/>
              <w:bottom w:val="single" w:sz="4" w:space="0" w:color="auto"/>
              <w:right w:val="single" w:sz="4" w:space="0" w:color="auto"/>
            </w:tcBorders>
          </w:tcPr>
          <w:p>
            <w:pPr>
              <w:tabs>
                <w:tab w:val="left" w:pos="0"/>
                <w:tab w:val="left" w:pos="959"/>
                <w:tab w:val="left" w:pos="1918"/>
                <w:tab w:val="left" w:pos="2877"/>
                <w:tab w:val="left" w:pos="3836"/>
                <w:tab w:val="left" w:pos="4795"/>
                <w:tab w:val="left" w:pos="5754"/>
                <w:tab w:val="left" w:pos="6713"/>
                <w:tab w:val="left" w:pos="7672"/>
                <w:tab w:val="left" w:pos="8631"/>
              </w:tabs>
              <w:rPr>
                <w:szCs w:val="24"/>
              </w:rPr>
            </w:pPr>
            <w:r>
              <w:rPr>
                <w:szCs w:val="24"/>
              </w:rPr>
              <w:t>Sunaikintų, sugadintų dalių, detalių pavadinimai</w:t>
            </w:r>
          </w:p>
        </w:tc>
        <w:tc>
          <w:tcPr>
            <w:tcW w:w="3360" w:type="dxa"/>
            <w:tcBorders>
              <w:top w:val="single" w:sz="4" w:space="0" w:color="auto"/>
              <w:left w:val="nil"/>
              <w:bottom w:val="single" w:sz="4" w:space="0" w:color="auto"/>
              <w:right w:val="single" w:sz="4" w:space="0" w:color="auto"/>
            </w:tcBorders>
          </w:tcPr>
          <w:p>
            <w:pPr>
              <w:tabs>
                <w:tab w:val="left" w:pos="0"/>
                <w:tab w:val="left" w:pos="959"/>
                <w:tab w:val="left" w:pos="1918"/>
                <w:tab w:val="left" w:pos="2877"/>
                <w:tab w:val="left" w:pos="3836"/>
                <w:tab w:val="left" w:pos="4795"/>
                <w:tab w:val="left" w:pos="5754"/>
                <w:tab w:val="left" w:pos="6713"/>
                <w:tab w:val="left" w:pos="7672"/>
                <w:tab w:val="left" w:pos="8631"/>
              </w:tabs>
              <w:rPr>
                <w:szCs w:val="24"/>
              </w:rPr>
            </w:pPr>
            <w:r>
              <w:rPr>
                <w:szCs w:val="24"/>
              </w:rPr>
              <w:t>Sugadinimo laipsnis, pobūdis ir plotas</w:t>
            </w:r>
          </w:p>
        </w:tc>
      </w:tr>
      <w:tr>
        <w:tc>
          <w:tcPr>
            <w:tcW w:w="774" w:type="dxa"/>
            <w:tcBorders>
              <w:top w:val="single" w:sz="4" w:space="0" w:color="auto"/>
              <w:left w:val="single" w:sz="4" w:space="0" w:color="auto"/>
              <w:bottom w:val="single" w:sz="4" w:space="0" w:color="auto"/>
              <w:right w:val="single" w:sz="4" w:space="0" w:color="auto"/>
            </w:tcBorders>
          </w:tcPr>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szCs w:val="24"/>
              </w:rPr>
              <w:t>(1)</w:t>
            </w:r>
          </w:p>
        </w:tc>
        <w:tc>
          <w:tcPr>
            <w:tcW w:w="5226" w:type="dxa"/>
            <w:tcBorders>
              <w:top w:val="single" w:sz="4" w:space="0" w:color="auto"/>
              <w:left w:val="nil"/>
              <w:bottom w:val="single" w:sz="4" w:space="0" w:color="auto"/>
              <w:right w:val="single" w:sz="4" w:space="0" w:color="auto"/>
            </w:tcBorders>
          </w:tcPr>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szCs w:val="24"/>
              </w:rPr>
              <w:t>(2)</w:t>
            </w:r>
          </w:p>
        </w:tc>
        <w:tc>
          <w:tcPr>
            <w:tcW w:w="3360" w:type="dxa"/>
            <w:tcBorders>
              <w:top w:val="single" w:sz="4" w:space="0" w:color="auto"/>
              <w:left w:val="nil"/>
              <w:bottom w:val="single" w:sz="4" w:space="0" w:color="auto"/>
              <w:right w:val="single" w:sz="4" w:space="0" w:color="auto"/>
            </w:tcBorders>
          </w:tcPr>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szCs w:val="24"/>
              </w:rPr>
              <w:t>(3)</w:t>
            </w:r>
          </w:p>
        </w:tc>
      </w:tr>
      <w:tr>
        <w:trPr>
          <w:trHeight w:val="1680"/>
        </w:trPr>
        <w:tc>
          <w:tcPr>
            <w:tcW w:w="774" w:type="dxa"/>
            <w:tcBorders>
              <w:top w:val="single" w:sz="4" w:space="0" w:color="auto"/>
              <w:left w:val="single" w:sz="4" w:space="0" w:color="auto"/>
              <w:bottom w:val="single" w:sz="4" w:space="0" w:color="auto"/>
              <w:right w:val="single" w:sz="4" w:space="0" w:color="auto"/>
            </w:tcBorders>
          </w:tcPr>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tc>
        <w:tc>
          <w:tcPr>
            <w:tcW w:w="5226" w:type="dxa"/>
            <w:tcBorders>
              <w:top w:val="single" w:sz="4" w:space="0" w:color="auto"/>
              <w:left w:val="nil"/>
              <w:bottom w:val="single" w:sz="4" w:space="0" w:color="auto"/>
              <w:right w:val="single" w:sz="4" w:space="0" w:color="auto"/>
            </w:tcBorders>
          </w:tcPr>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tc>
        <w:tc>
          <w:tcPr>
            <w:tcW w:w="3360" w:type="dxa"/>
            <w:tcBorders>
              <w:top w:val="single" w:sz="4" w:space="0" w:color="auto"/>
              <w:left w:val="nil"/>
              <w:bottom w:val="single" w:sz="4" w:space="0" w:color="auto"/>
              <w:right w:val="single" w:sz="4" w:space="0" w:color="auto"/>
            </w:tcBorders>
          </w:tcPr>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tc>
      </w:tr>
    </w:tbl>
    <w:p>
      <w:pPr>
        <w:spacing w:line="240" w:lineRule="atLeast"/>
        <w:ind w:left="284" w:firstLine="720"/>
        <w:jc w:val="both"/>
        <w:rPr>
          <w:szCs w:val="24"/>
        </w:rPr>
      </w:pPr>
    </w:p>
    <w:p>
      <w:pPr>
        <w:spacing w:line="240" w:lineRule="atLeast"/>
        <w:ind w:left="284" w:hanging="44"/>
        <w:jc w:val="both"/>
        <w:rPr>
          <w:szCs w:val="24"/>
        </w:rPr>
      </w:pPr>
      <w:r>
        <w:rPr>
          <w:caps/>
          <w:szCs w:val="24"/>
        </w:rPr>
        <w:t>Pastaba</w:t>
      </w:r>
      <w:r>
        <w:rPr>
          <w:szCs w:val="24"/>
        </w:rPr>
        <w:t>. Neužpildyta lentelės dalis perbraukiama įstrižai.</w:t>
      </w:r>
    </w:p>
    <w:p>
      <w:pPr>
        <w:spacing w:line="240" w:lineRule="atLeast"/>
        <w:ind w:left="284" w:firstLine="720"/>
        <w:jc w:val="both"/>
        <w:rPr>
          <w:szCs w:val="24"/>
        </w:rPr>
      </w:pPr>
    </w:p>
    <w:p>
      <w:pPr>
        <w:jc w:val="center"/>
      </w:pPr>
      <w:r>
        <w:rPr>
          <w:szCs w:val="24"/>
        </w:rPr>
        <w:t>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87b40c2bd11e69dec860c1f4a5372">
        <w:r w:rsidRPr="00532B9F">
          <w:rPr>
            <w:rFonts w:ascii="Times New Roman" w:eastAsia="MS Mincho" w:hAnsi="Times New Roman"/>
            <w:sz w:val="20"/>
            <w:i/>
            <w:iCs/>
            <w:color w:val="0000FF" w:themeColor="hyperlink"/>
            <w:u w:val="single"/>
          </w:rPr>
          <w:t>1B-1026</w:t>
        </w:r>
      </w:fldSimple>
      <w:r>
        <w:rPr>
          <w:rFonts w:ascii="Times New Roman" w:eastAsia="MS Mincho" w:hAnsi="Times New Roman"/>
          <w:sz w:val="20"/>
          <w:i/>
          <w:iCs/>
        </w:rPr>
        <w:t>,
2016-12-15,
paskelbta TAR 2016-12-16, i. k. 2016-29002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Muitinės departamentas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9355FCC3A06">
        <w:r w:rsidRPr="00532B9F">
          <w:rPr>
            <w:rFonts w:ascii="Times New Roman" w:eastAsia="MS Mincho" w:hAnsi="Times New Roman"/>
            <w:sz w:val="20"/>
            <w:iCs/>
            <w:color w:val="0000FF" w:themeColor="hyperlink"/>
            <w:u w:val="single"/>
          </w:rPr>
          <w:t>1B-637</w:t>
        </w:r>
      </w:fldSimple>
      <w:r>
        <w:rPr>
          <w:rFonts w:ascii="Times New Roman" w:eastAsia="MS Mincho" w:hAnsi="Times New Roman"/>
          <w:sz w:val="20"/>
          <w:iCs/>
        </w:rPr>
        <w:t>,
2011-11-29,
Žin., 2011, Nr.
148-6977 (2011-12-03), i. k. 1113030ISAK001B-637                </w:t>
      </w:r>
    </w:p>
    <w:p>
      <w:pPr>
        <w:jc w:val="both"/>
        <w:rPr>
          <w:rFonts w:ascii="Times New Roman" w:hAnsi="Times New Roman"/>
        </w:rPr>
      </w:pPr>
      <w:r>
        <w:rPr>
          <w:rFonts w:ascii="Times New Roman" w:hAnsi="Times New Roman"/>
          <w:sz w:val="20"/>
        </w:rPr>
        <w:t>Dėl Muitinės departamento prie Lietuvos Respublikos finansų ministerijos generalinio direktoriaus 2009 m. birželio 26 d. įsakymo Nr. 1B-361 "Dėl Importuojamų naudotų transporto priemonių muitinio įvertinimo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Muitinės departamentas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929c810479b11e483c6e89f9dba57fd">
        <w:r w:rsidRPr="00532B9F">
          <w:rPr>
            <w:rFonts w:ascii="Times New Roman" w:eastAsia="MS Mincho" w:hAnsi="Times New Roman"/>
            <w:sz w:val="20"/>
            <w:iCs/>
            <w:color w:val="0000FF" w:themeColor="hyperlink"/>
            <w:u w:val="single"/>
          </w:rPr>
          <w:t>1B-676</w:t>
        </w:r>
      </w:fldSimple>
      <w:r>
        <w:rPr>
          <w:rFonts w:ascii="Times New Roman" w:eastAsia="MS Mincho" w:hAnsi="Times New Roman"/>
          <w:sz w:val="20"/>
          <w:iCs/>
        </w:rPr>
        <w:t>,
2014-09-25,
paskelbta TAR 2014-09-29, i. k. 2014-13155                </w:t>
      </w:r>
    </w:p>
    <w:p>
      <w:pPr>
        <w:jc w:val="both"/>
        <w:rPr>
          <w:rFonts w:ascii="Times New Roman" w:hAnsi="Times New Roman"/>
        </w:rPr>
      </w:pPr>
      <w:r>
        <w:rPr>
          <w:rFonts w:ascii="Times New Roman" w:hAnsi="Times New Roman"/>
          <w:sz w:val="20"/>
        </w:rPr>
        <w:t>Dėl Muitinės departamento prie Lietuvos Respublikos finansų ministerijos generalinio direktoriaus 2009 m. birželio 26 d. įsakymo Nr. 1B-361 „Dėl Importuojamų naudotų transporto priemonių muitinio įvertinimo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Muitinės departamentas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acc5e80a07111e4a82d9548fb36f682">
        <w:r w:rsidRPr="00532B9F">
          <w:rPr>
            <w:rFonts w:ascii="Times New Roman" w:eastAsia="MS Mincho" w:hAnsi="Times New Roman"/>
            <w:sz w:val="20"/>
            <w:iCs/>
            <w:color w:val="0000FF" w:themeColor="hyperlink"/>
            <w:u w:val="single"/>
          </w:rPr>
          <w:t>1B-18</w:t>
        </w:r>
      </w:fldSimple>
      <w:r>
        <w:rPr>
          <w:rFonts w:ascii="Times New Roman" w:eastAsia="MS Mincho" w:hAnsi="Times New Roman"/>
          <w:sz w:val="20"/>
          <w:iCs/>
        </w:rPr>
        <w:t>,
2015-01-15,
paskelbta TAR 2015-01-20, i. k. 2015-00880                </w:t>
      </w:r>
    </w:p>
    <w:p>
      <w:pPr>
        <w:jc w:val="both"/>
        <w:rPr>
          <w:rFonts w:ascii="Times New Roman" w:hAnsi="Times New Roman"/>
        </w:rPr>
      </w:pPr>
      <w:r>
        <w:rPr>
          <w:rFonts w:ascii="Times New Roman" w:hAnsi="Times New Roman"/>
          <w:sz w:val="20"/>
        </w:rPr>
        <w:t>Dėl Muitinės departamento prie Lietuvos Respublikos finansų ministerijos generalinio direktoriaus 2009 m. birželio 26 d. įsakymo Nr. 1B-361 „Dėl Importuojamų naudotų transporto priemonių muitinio įvertinimo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Muitinės departamentas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5a96010208511e5b336e9064144f02a">
        <w:r w:rsidRPr="00532B9F">
          <w:rPr>
            <w:rFonts w:ascii="Times New Roman" w:eastAsia="MS Mincho" w:hAnsi="Times New Roman"/>
            <w:sz w:val="20"/>
            <w:iCs/>
            <w:color w:val="0000FF" w:themeColor="hyperlink"/>
            <w:u w:val="single"/>
          </w:rPr>
          <w:t>1B-538</w:t>
        </w:r>
      </w:fldSimple>
      <w:r>
        <w:rPr>
          <w:rFonts w:ascii="Times New Roman" w:eastAsia="MS Mincho" w:hAnsi="Times New Roman"/>
          <w:sz w:val="20"/>
          <w:iCs/>
        </w:rPr>
        <w:t>,
2015-07-01,
paskelbta TAR 2015-07-02, i. k. 2015-10688                </w:t>
      </w:r>
    </w:p>
    <w:p>
      <w:pPr>
        <w:jc w:val="both"/>
        <w:rPr>
          <w:rFonts w:ascii="Times New Roman" w:hAnsi="Times New Roman"/>
        </w:rPr>
      </w:pPr>
      <w:r>
        <w:rPr>
          <w:rFonts w:ascii="Times New Roman" w:hAnsi="Times New Roman"/>
          <w:sz w:val="20"/>
        </w:rPr>
        <w:t>Dėl Muitinės departamento prie Lietuvos Respublikos finansų ministerijos generalinio direktoriaus 2009 m. birželio 26 d. įsakymo Nr. 1B-361 „Dėl Importuojamų naudotų transporto priemonių muitinio įvertinimo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Muitinės departamentas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5a1240973c11e5a6f4e928c954d72b">
        <w:r w:rsidRPr="00532B9F">
          <w:rPr>
            <w:rFonts w:ascii="Times New Roman" w:eastAsia="MS Mincho" w:hAnsi="Times New Roman"/>
            <w:sz w:val="20"/>
            <w:iCs/>
            <w:color w:val="0000FF" w:themeColor="hyperlink"/>
            <w:u w:val="single"/>
          </w:rPr>
          <w:t>1B-912</w:t>
        </w:r>
      </w:fldSimple>
      <w:r>
        <w:rPr>
          <w:rFonts w:ascii="Times New Roman" w:eastAsia="MS Mincho" w:hAnsi="Times New Roman"/>
          <w:sz w:val="20"/>
          <w:iCs/>
        </w:rPr>
        <w:t>,
2015-11-25,
paskelbta TAR 2015-11-30, i. k. 2015-18980                </w:t>
      </w:r>
    </w:p>
    <w:p>
      <w:pPr>
        <w:jc w:val="both"/>
        <w:rPr>
          <w:rFonts w:ascii="Times New Roman" w:hAnsi="Times New Roman"/>
        </w:rPr>
      </w:pPr>
      <w:r>
        <w:rPr>
          <w:rFonts w:ascii="Times New Roman" w:hAnsi="Times New Roman"/>
          <w:sz w:val="20"/>
        </w:rPr>
        <w:t>Dėl Muitinės departamento prie Lietuvos Respublikos finansų ministerijos generalinio direktoriaus 2009 m. birželio 26 d. įsakymo Nr. 1B-361 „Dėl Importuojamų naudotų transporto priemonių muitinio įvertinimo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Muitinės departamentas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4287b40c2bd11e69dec860c1f4a5372">
        <w:r w:rsidRPr="00532B9F">
          <w:rPr>
            <w:rFonts w:ascii="Times New Roman" w:eastAsia="MS Mincho" w:hAnsi="Times New Roman"/>
            <w:sz w:val="20"/>
            <w:iCs/>
            <w:color w:val="0000FF" w:themeColor="hyperlink"/>
            <w:u w:val="single"/>
          </w:rPr>
          <w:t>1B-1026</w:t>
        </w:r>
      </w:fldSimple>
      <w:r>
        <w:rPr>
          <w:rFonts w:ascii="Times New Roman" w:eastAsia="MS Mincho" w:hAnsi="Times New Roman"/>
          <w:sz w:val="20"/>
          <w:iCs/>
        </w:rPr>
        <w:t>,
2016-12-15,
paskelbta TAR 2016-12-16, i. k. 2016-29002                </w:t>
      </w:r>
    </w:p>
    <w:p>
      <w:pPr>
        <w:jc w:val="both"/>
        <w:rPr>
          <w:rFonts w:ascii="Times New Roman" w:hAnsi="Times New Roman"/>
        </w:rPr>
      </w:pPr>
      <w:r>
        <w:rPr>
          <w:rFonts w:ascii="Times New Roman" w:hAnsi="Times New Roman"/>
          <w:sz w:val="20"/>
        </w:rPr>
        <w:t>Dėl Muitinės departamento prie Lietuvos Respublikos finansų ministerijos generalinio direktoriaus 2009 m. birželio 26 d. įsakymo Nr. 1B-361 „Dėl Importuojamų naudotų transporto priemonių muitinio įvertinimo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F8F1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image" Target="media/image2.wmf"/>
  <Relationship Id="rId11" Type="http://schemas.openxmlformats.org/officeDocument/2006/relationships/control" Target="activeX/activeX2.xml"/>
  <Relationship Id="rId12" Type="http://schemas.openxmlformats.org/officeDocument/2006/relationships/hyperlink" TargetMode="External" Target="https://www.e-tar.lt/portal/lt/legalAct/TAR.D6590435A175"/>
  <Relationship Id="rId13" Type="http://schemas.openxmlformats.org/officeDocument/2006/relationships/hyperlink" TargetMode="External" Target="https://www.e-tar.lt/portal/lt/legalAct/TAR.11D3C4DC3386"/>
  <Relationship Id="rId14" Type="http://schemas.openxmlformats.org/officeDocument/2006/relationships/hyperlink" TargetMode="External" Target="https://www.e-tar.lt/portal/lt/legalAct/TAR.1FEFE8117C2C"/>
  <Relationship Id="rId15" Type="http://schemas.openxmlformats.org/officeDocument/2006/relationships/hyperlink" TargetMode="External" Target="https://www.e-tar.lt/portal/lt/legalAct/TAR.43A03C12BFC8"/>
  <Relationship Id="rId16" Type="http://schemas.openxmlformats.org/officeDocument/2006/relationships/hyperlink" TargetMode="External" Target="https://www.e-tar.lt/portal/lt/legalAct/TAR.A904EC883C20"/>
  <Relationship Id="rId17" Type="http://schemas.openxmlformats.org/officeDocument/2006/relationships/hyperlink" TargetMode="External" Target="https://www.e-tar.lt/portal/lt/legalAct/TAR.2276CEC57313"/>
  <Relationship Id="rId2" Type="http://schemas.openxmlformats.org/officeDocument/2006/relationships/hyperlink" TargetMode="External" Target="https://www.e-tar.lt/portal/lt/legalAct/TAR.5A28B9A33AF0"/>
  <Relationship Id="rId3" Type="http://schemas.openxmlformats.org/officeDocument/2006/relationships/hyperlink" TargetMode="External" Target="https://www.e-tar.lt/portal/lt/legalAct/TAR.AD08657A1F24"/>
  <Relationship Id="rId4" Type="http://schemas.openxmlformats.org/officeDocument/2006/relationships/hyperlink" TargetMode="External" Target="https://www.e-tar.lt/portal/lt/legalAct/TAR.F6AF1C24CA4D"/>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20</Pages>
  <Words>41357</Words>
  <Characters>23574</Characters>
  <Application>Microsoft Office Word</Application>
  <DocSecurity>0</DocSecurity>
  <Lines>196</Lines>
  <Paragraphs>129</Paragraphs>
  <ScaleCrop>false</ScaleCrop>
  <Company/>
  <LinksUpToDate>false</LinksUpToDate>
  <CharactersWithSpaces>64802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2015-10-13T00:00:00Z</dcterms:created>
  <dc:creator>Rima</dc:creator>
  <lastModifiedBy>BODIN Aušra</lastModifiedBy>
  <dcterms:modified xsi:type="dcterms:W3CDTF">2016-12-20T08:50:00Z</dcterms:modified>
  <revision>13</revision>
  <dc:title>MUITINĖS DEPARTAMENTO</dc:title>
</coreProperties>
</file>