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2006-09-17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6AC46825AD9">
        <w:r w:rsidRPr="00532B9F">
          <w:rPr>
            <w:rFonts w:ascii="Times New Roman" w:eastAsia="MS Mincho" w:hAnsi="Times New Roman"/>
            <w:sz w:val="20"/>
            <w:i/>
            <w:iCs/>
            <w:color w:val="0000FF" w:themeColor="hyperlink"/>
            <w:u w:val="single"/>
          </w:rPr>
          <w:t>118-4275</w:t>
        </w:r>
      </w:fldSimple>
      <w:r>
        <w:rPr>
          <w:rFonts w:ascii="Times New Roman" w:eastAsia="MS Mincho" w:hAnsi="Times New Roman"/>
          <w:sz w:val="20"/>
          <w:i/>
          <w:iCs/>
        </w:rPr>
        <w:t>, i. k. 1052070ISAKSAK-1953</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ŠVIETIMO IR MOKSLO MINISTRAS</w:t>
      </w:r>
    </w:p>
    <w:p>
      <w:pPr>
        <w:jc w:val="center"/>
        <w:rPr>
          <w:color w:val="000000"/>
        </w:rPr>
      </w:pPr>
    </w:p>
    <w:p>
      <w:pPr>
        <w:jc w:val="center"/>
        <w:rPr>
          <w:b/>
          <w:color w:val="000000"/>
        </w:rPr>
      </w:pPr>
      <w:r>
        <w:rPr>
          <w:b/>
          <w:color w:val="000000"/>
        </w:rPr>
        <w:t>ĮSAKYMAS</w:t>
      </w:r>
    </w:p>
    <w:p>
      <w:pPr>
        <w:jc w:val="center"/>
        <w:rPr>
          <w:b/>
          <w:color w:val="000000"/>
        </w:rPr>
      </w:pPr>
      <w:r>
        <w:rPr>
          <w:b/>
          <w:color w:val="000000"/>
        </w:rPr>
        <w:t>DĖL MOKINIŲ, BESIMOKANČIŲ PAGAL PAGRINDINIO PROFESINIO MOKYMO PROGRAMAS, DARBUOTOJŲ SAUGOS IR SVEIKATOS PROGRAMOS APRAŠO PATVIRTINIMO</w:t>
      </w:r>
    </w:p>
    <w:p>
      <w:pPr>
        <w:jc w:val="center"/>
        <w:rPr>
          <w:color w:val="000000"/>
        </w:rPr>
      </w:pPr>
    </w:p>
    <w:p>
      <w:pPr>
        <w:jc w:val="center"/>
        <w:rPr>
          <w:color w:val="000000"/>
        </w:rPr>
      </w:pPr>
      <w:r>
        <w:rPr>
          <w:color w:val="000000"/>
        </w:rPr>
        <w:t>2005 m. rugsėjo 28 d. Nr. ISAK-1953</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darbuotojų saugos ir sveikatos įstatymo (Žin., 2003, Nr. </w:t>
      </w:r>
      <w:hyperlink r:id="rId17" w:tgtFrame="_blank" w:history="1">
        <w:r>
          <w:rPr>
            <w:color w:val="0000FF" w:themeColor="hyperlink"/>
            <w:u w:val="single"/>
          </w:rPr>
          <w:t>70-3170</w:t>
        </w:r>
      </w:hyperlink>
      <w:r>
        <w:rPr>
          <w:color w:val="000000"/>
        </w:rPr>
        <w:t>) 8 straipsnio 4 dalimi:</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Mokinių, besimokančių pagal pagrindinio profesinio mokymo programas, darbuotojų saugos ir sveikatos programos aprašą (pridedama).</w:t>
      </w:r>
    </w:p>
    <w:p>
      <w:pPr>
        <w:ind w:firstLine="709"/>
        <w:jc w:val="both"/>
        <w:rPr>
          <w:color w:val="000000"/>
        </w:rPr>
      </w:pPr>
      <w:r>
        <w:rPr>
          <w:color w:val="000000"/>
        </w:rPr>
        <w:t>2</w:t>
      </w:r>
      <w:r>
        <w:rPr>
          <w:color w:val="000000"/>
        </w:rPr>
        <w:t xml:space="preserve">. </w:t>
      </w:r>
      <w:r>
        <w:rPr>
          <w:color w:val="000000"/>
          <w:spacing w:val="60"/>
        </w:rPr>
        <w:t xml:space="preserve">Pripažįstu </w:t>
      </w:r>
      <w:r>
        <w:rPr>
          <w:color w:val="000000"/>
        </w:rPr>
        <w:t xml:space="preserve">netekusiu galios Lietuvos Respublikos švietimo ir mokslo ministerijos </w:t>
      </w:r>
      <w:smartTag w:uri="urn:schemas-microsoft-com:office:smarttags" w:element="metricconverter">
        <w:smartTagPr>
          <w:attr w:name="ProductID" w:val="1998 m"/>
        </w:smartTagPr>
        <w:r>
          <w:rPr>
            <w:color w:val="000000"/>
          </w:rPr>
          <w:t>1998 m</w:t>
        </w:r>
      </w:smartTag>
      <w:r>
        <w:rPr>
          <w:color w:val="000000"/>
        </w:rPr>
        <w:t>. gegužės 29 d. įsakymą Nr. 869 „Dėl Profesinių mokyklų mokinių profesinio rengimo darbų saugos ir darbo higienos programos patvirtinimo“.</w:t>
      </w:r>
    </w:p>
    <w:p>
      <w:pPr>
        <w:tabs>
          <w:tab w:val="right" w:pos="9639"/>
        </w:tabs>
      </w:pPr>
    </w:p>
    <w:p>
      <w:pPr>
        <w:tabs>
          <w:tab w:val="right" w:pos="9639"/>
        </w:tabs>
      </w:pPr>
    </w:p>
    <w:p>
      <w:pPr>
        <w:tabs>
          <w:tab w:val="right" w:pos="9639"/>
        </w:tabs>
      </w:pPr>
    </w:p>
    <w:p>
      <w:pPr>
        <w:tabs>
          <w:tab w:val="right" w:pos="9639"/>
        </w:tabs>
        <w:rPr>
          <w:color w:val="000000"/>
        </w:rPr>
      </w:pPr>
      <w:r>
        <w:rPr>
          <w:caps/>
        </w:rPr>
        <w:t>ŠVIETIMO IR MOKSLO MINISTRAS</w:t>
        <w:tab/>
        <w:t>REMIGIJUS MOTUZAS</w:t>
      </w:r>
    </w:p>
    <w:p>
      <w:pPr>
        <w:ind w:left="5102"/>
      </w:pPr>
      <w:r>
        <w:rPr>
          <w:color w:val="000000"/>
        </w:rPr>
        <w:br w:type="page"/>
      </w:r>
      <w:r>
        <w:t>PATVIRTINTA</w:t>
      </w:r>
    </w:p>
    <w:p>
      <w:pPr>
        <w:ind w:firstLine="5102"/>
      </w:pPr>
      <w:r>
        <w:t xml:space="preserve">Lietuvos Respublikos švietimo ir mokslo </w:t>
      </w:r>
    </w:p>
    <w:p>
      <w:pPr>
        <w:ind w:firstLine="5102"/>
      </w:pPr>
      <w:r>
        <w:t>ministro</w:t>
      </w:r>
    </w:p>
    <w:p>
      <w:pPr>
        <w:ind w:firstLine="5102"/>
      </w:pPr>
      <w:smartTag w:uri="urn:schemas-microsoft-com:office:smarttags" w:element="metricconverter">
        <w:smartTagPr>
          <w:attr w:name="ProductID" w:val="2005 m"/>
        </w:smartTagPr>
        <w:r>
          <w:t>2005 m</w:t>
        </w:r>
      </w:smartTag>
      <w:r>
        <w:t>. rugsėjo 28 d. įsakymu Nr. ISAK-1953</w:t>
      </w:r>
    </w:p>
    <w:p>
      <w:pPr>
        <w:ind w:firstLine="709"/>
        <w:jc w:val="both"/>
        <w:rPr>
          <w:color w:val="000000"/>
        </w:rPr>
      </w:pPr>
    </w:p>
    <w:p>
      <w:pPr>
        <w:jc w:val="center"/>
        <w:rPr>
          <w:b/>
          <w:bCs/>
          <w:caps/>
          <w:color w:val="000000"/>
        </w:rPr>
      </w:pPr>
      <w:r>
        <w:rPr>
          <w:b/>
          <w:bCs/>
          <w:caps/>
          <w:color w:val="000000"/>
        </w:rPr>
        <w:t>MOKINIŲ, BESIMOKANČIŲ PAGAL PAGRINDINIO PROFESINIO MOKYMO PROGRAMAS, DARBUOTOJŲ SAUGOS IR SVEIKATOS PROGRAMOS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Mokinių, besimokančių pagal pagrindinio profesinio mokymo programas, darbuotojų saugos ir sveikatos programos aprašas (toliau – Programa) skirtas mokiniams, kurie mokosi pagal pagrindinio profesinio mokymo programas. Ši programa yra sudedamoji profesinio mokymo programos dalis, t. y. ji integruojama į profesinį mokymą panaudojant jam skirtas valandas.</w:t>
      </w:r>
    </w:p>
    <w:p>
      <w:pPr>
        <w:ind w:firstLine="709"/>
        <w:jc w:val="both"/>
        <w:rPr>
          <w:color w:val="000000"/>
        </w:rPr>
      </w:pPr>
      <w:r>
        <w:rPr>
          <w:color w:val="000000"/>
        </w:rPr>
        <w:t>2</w:t>
      </w:r>
      <w:r>
        <w:rPr>
          <w:color w:val="000000"/>
        </w:rPr>
        <w:t>. Darbuotojų saugos ir sveikatos mokymo turinį sudaro:</w:t>
      </w:r>
    </w:p>
    <w:p>
      <w:pPr>
        <w:ind w:firstLine="709"/>
        <w:jc w:val="both"/>
        <w:rPr>
          <w:color w:val="000000"/>
        </w:rPr>
      </w:pPr>
      <w:r>
        <w:rPr>
          <w:color w:val="000000"/>
        </w:rPr>
        <w:t>2.1</w:t>
      </w:r>
      <w:r>
        <w:rPr>
          <w:color w:val="000000"/>
        </w:rPr>
        <w:t>. bendrieji darbuotojų saugos ir sveikatos klausimai visoms profesinio mokymo programoms;</w:t>
      </w:r>
    </w:p>
    <w:p>
      <w:pPr>
        <w:ind w:firstLine="709"/>
        <w:jc w:val="both"/>
        <w:rPr>
          <w:color w:val="000000"/>
        </w:rPr>
      </w:pPr>
      <w:r>
        <w:rPr>
          <w:color w:val="000000"/>
        </w:rPr>
        <w:t>2.2</w:t>
      </w:r>
      <w:r>
        <w:rPr>
          <w:color w:val="000000"/>
        </w:rPr>
        <w:t>. specifiniai darbuotojų saugos ir sveikatos klausimai pagal veiklos rūšis (sektorius).</w:t>
      </w:r>
    </w:p>
    <w:p>
      <w:pPr>
        <w:ind w:firstLine="709"/>
        <w:jc w:val="both"/>
        <w:rPr>
          <w:color w:val="000000"/>
        </w:rPr>
      </w:pPr>
      <w:r>
        <w:rPr>
          <w:color w:val="000000"/>
        </w:rPr>
        <w:t>3</w:t>
      </w:r>
      <w:r>
        <w:rPr>
          <w:color w:val="000000"/>
        </w:rPr>
        <w:t>. Tokia darbuotojų saugos ir sveikatos mokymo sandara sudaro galimybę adaptuoti ją skirtingoms pagrindinio profesinio mokymo programoms.</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PROGRAMOS TIKSLAS IR UŽDAVINIAI</w:t>
      </w:r>
    </w:p>
    <w:p>
      <w:pPr>
        <w:ind w:firstLine="709"/>
        <w:jc w:val="both"/>
        <w:rPr>
          <w:color w:val="000000"/>
        </w:rPr>
      </w:pPr>
    </w:p>
    <w:p>
      <w:pPr>
        <w:ind w:firstLine="709"/>
        <w:jc w:val="both"/>
        <w:rPr>
          <w:color w:val="000000"/>
        </w:rPr>
      </w:pPr>
      <w:r>
        <w:rPr>
          <w:color w:val="000000"/>
        </w:rPr>
        <w:t>4</w:t>
      </w:r>
      <w:r>
        <w:rPr>
          <w:color w:val="000000"/>
        </w:rPr>
        <w:t>. Darbuotojų sauga ir sveikata yra vienas iš pagrindinių darbo kokybės rodiklių ir yra lyginama su ekonomikos raidos lygiu. Saugos darbe užtikrinimas – privalomas darbo organizavimo reikalavimas, garantuojantis kiekvieno piliečio konstitucinę teisę dirbti saugiomis ir nekenksmingomis darbo sąlygomis.</w:t>
      </w:r>
    </w:p>
    <w:p>
      <w:pPr>
        <w:ind w:firstLine="709"/>
        <w:jc w:val="both"/>
        <w:rPr>
          <w:color w:val="000000"/>
        </w:rPr>
      </w:pPr>
      <w:r>
        <w:rPr>
          <w:color w:val="000000"/>
        </w:rPr>
        <w:t>5</w:t>
      </w:r>
      <w:r>
        <w:rPr>
          <w:color w:val="000000"/>
        </w:rPr>
        <w:t>. Profesinio mokymo programos atliepia darbdavių keliamus reikalavimus atitinkamai veiklos sričiai, būsimojo darbuotojo bendruosius gebėjimus, reikalingus prisitaikant žinių visuomenėje ir kintančioje darbo rinkoje.</w:t>
      </w:r>
    </w:p>
    <w:p>
      <w:pPr>
        <w:ind w:firstLine="709"/>
        <w:jc w:val="both"/>
        <w:rPr>
          <w:color w:val="000000"/>
        </w:rPr>
      </w:pPr>
      <w:r>
        <w:rPr>
          <w:color w:val="000000"/>
        </w:rPr>
        <w:t>6</w:t>
      </w:r>
      <w:r>
        <w:rPr>
          <w:color w:val="000000"/>
        </w:rPr>
        <w:t>. Programa grindžiama nuostata, kad kiekvienai profesinei veiklai reikia tinkamai pasiruošti, įgyti privalomų tai veiklai kompetencijų ir bendrųjų gebėjimų, kad ėmus dirbti pakaktų žinių savarankiškai vertinti esamą darbo aplinkos būklę.</w:t>
      </w:r>
    </w:p>
    <w:p>
      <w:pPr>
        <w:ind w:firstLine="709"/>
        <w:jc w:val="both"/>
        <w:rPr>
          <w:color w:val="000000"/>
        </w:rPr>
      </w:pPr>
      <w:r>
        <w:rPr>
          <w:color w:val="000000"/>
        </w:rPr>
        <w:t>7</w:t>
      </w:r>
      <w:r>
        <w:rPr>
          <w:color w:val="000000"/>
        </w:rPr>
        <w:t>. Programos tikslas</w:t>
      </w:r>
      <w:r>
        <w:rPr>
          <w:b/>
          <w:bCs/>
          <w:color w:val="000000"/>
        </w:rPr>
        <w:t xml:space="preserve"> </w:t>
      </w:r>
      <w:r>
        <w:rPr>
          <w:color w:val="000000"/>
        </w:rPr>
        <w:t>–</w:t>
      </w:r>
      <w:r>
        <w:rPr>
          <w:b/>
          <w:bCs/>
          <w:color w:val="000000"/>
        </w:rPr>
        <w:t xml:space="preserve"> </w:t>
      </w:r>
      <w:r>
        <w:rPr>
          <w:color w:val="000000"/>
        </w:rPr>
        <w:t>ugdyti saugos darbe prevencijos kultūrą, vidinį poreikį saugiai dirbti ir organizuoti darbus prisitaikant prie kintančių gamybos technologijų.</w:t>
      </w:r>
    </w:p>
    <w:p>
      <w:pPr>
        <w:ind w:firstLine="709"/>
        <w:jc w:val="both"/>
        <w:rPr>
          <w:color w:val="000000"/>
        </w:rPr>
      </w:pPr>
      <w:r>
        <w:rPr>
          <w:color w:val="000000"/>
        </w:rPr>
        <w:t>8</w:t>
      </w:r>
      <w:r>
        <w:rPr>
          <w:color w:val="000000"/>
        </w:rPr>
        <w:t>. Programos uždaviniai</w:t>
      </w:r>
      <w:r>
        <w:rPr>
          <w:b/>
          <w:bCs/>
          <w:color w:val="000000"/>
        </w:rPr>
        <w:t>:</w:t>
      </w:r>
    </w:p>
    <w:p>
      <w:pPr>
        <w:ind w:firstLine="709"/>
        <w:jc w:val="both"/>
        <w:rPr>
          <w:color w:val="000000"/>
        </w:rPr>
      </w:pPr>
      <w:r>
        <w:rPr>
          <w:color w:val="000000"/>
        </w:rPr>
        <w:t>8.1</w:t>
      </w:r>
      <w:r>
        <w:rPr>
          <w:color w:val="000000"/>
        </w:rPr>
        <w:t>. suteikti mokiniams darbo teisės, darbo higienos, saugaus darbo organizavimo, elektrosaugos ir gaisrinės saugos žinių;</w:t>
      </w:r>
    </w:p>
    <w:p>
      <w:pPr>
        <w:ind w:firstLine="709"/>
        <w:jc w:val="both"/>
        <w:rPr>
          <w:color w:val="000000"/>
        </w:rPr>
      </w:pPr>
      <w:r>
        <w:rPr>
          <w:color w:val="000000"/>
        </w:rPr>
        <w:t>8.2</w:t>
      </w:r>
      <w:r>
        <w:rPr>
          <w:color w:val="000000"/>
        </w:rPr>
        <w:t>. ugdyti gebėjimus vertinti savo darbo vietos sąlygas galimų pavojų ir kenksmingų veiksnių požiūriu bei taikyti apsaugos priemones nuo rizikos veiksnių;</w:t>
      </w:r>
    </w:p>
    <w:p>
      <w:pPr>
        <w:ind w:firstLine="709"/>
        <w:jc w:val="both"/>
        <w:rPr>
          <w:color w:val="000000"/>
        </w:rPr>
      </w:pPr>
      <w:r>
        <w:rPr>
          <w:color w:val="000000"/>
        </w:rPr>
        <w:t>8.3</w:t>
      </w:r>
      <w:r>
        <w:rPr>
          <w:color w:val="000000"/>
        </w:rPr>
        <w:t>. išmokyti saugiai atlikti atskirai profesijai numatytus darbus ir tobulinti saugaus darbo kultūrą.</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MOKYMO ORGANIZAVIMAS IR VERTINIMAS</w:t>
      </w:r>
    </w:p>
    <w:p>
      <w:pPr>
        <w:ind w:firstLine="709"/>
        <w:jc w:val="both"/>
        <w:rPr>
          <w:color w:val="000000"/>
        </w:rPr>
      </w:pPr>
    </w:p>
    <w:p>
      <w:pPr>
        <w:ind w:firstLine="709"/>
        <w:jc w:val="both"/>
        <w:rPr>
          <w:color w:val="000000"/>
        </w:rPr>
      </w:pPr>
      <w:r>
        <w:rPr>
          <w:color w:val="000000"/>
        </w:rPr>
        <w:t>9</w:t>
      </w:r>
      <w:r>
        <w:rPr>
          <w:color w:val="000000"/>
        </w:rPr>
        <w:t>. Mokytojas laisvai renkasi mokymo formas ir metodus atsižvelgdamas į temos tikslus ir siekiamą rezultatą. Namų darbai skiriami mokytojo nuožiūra. Darbuotojų saugos ir sveikatos programos temos pateikiamos priede.</w:t>
      </w:r>
    </w:p>
    <w:p>
      <w:pPr>
        <w:ind w:firstLine="709"/>
        <w:jc w:val="both"/>
        <w:rPr>
          <w:color w:val="000000"/>
        </w:rPr>
      </w:pPr>
      <w:r>
        <w:rPr>
          <w:color w:val="000000"/>
        </w:rPr>
        <w:t>10</w:t>
      </w:r>
      <w:r>
        <w:rPr>
          <w:color w:val="000000"/>
        </w:rPr>
        <w:t>. Teoriniai dalykai derinami su praktine veikla. Atlikdami darbus, mokiniai susipažįsta su dokumentais, darbo priemonėmis ir saugos reikalavimais joms. Praktinių darbų užduotys (individualios arba darbui grupėje) sudaromos modeliuojant aktualias tai specialybei (veiklos rūšiai) realias darbo situacijas ar sąlygas.</w:t>
      </w:r>
    </w:p>
    <w:p>
      <w:pPr>
        <w:widowControl w:val="0"/>
        <w:ind w:firstLine="709"/>
        <w:jc w:val="both"/>
        <w:rPr>
          <w:color w:val="000000"/>
        </w:rPr>
      </w:pPr>
      <w:r>
        <w:t>11</w:t>
      </w:r>
      <w:r>
        <w:t xml:space="preserve">. Mokinių žinios ir gebėjimai vertinami mokymo procese ir baigus programą. Galutinis vertinimas yra įskaita. Jai organizuoti skiriamos dalyko valandos. Mokytojas, remdamasis šia Programa, su mokiniais aptaria pamokos uždavinius, susitaria dėl pažangos vertinimo kriterijų. Mokiniai gauna grįžtamąją informaciją apie mokymosi sėkmę ir spragas, jiems suteikiama pagalba.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A02E2B20F">
        <w:r w:rsidRPr="00532B9F">
          <w:rPr>
            <w:rFonts w:ascii="Times New Roman" w:eastAsia="MS Mincho" w:hAnsi="Times New Roman"/>
            <w:sz w:val="20"/>
            <w:i/>
            <w:iCs/>
            <w:color w:val="0000FF" w:themeColor="hyperlink"/>
            <w:u w:val="single"/>
          </w:rPr>
          <w:t>ISAK-1798</w:t>
        </w:r>
      </w:fldSimple>
      <w:r>
        <w:rPr>
          <w:rFonts w:ascii="Times New Roman" w:eastAsia="MS Mincho" w:hAnsi="Times New Roman"/>
          <w:sz w:val="20"/>
          <w:i/>
          <w:iCs/>
        </w:rPr>
        <w:t>,
2006-09-07,
Žin., 2006, Nr.
98-3823 (2006-09-16), i. k. 1062070ISAKSAK-1798            </w:t>
      </w:r>
    </w:p>
    <w:p/>
    <w:p>
      <w:pPr>
        <w:ind w:firstLine="709"/>
        <w:jc w:val="both"/>
        <w:rPr>
          <w:color w:val="000000"/>
        </w:rPr>
      </w:pPr>
    </w:p>
    <w:p>
      <w:pPr>
        <w:jc w:val="center"/>
        <w:rPr>
          <w:color w:val="000000"/>
        </w:rPr>
      </w:pPr>
      <w:r>
        <w:rPr>
          <w:color w:val="000000"/>
        </w:rPr>
        <w:t>______________</w:t>
      </w:r>
    </w:p>
    <w:p>
      <w:pPr>
        <w:ind w:left="5102"/>
      </w:pPr>
      <w:r>
        <w:rPr>
          <w:color w:val="000000"/>
        </w:rPr>
        <w:br w:type="page"/>
      </w:r>
      <w:r>
        <w:t xml:space="preserve">Mokinių, besimokančių pagal pagrindinio </w:t>
      </w:r>
    </w:p>
    <w:p>
      <w:pPr>
        <w:ind w:firstLine="5102"/>
      </w:pPr>
      <w:r>
        <w:t xml:space="preserve">profesinio mokymo programas, darbuotojų </w:t>
      </w:r>
    </w:p>
    <w:p>
      <w:pPr>
        <w:ind w:firstLine="5102"/>
      </w:pPr>
      <w:r>
        <w:t>saugos ir sveikatos programos aprašo</w:t>
      </w:r>
    </w:p>
    <w:p>
      <w:pPr>
        <w:ind w:firstLine="5102"/>
      </w:pPr>
      <w:r>
        <w:t>priedas</w:t>
      </w:r>
    </w:p>
    <w:p>
      <w:pPr>
        <w:ind w:firstLine="709"/>
      </w:pPr>
    </w:p>
    <w:p>
      <w:pPr>
        <w:jc w:val="center"/>
        <w:rPr>
          <w:b/>
        </w:rPr>
      </w:pPr>
      <w:r>
        <w:rPr>
          <w:b/>
        </w:rPr>
        <w:t>MOKINIŲ, BESIMOKANČIŲ PAGAL PAGRINDINIO PROFESINIO MOKYMO PROGRAMAS, DARBUOTOJŲ SAUGOS IR SVEIKATOS PROGRAMOS APRAŠO TEMOS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088"/>
        <w:gridCol w:w="630"/>
        <w:gridCol w:w="1062"/>
        <w:gridCol w:w="1183"/>
      </w:tblGrid>
      <w:tr>
        <w:tc>
          <w:tcPr>
            <w:tcW w:w="0" w:type="auto"/>
            <w:vMerge w:val="restart"/>
          </w:tcPr>
          <w:p>
            <w:pPr>
              <w:rPr>
                <w:sz w:val="20"/>
                <w:lang w:eastAsia="lt-LT"/>
              </w:rPr>
            </w:pPr>
            <w:r>
              <w:rPr>
                <w:sz w:val="20"/>
                <w:lang w:eastAsia="lt-LT"/>
              </w:rPr>
              <w:t>Eil. Nr.</w:t>
            </w:r>
          </w:p>
        </w:tc>
        <w:tc>
          <w:tcPr>
            <w:tcW w:w="0" w:type="auto"/>
            <w:vMerge w:val="restart"/>
          </w:tcPr>
          <w:p>
            <w:pPr>
              <w:rPr>
                <w:sz w:val="20"/>
                <w:lang w:eastAsia="lt-LT"/>
              </w:rPr>
            </w:pPr>
            <w:r>
              <w:rPr>
                <w:sz w:val="20"/>
                <w:lang w:eastAsia="lt-LT"/>
              </w:rPr>
              <w:t>Temų ir potemių pavadinimas</w:t>
            </w:r>
          </w:p>
        </w:tc>
        <w:tc>
          <w:tcPr>
            <w:tcW w:w="0" w:type="auto"/>
            <w:gridSpan w:val="3"/>
          </w:tcPr>
          <w:p>
            <w:pPr>
              <w:rPr>
                <w:sz w:val="20"/>
                <w:lang w:eastAsia="lt-LT"/>
              </w:rPr>
            </w:pPr>
            <w:r>
              <w:rPr>
                <w:sz w:val="20"/>
                <w:lang w:eastAsia="lt-LT"/>
              </w:rPr>
              <w:t>Valandų skaičius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iš viso</w:t>
            </w:r>
          </w:p>
        </w:tc>
        <w:tc>
          <w:tcPr>
            <w:tcW w:w="0" w:type="auto"/>
          </w:tcPr>
          <w:p>
            <w:pPr>
              <w:rPr>
                <w:sz w:val="20"/>
                <w:lang w:eastAsia="lt-LT"/>
              </w:rPr>
            </w:pPr>
            <w:r>
              <w:rPr>
                <w:sz w:val="20"/>
                <w:lang w:eastAsia="lt-LT"/>
              </w:rPr>
              <w:t>teorinis kursas</w:t>
            </w:r>
          </w:p>
        </w:tc>
        <w:tc>
          <w:tcPr>
            <w:tcW w:w="0" w:type="auto"/>
          </w:tcPr>
          <w:p>
            <w:pPr>
              <w:rPr>
                <w:sz w:val="20"/>
                <w:lang w:eastAsia="lt-LT"/>
              </w:rPr>
            </w:pPr>
            <w:r>
              <w:rPr>
                <w:sz w:val="20"/>
                <w:lang w:eastAsia="lt-LT"/>
              </w:rPr>
              <w:t>praktikumai</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Darbuotojų darbingumo ir sveikatos išsaugojimo socialinė-ekonominė reikšmė</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w:t>
            </w:r>
          </w:p>
        </w:tc>
        <w:tc>
          <w:tcPr>
            <w:tcW w:w="0" w:type="auto"/>
          </w:tcPr>
          <w:p>
            <w:pPr>
              <w:rPr>
                <w:sz w:val="20"/>
              </w:rPr>
            </w:pPr>
          </w:p>
        </w:tc>
      </w:tr>
      <w:tr>
        <w:tc>
          <w:tcPr>
            <w:tcW w:w="0" w:type="auto"/>
          </w:tcPr>
          <w:p>
            <w:pPr>
              <w:rPr>
                <w:sz w:val="20"/>
                <w:lang w:eastAsia="lt-LT"/>
              </w:rPr>
            </w:pPr>
            <w:r>
              <w:rPr>
                <w:sz w:val="20"/>
                <w:lang w:eastAsia="lt-LT"/>
              </w:rPr>
              <w:t>1.1</w:t>
            </w:r>
          </w:p>
        </w:tc>
        <w:tc>
          <w:tcPr>
            <w:tcW w:w="0" w:type="auto"/>
          </w:tcPr>
          <w:p>
            <w:pPr>
              <w:rPr>
                <w:sz w:val="20"/>
                <w:lang w:eastAsia="lt-LT"/>
              </w:rPr>
            </w:pPr>
            <w:r>
              <w:rPr>
                <w:sz w:val="20"/>
                <w:lang w:eastAsia="lt-LT"/>
              </w:rPr>
              <w:t>Žmogus. Jo psichofizinės savybės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1.2</w:t>
            </w:r>
          </w:p>
        </w:tc>
        <w:tc>
          <w:tcPr>
            <w:tcW w:w="0" w:type="auto"/>
          </w:tcPr>
          <w:p>
            <w:pPr>
              <w:rPr>
                <w:sz w:val="20"/>
                <w:lang w:eastAsia="lt-LT"/>
              </w:rPr>
            </w:pPr>
            <w:r>
              <w:rPr>
                <w:sz w:val="20"/>
                <w:lang w:eastAsia="lt-LT"/>
              </w:rPr>
              <w:t>Žmogaus sąveika su aplinka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1.3</w:t>
            </w:r>
          </w:p>
        </w:tc>
        <w:tc>
          <w:tcPr>
            <w:tcW w:w="0" w:type="auto"/>
          </w:tcPr>
          <w:p>
            <w:pPr>
              <w:rPr>
                <w:sz w:val="20"/>
                <w:lang w:eastAsia="lt-LT"/>
              </w:rPr>
            </w:pPr>
            <w:r>
              <w:rPr>
                <w:sz w:val="20"/>
                <w:lang w:eastAsia="lt-LT"/>
              </w:rPr>
              <w:t>Traumatizmas ir profesinės ligos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1.4</w:t>
            </w:r>
          </w:p>
        </w:tc>
        <w:tc>
          <w:tcPr>
            <w:tcW w:w="0" w:type="auto"/>
          </w:tcPr>
          <w:p>
            <w:pPr>
              <w:rPr>
                <w:sz w:val="20"/>
                <w:lang w:eastAsia="lt-LT"/>
              </w:rPr>
            </w:pPr>
            <w:r>
              <w:rPr>
                <w:sz w:val="20"/>
                <w:lang w:eastAsia="lt-LT"/>
              </w:rPr>
              <w:t>Asmens, šeimos, įmonės ir valstybės patiriami nuostoliai dėl žmogaus sužalojimo, ligų, gaisrų bei kitų nelaimių</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Darbuotojų saugos ir sveikatos pagrindinės sąvokos ir samprata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Žmogaus darbingumui ir sveikatai turintys įtakos rizikos veiksniai ir saugos nuo jų principai</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4</w:t>
            </w:r>
          </w:p>
        </w:tc>
        <w:tc>
          <w:tcPr>
            <w:tcW w:w="0" w:type="auto"/>
          </w:tcPr>
          <w:p>
            <w:pPr>
              <w:rPr>
                <w:sz w:val="20"/>
              </w:rPr>
            </w:pPr>
          </w:p>
        </w:tc>
      </w:tr>
      <w:tr>
        <w:tc>
          <w:tcPr>
            <w:tcW w:w="0" w:type="auto"/>
          </w:tcPr>
          <w:p>
            <w:pPr>
              <w:rPr>
                <w:sz w:val="20"/>
                <w:lang w:eastAsia="lt-LT"/>
              </w:rPr>
            </w:pPr>
            <w:r>
              <w:rPr>
                <w:sz w:val="20"/>
                <w:lang w:eastAsia="lt-LT"/>
              </w:rPr>
              <w:t>2.1</w:t>
            </w:r>
          </w:p>
        </w:tc>
        <w:tc>
          <w:tcPr>
            <w:tcW w:w="0" w:type="auto"/>
          </w:tcPr>
          <w:p>
            <w:pPr>
              <w:rPr>
                <w:sz w:val="20"/>
                <w:lang w:eastAsia="lt-LT"/>
              </w:rPr>
            </w:pPr>
            <w:r>
              <w:rPr>
                <w:sz w:val="20"/>
                <w:lang w:eastAsia="lt-LT"/>
              </w:rPr>
              <w:t>Rizikos veiksniai. Kenksmingų ir pavojingų veiksnių klasifikavimas. Nustatyti leisti ribiniai dydžiai</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2.2</w:t>
            </w:r>
          </w:p>
        </w:tc>
        <w:tc>
          <w:tcPr>
            <w:tcW w:w="0" w:type="auto"/>
          </w:tcPr>
          <w:p>
            <w:pPr>
              <w:rPr>
                <w:sz w:val="20"/>
                <w:lang w:eastAsia="lt-LT"/>
              </w:rPr>
            </w:pPr>
            <w:r>
              <w:rPr>
                <w:sz w:val="20"/>
                <w:lang w:eastAsia="lt-LT"/>
              </w:rPr>
              <w:t>Rizikos veiksnių poveikis žmogaus sveikatai ir darbingumui. Rizikos vertinimas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2.3</w:t>
            </w:r>
          </w:p>
        </w:tc>
        <w:tc>
          <w:tcPr>
            <w:tcW w:w="0" w:type="auto"/>
          </w:tcPr>
          <w:p>
            <w:pPr>
              <w:rPr>
                <w:sz w:val="20"/>
                <w:lang w:eastAsia="lt-LT"/>
              </w:rPr>
            </w:pPr>
            <w:r>
              <w:rPr>
                <w:sz w:val="20"/>
                <w:lang w:eastAsia="lt-LT"/>
              </w:rPr>
              <w:t>Apsaugos nuo kenksmingų ir pavojingų rizikos veiksnių bendrieji principai</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2.4</w:t>
            </w:r>
          </w:p>
        </w:tc>
        <w:tc>
          <w:tcPr>
            <w:tcW w:w="0" w:type="auto"/>
          </w:tcPr>
          <w:p>
            <w:pPr>
              <w:rPr>
                <w:sz w:val="20"/>
                <w:lang w:eastAsia="lt-LT"/>
              </w:rPr>
            </w:pPr>
            <w:r>
              <w:rPr>
                <w:sz w:val="20"/>
                <w:lang w:eastAsia="lt-LT"/>
              </w:rPr>
              <w:t>Ergonominių bei psichosocialinių rizikos veiksnių poveikio žmogaus darbingumui nustatymo ypatumai, apsaugos nuo jų pasireiškimo specifika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Saugių ir sveikų darbo sąlygų formavimas</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4</w:t>
            </w:r>
          </w:p>
        </w:tc>
        <w:tc>
          <w:tcPr>
            <w:tcW w:w="0" w:type="auto"/>
          </w:tcPr>
          <w:p>
            <w:pPr>
              <w:rPr>
                <w:sz w:val="20"/>
              </w:rPr>
            </w:pPr>
          </w:p>
        </w:tc>
      </w:tr>
      <w:tr>
        <w:tc>
          <w:tcPr>
            <w:tcW w:w="0" w:type="auto"/>
          </w:tcPr>
          <w:p>
            <w:pPr>
              <w:rPr>
                <w:sz w:val="20"/>
                <w:lang w:eastAsia="lt-LT"/>
              </w:rPr>
            </w:pPr>
            <w:r>
              <w:rPr>
                <w:sz w:val="20"/>
                <w:lang w:eastAsia="lt-LT"/>
              </w:rPr>
              <w:t>3.1</w:t>
            </w:r>
          </w:p>
        </w:tc>
        <w:tc>
          <w:tcPr>
            <w:tcW w:w="0" w:type="auto"/>
          </w:tcPr>
          <w:p>
            <w:pPr>
              <w:rPr>
                <w:sz w:val="20"/>
                <w:lang w:eastAsia="lt-LT"/>
              </w:rPr>
            </w:pPr>
            <w:r>
              <w:rPr>
                <w:sz w:val="20"/>
                <w:lang w:eastAsia="lt-LT"/>
              </w:rPr>
              <w:t>Sistemos „Žmogus – darbo aplinka“ optimizavimas darbuotojų saugos, sveikatos ir darbingumo išsaugojimo požiūriu</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3.2</w:t>
            </w:r>
          </w:p>
        </w:tc>
        <w:tc>
          <w:tcPr>
            <w:tcW w:w="0" w:type="auto"/>
          </w:tcPr>
          <w:p>
            <w:pPr>
              <w:rPr>
                <w:sz w:val="20"/>
                <w:lang w:eastAsia="lt-LT"/>
              </w:rPr>
            </w:pPr>
            <w:r>
              <w:rPr>
                <w:sz w:val="20"/>
                <w:lang w:eastAsia="lt-LT"/>
              </w:rPr>
              <w:t>Darbuotojų paruošimas saugiam darbui. Mokymas, atestavimas ir instruktavimas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3.3</w:t>
            </w:r>
          </w:p>
        </w:tc>
        <w:tc>
          <w:tcPr>
            <w:tcW w:w="0" w:type="auto"/>
          </w:tcPr>
          <w:p>
            <w:pPr>
              <w:rPr>
                <w:sz w:val="20"/>
                <w:lang w:eastAsia="lt-LT"/>
              </w:rPr>
            </w:pPr>
            <w:r>
              <w:rPr>
                <w:sz w:val="20"/>
                <w:lang w:eastAsia="lt-LT"/>
              </w:rPr>
              <w:t>Kenksmingų ir pavojingų veiksnių nustatymo darbo vietoje, technologiniuose ir darbo procesuose bei darbo aplinkoje principai</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3.4</w:t>
            </w:r>
          </w:p>
        </w:tc>
        <w:tc>
          <w:tcPr>
            <w:tcW w:w="0" w:type="auto"/>
          </w:tcPr>
          <w:p>
            <w:pPr>
              <w:rPr>
                <w:sz w:val="20"/>
                <w:lang w:eastAsia="lt-LT"/>
              </w:rPr>
            </w:pPr>
            <w:r>
              <w:rPr>
                <w:sz w:val="20"/>
                <w:lang w:eastAsia="lt-LT"/>
              </w:rPr>
              <w:t>Darbuotojo nuovargį mažinančios ergonominės bei organizacinės priemonės. Darbo ir poilsio laiko režimas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Darbingumą grąžinančios profilaktinės ir gydomosios priemonės. Asmens higiena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Apsaugos nuo elektros poveikio pagrindai</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w:t>
            </w:r>
          </w:p>
        </w:tc>
        <w:tc>
          <w:tcPr>
            <w:tcW w:w="0" w:type="auto"/>
          </w:tcPr>
          <w:p>
            <w:pPr>
              <w:rPr>
                <w:sz w:val="20"/>
              </w:rPr>
            </w:pPr>
          </w:p>
        </w:tc>
      </w:tr>
      <w:tr>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Priešgaisrinė sauga</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w:t>
            </w:r>
          </w:p>
        </w:tc>
        <w:tc>
          <w:tcPr>
            <w:tcW w:w="0" w:type="auto"/>
          </w:tcPr>
          <w:p>
            <w:pPr>
              <w:rPr>
                <w:sz w:val="20"/>
              </w:rPr>
            </w:pPr>
          </w:p>
        </w:tc>
      </w:tr>
      <w:tr>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Specifiniai darbuotojų saugos ir sveikatos klausimai</w:t>
            </w:r>
          </w:p>
        </w:tc>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6</w:t>
            </w:r>
          </w:p>
        </w:tc>
        <w:tc>
          <w:tcPr>
            <w:tcW w:w="0" w:type="auto"/>
          </w:tcPr>
          <w:p>
            <w:pPr>
              <w:rPr>
                <w:sz w:val="20"/>
              </w:rPr>
            </w:pPr>
          </w:p>
        </w:tc>
      </w:tr>
      <w:tr>
        <w:tc>
          <w:tcPr>
            <w:tcW w:w="0" w:type="auto"/>
          </w:tcPr>
          <w:p>
            <w:pPr>
              <w:rPr>
                <w:sz w:val="20"/>
                <w:lang w:eastAsia="lt-LT"/>
              </w:rPr>
            </w:pPr>
            <w:r>
              <w:rPr>
                <w:sz w:val="20"/>
                <w:lang w:eastAsia="lt-LT"/>
              </w:rPr>
              <w:t>6.1</w:t>
            </w:r>
          </w:p>
        </w:tc>
        <w:tc>
          <w:tcPr>
            <w:tcW w:w="0" w:type="auto"/>
          </w:tcPr>
          <w:p>
            <w:pPr>
              <w:rPr>
                <w:sz w:val="20"/>
                <w:lang w:eastAsia="lt-LT"/>
              </w:rPr>
            </w:pPr>
            <w:r>
              <w:rPr>
                <w:sz w:val="20"/>
                <w:lang w:eastAsia="lt-LT"/>
              </w:rPr>
              <w:t>Saugos reikalavimai darbo vietoms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6.2</w:t>
            </w:r>
          </w:p>
        </w:tc>
        <w:tc>
          <w:tcPr>
            <w:tcW w:w="0" w:type="auto"/>
          </w:tcPr>
          <w:p>
            <w:pPr>
              <w:rPr>
                <w:sz w:val="20"/>
                <w:lang w:eastAsia="lt-LT"/>
              </w:rPr>
            </w:pPr>
            <w:r>
              <w:rPr>
                <w:sz w:val="20"/>
                <w:lang w:eastAsia="lt-LT"/>
              </w:rPr>
              <w:t>Saugos reikalavimai darbo priemonėms: mašinoms, įrankiams ir kt.</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6.3</w:t>
            </w:r>
          </w:p>
        </w:tc>
        <w:tc>
          <w:tcPr>
            <w:tcW w:w="0" w:type="auto"/>
          </w:tcPr>
          <w:p>
            <w:pPr>
              <w:rPr>
                <w:sz w:val="20"/>
                <w:lang w:eastAsia="lt-LT"/>
              </w:rPr>
            </w:pPr>
            <w:r>
              <w:rPr>
                <w:sz w:val="20"/>
                <w:lang w:eastAsia="lt-LT"/>
              </w:rPr>
              <w:t>Potencialiai pavojingi įrenginiai</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6.4</w:t>
            </w:r>
          </w:p>
        </w:tc>
        <w:tc>
          <w:tcPr>
            <w:tcW w:w="0" w:type="auto"/>
          </w:tcPr>
          <w:p>
            <w:pPr>
              <w:rPr>
                <w:sz w:val="20"/>
                <w:lang w:eastAsia="lt-LT"/>
              </w:rPr>
            </w:pPr>
            <w:r>
              <w:rPr>
                <w:sz w:val="20"/>
                <w:lang w:eastAsia="lt-LT"/>
              </w:rPr>
              <w:t>Pavojingi darbai</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6.5</w:t>
            </w:r>
          </w:p>
        </w:tc>
        <w:tc>
          <w:tcPr>
            <w:tcW w:w="0" w:type="auto"/>
          </w:tcPr>
          <w:p>
            <w:pPr>
              <w:rPr>
                <w:sz w:val="20"/>
                <w:lang w:eastAsia="lt-LT"/>
              </w:rPr>
            </w:pPr>
            <w:r>
              <w:rPr>
                <w:sz w:val="20"/>
                <w:lang w:eastAsia="lt-LT"/>
              </w:rPr>
              <w:t>Darbai su pavojingomis medžiagomis ir preparatais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7</w:t>
            </w:r>
          </w:p>
        </w:tc>
        <w:tc>
          <w:tcPr>
            <w:tcW w:w="0" w:type="auto"/>
          </w:tcPr>
          <w:p>
            <w:pPr>
              <w:rPr>
                <w:sz w:val="20"/>
                <w:lang w:eastAsia="lt-LT"/>
              </w:rPr>
            </w:pPr>
            <w:r>
              <w:rPr>
                <w:sz w:val="20"/>
                <w:lang w:eastAsia="lt-LT"/>
              </w:rPr>
              <w:t>Kolektyvinės ir asmeninės apsaugos priemonės</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w:t>
            </w:r>
          </w:p>
        </w:tc>
      </w:tr>
      <w:tr>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Pirmoji pagalba nukentėjusiajam</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1</w:t>
            </w:r>
          </w:p>
        </w:tc>
      </w:tr>
      <w:tr>
        <w:tc>
          <w:tcPr>
            <w:tcW w:w="0" w:type="auto"/>
          </w:tcPr>
          <w:p>
            <w:pPr>
              <w:rPr>
                <w:sz w:val="20"/>
                <w:lang w:eastAsia="lt-LT"/>
              </w:rPr>
            </w:pPr>
            <w:r>
              <w:rPr>
                <w:sz w:val="20"/>
                <w:lang w:eastAsia="lt-LT"/>
              </w:rPr>
              <w:t>9</w:t>
            </w:r>
          </w:p>
        </w:tc>
        <w:tc>
          <w:tcPr>
            <w:tcW w:w="0" w:type="auto"/>
          </w:tcPr>
          <w:p>
            <w:pPr>
              <w:rPr>
                <w:sz w:val="20"/>
                <w:lang w:eastAsia="lt-LT"/>
              </w:rPr>
            </w:pPr>
            <w:r>
              <w:rPr>
                <w:sz w:val="20"/>
                <w:lang w:eastAsia="lt-LT"/>
              </w:rPr>
              <w:t>Darbuotojų saugos ir sveikatos valdymas (administravimas)</w:t>
            </w:r>
          </w:p>
        </w:tc>
        <w:tc>
          <w:tcPr>
            <w:tcW w:w="0" w:type="auto"/>
          </w:tcPr>
          <w:p>
            <w:pPr>
              <w:rPr>
                <w:sz w:val="20"/>
                <w:lang w:eastAsia="lt-LT"/>
              </w:rPr>
            </w:pPr>
            <w:r>
              <w:rPr>
                <w:sz w:val="20"/>
                <w:lang w:eastAsia="lt-LT"/>
              </w:rPr>
              <w:t>8</w:t>
            </w: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9.1</w:t>
            </w:r>
          </w:p>
        </w:tc>
        <w:tc>
          <w:tcPr>
            <w:tcW w:w="0" w:type="auto"/>
          </w:tcPr>
          <w:p>
            <w:pPr>
              <w:rPr>
                <w:sz w:val="20"/>
                <w:lang w:eastAsia="lt-LT"/>
              </w:rPr>
            </w:pPr>
            <w:r>
              <w:rPr>
                <w:sz w:val="20"/>
                <w:lang w:eastAsia="lt-LT"/>
              </w:rPr>
              <w:t>Lietuvos Respublikos įstatymai, įstatymus papildantys norminiai teisės aktai darbuotojų saugos ir sveikatos klausimais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9.2</w:t>
            </w:r>
          </w:p>
        </w:tc>
        <w:tc>
          <w:tcPr>
            <w:tcW w:w="0" w:type="auto"/>
          </w:tcPr>
          <w:p>
            <w:pPr>
              <w:rPr>
                <w:sz w:val="20"/>
                <w:lang w:eastAsia="lt-LT"/>
              </w:rPr>
            </w:pPr>
            <w:r>
              <w:rPr>
                <w:sz w:val="20"/>
                <w:lang w:eastAsia="lt-LT"/>
              </w:rPr>
              <w:t>Darbdavio pareigos ir teisės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9.3</w:t>
            </w:r>
          </w:p>
        </w:tc>
        <w:tc>
          <w:tcPr>
            <w:tcW w:w="0" w:type="auto"/>
          </w:tcPr>
          <w:p>
            <w:pPr>
              <w:rPr>
                <w:sz w:val="20"/>
                <w:lang w:eastAsia="lt-LT"/>
              </w:rPr>
            </w:pPr>
            <w:r>
              <w:rPr>
                <w:sz w:val="20"/>
                <w:lang w:eastAsia="lt-LT"/>
              </w:rPr>
              <w:t>Darbuotojo pareigos ir teisės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9.4</w:t>
            </w:r>
          </w:p>
        </w:tc>
        <w:tc>
          <w:tcPr>
            <w:tcW w:w="0" w:type="auto"/>
          </w:tcPr>
          <w:p>
            <w:pPr>
              <w:rPr>
                <w:sz w:val="20"/>
                <w:lang w:eastAsia="lt-LT"/>
              </w:rPr>
            </w:pPr>
            <w:r>
              <w:rPr>
                <w:sz w:val="20"/>
                <w:lang w:eastAsia="lt-LT"/>
              </w:rPr>
              <w:t>Saugaus darbo organizavimas ir vykdymas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9.5</w:t>
            </w:r>
          </w:p>
        </w:tc>
        <w:tc>
          <w:tcPr>
            <w:tcW w:w="0" w:type="auto"/>
          </w:tcPr>
          <w:p>
            <w:pPr>
              <w:rPr>
                <w:sz w:val="20"/>
                <w:lang w:eastAsia="lt-LT"/>
              </w:rPr>
            </w:pPr>
            <w:r>
              <w:rPr>
                <w:sz w:val="20"/>
                <w:lang w:eastAsia="lt-LT"/>
              </w:rPr>
              <w:t>Darbuotojų saugos ir sveikatos tarnyba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9.6</w:t>
            </w:r>
          </w:p>
        </w:tc>
        <w:tc>
          <w:tcPr>
            <w:tcW w:w="0" w:type="auto"/>
          </w:tcPr>
          <w:p>
            <w:pPr>
              <w:rPr>
                <w:sz w:val="20"/>
                <w:lang w:eastAsia="lt-LT"/>
              </w:rPr>
            </w:pPr>
            <w:r>
              <w:rPr>
                <w:sz w:val="20"/>
                <w:lang w:eastAsia="lt-LT"/>
              </w:rPr>
              <w:t>Įmonės darbuotojų saugos ir sveikatos komitetas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9.7</w:t>
            </w:r>
          </w:p>
        </w:tc>
        <w:tc>
          <w:tcPr>
            <w:tcW w:w="0" w:type="auto"/>
          </w:tcPr>
          <w:p>
            <w:pPr>
              <w:rPr>
                <w:sz w:val="20"/>
                <w:lang w:eastAsia="lt-LT"/>
              </w:rPr>
            </w:pPr>
            <w:r>
              <w:rPr>
                <w:sz w:val="20"/>
                <w:lang w:eastAsia="lt-LT"/>
              </w:rPr>
              <w:t>Darbuotojų saugos ir sveikatos būklės vertinimas. Būklės pagerinimo priemonių planavimas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9.8</w:t>
            </w:r>
          </w:p>
        </w:tc>
        <w:tc>
          <w:tcPr>
            <w:tcW w:w="0" w:type="auto"/>
          </w:tcPr>
          <w:p>
            <w:pPr>
              <w:rPr>
                <w:sz w:val="20"/>
                <w:lang w:eastAsia="lt-LT"/>
              </w:rPr>
            </w:pPr>
            <w:r>
              <w:rPr>
                <w:sz w:val="20"/>
                <w:lang w:eastAsia="lt-LT"/>
              </w:rPr>
              <w:t>Darbuotojų saugos ir sveikatos būklės vidinė kontrolė</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9.9</w:t>
            </w:r>
          </w:p>
        </w:tc>
        <w:tc>
          <w:tcPr>
            <w:tcW w:w="0" w:type="auto"/>
          </w:tcPr>
          <w:p>
            <w:pPr>
              <w:rPr>
                <w:sz w:val="20"/>
                <w:lang w:eastAsia="lt-LT"/>
              </w:rPr>
            </w:pPr>
            <w:r>
              <w:rPr>
                <w:sz w:val="20"/>
                <w:lang w:eastAsia="lt-LT"/>
              </w:rPr>
              <w:t>Atsakomybė už darbuotojų saugos ir sveikatos teisės aktų pažeidimus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9.10</w:t>
            </w:r>
          </w:p>
        </w:tc>
        <w:tc>
          <w:tcPr>
            <w:tcW w:w="0" w:type="auto"/>
          </w:tcPr>
          <w:p>
            <w:pPr>
              <w:rPr>
                <w:sz w:val="20"/>
                <w:lang w:eastAsia="lt-LT"/>
              </w:rPr>
            </w:pPr>
            <w:r>
              <w:rPr>
                <w:sz w:val="20"/>
                <w:lang w:eastAsia="lt-LT"/>
              </w:rPr>
              <w:t>Nelaimingų atsitikimų ir profesinių ligų tyrimas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9.11</w:t>
            </w:r>
          </w:p>
        </w:tc>
        <w:tc>
          <w:tcPr>
            <w:tcW w:w="0" w:type="auto"/>
          </w:tcPr>
          <w:p>
            <w:pPr>
              <w:rPr>
                <w:sz w:val="20"/>
                <w:lang w:eastAsia="lt-LT"/>
              </w:rPr>
            </w:pPr>
            <w:r>
              <w:rPr>
                <w:sz w:val="20"/>
                <w:lang w:eastAsia="lt-LT"/>
              </w:rPr>
              <w:t>Atskirų darbuotojų grupių saugos ir sveikatos garantijos (asmenų iki 18 metų, moterų ir neįgalių asmenų darbas)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Darbuotojų saugos ir sveikatos praktinių įgūdžių ugdymas</w:t>
            </w:r>
          </w:p>
        </w:tc>
        <w:tc>
          <w:tcPr>
            <w:tcW w:w="0" w:type="auto"/>
          </w:tcPr>
          <w:p>
            <w:pPr>
              <w:rPr>
                <w:sz w:val="20"/>
                <w:lang w:eastAsia="lt-LT"/>
              </w:rPr>
            </w:pPr>
            <w:r>
              <w:rPr>
                <w:sz w:val="20"/>
                <w:lang w:eastAsia="lt-LT"/>
              </w:rPr>
              <w:t>6</w:t>
            </w:r>
          </w:p>
        </w:tc>
        <w:tc>
          <w:tcPr>
            <w:tcW w:w="0" w:type="auto"/>
          </w:tcPr>
          <w:p>
            <w:pPr>
              <w:rPr>
                <w:sz w:val="20"/>
              </w:rPr>
            </w:pPr>
          </w:p>
        </w:tc>
        <w:tc>
          <w:tcPr>
            <w:tcW w:w="0" w:type="auto"/>
          </w:tcPr>
          <w:p>
            <w:pPr>
              <w:rPr>
                <w:sz w:val="20"/>
                <w:lang w:eastAsia="lt-LT"/>
              </w:rPr>
            </w:pPr>
            <w:r>
              <w:rPr>
                <w:sz w:val="20"/>
                <w:lang w:eastAsia="lt-LT"/>
              </w:rPr>
              <w:t>6</w:t>
            </w:r>
          </w:p>
        </w:tc>
      </w:tr>
      <w:tr>
        <w:tc>
          <w:tcPr>
            <w:tcW w:w="0" w:type="auto"/>
          </w:tcPr>
          <w:p>
            <w:pPr>
              <w:rPr>
                <w:sz w:val="20"/>
                <w:lang w:eastAsia="lt-LT"/>
              </w:rPr>
            </w:pPr>
            <w:r>
              <w:rPr>
                <w:sz w:val="20"/>
                <w:lang w:eastAsia="lt-LT"/>
              </w:rPr>
              <w:t>10.1</w:t>
            </w:r>
          </w:p>
        </w:tc>
        <w:tc>
          <w:tcPr>
            <w:tcW w:w="0" w:type="auto"/>
          </w:tcPr>
          <w:p>
            <w:pPr>
              <w:rPr>
                <w:sz w:val="20"/>
                <w:lang w:eastAsia="lt-LT"/>
              </w:rPr>
            </w:pPr>
            <w:r>
              <w:rPr>
                <w:sz w:val="20"/>
                <w:lang w:eastAsia="lt-LT"/>
              </w:rPr>
              <w:t>Profesinės rizikos vertinimas darbo vietose. Pavojų identifikavimas</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10.2</w:t>
            </w:r>
          </w:p>
        </w:tc>
        <w:tc>
          <w:tcPr>
            <w:tcW w:w="0" w:type="auto"/>
          </w:tcPr>
          <w:p>
            <w:pPr>
              <w:rPr>
                <w:sz w:val="20"/>
                <w:lang w:eastAsia="lt-LT"/>
              </w:rPr>
            </w:pPr>
            <w:r>
              <w:rPr>
                <w:sz w:val="20"/>
                <w:lang w:eastAsia="lt-LT"/>
              </w:rPr>
              <w:t>Pirminių gaisro gesinimo priemonių naudoj imas ir priežiūra</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10.3</w:t>
            </w:r>
          </w:p>
        </w:tc>
        <w:tc>
          <w:tcPr>
            <w:tcW w:w="0" w:type="auto"/>
          </w:tcPr>
          <w:p>
            <w:pPr>
              <w:rPr>
                <w:sz w:val="20"/>
                <w:lang w:eastAsia="lt-LT"/>
              </w:rPr>
            </w:pPr>
            <w:r>
              <w:rPr>
                <w:sz w:val="20"/>
                <w:lang w:eastAsia="lt-LT"/>
              </w:rPr>
              <w:t>Susipažinimas su darbuotojų saugos ir sveikatos teisės aktų įgyvendinimu įmonėje</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lang w:eastAsia="lt-LT"/>
              </w:rPr>
            </w:pPr>
            <w:r>
              <w:rPr>
                <w:sz w:val="20"/>
                <w:lang w:eastAsia="lt-LT"/>
              </w:rPr>
              <w:t>Iš viso</w:t>
            </w:r>
          </w:p>
        </w:tc>
        <w:tc>
          <w:tcPr>
            <w:tcW w:w="0" w:type="auto"/>
          </w:tcPr>
          <w:p>
            <w:pPr>
              <w:rPr>
                <w:sz w:val="20"/>
                <w:lang w:eastAsia="lt-LT"/>
              </w:rPr>
            </w:pPr>
            <w:r>
              <w:rPr>
                <w:sz w:val="20"/>
                <w:lang w:eastAsia="lt-LT"/>
              </w:rPr>
              <w:t>40</w:t>
            </w:r>
          </w:p>
        </w:tc>
        <w:tc>
          <w:tcPr>
            <w:tcW w:w="0" w:type="auto"/>
          </w:tcPr>
          <w:p>
            <w:pPr>
              <w:rPr>
                <w:sz w:val="20"/>
              </w:rPr>
            </w:pPr>
          </w:p>
        </w:tc>
        <w:tc>
          <w:tcPr>
            <w:tcW w:w="0" w:type="auto"/>
          </w:tcPr>
          <w:p>
            <w:pPr>
              <w:rPr>
                <w:sz w:val="20"/>
              </w:rPr>
            </w:pP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AA02E2B20F">
        <w:r w:rsidRPr="00532B9F">
          <w:rPr>
            <w:rFonts w:ascii="Times New Roman" w:eastAsia="MS Mincho" w:hAnsi="Times New Roman"/>
            <w:sz w:val="20"/>
            <w:i/>
            <w:iCs/>
            <w:color w:val="0000FF" w:themeColor="hyperlink"/>
            <w:u w:val="single"/>
          </w:rPr>
          <w:t>ISAK-1798</w:t>
        </w:r>
      </w:fldSimple>
      <w:r>
        <w:rPr>
          <w:rFonts w:ascii="Times New Roman" w:eastAsia="MS Mincho" w:hAnsi="Times New Roman"/>
          <w:sz w:val="20"/>
          <w:i/>
          <w:iCs/>
        </w:rPr>
        <w:t>,
2006-09-07,
Žin., 2006, Nr.
98-3823 (2006-09-16), i. k. 1062070ISAKSAK-1798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AA02E2B20F">
        <w:r w:rsidRPr="00532B9F">
          <w:rPr>
            <w:rFonts w:ascii="Times New Roman" w:eastAsia="MS Mincho" w:hAnsi="Times New Roman"/>
            <w:sz w:val="20"/>
            <w:iCs/>
            <w:color w:val="0000FF" w:themeColor="hyperlink"/>
            <w:u w:val="single"/>
          </w:rPr>
          <w:t>ISAK-1798</w:t>
        </w:r>
      </w:fldSimple>
      <w:r>
        <w:rPr>
          <w:rFonts w:ascii="Times New Roman" w:eastAsia="MS Mincho" w:hAnsi="Times New Roman"/>
          <w:sz w:val="20"/>
          <w:iCs/>
        </w:rPr>
        <w:t>,
2006-09-07,
Žin., 2006, Nr.
98-3823 (2006-09-16), i. k. 1062070ISAKSAK-1798                </w:t>
      </w:r>
    </w:p>
    <w:p>
      <w:pPr>
        <w:jc w:val="both"/>
        <w:rPr>
          <w:rFonts w:ascii="Times New Roman" w:hAnsi="Times New Roman"/>
        </w:rPr>
      </w:pPr>
      <w:r>
        <w:rPr>
          <w:rFonts w:ascii="Times New Roman" w:hAnsi="Times New Roman"/>
          <w:sz w:val="20"/>
        </w:rPr>
        <w:t>Dėl švietimo ir mokslo ministro 2005 m. rugsėjo 28 d. įsakymo Nr. ISAK-1953 "Dėl Mokinių, besimokančių pagal pagrindinio profesinio mokymo programas, darbuotojų saugos ir sveikatos programos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10C6B9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3069080">
      <w:bodyDiv w:val="1"/>
      <w:marLeft w:val="0"/>
      <w:marRight w:val="0"/>
      <w:marTop w:val="0"/>
      <w:marBottom w:val="0"/>
      <w:divBdr>
        <w:top w:val="none" w:sz="0" w:space="0" w:color="auto"/>
        <w:left w:val="none" w:sz="0" w:space="0" w:color="auto"/>
        <w:bottom w:val="none" w:sz="0" w:space="0" w:color="auto"/>
        <w:right w:val="none" w:sz="0" w:space="0" w:color="auto"/>
      </w:divBdr>
    </w:div>
    <w:div w:id="20309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95C79D036AA4"/>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7408</Words>
  <Characters>4224</Characters>
  <Application>Microsoft Office Word</Application>
  <DocSecurity>0</DocSecurity>
  <Lines>35</Lines>
  <Paragraphs>23</Paragraphs>
  <ScaleCrop>false</ScaleCrop>
  <Company/>
  <LinksUpToDate>false</LinksUpToDate>
  <CharactersWithSpaces>11609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2015-09-14T21:12:00Z</dcterms:created>
  <dc:creator>Win2003Stdx32</dc:creator>
  <lastModifiedBy>DRAZDAUSKIENĖ Nijolė</lastModifiedBy>
  <dcterms:modified xsi:type="dcterms:W3CDTF">2016-08-19T07:36:00Z</dcterms:modified>
  <revision>4</revision>
</coreProperties>
</file>