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2013-12-12 iki 2018-12-31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Įstatymas paskelbtas: Žin. 2002, Nr. </w:t>
      </w:r>
      <w:fldSimple w:instr="HYPERLINK https://www.e-tar.lt/portal/legalAct.html?documentId=TAR.DBF4203C51A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31-1130</w:t>
        </w:r>
      </w:fldSimple>
      <w:r>
        <w:rPr>
          <w:rFonts w:ascii="Times New Roman" w:eastAsia="MS Mincho" w:hAnsi="Times New Roman"/>
          <w:sz w:val="20"/>
          <w:i/>
          <w:iCs/>
        </w:rPr>
        <w:t>, i. k. 1021010ISTA00IX-787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2008-09-01: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749BC9B9C9D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X-1715</w:t>
        </w:r>
      </w:fldSimple>
      <w:r>
        <w:rPr>
          <w:rFonts w:ascii="Times New Roman" w:eastAsia="MS Mincho" w:hAnsi="Times New Roman"/>
          <w:sz w:val="20"/>
          <w:i/>
          <w:iCs/>
        </w:rPr>
        <w:t>,
2008-07-15,
Žin. 2008,
Nr.
87-3472 (2008-07-31), i. k. 1081010ISTA00X-1715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</w:rPr>
      </w:pPr>
      <w:r>
        <w:rPr>
          <w:b/>
        </w:rPr>
        <w:t>LIETUVOS RESPUBLIKOS</w:t>
        <w:br/>
        <w:t>NACIONALINĖS TEISMŲ ADMINISTRACIJOS</w:t>
        <w:br/>
        <w:t>ĮSTATYMAS</w:t>
      </w:r>
    </w:p>
    <w:p/>
    <w:p>
      <w:pPr>
        <w:jc w:val="center"/>
      </w:pPr>
      <w:r>
        <w:t>2002 m. kovo 14 d. Nr. IX-787</w:t>
      </w:r>
    </w:p>
    <w:p>
      <w:pPr>
        <w:jc w:val="center"/>
      </w:pPr>
      <w:r>
        <w:t>Vilnius</w:t>
      </w:r>
    </w:p>
    <w:p/>
    <w:p/>
    <w:p>
      <w:pPr>
        <w:ind w:firstLine="567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Nacionalinė teismų administracija</w:t>
      </w:r>
    </w:p>
    <w:p>
      <w:pPr>
        <w:ind w:firstLine="567"/>
        <w:jc w:val="both"/>
      </w:pPr>
      <w:r>
        <w:t>1</w:t>
      </w:r>
      <w:r>
        <w:t>. Nacionalinė teismų administracija yra</w:t>
      </w:r>
      <w:r>
        <w:rPr>
          <w:b/>
          <w:bCs/>
        </w:rPr>
        <w:t xml:space="preserve"> </w:t>
      </w:r>
      <w:r>
        <w:t xml:space="preserve">teismus ir teismų savivaldos institucijas aptarnaujanti biudžetinė įstaiga, kurios paskirtis – pagal kompetenciją užtikrinti teismų ir teismų savivaldos institucijų administracinę ir organizacinę veiklą. </w:t>
      </w:r>
    </w:p>
    <w:p>
      <w:pPr>
        <w:ind w:firstLine="567"/>
        <w:jc w:val="both"/>
      </w:pPr>
      <w:r>
        <w:t>2</w:t>
      </w:r>
      <w:r>
        <w:t>. Nacionalinė teismų administracija yra juridinis asmuo, turintis sąskaitų bankuose</w:t>
      </w:r>
      <w:r>
        <w:rPr>
          <w:b/>
          <w:bCs/>
        </w:rPr>
        <w:t xml:space="preserve"> </w:t>
      </w:r>
      <w:r>
        <w:t xml:space="preserve">ir antspaudą su Lietuvos valstybės herbu ir savo pavadinimu. </w:t>
      </w:r>
    </w:p>
    <w:p>
      <w:pPr>
        <w:ind w:firstLine="567"/>
        <w:jc w:val="both"/>
      </w:pPr>
      <w:r>
        <w:t>3</w:t>
      </w:r>
      <w:r>
        <w:t xml:space="preserve">. Nacionalinės teismų administracijos steigėjo funkcijas atlieka Lietuvos Aukščiausiasis Teismas. </w:t>
      </w:r>
    </w:p>
    <w:p>
      <w:pPr>
        <w:ind w:firstLine="567"/>
        <w:jc w:val="both"/>
      </w:pPr>
      <w:r>
        <w:t>4</w:t>
      </w:r>
      <w:r>
        <w:t>. Nacionalinė teismų administracija savo veikloje vadovaujasi Lietuvos Respublikos Konstitucija, Teismų įstatymu, šiuo ir kitais įstatymais, kitais teisės aktais bei savo nuostatais.</w:t>
      </w:r>
    </w:p>
    <w:p>
      <w:pPr>
        <w:ind w:firstLine="567"/>
        <w:jc w:val="both"/>
      </w:pPr>
      <w:r>
        <w:t>5</w:t>
      </w:r>
      <w:r>
        <w:t>. Nacionalinė teismų administracija yra biudžetinė įstaiga, finansuojama iš Lietuvos Respublikos biudžeto.</w:t>
      </w:r>
    </w:p>
    <w:p>
      <w:pPr>
        <w:ind w:firstLine="567"/>
        <w:jc w:val="both"/>
      </w:pPr>
      <w:r>
        <w:t>6</w:t>
      </w:r>
      <w:r>
        <w:t>. Nacionalinė teismų administracija pertvarkoma, reorganizuojama ir likviduojama įstatymu.</w:t>
      </w:r>
    </w:p>
    <w:p>
      <w:pPr>
        <w:ind w:firstLine="567"/>
        <w:jc w:val="both"/>
        <w:rPr>
          <w:b/>
        </w:rPr>
      </w:pPr>
    </w:p>
    <w:p>
      <w:pPr>
        <w:ind w:firstLine="567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Nacionalinės teismų administracijos funkcijos</w:t>
      </w:r>
    </w:p>
    <w:p>
      <w:pPr>
        <w:ind w:firstLine="567"/>
        <w:jc w:val="both"/>
      </w:pPr>
      <w:r>
        <w:t>Nacionalinė teismų administracija, įgyvendindama Teismų įstatyme nustatytus uždavinius, atlieka šias funkcijas:</w:t>
      </w:r>
    </w:p>
    <w:p>
      <w:pPr>
        <w:ind w:firstLine="567"/>
        <w:jc w:val="both"/>
      </w:pPr>
      <w:r>
        <w:t>1</w:t>
      </w:r>
      <w:r>
        <w:t>) rengia medžiagą Visuotiniam teisėjų susirinkimui, Teisėjų tarybos, Teisėjų etikos ir drausmės komisijos, Teisėjų garbės teismo posėdžiams;</w:t>
      </w:r>
    </w:p>
    <w:p>
      <w:pPr>
        <w:ind w:firstLine="567"/>
        <w:jc w:val="both"/>
      </w:pPr>
      <w:r>
        <w:t>2</w:t>
      </w:r>
      <w:r>
        <w:t xml:space="preserve">) techniškai aptarnauja teismų savivaldos institucijas, </w:t>
      </w:r>
      <w:r>
        <w:rPr>
          <w:bCs/>
        </w:rPr>
        <w:t xml:space="preserve">Pretendentų </w:t>
      </w:r>
      <w:r>
        <w:t>į teisėjus egzamino komisiją, A</w:t>
      </w:r>
      <w:r>
        <w:rPr>
          <w:color w:val="000000"/>
        </w:rPr>
        <w:t>trankos komisiją, Nuolatinę teisėjų veiklos vertinimo komisiją, Teisėjų tarybos sudarytas darbo grupes;</w:t>
      </w:r>
    </w:p>
    <w:p>
      <w:pPr>
        <w:ind w:firstLine="567"/>
        <w:jc w:val="both"/>
      </w:pPr>
      <w:r>
        <w:t>3</w:t>
      </w:r>
      <w:r>
        <w:t>) renka informaciją, kaip vykdomi teismų savivaldos institucijų sprendimai, ją pateikia Teisėjų tarybai, o jos nurodymu – Visuotiniam teisėjų susirinkimui;</w:t>
      </w:r>
    </w:p>
    <w:p>
      <w:pPr>
        <w:ind w:firstLine="567"/>
        <w:jc w:val="both"/>
      </w:pPr>
      <w:r>
        <w:t>4</w:t>
      </w:r>
      <w:r>
        <w:t>) pagal kompetenciją rengia teismų savivaldos institucijų teisės aktų, sprendimų, nutarimų ir kitų dokumentų projektus, Teisėjų tarybos pavedimu tvirtina su teismų savivaldos institucijų organizacine veikla susijusius teisės aktus;</w:t>
      </w:r>
    </w:p>
    <w:p>
      <w:pPr>
        <w:ind w:firstLine="567"/>
        <w:jc w:val="both"/>
        <w:rPr>
          <w:i/>
        </w:rPr>
      </w:pPr>
      <w:r>
        <w:t>5</w:t>
      </w:r>
      <w:r>
        <w:t>) atlieka teismų ir teismų savivaldos institucijų kasmetinius veiklos apibendrinimus ir pateikia juos Teisėjų tarybai;</w:t>
      </w:r>
    </w:p>
    <w:p>
      <w:pPr>
        <w:widowControl w:val="0"/>
        <w:ind w:firstLine="567"/>
        <w:jc w:val="both"/>
        <w:rPr>
          <w:i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organizuoja ir užtikrina, kad teismai reikiamu ilgalaikiu turtu, inventoriumi ir paslaugomis būtų centralizuotai aprūpinami;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    </w:t>
      </w:r>
    </w:p>
    <w:p/>
    <w:p>
      <w:pPr>
        <w:ind w:firstLine="567"/>
        <w:jc w:val="both"/>
        <w:rPr>
          <w:i/>
        </w:rPr>
      </w:pPr>
      <w:r>
        <w:t>7</w:t>
      </w:r>
      <w:r>
        <w:t>) skiria ir moka teisėjų valstybines pensijas;</w:t>
      </w:r>
    </w:p>
    <w:p>
      <w:pPr>
        <w:ind w:firstLine="567"/>
        <w:jc w:val="both"/>
      </w:pPr>
      <w:r>
        <w:t>8</w:t>
      </w:r>
      <w:r>
        <w:t xml:space="preserve">) tvarko teisėjų duomenų </w:t>
      </w:r>
      <w:r>
        <w:rPr>
          <w:color w:val="000000"/>
        </w:rPr>
        <w:t>bazę</w:t>
      </w:r>
      <w:r>
        <w:t xml:space="preserve"> ir teisėjų asmens bylas;</w:t>
      </w:r>
    </w:p>
    <w:p>
      <w:pPr>
        <w:ind w:firstLine="567"/>
        <w:jc w:val="both"/>
      </w:pPr>
      <w:r>
        <w:t>9</w:t>
      </w:r>
      <w:r>
        <w:t>) tvarko pretendentų į laisvas apylinkės teismo teisėjų vietas sąrašą ir jų asmens bylas;</w:t>
      </w:r>
    </w:p>
    <w:p>
      <w:pPr>
        <w:ind w:firstLine="567"/>
        <w:jc w:val="both"/>
      </w:pPr>
      <w:r>
        <w:rPr>
          <w:color w:val="000000"/>
        </w:rPr>
        <w:t>10</w:t>
      </w:r>
      <w:r>
        <w:rPr>
          <w:color w:val="000000"/>
        </w:rPr>
        <w:t xml:space="preserve">) tvarko </w:t>
      </w:r>
      <w:r>
        <w:t>Teisėjų karjeros siekiančių asmenų registrą;</w:t>
      </w:r>
      <w:r>
        <w:rPr>
          <w:color w:val="000000"/>
        </w:rPr>
        <w:t xml:space="preserve"> </w:t>
      </w:r>
    </w:p>
    <w:p>
      <w:pPr>
        <w:ind w:firstLine="567"/>
        <w:jc w:val="both"/>
      </w:pPr>
      <w:r>
        <w:t>11</w:t>
      </w:r>
      <w:r>
        <w:t xml:space="preserve">) tvarko teisėjų, pageidaujančių būti perkeltais į kitą tos pačios pakopos teismą arba į kitos jurisdikcijos tos pačios pakopos teismą, ir teisėjų, siekiančių karjeros tos pačios pakopos teismuose, duomenų bazes; </w:t>
      </w:r>
    </w:p>
    <w:p>
      <w:pPr>
        <w:ind w:firstLine="567"/>
        <w:jc w:val="both"/>
        <w:rPr>
          <w:color w:val="000000"/>
        </w:rPr>
      </w:pPr>
      <w:r>
        <w:t>12</w:t>
      </w:r>
      <w:r>
        <w:t xml:space="preserve">) tvarko asmenų, pageidaujančių laikyti pretendentų į teisėjus egzaminą, duomenų bazę ir jų asmens bylas, organizuoja pretendentų į teisėjus egzamino laikymą; </w:t>
      </w:r>
    </w:p>
    <w:p>
      <w:pPr>
        <w:ind w:firstLine="567"/>
        <w:jc w:val="both"/>
      </w:pPr>
      <w:r>
        <w:t>13</w:t>
      </w:r>
      <w:r>
        <w:t>) renka informaciją apie teismų administracinę veiklą ir teismų organizacinį darbą, teikia apibendrinimus Teisėjų tarybai;</w:t>
      </w:r>
    </w:p>
    <w:p>
      <w:pPr>
        <w:ind w:firstLine="567"/>
        <w:jc w:val="both"/>
      </w:pPr>
      <w:r>
        <w:rPr>
          <w:color w:val="000000"/>
        </w:rPr>
        <w:t>14</w:t>
      </w:r>
      <w:r>
        <w:rPr>
          <w:color w:val="000000"/>
        </w:rPr>
        <w:t>) atlieka teismų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administracinės ir organizacinės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veiklos tyrimus, analizes, apibendrinimus, išskyrus teisingumo vykdymą, teikia pasiūlymus dėl teismų administracinės veiklos ir organizacinio darbo tobulinimo; </w:t>
      </w:r>
    </w:p>
    <w:p>
      <w:pPr>
        <w:ind w:firstLine="567"/>
        <w:jc w:val="both"/>
        <w:rPr>
          <w:b/>
        </w:rPr>
      </w:pPr>
      <w:r>
        <w:t>15</w:t>
      </w:r>
      <w:r>
        <w:t>) analizuoja teismų darbo sąlygas, teikia Teisėjų tarybai pasiūlymus dėl jų gerinimo;</w:t>
      </w:r>
    </w:p>
    <w:p>
      <w:pPr>
        <w:ind w:firstLine="567"/>
        <w:jc w:val="both"/>
      </w:pPr>
      <w:r>
        <w:t>16</w:t>
      </w:r>
      <w:r>
        <w:t>) analizuoja ir apibendrina materialinės ir procesinės teisės pažeidimų, lemiančių teismo sprendimų, nuosprendžių ir nutarčių pakeitimą bei panaikinimą, pagrindus ir tendencijas, apibendrinimus teikia Teisėjų tarybai ir Teisingumo ministerijai;</w:t>
      </w:r>
    </w:p>
    <w:p>
      <w:pPr>
        <w:ind w:firstLine="567"/>
        <w:jc w:val="both"/>
      </w:pPr>
      <w:r>
        <w:rPr>
          <w:color w:val="000000"/>
        </w:rPr>
        <w:t>17</w:t>
      </w:r>
      <w:r>
        <w:rPr>
          <w:color w:val="000000"/>
        </w:rPr>
        <w:t>) atlieka vidaus auditą teismuose, taip pat Nacionalinėje teismų administracijoje;</w:t>
      </w:r>
    </w:p>
    <w:p>
      <w:pPr>
        <w:ind w:firstLine="567"/>
        <w:jc w:val="both"/>
      </w:pPr>
      <w:r>
        <w:rPr>
          <w:color w:val="000000"/>
        </w:rPr>
        <w:t>18</w:t>
      </w:r>
      <w:r>
        <w:rPr>
          <w:color w:val="000000"/>
        </w:rPr>
        <w:t xml:space="preserve">) renka, analizuoja ir </w:t>
      </w:r>
      <w:r>
        <w:rPr>
          <w:bCs/>
          <w:color w:val="000000"/>
        </w:rPr>
        <w:t>apibendrina</w:t>
      </w:r>
      <w:r>
        <w:rPr>
          <w:color w:val="000000"/>
        </w:rPr>
        <w:t xml:space="preserve"> teismų poreikius dėl valstybės biudžeto programų sąmatų projektų ir teikia informaciją dėl jų Teisėjų tarybai; </w:t>
      </w:r>
    </w:p>
    <w:p>
      <w:pPr>
        <w:ind w:firstLine="567"/>
        <w:jc w:val="both"/>
      </w:pPr>
      <w:r>
        <w:t>19</w:t>
      </w:r>
      <w:r>
        <w:t xml:space="preserve">) renka, analizuoja ir apibendrina valstybės investicijų teismams poreikius, teikia informaciją Teisėjų tarybai dėl teismų siūlomų investicijų projektų </w:t>
      </w:r>
      <w:r>
        <w:rPr>
          <w:bCs/>
        </w:rPr>
        <w:t>(investicijų programų)</w:t>
      </w:r>
      <w:r>
        <w:t>;</w:t>
      </w:r>
    </w:p>
    <w:p>
      <w:pPr>
        <w:ind w:firstLine="567"/>
        <w:jc w:val="both"/>
        <w:rPr>
          <w:i/>
        </w:rPr>
      </w:pPr>
      <w:r>
        <w:t>20</w:t>
      </w:r>
      <w:r>
        <w:t xml:space="preserve">) sudaro Nacionalinės teismų administracijos strateginius veiklos planus, vykdomų valstybės biudžeto programų projektus, programų sąmatų projektus ir investicijų projektus (investicijų programas); </w:t>
      </w:r>
    </w:p>
    <w:p>
      <w:pPr>
        <w:ind w:firstLine="567"/>
        <w:jc w:val="both"/>
        <w:rPr>
          <w:i/>
          <w:color w:val="000000"/>
        </w:rPr>
      </w:pPr>
      <w:r>
        <w:t>21</w:t>
      </w:r>
      <w:r>
        <w:t>) kaupia, analizuoja ir apibendrina teismų statistiką;</w:t>
      </w:r>
    </w:p>
    <w:p>
      <w:pPr>
        <w:widowControl w:val="0"/>
        <w:ind w:firstLine="567"/>
        <w:jc w:val="both"/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) sudaro ir tvarko su Nacionalinės teismų administracijos veikla susijusias duomenų bazes, organizuoja informacinių sistemų kūrimą ir diegimą teismuose, administruoja teismų informacines sistemas ir jas tobulina;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    </w:t>
      </w:r>
    </w:p>
    <w:p/>
    <w:p>
      <w:pPr>
        <w:widowControl w:val="0"/>
        <w:ind w:firstLine="567"/>
        <w:jc w:val="both"/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) valdo Valstybės investicijų programoje numatytų investicijų, skirtų teismams, asignavimus, rengia ir įgyvendina teismų investicijų projektus;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straipsnio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bCs/>
          <w:i/>
          <w:color w:val="000000"/>
        </w:rPr>
      </w:pPr>
      <w:r>
        <w:rPr>
          <w:bCs/>
        </w:rPr>
        <w:t>24</w:t>
      </w:r>
      <w:r>
        <w:rPr>
          <w:bCs/>
        </w:rPr>
        <w:t>) skelbia Teismų įstatyme nurodytų teismų ir tarptautinių teisminių institucijų sprendimus;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</w:pPr>
      <w:r>
        <w:t>25</w:t>
      </w:r>
      <w:r>
        <w:t>) skelbia priimtus teismų savivaldos institucijų sprendimus;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</w:pPr>
      <w:r>
        <w:t>26</w:t>
      </w:r>
      <w:r>
        <w:t>) informuoja visuomenę apie teismų savivaldos institucijų ir Nacionalinės teismų administracijos veiklą;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</w:pPr>
      <w:r>
        <w:t>27</w:t>
      </w:r>
      <w:r>
        <w:t>) kasmet teikia Teisėjų tarybai metines Nacionalinės teismų administracijos veiklos ataskaitas;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</w:pPr>
      <w:r>
        <w:t>28</w:t>
      </w:r>
      <w:r>
        <w:t>) Teisėjų tarybos pavedimu pagal savo kompetenciją atstovauja teismų interesais Teisėjų tarybai valstybės valdžios ir kitose institucijose;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</w:pPr>
      <w:r>
        <w:t>29</w:t>
      </w:r>
      <w:r>
        <w:t>) bendradarbiauja su kitomis Lietuvos Respublikos institucijomis, taip pat su kitų valstybių bei tarptautinėmis institucijomis teismų savivaldos, administravimo ir kitais teismų veiklos klausimais;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) nagrinėja Nacionalinės teismų administracijos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kompetencijai priskirtinus asmenų pareiškimus, skundus ir pasiūlymus ir imasi priemonių išspręsti juose keliamus klausimus;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color w:val="000000"/>
        </w:rPr>
      </w:pPr>
      <w:r>
        <w:t>31</w:t>
      </w:r>
      <w:r>
        <w:t xml:space="preserve">) įstatymų nustatyta tvarka valdo, naudoja ir disponuoja Nacionalinei teismų administracijai patikėjimo teise perduotą valstybės turtą;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) vykdo kitus teismų savivaldos institucijų pavedimus;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) atlieka kitas įstatymuose ir kituose teisės aktuose nustatytas funkcijas.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/>
          <w:iCs/>
        </w:rPr>
        <w:t>,
2013-05-14,
Žin., 2013, Nr.
57-2840 (2013-06-01), i. k. 1131010ISTA0XII-296        </w:t>
      </w:r>
    </w:p>
    <w:p/>
    <w:p>
      <w:pPr>
        <w:ind w:firstLine="567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</w:t>
      </w:r>
      <w:r>
        <w:t xml:space="preserve"> </w:t>
      </w:r>
      <w:r>
        <w:rPr>
          <w:b/>
        </w:rPr>
        <w:t>Nacionalinės teismų administracijos teisės</w:t>
      </w:r>
    </w:p>
    <w:p>
      <w:pPr>
        <w:ind w:firstLine="567"/>
        <w:jc w:val="both"/>
      </w:pPr>
      <w:r>
        <w:t>1</w:t>
      </w:r>
      <w:r>
        <w:t>. Nacionalinė teismų administracija turi teisę:</w:t>
      </w:r>
    </w:p>
    <w:p>
      <w:pPr>
        <w:ind w:firstLine="567"/>
        <w:jc w:val="both"/>
      </w:pPr>
      <w:r>
        <w:t>1</w:t>
      </w:r>
      <w:r>
        <w:t xml:space="preserve">) gauti iš teismų savivaldos institucijų, teismų, kitų valstybės ir savivaldybių institucijų, įstaigų bei organizacijų informaciją Nacionalinės teismų administracijos kompetencijai priskirtais klausimais; 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</w:t>
      </w:r>
      <w:r>
        <w:t xml:space="preserve">sudaryti komisijas, darbo grupes teisės aktų projektams rengti ar kitiems Nacionalinės teismų administracijos kompetencijos klausimams spręsti, </w:t>
      </w:r>
      <w:r>
        <w:rPr>
          <w:color w:val="000000"/>
        </w:rPr>
        <w:t>įtraukti į jas kitų</w:t>
      </w:r>
      <w:r>
        <w:t xml:space="preserve"> institucijų (suderinus su jų vadovais) specialistus;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įstatymų nustatyta tvarka tvarkyti asmens duomenis.</w:t>
      </w:r>
    </w:p>
    <w:p>
      <w:pPr>
        <w:ind w:firstLine="567"/>
        <w:jc w:val="both"/>
        <w:rPr>
          <w:i/>
        </w:rPr>
      </w:pPr>
      <w:r>
        <w:t>2</w:t>
      </w:r>
      <w:r>
        <w:t>. Nacionalinė teismų administracija gali turėti ir kitų Lietuvos Respublikos teisės aktais jai suteiktų teisių.</w:t>
      </w:r>
      <w:r>
        <w:rPr>
          <w:i/>
        </w:rPr>
        <w:t xml:space="preserve"> </w:t>
      </w:r>
    </w:p>
    <w:p>
      <w:pPr>
        <w:ind w:firstLine="567"/>
        <w:jc w:val="both"/>
      </w:pPr>
    </w:p>
    <w:p>
      <w:pPr>
        <w:ind w:left="1985" w:hanging="1265"/>
        <w:rPr>
          <w:b/>
        </w:rPr>
      </w:pPr>
      <w:r>
        <w:rPr>
          <w:b/>
        </w:rPr>
        <w:t>4</w:t>
      </w:r>
      <w:r>
        <w:rPr>
          <w:b/>
        </w:rPr>
        <w:t xml:space="preserve"> straipsnis. </w:t>
      </w:r>
      <w:r>
        <w:rPr>
          <w:b/>
        </w:rPr>
        <w:t>Nacionalinės teismų administracijos struktūra ir darbo organizavimas</w:t>
      </w:r>
    </w:p>
    <w:p>
      <w:pPr>
        <w:ind w:firstLine="567"/>
        <w:jc w:val="both"/>
      </w:pPr>
      <w:r>
        <w:t>1</w:t>
      </w:r>
      <w:r>
        <w:t>. Nacionalinei teismų administracijai vadovauja direktorius. Jis yra atskaitingas Teisėjų tarybai. Direktorius gali turėti pavaduotojų.</w:t>
      </w:r>
    </w:p>
    <w:p>
      <w:pPr>
        <w:ind w:firstLine="567"/>
        <w:jc w:val="both"/>
      </w:pPr>
      <w:r>
        <w:t>2</w:t>
      </w:r>
      <w:r>
        <w:t>. Nacionalinės teismų administracijos nuostatus,</w:t>
      </w:r>
      <w:r>
        <w:rPr>
          <w:b/>
          <w:bCs/>
        </w:rPr>
        <w:t xml:space="preserve"> </w:t>
      </w:r>
      <w:r>
        <w:t>aprobavus Teisėjų tarybai, tvirtina steigėjas. Nacionalinės teismų administracijos struktūrą,</w:t>
      </w:r>
      <w:r>
        <w:rPr>
          <w:b/>
          <w:bCs/>
        </w:rPr>
        <w:t xml:space="preserve"> </w:t>
      </w:r>
      <w:r>
        <w:t>didžiausią leistiną valstybės tarnautojų ir darbuotojų, dirbančių pagal darbo sutartis, pareigybių skaičių, vadovaudamasis įstatymų nustatyta tvarka ir suderinęs su steigėju, tvirtina Nacionalinės teismų administracijos direktorius.</w:t>
      </w:r>
    </w:p>
    <w:p>
      <w:pPr>
        <w:ind w:firstLine="567"/>
        <w:jc w:val="both"/>
      </w:pPr>
      <w:r>
        <w:t>3</w:t>
      </w:r>
      <w:r>
        <w:t>. Nacionalinės teismų administracijos direktorių konkurso būdu 5 metų kadencijai į pareigas priima steigėjo funkcijas vykdančios institucijos vadovas Valstybės tarnybos įstatymo nustatyta tvarka.</w:t>
      </w:r>
    </w:p>
    <w:p>
      <w:pPr>
        <w:widowControl w:val="0"/>
        <w:suppressAutoHyphens/>
        <w:ind w:firstLine="567"/>
        <w:jc w:val="both"/>
        <w:rPr>
          <w:caps/>
        </w:rPr>
      </w:pPr>
      <w:r>
        <w:rPr>
          <w:color w:val="000000"/>
          <w:spacing w:val="-2"/>
          <w:szCs w:val="24"/>
          <w:lang w:eastAsia="lt-LT"/>
        </w:rPr>
        <w:t>4</w:t>
      </w:r>
      <w:r>
        <w:rPr>
          <w:color w:val="000000"/>
          <w:spacing w:val="-2"/>
          <w:szCs w:val="24"/>
          <w:lang w:eastAsia="lt-LT"/>
        </w:rPr>
        <w:t>. Nacionalinės teismų administracijos direktoriumi gali būti skiriamas nepriekaištingos reputacijos asmuo, turintis aukštąjį universitetinį socialinių mokslų studijų srities išsilavinimą ir ne mažesnį kaip 5 metų teisinio ar vadovaujamo darbo stažą.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dalies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E3114349B4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XII-631</w:t>
        </w:r>
      </w:fldSimple>
      <w:r>
        <w:rPr>
          <w:rFonts w:ascii="Times New Roman" w:eastAsia="MS Mincho" w:hAnsi="Times New Roman"/>
          <w:sz w:val="20"/>
          <w:i/>
          <w:iCs/>
        </w:rPr>
        <w:t>,
2013-12-03,
Žin., 2013, Nr.
127-6447 (2013-12-12), i. k. 1131010ISTA0XII-631            </w:t>
      </w:r>
    </w:p>
    <w:p/>
    <w:p>
      <w:pPr>
        <w:ind w:firstLine="567"/>
        <w:jc w:val="both"/>
      </w:pPr>
      <w:r>
        <w:t>5</w:t>
      </w:r>
      <w:r>
        <w:t>. Nacionalinės teismų administracijos direktoriaus, direktoriaus pavaduotojų įgaliojimus nustato Nacionalinės teismų administracijos nuostatai.</w:t>
      </w:r>
    </w:p>
    <w:p>
      <w:pPr>
        <w:ind w:firstLine="567"/>
        <w:jc w:val="both"/>
      </w:pPr>
      <w:r>
        <w:t>6</w:t>
      </w:r>
      <w:r>
        <w:t>. Nacionalinės teismų administracijos darbuotojai yra valstybės tarnautojai ir asmenys, dirbantys pagal darbo sutartis.</w:t>
      </w:r>
    </w:p>
    <w:p>
      <w:pPr>
        <w:ind w:firstLine="567"/>
        <w:jc w:val="both"/>
      </w:pPr>
    </w:p>
    <w:p>
      <w:pPr>
        <w:ind w:firstLine="567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 </w:t>
      </w:r>
      <w:r>
        <w:rPr>
          <w:b/>
        </w:rPr>
        <w:t>Nacionalinės teismų administracijos finansinės veiklos vertinimas</w:t>
      </w:r>
    </w:p>
    <w:p>
      <w:pPr>
        <w:ind w:firstLine="567"/>
        <w:jc w:val="both"/>
        <w:rPr>
          <w:i/>
        </w:rPr>
      </w:pPr>
      <w:r>
        <w:t>Nacionalinės teismų administracijos finansinės veiklos vertinimą atlieka įgaliotos valstybės institucijos įstatymų ir kitų teisės aktų nustatyta tvarka.</w:t>
      </w:r>
    </w:p>
    <w:p>
      <w:pPr>
        <w:ind w:firstLine="567"/>
        <w:jc w:val="both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64C4EACA82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IX-2109</w:t>
        </w:r>
      </w:fldSimple>
      <w:r>
        <w:rPr>
          <w:rFonts w:ascii="Times New Roman" w:eastAsia="MS Mincho" w:hAnsi="Times New Roman"/>
          <w:sz w:val="20"/>
          <w:iCs/>
        </w:rPr>
        <w:t>,
2004-04-08,
Žin., 2004, Nr.
60-2119 (2004-04-24), i. k. 1041010ISTA0IX-2109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nacionalinės teismų administracijos įstatymo 2 straipsnio papildymo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49BC9B9C9D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X-1715</w:t>
        </w:r>
      </w:fldSimple>
      <w:r>
        <w:rPr>
          <w:rFonts w:ascii="Times New Roman" w:eastAsia="MS Mincho" w:hAnsi="Times New Roman"/>
          <w:sz w:val="20"/>
          <w:iCs/>
        </w:rPr>
        <w:t>,
2008-07-15,
Žin., 2008, Nr.
87-3472 (2008-07-31), i. k. 1081010ISTA00X-1715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nacionalinės teismų administracijos įstatymo pakeitimo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0788EDB6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XII-296</w:t>
        </w:r>
      </w:fldSimple>
      <w:r>
        <w:rPr>
          <w:rFonts w:ascii="Times New Roman" w:eastAsia="MS Mincho" w:hAnsi="Times New Roman"/>
          <w:sz w:val="20"/>
          <w:iCs/>
        </w:rPr>
        <w:t>,
2013-05-14,
Žin., 2013, Nr.
57-2840 (2013-06-01), i. k. 1131010ISTA0XII-296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nacionalinės teismų administracijos įstatymo 2 straipsnio pakeitimo ir papildymo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E3114349B4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XII-631</w:t>
        </w:r>
      </w:fldSimple>
      <w:r>
        <w:rPr>
          <w:rFonts w:ascii="Times New Roman" w:eastAsia="MS Mincho" w:hAnsi="Times New Roman"/>
          <w:sz w:val="20"/>
          <w:iCs/>
        </w:rPr>
        <w:t>,
2013-12-03,
Žin., 2013, Nr.
127-6447 (2013-12-12), i. k. 1131010ISTA0XII-631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nacionalinės teismų administracijos įstatymo 4 straipsnio pakeitimo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3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3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4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C5F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6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17.xml"/>
  <Relationship Id="rId3" Type="http://schemas.openxmlformats.org/officeDocument/2006/relationships/footer" Target="footer16.xml"/>
  <Relationship Id="rId4" Type="http://schemas.openxmlformats.org/officeDocument/2006/relationships/footer" Target="footer17.xml"/>
  <Relationship Id="rId5" Type="http://schemas.openxmlformats.org/officeDocument/2006/relationships/header" Target="header18.xml"/>
  <Relationship Id="rId6" Type="http://schemas.openxmlformats.org/officeDocument/2006/relationships/footer" Target="footer18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4</TotalTime>
  <Pages>3</Pages>
  <Words>5418</Words>
  <Characters>3089</Characters>
  <Application>Microsoft Office Word</Application>
  <DocSecurity>0</DocSecurity>
  <Lines>25</Lines>
  <Paragraphs>16</Paragraphs>
  <ScaleCrop>false</ScaleCrop>
  <Company/>
  <LinksUpToDate>false</LinksUpToDate>
  <CharactersWithSpaces>8491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2015-06-03T17:45:00Z</dcterms:created>
  <dc:creator>User</dc:creator>
  <lastModifiedBy>GUMBYTĖ Danguolė</lastModifiedBy>
  <dcterms:modified xsi:type="dcterms:W3CDTF">2018-07-19T07:27:00Z</dcterms:modified>
  <revision>13</revision>
</coreProperties>
</file>