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2018-09-05 iki 2018-09-13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2" w:tgtFrame="_blank" w:history="1">
        <w:r>
          <w:rPr>
            <w:color w:val="0000FF" w:themeColor="hyperlink"/>
            <w:u w:val="single"/>
          </w:rPr>
          <w:t>64-2569</w:t>
        </w:r>
      </w:hyperlink>
      <w:r>
        <w:rPr>
          <w:color w:val="000000"/>
        </w:rPr>
        <w:t xml:space="preserve">), Lietuvos Respublikos darbuotojų saugos ir sveikatos įstatymo (Žin., 2003, Nr. </w:t>
      </w:r>
      <w:hyperlink r:id="rId13" w:tgtFrame="_blank" w:history="1">
        <w:r>
          <w:rPr>
            <w:color w:val="0000FF" w:themeColor="hyperlink"/>
            <w:u w:val="single"/>
          </w:rPr>
          <w:t>70-3170</w:t>
        </w:r>
      </w:hyperlink>
      <w:r>
        <w:rPr>
          <w:color w:val="000000"/>
        </w:rPr>
        <w:t xml:space="preserve">), Lietuvos Respublikos sveikatos sistemos įstatymo (Žin., 1994, Nr. </w:t>
      </w:r>
      <w:hyperlink r:id="rId14" w:tgtFrame="_blank" w:history="1">
        <w:r>
          <w:rPr>
            <w:color w:val="0000FF" w:themeColor="hyperlink"/>
            <w:u w:val="single"/>
          </w:rPr>
          <w:t>63-1231</w:t>
        </w:r>
      </w:hyperlink>
      <w:r>
        <w:rPr>
          <w:color w:val="000000"/>
        </w:rPr>
        <w:t xml:space="preserve">; 1998, Nr. </w:t>
      </w:r>
      <w:hyperlink r:id="rId15" w:tgtFrame="_blank" w:history="1">
        <w:r>
          <w:rPr>
            <w:color w:val="0000FF" w:themeColor="hyperlink"/>
            <w:u w:val="single"/>
          </w:rPr>
          <w:t>112-3099</w:t>
        </w:r>
      </w:hyperlink>
      <w:r>
        <w:rPr>
          <w:color w:val="000000"/>
        </w:rPr>
        <w:t xml:space="preserve">), Lietuvos Respublikos radiacinės saugos įstatymo (Žin., 1999, Nr. </w:t>
      </w:r>
      <w:hyperlink r:id="rId16"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7"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
      <w:pPr>
        <w:widowControl w:val="0"/>
        <w:ind w:firstLine="720"/>
        <w:jc w:val="both"/>
        <w:rPr>
          <w:color w:val="000000"/>
        </w:rPr>
      </w:pPr>
      <w:r>
        <w:rPr>
          <w:color w:val="000000"/>
        </w:rPr>
        <w:t>1</w:t>
      </w:r>
      <w:r>
        <w:rPr>
          <w:color w:val="000000"/>
        </w:rPr>
        <w:t xml:space="preserve">. </w:t>
      </w:r>
      <w:r>
        <w:rPr>
          <w:color w:val="000000"/>
          <w:spacing w:val="60"/>
        </w:rPr>
        <w:t>Tvirtin</w:t>
      </w:r>
      <w:r>
        <w:rPr>
          <w:color w:val="000000"/>
          <w:spacing w:val="20"/>
        </w:rPr>
        <w:t>u:</w:t>
      </w:r>
    </w:p>
    <w:p>
      <w:pPr>
        <w:widowControl w:val="0"/>
        <w:ind w:firstLine="720"/>
        <w:jc w:val="both"/>
        <w:rPr>
          <w:color w:val="000000"/>
        </w:rPr>
      </w:pPr>
      <w:r>
        <w:rPr>
          <w:color w:val="000000"/>
        </w:rPr>
        <w:t>1.1</w:t>
      </w:r>
      <w:r>
        <w:rPr>
          <w:color w:val="000000"/>
        </w:rPr>
        <w:t>. Profilaktinių sveikatos tikrinimų rūšis ir apmokėjimo tvarką (1 priedas);</w:t>
      </w:r>
    </w:p>
    <w:p>
      <w:pPr>
        <w:widowControl w:val="0"/>
        <w:ind w:firstLine="720"/>
        <w:jc w:val="both"/>
        <w:rPr>
          <w:color w:val="000000"/>
        </w:rPr>
      </w:pPr>
      <w:r>
        <w:rPr>
          <w:color w:val="000000"/>
        </w:rPr>
        <w:t>1.2</w:t>
      </w:r>
      <w:r>
        <w:rPr>
          <w:color w:val="000000"/>
        </w:rPr>
        <w:t>. Nėščiųjų ir motinų, iki vaikui sukaks vieneri metai, sveikatos tikrinimo tvarką (2 priedas);</w:t>
      </w:r>
    </w:p>
    <w:p>
      <w:pPr>
        <w:ind w:firstLine="709"/>
        <w:jc w:val="both"/>
        <w:rPr>
          <w:color w:val="000000"/>
        </w:rPr>
      </w:pPr>
      <w:r>
        <w:rPr>
          <w:szCs w:val="24"/>
        </w:rPr>
        <w:t>1.3</w:t>
      </w:r>
      <w:r>
        <w:rPr>
          <w:szCs w:val="24"/>
        </w:rPr>
        <w:t xml:space="preserve">. </w:t>
      </w:r>
      <w:r>
        <w:rPr>
          <w:color w:val="000000"/>
          <w:szCs w:val="24"/>
        </w:rPr>
        <w:t xml:space="preserve">Vaikų sveikatos tikrinimo </w:t>
      </w:r>
      <w:r>
        <w:rPr>
          <w:szCs w:val="24"/>
        </w:rPr>
        <w:t>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
      <w:pPr>
        <w:widowControl w:val="0"/>
        <w:ind w:firstLine="720"/>
        <w:jc w:val="both"/>
        <w:rPr>
          <w:color w:val="000000"/>
        </w:rPr>
      </w:pPr>
      <w:r>
        <w:rPr>
          <w:color w:val="000000"/>
        </w:rPr>
        <w:t>1.4</w:t>
      </w:r>
      <w:r>
        <w:rPr>
          <w:color w:val="000000"/>
        </w:rPr>
        <w:t>. Stojančiųjų į profesinio mokymo mokyklas ir įdarbinamų nepilnamečių sveikatos tikrinimo tvarką (4 priedas);</w:t>
      </w:r>
    </w:p>
    <w:p>
      <w:pPr>
        <w:widowControl w:val="0"/>
        <w:ind w:firstLine="720"/>
        <w:jc w:val="both"/>
        <w:rPr>
          <w:color w:val="000000"/>
        </w:rPr>
      </w:pPr>
      <w:r>
        <w:rPr>
          <w:color w:val="000000"/>
        </w:rPr>
        <w:t>1.5</w:t>
      </w:r>
      <w:r>
        <w:rPr>
          <w:color w:val="000000"/>
        </w:rPr>
        <w:t>. Sportuojančių asmenų sveikatos tikrinimo tvarką</w:t>
      </w:r>
      <w:r>
        <w:rPr>
          <w:caps/>
          <w:color w:val="000000"/>
        </w:rPr>
        <w:t xml:space="preserve"> </w:t>
      </w:r>
      <w:r>
        <w:rPr>
          <w:color w:val="000000"/>
        </w:rPr>
        <w:t>(5 priedas);</w:t>
      </w:r>
    </w:p>
    <w:p>
      <w:pPr>
        <w:widowControl w:val="0"/>
        <w:ind w:firstLine="720"/>
        <w:jc w:val="both"/>
        <w:rPr>
          <w:color w:val="000000"/>
        </w:rPr>
      </w:pPr>
      <w:r>
        <w:rPr>
          <w:color w:val="000000"/>
        </w:rPr>
        <w:t>1.6</w:t>
      </w:r>
      <w:r>
        <w:rPr>
          <w:color w:val="000000"/>
        </w:rPr>
        <w:t>. Neinfekcinių ligų profilaktikos ir kontrolės tvarką (6 priedas);</w:t>
      </w:r>
    </w:p>
    <w:p>
      <w:pPr>
        <w:ind w:firstLine="709"/>
        <w:jc w:val="both"/>
        <w:rPr>
          <w:color w:val="000000"/>
        </w:rPr>
      </w:pPr>
      <w:r>
        <w:t>1.7</w:t>
      </w:r>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
      <w:pPr>
        <w:widowControl w:val="0"/>
        <w:ind w:firstLine="720"/>
        <w:jc w:val="both"/>
        <w:rPr>
          <w:color w:val="000000"/>
        </w:rPr>
      </w:pPr>
      <w:r>
        <w:rPr>
          <w:color w:val="000000"/>
        </w:rPr>
        <w:t>1.8</w:t>
      </w:r>
      <w:r>
        <w:rPr>
          <w:color w:val="000000"/>
        </w:rPr>
        <w:t>. Norinčiųjų įsigyti civilinį ginklą sveikatos tikrinimo tvarką (8 priedas);</w:t>
      </w:r>
    </w:p>
    <w:p>
      <w:pPr>
        <w:widowControl w:val="0"/>
        <w:ind w:firstLine="720"/>
        <w:jc w:val="both"/>
        <w:rPr>
          <w:color w:val="000000"/>
        </w:rPr>
      </w:pPr>
      <w:r>
        <w:rPr>
          <w:color w:val="000000"/>
        </w:rPr>
        <w:t>1.9</w:t>
      </w:r>
      <w:r>
        <w:rPr>
          <w:color w:val="000000"/>
        </w:rPr>
        <w:t>. Vykstančiųjų į užsienį sveikatos tikrinimo tvarką (9 priedas);</w:t>
      </w:r>
    </w:p>
    <w:p>
      <w:pPr>
        <w:ind w:firstLine="709"/>
        <w:jc w:val="both"/>
        <w:rPr>
          <w:color w:val="000000"/>
        </w:rPr>
      </w:pPr>
      <w:r>
        <w:t>1.10</w:t>
      </w:r>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
      <w:pPr>
        <w:tabs>
          <w:tab w:val="left" w:pos="709"/>
        </w:tabs>
        <w:ind w:firstLine="709"/>
        <w:jc w:val="both"/>
        <w:rPr>
          <w:color w:val="000000"/>
        </w:rPr>
      </w:pPr>
      <w:r>
        <w:rPr>
          <w:szCs w:val="24"/>
          <w:lang w:eastAsia="lt-LT"/>
        </w:rPr>
        <w:t>1.11</w:t>
      </w:r>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
      <w:pPr>
        <w:widowControl w:val="0"/>
        <w:suppressAutoHyphens/>
        <w:ind w:firstLine="709"/>
        <w:jc w:val="both"/>
        <w:rPr>
          <w:color w:val="000000"/>
        </w:rPr>
      </w:pPr>
      <w:r>
        <w:rPr>
          <w:color w:val="000000"/>
        </w:rPr>
        <w:t>1.12</w:t>
      </w:r>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p>
      <w:pPr>
        <w:widowControl w:val="0"/>
        <w:suppressAutoHyphens/>
        <w:ind w:firstLine="709"/>
        <w:jc w:val="both"/>
        <w:rPr>
          <w:color w:val="000000"/>
        </w:rPr>
      </w:pPr>
      <w:r>
        <w:rPr>
          <w:color w:val="000000"/>
        </w:rPr>
        <w:t>1.13</w:t>
      </w:r>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p>
      <w:pPr>
        <w:widowControl w:val="0"/>
        <w:ind w:firstLine="720"/>
        <w:jc w:val="both"/>
        <w:rPr>
          <w:color w:val="000000"/>
        </w:rPr>
      </w:pPr>
      <w:r>
        <w:rPr>
          <w:color w:val="000000"/>
        </w:rPr>
        <w:t>1.17</w:t>
      </w:r>
      <w:r>
        <w:rPr>
          <w:color w:val="000000"/>
        </w:rPr>
        <w:t>. Asmenų, norinčių susituokti, sveikatos tikrinimo tvarką (17 priedas);</w:t>
      </w:r>
    </w:p>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r>
        <w:rPr>
          <w:szCs w:val="24"/>
        </w:rPr>
        <w:t>1.18</w:t>
      </w:r>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p>
      <w:pPr>
        <w:widowControl w:val="0"/>
        <w:ind w:firstLine="720"/>
        <w:jc w:val="both"/>
        <w:rPr>
          <w:color w:val="000000"/>
        </w:rPr>
      </w:pPr>
      <w:r>
        <w:rPr>
          <w:color w:val="000000"/>
        </w:rPr>
        <w:t>2</w:t>
      </w:r>
      <w:r>
        <w:rPr>
          <w:color w:val="000000"/>
        </w:rPr>
        <w:t>. Pavedu:</w:t>
      </w:r>
    </w:p>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p>
      <w:pPr>
        <w:widowControl w:val="0"/>
        <w:ind w:firstLine="720"/>
        <w:jc w:val="both"/>
        <w:rPr>
          <w:color w:val="000000"/>
        </w:rPr>
      </w:pPr>
      <w:r>
        <w:rPr>
          <w:color w:val="000000"/>
        </w:rPr>
        <w:t>2.2</w:t>
      </w:r>
      <w:r>
        <w:rPr>
          <w:color w:val="000000"/>
        </w:rPr>
        <w:t>. Asmens sveikatos priežiūros įstaigų vadovams užtikrinti šio įsakymo vykdymą.</w:t>
      </w:r>
    </w:p>
    <w:p>
      <w:pPr>
        <w:widowControl w:val="0"/>
        <w:ind w:firstLine="720"/>
        <w:jc w:val="both"/>
        <w:rPr>
          <w:color w:val="000000"/>
        </w:rPr>
      </w:pPr>
      <w:r>
        <w:rPr>
          <w:color w:val="000000"/>
        </w:rPr>
        <w:t>3</w:t>
      </w:r>
      <w:r>
        <w:rPr>
          <w:color w:val="000000"/>
        </w:rPr>
        <w:t>. Laikau netekusiais galios:</w:t>
      </w:r>
    </w:p>
    <w:p>
      <w:pPr>
        <w:widowControl w:val="0"/>
        <w:ind w:firstLine="720"/>
        <w:jc w:val="both"/>
        <w:rPr>
          <w:color w:val="000000"/>
        </w:rPr>
      </w:pPr>
      <w:r>
        <w:rPr>
          <w:color w:val="000000"/>
        </w:rPr>
        <w:t>3.1</w:t>
      </w:r>
      <w:r>
        <w:rPr>
          <w:color w:val="000000"/>
        </w:rPr>
        <w:t>. Sveikatos apsaugos ministerijos 1992 04 21 įsakymą Nr. 144 „Dėl gyventojų sveikatos tikrinimo tvarkos“;</w:t>
      </w:r>
    </w:p>
    <w:p>
      <w:pPr>
        <w:widowControl w:val="0"/>
        <w:ind w:firstLine="720"/>
        <w:jc w:val="both"/>
        <w:rPr>
          <w:color w:val="000000"/>
        </w:rPr>
      </w:pPr>
      <w:r>
        <w:rPr>
          <w:color w:val="000000"/>
        </w:rPr>
        <w:t>3.2</w:t>
      </w:r>
      <w:r>
        <w:rPr>
          <w:color w:val="000000"/>
        </w:rPr>
        <w:t xml:space="preserve">. Sveikatos apsaugos ministerijos 1994 12 13 įsakymą Nr. 432 „Dėl 1992 04 21 įsakymo Nr. 144 „Dėl gyventojų sveikatos tikrinimo tvarkos papildymo“ (Žin., 1994, Nr. </w:t>
      </w:r>
      <w:hyperlink r:id="rId18" w:tgtFrame="_blank" w:history="1">
        <w:r>
          <w:rPr>
            <w:color w:val="0000FF" w:themeColor="hyperlink"/>
            <w:u w:val="single"/>
          </w:rPr>
          <w:t>99-1992</w:t>
        </w:r>
      </w:hyperlink>
      <w:r>
        <w:rPr>
          <w:color w:val="000000"/>
        </w:rPr>
        <w:t>);</w:t>
      </w:r>
    </w:p>
    <w:p>
      <w:pPr>
        <w:widowControl w:val="0"/>
        <w:ind w:firstLine="720"/>
        <w:jc w:val="both"/>
        <w:rPr>
          <w:color w:val="000000"/>
        </w:rPr>
      </w:pPr>
      <w:r>
        <w:rPr>
          <w:color w:val="000000"/>
        </w:rPr>
        <w:t>3.3</w:t>
      </w:r>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9" w:tgtFrame="_blank" w:history="1">
        <w:r>
          <w:rPr>
            <w:color w:val="0000FF" w:themeColor="hyperlink"/>
            <w:u w:val="single"/>
          </w:rPr>
          <w:t>23-613</w:t>
        </w:r>
      </w:hyperlink>
      <w:r>
        <w:rPr>
          <w:color w:val="000000"/>
        </w:rPr>
        <w:t>);</w:t>
      </w:r>
    </w:p>
    <w:p>
      <w:pPr>
        <w:widowControl w:val="0"/>
        <w:ind w:firstLine="720"/>
        <w:jc w:val="both"/>
        <w:rPr>
          <w:color w:val="000000"/>
        </w:rPr>
      </w:pPr>
      <w:r>
        <w:rPr>
          <w:color w:val="000000"/>
        </w:rPr>
        <w:t>3.4</w:t>
      </w:r>
      <w:r>
        <w:rPr>
          <w:color w:val="000000"/>
        </w:rPr>
        <w:t>. Sveikatos apsaugos ministerijos 1995 05 16 įsakymą Nr. 260 „Dėl valdininkų sveikatos patikrinimo“;</w:t>
      </w:r>
    </w:p>
    <w:p>
      <w:pPr>
        <w:widowControl w:val="0"/>
        <w:ind w:firstLine="720"/>
        <w:jc w:val="both"/>
        <w:rPr>
          <w:color w:val="000000"/>
        </w:rPr>
      </w:pPr>
      <w:r>
        <w:rPr>
          <w:color w:val="000000"/>
        </w:rPr>
        <w:t>3.5</w:t>
      </w:r>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20" w:tgtFrame="_blank" w:history="1">
        <w:r>
          <w:rPr>
            <w:color w:val="0000FF" w:themeColor="hyperlink"/>
            <w:u w:val="single"/>
          </w:rPr>
          <w:t>57-1368</w:t>
        </w:r>
      </w:hyperlink>
      <w:r>
        <w:rPr>
          <w:color w:val="000000"/>
        </w:rPr>
        <w:t>);</w:t>
      </w:r>
    </w:p>
    <w:p>
      <w:pPr>
        <w:widowControl w:val="0"/>
        <w:ind w:firstLine="720"/>
        <w:jc w:val="both"/>
        <w:rPr>
          <w:color w:val="000000"/>
        </w:rPr>
      </w:pPr>
      <w:r>
        <w:rPr>
          <w:color w:val="000000"/>
        </w:rPr>
        <w:t>3.6</w:t>
      </w:r>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21" w:tgtFrame="_blank" w:history="1">
        <w:r>
          <w:rPr>
            <w:color w:val="0000FF" w:themeColor="hyperlink"/>
            <w:u w:val="single"/>
          </w:rPr>
          <w:t>109-2493</w:t>
        </w:r>
      </w:hyperlink>
      <w:r>
        <w:rPr>
          <w:color w:val="000000"/>
        </w:rPr>
        <w:t>);</w:t>
      </w:r>
    </w:p>
    <w:p>
      <w:pPr>
        <w:widowControl w:val="0"/>
        <w:ind w:firstLine="720"/>
        <w:jc w:val="both"/>
        <w:rPr>
          <w:color w:val="000000"/>
        </w:rPr>
      </w:pPr>
      <w:r>
        <w:rPr>
          <w:color w:val="000000"/>
        </w:rPr>
        <w:t>3.7</w:t>
      </w:r>
      <w:r>
        <w:rPr>
          <w:color w:val="000000"/>
        </w:rPr>
        <w:t xml:space="preserve">. Sveikatos apsaugos ministerijos 1996 10 29 įsakymą Nr. 544 „Dėl Privalomojo sveikatos draudimo tarybos nustatytų draudžiamųjų sveikatos profilaktinių tikrinimų tvarkos“ (Žin., 1996, Nr. </w:t>
      </w:r>
      <w:hyperlink r:id="rId22" w:tgtFrame="_blank" w:history="1">
        <w:r>
          <w:rPr>
            <w:color w:val="0000FF" w:themeColor="hyperlink"/>
            <w:u w:val="single"/>
          </w:rPr>
          <w:t>109-2494</w:t>
        </w:r>
      </w:hyperlink>
      <w:r>
        <w:rPr>
          <w:color w:val="000000"/>
        </w:rPr>
        <w:t>);</w:t>
      </w:r>
    </w:p>
    <w:p>
      <w:pPr>
        <w:widowControl w:val="0"/>
        <w:ind w:firstLine="720"/>
        <w:jc w:val="both"/>
        <w:rPr>
          <w:color w:val="000000"/>
        </w:rPr>
      </w:pPr>
      <w:r>
        <w:rPr>
          <w:color w:val="000000"/>
        </w:rPr>
        <w:t>3.8</w:t>
      </w:r>
      <w:r>
        <w:rPr>
          <w:color w:val="000000"/>
        </w:rPr>
        <w:t>. Sveikatos apsaugos ministerijos 1996 11 14 įsakymą Nr. 575 „Dėl ketinančiųjų susituokti sveikatos tikrinimo tvarkos“;</w:t>
      </w:r>
    </w:p>
    <w:p>
      <w:pPr>
        <w:widowControl w:val="0"/>
        <w:ind w:firstLine="720"/>
        <w:jc w:val="both"/>
        <w:rPr>
          <w:color w:val="000000"/>
        </w:rPr>
      </w:pPr>
      <w:r>
        <w:rPr>
          <w:color w:val="000000"/>
        </w:rPr>
        <w:t>3.9</w:t>
      </w:r>
      <w:r>
        <w:rPr>
          <w:color w:val="000000"/>
        </w:rPr>
        <w:t xml:space="preserve">. sveikatos apsaugos ministro 1998 01 30 įsakymą Nr. 55 „Dėl Sveikatos apsaugos ministerijos 1992 04 21 įsakymo Nr. 144 „Dėl gyventojų sveikatos tikrinimo tvarkos“ 10 priedo pakeitimo“ (Žin., 1998, Nr. </w:t>
      </w:r>
      <w:hyperlink r:id="rId23" w:tgtFrame="_blank" w:history="1">
        <w:r>
          <w:rPr>
            <w:color w:val="0000FF" w:themeColor="hyperlink"/>
            <w:u w:val="single"/>
          </w:rPr>
          <w:t>20-526</w:t>
        </w:r>
      </w:hyperlink>
      <w:r>
        <w:rPr>
          <w:color w:val="000000"/>
        </w:rPr>
        <w:t>);</w:t>
      </w:r>
    </w:p>
    <w:p>
      <w:pPr>
        <w:widowControl w:val="0"/>
        <w:ind w:firstLine="720"/>
        <w:jc w:val="both"/>
        <w:rPr>
          <w:color w:val="000000"/>
        </w:rPr>
      </w:pPr>
      <w:r>
        <w:rPr>
          <w:color w:val="000000"/>
        </w:rPr>
        <w:t>3.10</w:t>
      </w:r>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p>
      <w:pPr>
        <w:widowControl w:val="0"/>
        <w:suppressAutoHyphens/>
        <w:ind w:firstLine="709"/>
        <w:jc w:val="both"/>
        <w:rPr>
          <w:color w:val="000000"/>
        </w:rPr>
      </w:pPr>
      <w:r>
        <w:rPr>
          <w:color w:val="000000"/>
        </w:rPr>
        <w:t>4</w:t>
      </w:r>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p>
      <w:pPr>
        <w:tabs>
          <w:tab w:val="left" w:pos="1304"/>
          <w:tab w:val="left" w:pos="1457"/>
          <w:tab w:val="left" w:pos="1604"/>
          <w:tab w:val="left" w:pos="1757"/>
        </w:tabs>
        <w:ind w:left="5102"/>
        <w:sectPr>
          <w:headerReference w:type="even" r:id="rId24"/>
          <w:headerReference w:type="default" r:id="rId25"/>
          <w:footerReference w:type="even" r:id="rId26"/>
          <w:footerReference w:type="default" r:id="rId27"/>
          <w:headerReference w:type="first" r:id="rId28"/>
          <w:footerReference w:type="first" r:id="rId29"/>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r>
        <w:rPr>
          <w:color w:val="000000"/>
        </w:rPr>
        <w:t>1</w:t>
      </w:r>
      <w:r>
        <w:rPr>
          <w:color w:val="000000"/>
        </w:rPr>
        <w:t xml:space="preserve"> priedas</w:t>
      </w:r>
    </w:p>
    <w:p>
      <w:pPr>
        <w:widowControl w:val="0"/>
        <w:ind w:left="1069"/>
        <w:jc w:val="both"/>
        <w:rPr>
          <w:color w:val="000000"/>
        </w:rPr>
      </w:pPr>
    </w:p>
    <w:p>
      <w:pPr>
        <w:jc w:val="center"/>
        <w:rPr>
          <w:b/>
          <w:caps/>
          <w:color w:val="000000"/>
        </w:rPr>
      </w:pPr>
      <w:r>
        <w:rPr>
          <w:b/>
          <w:caps/>
          <w:color w:val="000000"/>
        </w:rPr>
        <w:t>PROFILAKTINIŲ SVEIKATOS TIKRINIMŲ RŪŠYS IR APMOKĖJIMO TVARKA</w:t>
      </w:r>
    </w:p>
    <w:p>
      <w:pPr>
        <w:widowControl w:val="0"/>
        <w:tabs>
          <w:tab w:val="left" w:pos="6253"/>
        </w:tabs>
        <w:ind w:left="1069"/>
        <w:jc w:val="both"/>
        <w:rPr>
          <w:color w:val="000000"/>
        </w:rPr>
      </w:pPr>
    </w:p>
    <w:p>
      <w:pPr>
        <w:jc w:val="center"/>
        <w:rPr>
          <w:b/>
          <w:caps/>
          <w:color w:val="000000"/>
        </w:rPr>
      </w:pPr>
      <w:r>
        <w:rPr>
          <w:b/>
          <w:caps/>
          <w:color w:val="000000"/>
        </w:rPr>
        <w:t>I</w:t>
      </w:r>
      <w:r>
        <w:rPr>
          <w:b/>
          <w:caps/>
          <w:color w:val="000000"/>
        </w:rPr>
        <w:t xml:space="preserve">. </w:t>
      </w:r>
      <w:r>
        <w:rPr>
          <w:b/>
          <w:caps/>
          <w:color w:val="000000"/>
        </w:rPr>
        <w:t>PROFILAKTINIŲ SVEIKATOS TIKRINIMŲ RŪŠYS</w:t>
      </w:r>
    </w:p>
    <w:p>
      <w:pPr>
        <w:widowControl w:val="0"/>
        <w:tabs>
          <w:tab w:val="left" w:pos="6253"/>
        </w:tabs>
        <w:ind w:left="1069"/>
        <w:jc w:val="both"/>
        <w:rPr>
          <w:color w:val="000000"/>
        </w:rPr>
      </w:pPr>
    </w:p>
    <w:p>
      <w:pPr>
        <w:widowControl w:val="0"/>
        <w:ind w:firstLine="720"/>
        <w:jc w:val="both"/>
        <w:rPr>
          <w:color w:val="000000"/>
        </w:rPr>
      </w:pPr>
      <w:r>
        <w:rPr>
          <w:color w:val="000000"/>
        </w:rPr>
        <w:t>1</w:t>
      </w:r>
      <w:r>
        <w:rPr>
          <w:color w:val="000000"/>
        </w:rPr>
        <w:t>. Profilaktiniai sveikatos tikrinimai:</w:t>
      </w:r>
    </w:p>
    <w:p>
      <w:pPr>
        <w:widowControl w:val="0"/>
        <w:ind w:firstLine="720"/>
        <w:jc w:val="both"/>
        <w:rPr>
          <w:color w:val="000000"/>
        </w:rPr>
      </w:pPr>
      <w:r>
        <w:rPr>
          <w:color w:val="000000"/>
        </w:rPr>
        <w:t>1.1</w:t>
      </w:r>
      <w:r>
        <w:rPr>
          <w:color w:val="000000"/>
        </w:rPr>
        <w:t>. nėščiųjų ir motinų, iki vaikui sukaks vieneri metai (2 priedas);</w:t>
      </w:r>
    </w:p>
    <w:p>
      <w:pPr>
        <w:widowControl w:val="0"/>
        <w:suppressAutoHyphens/>
        <w:ind w:firstLine="709"/>
        <w:jc w:val="both"/>
        <w:rPr>
          <w:color w:val="000000"/>
        </w:rPr>
      </w:pPr>
      <w:r>
        <w:rPr>
          <w:color w:val="000000"/>
        </w:rPr>
        <w:t>1.2</w:t>
      </w:r>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
      <w:pPr>
        <w:widowControl w:val="0"/>
        <w:ind w:firstLine="720"/>
        <w:jc w:val="both"/>
        <w:rPr>
          <w:color w:val="000000"/>
        </w:rPr>
      </w:pPr>
      <w:r>
        <w:rPr>
          <w:color w:val="000000"/>
        </w:rPr>
        <w:t>1.3</w:t>
      </w:r>
      <w:r>
        <w:rPr>
          <w:color w:val="000000"/>
        </w:rPr>
        <w:t>. stojančiųjų į profesinio mokymo mokyklas ir įdarbinamų nepilnamečių (4 priedas);</w:t>
      </w:r>
    </w:p>
    <w:p>
      <w:pPr>
        <w:widowControl w:val="0"/>
        <w:ind w:firstLine="720"/>
        <w:jc w:val="both"/>
        <w:rPr>
          <w:color w:val="000000"/>
        </w:rPr>
      </w:pPr>
      <w:r>
        <w:rPr>
          <w:color w:val="000000"/>
        </w:rPr>
        <w:t>1.4</w:t>
      </w:r>
      <w:r>
        <w:rPr>
          <w:color w:val="000000"/>
        </w:rPr>
        <w:t>. stojančiųjų į krašto apsaugos, vidaus reikalų sistemos aukštesniąsias ir aukštąsias mokyklas Krašto apsaugos ir Vidaus reikalų ministerijų nustatyta tvarka;</w:t>
      </w:r>
    </w:p>
    <w:p>
      <w:pPr>
        <w:widowControl w:val="0"/>
        <w:ind w:firstLine="720"/>
        <w:jc w:val="both"/>
        <w:rPr>
          <w:color w:val="000000"/>
        </w:rPr>
      </w:pPr>
      <w:r>
        <w:rPr>
          <w:color w:val="000000"/>
        </w:rPr>
        <w:t>1.5</w:t>
      </w:r>
      <w:r>
        <w:rPr>
          <w:color w:val="000000"/>
        </w:rPr>
        <w:t>. sportuojančių asmenų sveikatos tikrinimas (išskyrus profesionalus) (5 priedas);</w:t>
      </w:r>
    </w:p>
    <w:p>
      <w:pPr>
        <w:widowControl w:val="0"/>
        <w:ind w:firstLine="720"/>
        <w:jc w:val="both"/>
        <w:rPr>
          <w:color w:val="000000"/>
        </w:rPr>
      </w:pPr>
      <w:r>
        <w:rPr>
          <w:color w:val="000000"/>
        </w:rPr>
        <w:t>1.6</w:t>
      </w:r>
      <w:r>
        <w:rPr>
          <w:color w:val="000000"/>
        </w:rPr>
        <w:t>. neinfekcinių ligų profilaktikos ir kontrolės (6 priedas);</w:t>
      </w:r>
    </w:p>
    <w:p>
      <w:pPr>
        <w:widowControl w:val="0"/>
        <w:ind w:firstLine="720"/>
        <w:jc w:val="both"/>
        <w:rPr>
          <w:color w:val="000000"/>
        </w:rPr>
      </w:pPr>
      <w:r>
        <w:rPr>
          <w:color w:val="000000"/>
        </w:rPr>
        <w:t>1.7</w:t>
      </w:r>
      <w:r>
        <w:rPr>
          <w:color w:val="000000"/>
        </w:rPr>
        <w:t>. dispanserizuotųjų (atskira tvarka);</w:t>
      </w:r>
    </w:p>
    <w:p>
      <w:pPr>
        <w:ind w:firstLine="709"/>
        <w:jc w:val="both"/>
        <w:rPr>
          <w:color w:val="000000"/>
        </w:rPr>
      </w:pPr>
      <w:r>
        <w:t>1.8</w:t>
      </w:r>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
      <w:pPr>
        <w:widowControl w:val="0"/>
        <w:ind w:firstLine="720"/>
        <w:jc w:val="both"/>
        <w:rPr>
          <w:color w:val="000000"/>
        </w:rPr>
      </w:pPr>
      <w:r>
        <w:rPr>
          <w:color w:val="000000"/>
        </w:rPr>
        <w:t>1.9</w:t>
      </w:r>
      <w:r>
        <w:rPr>
          <w:color w:val="000000"/>
        </w:rPr>
        <w:t>. norinčiųjų įsigyti civilinį ginklą (8 priedas);</w:t>
      </w:r>
    </w:p>
    <w:p>
      <w:pPr>
        <w:widowControl w:val="0"/>
        <w:ind w:firstLine="720"/>
        <w:jc w:val="both"/>
        <w:rPr>
          <w:color w:val="000000"/>
        </w:rPr>
      </w:pPr>
      <w:r>
        <w:rPr>
          <w:color w:val="000000"/>
        </w:rPr>
        <w:t>1.10</w:t>
      </w:r>
      <w:r>
        <w:rPr>
          <w:color w:val="000000"/>
        </w:rPr>
        <w:t>. vykstančiųjų į užsienį (9 priedas);</w:t>
      </w:r>
    </w:p>
    <w:p>
      <w:pPr>
        <w:ind w:firstLine="709"/>
        <w:jc w:val="both"/>
        <w:rPr>
          <w:color w:val="000000"/>
        </w:rPr>
      </w:pPr>
      <w:r>
        <w:t>1.11</w:t>
      </w:r>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
      <w:pPr>
        <w:widowControl w:val="0"/>
        <w:ind w:firstLine="720"/>
        <w:jc w:val="both"/>
        <w:rPr>
          <w:color w:val="000000"/>
        </w:rPr>
      </w:pPr>
      <w:r>
        <w:rPr>
          <w:color w:val="000000"/>
        </w:rPr>
        <w:t>1.12</w:t>
      </w:r>
      <w:r>
        <w:rPr>
          <w:color w:val="000000"/>
        </w:rPr>
        <w:t>. išankstiniai (prieš pradedant darbą ar veiklą) ir periodiniai (darbo metu ar kai veikla tęsiama) profilaktiniai sveikatos tikrinimai:</w:t>
      </w:r>
    </w:p>
    <w:p>
      <w:pPr>
        <w:ind w:firstLine="709"/>
        <w:jc w:val="both"/>
        <w:rPr>
          <w:color w:val="000000"/>
        </w:rPr>
      </w:pPr>
      <w:r>
        <w:rPr>
          <w:lang w:eastAsia="lt-LT"/>
        </w:rPr>
        <w:t>1.12.1</w:t>
      </w:r>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
      <w:pPr>
        <w:widowControl w:val="0"/>
        <w:ind w:firstLine="720"/>
        <w:jc w:val="both"/>
        <w:rPr>
          <w:color w:val="000000"/>
        </w:rPr>
      </w:pPr>
      <w:r>
        <w:rPr>
          <w:color w:val="000000"/>
        </w:rPr>
        <w:t>1.12.3</w:t>
      </w:r>
      <w:r>
        <w:rPr>
          <w:color w:val="000000"/>
        </w:rPr>
        <w:t>. aviacijos darbuotojų (10 priedas);</w:t>
      </w:r>
    </w:p>
    <w:p>
      <w:pPr>
        <w:widowControl w:val="0"/>
        <w:ind w:firstLine="720"/>
        <w:jc w:val="both"/>
        <w:rPr>
          <w:color w:val="000000"/>
        </w:rPr>
      </w:pPr>
      <w:r>
        <w:rPr>
          <w:color w:val="000000"/>
        </w:rPr>
        <w:t>1.12.4</w:t>
      </w:r>
      <w:r>
        <w:rPr>
          <w:color w:val="000000"/>
        </w:rPr>
        <w:t>. vairuotojų (7 priedas);</w:t>
      </w:r>
    </w:p>
    <w:p>
      <w:pPr>
        <w:widowControl w:val="0"/>
        <w:ind w:firstLine="720"/>
        <w:jc w:val="both"/>
        <w:rPr>
          <w:color w:val="000000"/>
        </w:rPr>
      </w:pPr>
      <w:r>
        <w:rPr>
          <w:color w:val="000000"/>
        </w:rPr>
        <w:t>1.12.5</w:t>
      </w:r>
      <w:r>
        <w:rPr>
          <w:color w:val="000000"/>
        </w:rPr>
        <w:t>. asmenų, norinčių pradėti dirbti ar dirbančių galimos profesinės rizikos sąlygomis (sveikatai kenksmingų veiksnių poveikyje ar pavojingus darbus) (13 priedas);</w:t>
      </w:r>
    </w:p>
    <w:p>
      <w:pPr>
        <w:widowControl w:val="0"/>
        <w:ind w:firstLine="720"/>
        <w:jc w:val="both"/>
        <w:rPr>
          <w:color w:val="000000"/>
        </w:rPr>
      </w:pPr>
      <w:r>
        <w:rPr>
          <w:color w:val="000000"/>
        </w:rPr>
        <w:t>1.12.6</w:t>
      </w:r>
      <w:r>
        <w:rPr>
          <w:color w:val="000000"/>
        </w:rPr>
        <w:t>. darbų ir veiklos sričių, kuriose įsidarbinant ir dirbant privaloma profilaktiškai tikrintis sveikatą dėl užkrečiamųjų ligų (14 priedas);</w:t>
      </w:r>
    </w:p>
    <w:p>
      <w:pPr>
        <w:widowControl w:val="0"/>
        <w:ind w:firstLine="720"/>
        <w:jc w:val="both"/>
        <w:rPr>
          <w:color w:val="000000"/>
        </w:rPr>
      </w:pPr>
      <w:r>
        <w:rPr>
          <w:color w:val="000000"/>
        </w:rPr>
        <w:t>1.13</w:t>
      </w:r>
      <w:r>
        <w:rPr>
          <w:color w:val="000000"/>
        </w:rPr>
        <w:t>. kiti profilaktiniai sveikatos tikrinimai:</w:t>
      </w:r>
    </w:p>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r>
        <w:rPr>
          <w:szCs w:val="24"/>
        </w:rPr>
        <w:t>1.13.1</w:t>
      </w:r>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p>
      <w:pPr>
        <w:widowControl w:val="0"/>
        <w:ind w:firstLine="720"/>
        <w:jc w:val="both"/>
        <w:rPr>
          <w:color w:val="000000"/>
        </w:rPr>
      </w:pPr>
      <w:r>
        <w:rPr>
          <w:color w:val="000000"/>
        </w:rPr>
        <w:t>1.13.3</w:t>
      </w:r>
      <w:r>
        <w:rPr>
          <w:color w:val="000000"/>
        </w:rPr>
        <w:t>. asmenų, atvykusių tikrintis savo noru, profilaktiniai sveikatos tikrinimai (tarp jų – asmenų, norinčių susituokti (17 priedas));</w:t>
      </w:r>
    </w:p>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p>
      <w:pPr>
        <w:jc w:val="center"/>
        <w:rPr>
          <w:b/>
          <w:caps/>
          <w:color w:val="000000"/>
        </w:rPr>
      </w:pPr>
      <w:r>
        <w:rPr>
          <w:b/>
          <w:caps/>
          <w:color w:val="000000"/>
        </w:rPr>
        <w:t>II</w:t>
      </w:r>
      <w:r>
        <w:rPr>
          <w:b/>
          <w:caps/>
          <w:color w:val="000000"/>
        </w:rPr>
        <w:t xml:space="preserve">. </w:t>
      </w:r>
      <w:r>
        <w:rPr>
          <w:b/>
          <w:caps/>
          <w:color w:val="000000"/>
        </w:rPr>
        <w:t>PROFILAKTINIŲ SVEIKATOS TIKRINIMŲ APMOKĖJIMO TVARKA</w:t>
      </w:r>
    </w:p>
    <w:p>
      <w:pPr>
        <w:widowControl w:val="0"/>
        <w:tabs>
          <w:tab w:val="left" w:pos="6253"/>
        </w:tabs>
        <w:ind w:left="1069"/>
        <w:jc w:val="both"/>
        <w:rPr>
          <w:color w:val="000000"/>
        </w:rPr>
      </w:pPr>
    </w:p>
    <w:p>
      <w:pPr>
        <w:widowControl w:val="0"/>
        <w:ind w:firstLine="720"/>
        <w:jc w:val="both"/>
        <w:rPr>
          <w:color w:val="000000"/>
        </w:rPr>
      </w:pPr>
      <w:r>
        <w:rPr>
          <w:color w:val="000000"/>
        </w:rPr>
        <w:t>2</w:t>
      </w:r>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30"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p>
      <w:pPr>
        <w:widowControl w:val="0"/>
        <w:ind w:firstLine="720"/>
        <w:jc w:val="both"/>
        <w:rPr>
          <w:color w:val="000000"/>
        </w:rPr>
      </w:pPr>
      <w:r>
        <w:rPr>
          <w:color w:val="000000"/>
        </w:rPr>
        <w:t>3</w:t>
      </w:r>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p>
      <w:pPr>
        <w:widowControl w:val="0"/>
        <w:ind w:firstLine="720"/>
        <w:jc w:val="both"/>
        <w:rPr>
          <w:color w:val="000000"/>
        </w:rPr>
      </w:pPr>
      <w:r>
        <w:rPr>
          <w:color w:val="000000"/>
        </w:rPr>
        <w:t>4</w:t>
      </w:r>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31" w:tgtFrame="_blank" w:history="1">
        <w:r>
          <w:rPr>
            <w:color w:val="0000FF" w:themeColor="hyperlink"/>
            <w:u w:val="single"/>
          </w:rPr>
          <w:t>67-2175</w:t>
        </w:r>
      </w:hyperlink>
      <w:r>
        <w:rPr>
          <w:color w:val="000000"/>
        </w:rPr>
        <w:t>) patvirtintas mokamų asmens sveikatos priežiūros paslaugų kainas.</w:t>
      </w:r>
    </w:p>
    <w:p>
      <w:pPr>
        <w:widowControl w:val="0"/>
        <w:ind w:firstLine="720"/>
        <w:jc w:val="both"/>
        <w:rPr>
          <w:color w:val="000000"/>
        </w:rPr>
      </w:pPr>
      <w:r>
        <w:rPr>
          <w:color w:val="000000"/>
        </w:rPr>
        <w:t>5</w:t>
      </w:r>
      <w:r>
        <w:rPr>
          <w:color w:val="000000"/>
        </w:rPr>
        <w:t>. Išankstinių (prieš pradedant darbą) ir periodinių profilaktinių 1.12 papunkčiuose nurodytų sveikatos tikrinimų paslaugos apmokamos šia tvarka:</w:t>
      </w:r>
    </w:p>
    <w:p>
      <w:pPr>
        <w:widowControl w:val="0"/>
        <w:ind w:firstLine="720"/>
        <w:jc w:val="both"/>
        <w:rPr>
          <w:color w:val="000000"/>
        </w:rPr>
      </w:pPr>
      <w:r>
        <w:rPr>
          <w:color w:val="000000"/>
        </w:rPr>
        <w:t>5.1</w:t>
      </w:r>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p>
      <w:pPr>
        <w:widowControl w:val="0"/>
        <w:ind w:firstLine="720"/>
        <w:jc w:val="both"/>
        <w:rPr>
          <w:color w:val="000000"/>
        </w:rPr>
      </w:pPr>
      <w:r>
        <w:rPr>
          <w:color w:val="000000"/>
        </w:rPr>
        <w:t>1.12.</w:t>
      </w:r>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p>
      <w:pPr>
        <w:widowControl w:val="0"/>
        <w:ind w:firstLine="720"/>
        <w:jc w:val="both"/>
        <w:rPr>
          <w:color w:val="000000"/>
        </w:rPr>
      </w:pPr>
      <w:r>
        <w:rPr>
          <w:color w:val="000000"/>
        </w:rPr>
        <w:t>5.2</w:t>
      </w:r>
      <w:r>
        <w:rPr>
          <w:color w:val="000000"/>
        </w:rPr>
        <w:t>. periodinių sveikatos tikrinimų (1.12 papunktis) išlaidos apmokamos iš darbdavio lėšų.</w:t>
      </w:r>
    </w:p>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r>
        <w:rPr>
          <w:szCs w:val="24"/>
        </w:rPr>
        <w:t>5.3</w:t>
      </w:r>
      <w:r>
        <w:rPr>
          <w:szCs w:val="24"/>
        </w:rPr>
        <w:t xml:space="preserve">. Profilaktinių sveikatos tikrinimų kainos ir gydytojų specialistų, teikiančių profilaktinių sveikatos tikrinimų paslaugas, apmokamas iš privalomojo sveikatos draudimo fondo biudžeto, paslaugų kainos (18 priedas) </w:t>
      </w:r>
      <w:r>
        <w:rPr>
          <w:szCs w:val="24"/>
          <w:lang w:eastAsia="lt-LT"/>
        </w:rPr>
        <w:t>patvirtintos Lietuvos Respublikos sveikatos apsaugos ministro 2000 m. gegužės 31 d. įsakymu Nr. 301 „Dėl profilaktinių sveikatos tikrinimų sveikatos priežiūros įstaigose“,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ir iš naujo tvirtinamos ministro įsakymu. Kainos gali būti indeksuojamos, kai koeficientas yra ne mažesnis kaip 1,2</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p>
      <w:pPr>
        <w:widowControl w:val="0"/>
        <w:ind w:firstLine="720"/>
        <w:jc w:val="both"/>
        <w:rPr>
          <w:color w:val="000000"/>
        </w:rPr>
      </w:pPr>
      <w:r>
        <w:rPr>
          <w:color w:val="000000"/>
        </w:rPr>
        <w:t>6</w:t>
      </w:r>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2" w:tgtFrame="_blank" w:history="1">
        <w:r>
          <w:rPr>
            <w:color w:val="0000FF" w:themeColor="hyperlink"/>
            <w:u w:val="single"/>
          </w:rPr>
          <w:t>35-892</w:t>
        </w:r>
      </w:hyperlink>
      <w:r>
        <w:rPr>
          <w:color w:val="000000"/>
        </w:rPr>
        <w:t>).</w:t>
      </w:r>
    </w:p>
    <w:p>
      <w:pPr>
        <w:widowControl w:val="0"/>
        <w:ind w:firstLine="720"/>
        <w:jc w:val="both"/>
        <w:rPr>
          <w:color w:val="000000"/>
        </w:rPr>
      </w:pPr>
      <w:r>
        <w:rPr>
          <w:color w:val="000000"/>
        </w:rPr>
        <w:t>7</w:t>
      </w:r>
      <w:r>
        <w:rPr>
          <w:color w:val="000000"/>
        </w:rPr>
        <w:t>. Jei asmuo tuo pačiu metu kreipiasi dėl kelių profilaktinių sveikatos tikrinimų, tai mokama tik už vieną, daugiau kainuojantį, sveikatos tikrinimą.</w:t>
      </w:r>
    </w:p>
    <w:p>
      <w:pPr>
        <w:widowControl w:val="0"/>
        <w:ind w:firstLine="720"/>
        <w:jc w:val="both"/>
        <w:rPr>
          <w:color w:val="000000"/>
        </w:rPr>
      </w:pPr>
      <w:r>
        <w:rPr>
          <w:color w:val="000000"/>
        </w:rPr>
        <w:t>8</w:t>
      </w:r>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p>
      <w:pPr>
        <w:widowControl w:val="0"/>
        <w:ind w:firstLine="720"/>
        <w:jc w:val="both"/>
        <w:rPr>
          <w:color w:val="000000"/>
        </w:rPr>
      </w:pPr>
      <w:r>
        <w:rPr>
          <w:color w:val="000000"/>
        </w:rPr>
        <w:t>9</w:t>
      </w:r>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p>
      <w:pPr>
        <w:widowControl w:val="0"/>
        <w:ind w:firstLine="720"/>
        <w:jc w:val="both"/>
        <w:rPr>
          <w:color w:val="000000"/>
        </w:rPr>
      </w:pPr>
      <w:r>
        <w:rPr>
          <w:color w:val="000000"/>
        </w:rPr>
        <w:t>10</w:t>
      </w:r>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p>
      <w:pPr>
        <w:jc w:val="center"/>
        <w:rPr>
          <w:b/>
          <w:caps/>
          <w:color w:val="000000"/>
        </w:rPr>
      </w:pPr>
      <w:r>
        <w:rPr>
          <w:b/>
          <w:caps/>
          <w:color w:val="000000"/>
        </w:rPr>
        <w:t>III</w:t>
      </w:r>
      <w:r>
        <w:rPr>
          <w:b/>
          <w:caps/>
          <w:color w:val="000000"/>
        </w:rPr>
        <w:t xml:space="preserve">. </w:t>
      </w:r>
      <w:r>
        <w:rPr>
          <w:b/>
          <w:caps/>
          <w:color w:val="000000"/>
        </w:rPr>
        <w:t>MEDICININĖS DOKUMENTACIJOS PILDYMAS ATLIKUS PROFILAKTINIUS SVEIKATOS TIKRINIMUS</w:t>
      </w:r>
    </w:p>
    <w:p>
      <w:pPr>
        <w:widowControl w:val="0"/>
        <w:tabs>
          <w:tab w:val="left" w:pos="6253"/>
        </w:tabs>
        <w:ind w:left="1069"/>
        <w:jc w:val="both"/>
        <w:rPr>
          <w:color w:val="000000"/>
        </w:rPr>
      </w:pPr>
    </w:p>
    <w:p>
      <w:pPr>
        <w:widowControl w:val="0"/>
        <w:ind w:firstLine="720"/>
        <w:jc w:val="both"/>
        <w:rPr>
          <w:color w:val="000000"/>
        </w:rPr>
      </w:pPr>
      <w:r>
        <w:rPr>
          <w:color w:val="000000"/>
        </w:rPr>
        <w:t>11</w:t>
      </w:r>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p>
      <w:pPr>
        <w:widowControl w:val="0"/>
        <w:ind w:firstLine="720"/>
        <w:jc w:val="both"/>
        <w:rPr>
          <w:color w:val="000000"/>
        </w:rPr>
      </w:pPr>
      <w:r>
        <w:rPr>
          <w:color w:val="000000"/>
        </w:rPr>
        <w:t>12</w:t>
      </w:r>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r>
        <w:rPr>
          <w:color w:val="000000"/>
        </w:rPr>
        <w:t>2</w:t>
      </w:r>
      <w:r>
        <w:rPr>
          <w:color w:val="000000"/>
        </w:rPr>
        <w:t xml:space="preserve"> priedas</w:t>
      </w:r>
    </w:p>
    <w:p>
      <w:pPr>
        <w:widowControl w:val="0"/>
        <w:tabs>
          <w:tab w:val="left" w:pos="6253"/>
        </w:tabs>
        <w:ind w:left="1069"/>
        <w:jc w:val="both"/>
        <w:rPr>
          <w:color w:val="000000"/>
        </w:rPr>
      </w:pPr>
    </w:p>
    <w:p>
      <w:pPr>
        <w:jc w:val="center"/>
        <w:rPr>
          <w:b/>
          <w:caps/>
          <w:color w:val="000000"/>
        </w:rPr>
      </w:pPr>
      <w:r>
        <w:rPr>
          <w:b/>
          <w:caps/>
          <w:color w:val="000000"/>
        </w:rPr>
        <w:t>NĖŠČIŲJŲ IR MOTINŲ, IKI VAIKUI SUKAKS VIENERI METAI, SVEIKATOS TIKRINIMO TVARKA</w:t>
      </w:r>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3"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4"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5"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
      <w:pPr>
        <w:tabs>
          <w:tab w:val="left" w:pos="6521"/>
        </w:tabs>
        <w:ind w:left="3888" w:firstLine="2633"/>
        <w:sectPr>
          <w:headerReference w:type="even" r:id="rId36"/>
          <w:headerReference w:type="default" r:id="rId37"/>
          <w:footerReference w:type="even" r:id="rId38"/>
          <w:footerReference w:type="default" r:id="rId39"/>
          <w:headerReference w:type="first" r:id="rId40"/>
          <w:footerReference w:type="first" r:id="rId41"/>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r>
        <w:rPr>
          <w:szCs w:val="24"/>
        </w:rPr>
        <w:t>3</w:t>
      </w:r>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r>
        <w:rPr>
          <w:b/>
          <w:caps/>
          <w:color w:val="000000"/>
          <w:szCs w:val="24"/>
        </w:rPr>
        <w:t>VAIKŲ SVEIKATOS TIKRINIMO TVARKOS APRAŠAS</w:t>
      </w:r>
    </w:p>
    <w:p>
      <w:pPr>
        <w:snapToGrid w:val="0"/>
        <w:jc w:val="center"/>
        <w:rPr>
          <w:color w:val="000000"/>
          <w:szCs w:val="24"/>
        </w:rPr>
      </w:pPr>
    </w:p>
    <w:p>
      <w:pPr>
        <w:ind w:left="360"/>
        <w:jc w:val="center"/>
        <w:rPr>
          <w:b/>
          <w:caps/>
          <w:color w:val="000000"/>
          <w:szCs w:val="24"/>
        </w:rPr>
      </w:pPr>
      <w:r>
        <w:rPr>
          <w:b/>
          <w:caps/>
          <w:color w:val="000000"/>
          <w:szCs w:val="24"/>
        </w:rPr>
        <w:t>I</w:t>
      </w:r>
      <w:r>
        <w:rPr>
          <w:b/>
          <w:caps/>
          <w:color w:val="000000"/>
          <w:szCs w:val="24"/>
        </w:rPr>
        <w:t xml:space="preserve"> SKYRIUS</w:t>
      </w:r>
    </w:p>
    <w:p>
      <w:pPr>
        <w:ind w:left="360"/>
        <w:jc w:val="center"/>
        <w:rPr>
          <w:b/>
          <w:caps/>
          <w:color w:val="000000"/>
          <w:szCs w:val="24"/>
        </w:rPr>
      </w:pPr>
      <w:r>
        <w:rPr>
          <w:b/>
          <w:caps/>
          <w:color w:val="000000"/>
          <w:szCs w:val="24"/>
        </w:rPr>
        <w:t>BENDROSIOS NUOSTATOS</w:t>
      </w:r>
    </w:p>
    <w:p>
      <w:pPr>
        <w:ind w:left="360"/>
        <w:jc w:val="center"/>
        <w:rPr>
          <w:b/>
          <w:caps/>
          <w:color w:val="000000"/>
          <w:szCs w:val="24"/>
        </w:rPr>
      </w:pPr>
    </w:p>
    <w:p>
      <w:pPr>
        <w:ind w:firstLine="851"/>
        <w:jc w:val="both"/>
        <w:rPr>
          <w:szCs w:val="24"/>
        </w:rPr>
      </w:pPr>
      <w:r>
        <w:rPr>
          <w:color w:val="000000"/>
          <w:szCs w:val="24"/>
        </w:rPr>
        <w:t>1</w:t>
      </w:r>
      <w:r>
        <w:rPr>
          <w:color w:val="000000"/>
          <w:szCs w:val="24"/>
        </w:rPr>
        <w:t xml:space="preserve">. Vaikų sveikatos tikrinimo tvarkos aprašas (toliau – Aprašas) nustato </w:t>
      </w:r>
      <w:r>
        <w:rPr>
          <w:szCs w:val="24"/>
        </w:rPr>
        <w:t>privalomo profilaktinio vaikų sveikatos bei ankstyvojo amžiaus v</w:t>
      </w:r>
      <w:r>
        <w:rPr>
          <w:color w:val="000000"/>
          <w:szCs w:val="24"/>
        </w:rPr>
        <w:t xml:space="preserve">aikų (iki 4 metų) psichomotorinės raidos tikrinimo </w:t>
      </w:r>
      <w:r>
        <w:rPr>
          <w:szCs w:val="24"/>
        </w:rPr>
        <w:t>reikalavimus,</w:t>
      </w:r>
      <w:r>
        <w:rPr>
          <w:color w:val="000000"/>
          <w:szCs w:val="24"/>
        </w:rPr>
        <w:t xml:space="preserve"> šių paslaugų teikimo tvarką </w:t>
      </w:r>
      <w:r>
        <w:rPr>
          <w:szCs w:val="24"/>
        </w:rPr>
        <w:t xml:space="preserve">ir Vaiko sveikatos pažymėjimo, </w:t>
      </w:r>
      <w:r>
        <w:rPr>
          <w:color w:val="000000"/>
          <w:szCs w:val="24"/>
        </w:rPr>
        <w:t>kurio forma patvirtinta Lietuvos Respublikos sveikatos apsaugos ministro 2004 m. gruodžio 24 d. įsakymu Nr. V-951 „Dėl statistinės apskaitos formos Nr. 027-1/a „Vaiko sveikatos pažymėjimas“ patvirtinimo“ (toliau – Vaiko sveikatos pažymėjimas),</w:t>
      </w:r>
      <w:r>
        <w:rPr>
          <w:szCs w:val="24"/>
        </w:rPr>
        <w:t xml:space="preserve"> išdavimo tvarką.</w:t>
      </w:r>
    </w:p>
    <w:p>
      <w:pPr>
        <w:tabs>
          <w:tab w:val="left" w:pos="851"/>
        </w:tabs>
        <w:ind w:firstLine="851"/>
        <w:jc w:val="both"/>
        <w:rPr>
          <w:szCs w:val="24"/>
        </w:rPr>
      </w:pPr>
      <w:r>
        <w:rPr>
          <w:szCs w:val="24"/>
        </w:rPr>
        <w:t>2</w:t>
      </w:r>
      <w:r>
        <w:rPr>
          <w:szCs w:val="24"/>
        </w:rPr>
        <w:t>. Vaiko amžiaus tarpsniai:</w:t>
      </w:r>
    </w:p>
    <w:p>
      <w:pPr>
        <w:tabs>
          <w:tab w:val="left" w:pos="851"/>
        </w:tabs>
        <w:ind w:firstLine="851"/>
        <w:jc w:val="both"/>
        <w:rPr>
          <w:bCs/>
          <w:color w:val="000000"/>
          <w:szCs w:val="24"/>
        </w:rPr>
      </w:pPr>
      <w:r>
        <w:rPr>
          <w:szCs w:val="24"/>
        </w:rPr>
        <w:t>2.1</w:t>
      </w:r>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p>
      <w:pPr>
        <w:tabs>
          <w:tab w:val="left" w:pos="851"/>
        </w:tabs>
        <w:ind w:firstLine="851"/>
        <w:jc w:val="both"/>
        <w:rPr>
          <w:color w:val="000000"/>
          <w:szCs w:val="24"/>
        </w:rPr>
      </w:pPr>
      <w:r>
        <w:rPr>
          <w:bCs/>
          <w:color w:val="000000"/>
          <w:szCs w:val="24"/>
        </w:rPr>
        <w:t>2.2</w:t>
      </w:r>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p>
      <w:pPr>
        <w:tabs>
          <w:tab w:val="left" w:pos="851"/>
        </w:tabs>
        <w:ind w:firstLine="851"/>
        <w:jc w:val="both"/>
        <w:rPr>
          <w:szCs w:val="24"/>
        </w:rPr>
      </w:pPr>
      <w:r>
        <w:rPr>
          <w:szCs w:val="24"/>
        </w:rPr>
        <w:t>2.3</w:t>
      </w:r>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p>
      <w:pPr>
        <w:tabs>
          <w:tab w:val="left" w:pos="851"/>
        </w:tabs>
        <w:ind w:firstLine="851"/>
        <w:jc w:val="both"/>
        <w:rPr>
          <w:b/>
          <w:szCs w:val="24"/>
        </w:rPr>
      </w:pPr>
      <w:r>
        <w:rPr>
          <w:szCs w:val="24"/>
        </w:rPr>
        <w:t>2.4</w:t>
      </w:r>
      <w:r>
        <w:rPr>
          <w:szCs w:val="24"/>
        </w:rPr>
        <w:t>. viduriniojo amžiaus vaikas</w:t>
      </w:r>
      <w:r>
        <w:rPr>
          <w:b/>
          <w:szCs w:val="24"/>
        </w:rPr>
        <w:t xml:space="preserve">  –</w:t>
      </w:r>
      <w:r>
        <w:rPr>
          <w:szCs w:val="24"/>
        </w:rPr>
        <w:t xml:space="preserve"> nuo 4 iki 10 metų amžiaus;</w:t>
      </w:r>
    </w:p>
    <w:p>
      <w:pPr>
        <w:tabs>
          <w:tab w:val="left" w:pos="851"/>
        </w:tabs>
        <w:ind w:firstLine="851"/>
        <w:jc w:val="both"/>
        <w:rPr>
          <w:szCs w:val="24"/>
        </w:rPr>
      </w:pPr>
      <w:r>
        <w:rPr>
          <w:szCs w:val="24"/>
        </w:rPr>
        <w:t>2.5</w:t>
      </w:r>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p>
      <w:pPr>
        <w:tabs>
          <w:tab w:val="left" w:pos="851"/>
        </w:tabs>
        <w:ind w:firstLine="851"/>
        <w:jc w:val="both"/>
        <w:rPr>
          <w:szCs w:val="24"/>
        </w:rPr>
      </w:pPr>
      <w:r>
        <w:rPr>
          <w:szCs w:val="24"/>
        </w:rPr>
        <w:t>3</w:t>
      </w:r>
      <w:r>
        <w:rPr>
          <w:szCs w:val="24"/>
        </w:rPr>
        <w:t xml:space="preserve">. </w:t>
      </w:r>
      <w:r>
        <w:rPr>
          <w:color w:val="000000"/>
          <w:szCs w:val="24"/>
        </w:rPr>
        <w:t>Apraše nustatyto profilaktinio vaikų s</w:t>
      </w:r>
      <w:r>
        <w:rPr>
          <w:szCs w:val="24"/>
        </w:rPr>
        <w:t xml:space="preserve">veikatos  tikrinimo tikslas – išaiškinti ir koreguoti rizikos sveikatai veiksnius, nustatyti, ar vaiko sveikatos būklė atitinka jo augimo ir brendimo pagal amžių ir lytį normatyvus, ar  dėl sveikatos būklės tikrinamas asmuo gali lankyti švietimo įstaigą ar  pan. </w:t>
      </w:r>
    </w:p>
    <w:p>
      <w:pPr>
        <w:ind w:firstLine="851"/>
        <w:jc w:val="both"/>
        <w:rPr>
          <w:color w:val="000000"/>
          <w:szCs w:val="24"/>
        </w:rPr>
      </w:pPr>
      <w:r>
        <w:rPr>
          <w:szCs w:val="24"/>
        </w:rPr>
        <w:t>4</w:t>
      </w:r>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p>
      <w:pPr>
        <w:tabs>
          <w:tab w:val="left" w:pos="851"/>
        </w:tabs>
        <w:ind w:firstLine="851"/>
        <w:jc w:val="both"/>
        <w:rPr>
          <w:color w:val="000000"/>
          <w:szCs w:val="24"/>
        </w:rPr>
      </w:pPr>
      <w:r>
        <w:rPr>
          <w:szCs w:val="24"/>
        </w:rPr>
        <w:t>5</w:t>
      </w:r>
      <w:r>
        <w:rPr>
          <w:szCs w:val="24"/>
        </w:rPr>
        <w:t>.</w:t>
      </w:r>
      <w:r>
        <w:rPr>
          <w:bCs/>
          <w:color w:val="000000"/>
          <w:szCs w:val="24"/>
        </w:rPr>
        <w:t xml:space="preserve"> </w:t>
      </w:r>
      <w:r>
        <w:rPr>
          <w:color w:val="000000"/>
          <w:szCs w:val="24"/>
        </w:rPr>
        <w:t xml:space="preserve">Vaikų </w:t>
      </w:r>
      <w:r>
        <w:rPr>
          <w:szCs w:val="24"/>
        </w:rPr>
        <w:t>sveikatos ir psichomotorinės raidos tikrinimas</w:t>
      </w:r>
      <w:r>
        <w:rPr>
          <w:color w:val="000000"/>
          <w:szCs w:val="24"/>
        </w:rPr>
        <w:t xml:space="preserve"> </w:t>
      </w:r>
      <w:r>
        <w:rPr>
          <w:bCs/>
          <w:color w:val="000000"/>
          <w:szCs w:val="24"/>
        </w:rPr>
        <w:t>atliekamas įstaigoje, turinčioje licenciją teikti asmens sveikatos priežiūros paslaugas (toliau – ASPĮ),</w:t>
      </w:r>
      <w:r>
        <w:rPr>
          <w:color w:val="000000"/>
          <w:szCs w:val="24"/>
        </w:rPr>
        <w:t xml:space="preserve"> kurioje vaikas yra prirašytas Lietuvos Respublikos sveikatos apsaugos ministro 2001 m. lapkričio 9 d. įsakymo Nr. 583 „Dėl gyventojų prisirašymo prie pirminės asmens sveikatos priežiūros įstaigų tvarkos“ nustatyta tvarka (toliau – prirašytas). Tikrinimą atlieka šeimos medicinos paslaugas teikiantis šeimos gydytojas ar vaikų ligų gydytojas, kurį pacientas (jo tėvai ar kiti atstovai pagal įstatymą) yra pasirinkęs. </w:t>
      </w:r>
    </w:p>
    <w:p>
      <w:pPr>
        <w:tabs>
          <w:tab w:val="left" w:pos="851"/>
        </w:tabs>
        <w:ind w:firstLine="851"/>
        <w:jc w:val="both"/>
        <w:rPr>
          <w:color w:val="000000"/>
          <w:szCs w:val="24"/>
        </w:rPr>
      </w:pPr>
      <w:r>
        <w:rPr>
          <w:color w:val="000000"/>
          <w:szCs w:val="24"/>
        </w:rPr>
        <w:t>6</w:t>
      </w:r>
      <w:r>
        <w:rPr>
          <w:color w:val="000000"/>
          <w:szCs w:val="24"/>
        </w:rPr>
        <w:t>.</w:t>
      </w:r>
      <w:r>
        <w:rPr>
          <w:szCs w:val="24"/>
        </w:rPr>
        <w:t xml:space="preserve"> </w:t>
      </w:r>
      <w:r>
        <w:rPr>
          <w:color w:val="000000"/>
          <w:szCs w:val="24"/>
        </w:rPr>
        <w:t xml:space="preserve">Vaikų dantų ir burnos higienos būklę pagal kompetenciją tikrina ir </w:t>
      </w:r>
      <w:r>
        <w:rPr>
          <w:szCs w:val="24"/>
          <w:lang w:eastAsia="lt-LT"/>
        </w:rPr>
        <w:t xml:space="preserve">informavimo </w:t>
      </w:r>
      <w:r>
        <w:rPr>
          <w:color w:val="000000"/>
          <w:szCs w:val="24"/>
        </w:rPr>
        <w:t xml:space="preserve">dantų ir burnos </w:t>
      </w:r>
      <w:r>
        <w:rPr>
          <w:szCs w:val="24"/>
          <w:lang w:eastAsia="lt-LT"/>
        </w:rPr>
        <w:t>ligų profilaktikos klausimais</w:t>
      </w:r>
      <w:r>
        <w:rPr>
          <w:color w:val="000000"/>
          <w:szCs w:val="24"/>
        </w:rPr>
        <w:t xml:space="preserve"> </w:t>
      </w:r>
      <w:r>
        <w:rPr>
          <w:szCs w:val="24"/>
          <w:lang w:eastAsia="lt-LT"/>
        </w:rPr>
        <w:t>paslaugą</w:t>
      </w:r>
      <w:r>
        <w:rPr>
          <w:color w:val="000000"/>
          <w:szCs w:val="24"/>
        </w:rPr>
        <w:t xml:space="preserve"> teikia gydytojas odontologas arba gydytojas odontologas specialistas, arba burnos higienistas </w:t>
      </w:r>
      <w:r>
        <w:rPr>
          <w:szCs w:val="24"/>
        </w:rPr>
        <w:t>ASPĮ, teikiančiose pirminės odontologinės sveikatos priežiūros paslaugas</w:t>
      </w:r>
      <w:r>
        <w:rPr>
          <w:color w:val="000000"/>
          <w:szCs w:val="24"/>
        </w:rPr>
        <w:t xml:space="preserve">. </w:t>
      </w:r>
    </w:p>
    <w:p>
      <w:pPr>
        <w:tabs>
          <w:tab w:val="left" w:pos="851"/>
        </w:tabs>
        <w:ind w:firstLine="851"/>
        <w:jc w:val="both"/>
        <w:rPr>
          <w:szCs w:val="24"/>
        </w:rPr>
      </w:pPr>
      <w:r>
        <w:rPr>
          <w:szCs w:val="24"/>
        </w:rPr>
        <w:t>7</w:t>
      </w:r>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p>
      <w:pPr>
        <w:ind w:left="360"/>
        <w:jc w:val="center"/>
        <w:rPr>
          <w:b/>
          <w:caps/>
          <w:color w:val="000000"/>
          <w:szCs w:val="24"/>
        </w:rPr>
      </w:pPr>
      <w:r>
        <w:rPr>
          <w:b/>
          <w:caps/>
          <w:color w:val="000000"/>
          <w:szCs w:val="24"/>
        </w:rPr>
        <w:t>II</w:t>
      </w:r>
      <w:r>
        <w:rPr>
          <w:b/>
          <w:caps/>
          <w:color w:val="000000"/>
          <w:szCs w:val="24"/>
        </w:rPr>
        <w:t xml:space="preserve"> SKYRIUS</w:t>
      </w:r>
    </w:p>
    <w:p>
      <w:pPr>
        <w:ind w:left="360" w:firstLine="60"/>
        <w:jc w:val="center"/>
        <w:rPr>
          <w:b/>
          <w:color w:val="000000"/>
          <w:szCs w:val="24"/>
        </w:rPr>
      </w:pPr>
      <w:r>
        <w:rPr>
          <w:b/>
          <w:caps/>
          <w:szCs w:val="24"/>
        </w:rPr>
        <w:t xml:space="preserve">profilaktinio VAIKų sveikatos tikrinimo </w:t>
      </w:r>
      <w:r>
        <w:rPr>
          <w:b/>
          <w:color w:val="000000"/>
          <w:szCs w:val="24"/>
        </w:rPr>
        <w:t xml:space="preserve">REIKALAVIMAI IR TVARKA </w:t>
      </w:r>
    </w:p>
    <w:p>
      <w:pPr>
        <w:ind w:left="360"/>
        <w:jc w:val="center"/>
        <w:rPr>
          <w:b/>
          <w:caps/>
          <w:color w:val="000000"/>
          <w:szCs w:val="24"/>
        </w:rPr>
      </w:pPr>
    </w:p>
    <w:p>
      <w:pPr>
        <w:tabs>
          <w:tab w:val="left" w:pos="851"/>
        </w:tabs>
        <w:ind w:right="181" w:firstLine="851"/>
        <w:jc w:val="both"/>
        <w:rPr>
          <w:szCs w:val="24"/>
        </w:rPr>
      </w:pPr>
      <w:r>
        <w:rPr>
          <w:szCs w:val="24"/>
        </w:rPr>
        <w:t>8</w:t>
      </w:r>
      <w:r>
        <w:rPr>
          <w:szCs w:val="24"/>
        </w:rPr>
        <w:t>. Profilaktinio vaikų sveikatos tikrinimo reikalavimai taikomi sveikatos priežiūrai ir profilaktiniam sveikatos tikrinimui, nustatyti Aprašo 1 priede.</w:t>
      </w:r>
    </w:p>
    <w:p>
      <w:pPr>
        <w:tabs>
          <w:tab w:val="left" w:pos="851"/>
        </w:tabs>
        <w:ind w:firstLine="851"/>
        <w:jc w:val="both"/>
        <w:rPr>
          <w:color w:val="000000"/>
          <w:szCs w:val="24"/>
        </w:rPr>
      </w:pPr>
      <w:r>
        <w:rPr>
          <w:color w:val="000000"/>
          <w:szCs w:val="24"/>
        </w:rPr>
        <w:t>9</w:t>
      </w:r>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p>
      <w:pPr>
        <w:ind w:firstLine="851"/>
        <w:jc w:val="both"/>
        <w:rPr>
          <w:color w:val="000000"/>
          <w:szCs w:val="24"/>
        </w:rPr>
      </w:pPr>
      <w:r>
        <w:rPr>
          <w:szCs w:val="24"/>
        </w:rPr>
        <w:t>10</w:t>
      </w:r>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p>
      <w:pPr>
        <w:ind w:right="-1" w:firstLine="851"/>
        <w:jc w:val="both"/>
        <w:rPr>
          <w:color w:val="000000"/>
          <w:szCs w:val="24"/>
        </w:rPr>
      </w:pPr>
      <w:r>
        <w:rPr>
          <w:color w:val="000000"/>
          <w:szCs w:val="24"/>
        </w:rPr>
        <w:t>11</w:t>
      </w:r>
      <w:r>
        <w:rPr>
          <w:color w:val="000000"/>
          <w:szCs w:val="24"/>
        </w:rPr>
        <w:t xml:space="preserve">. Fizinio pajėgumo grupė, kurioje vaikui rekomenduojama dalyvauti kūno kultūros pamokose, nustatoma vadovaujantis Lietuvos Respublikos švietimo ir mokslo ministerijos metodinėmis rekomendacijomis „Kūno kultūra silpnesnės sveikatos moksleiviams“ (1999 m., antrasis leidimas 2003 m). </w:t>
      </w:r>
    </w:p>
    <w:p>
      <w:pPr>
        <w:ind w:firstLine="851"/>
        <w:jc w:val="both"/>
        <w:rPr>
          <w:color w:val="000000"/>
          <w:szCs w:val="24"/>
        </w:rPr>
      </w:pPr>
      <w:r>
        <w:rPr>
          <w:color w:val="000000"/>
          <w:szCs w:val="24"/>
        </w:rPr>
        <w:t>12</w:t>
      </w:r>
      <w:r>
        <w:rPr>
          <w:color w:val="000000"/>
          <w:szCs w:val="24"/>
        </w:rPr>
        <w:t xml:space="preserve">. Vaikas, jo tėvai ar kiti atstovai pagal įstatymą </w:t>
      </w:r>
      <w:r>
        <w:rPr>
          <w:szCs w:val="24"/>
        </w:rPr>
        <w:t>ASPĮ</w:t>
      </w:r>
      <w:r>
        <w:rPr>
          <w:color w:val="000000"/>
          <w:szCs w:val="24"/>
        </w:rPr>
        <w:t xml:space="preserve"> informuojami apie higienos įgūdžius, o švietimo ar kitą ugdymo įstaigą lankančio vaiko tėvai ar kiti atstovai pagal įstatymą informuojami, kaip nuolat prižiūrėti odą, nagus, plaukus, kaip tikrinti dėl utėlių ir niežų.</w:t>
      </w:r>
    </w:p>
    <w:p>
      <w:pPr>
        <w:ind w:firstLine="851"/>
        <w:jc w:val="both"/>
        <w:rPr>
          <w:color w:val="000000"/>
          <w:szCs w:val="24"/>
        </w:rPr>
      </w:pPr>
      <w:r>
        <w:rPr>
          <w:color w:val="000000"/>
          <w:szCs w:val="24"/>
        </w:rPr>
        <w:t>13</w:t>
      </w:r>
      <w:r>
        <w:rPr>
          <w:color w:val="000000"/>
          <w:szCs w:val="24"/>
        </w:rPr>
        <w:t>. Duomenis apie profilaktinį vaiko sveikatos tikrinimą Aprašo 5 ir 6 punktuose bei Aprašo 1 priede nurodyti specialistai įrašo į Vaiko sveikatos raidos istoriją, kurios forma patvirtinta Lietuvos Respublikos sveikatos apsaugos ministro 2014 m. sausio 27 d. įsakymu Nr. V-120 „Dėl privalomų sveikatos statistikos apskaitos ir kitų tipinių formų bei privalomų sveikatos statistikos ataskaitų formų patvirtinimo“ (toliau – forma Nr. 025-112/a), saugomą ASPĮ, kurioje tikrinama vaiko sveikata.</w:t>
      </w:r>
    </w:p>
    <w:p>
      <w:pPr>
        <w:tabs>
          <w:tab w:val="left" w:pos="600"/>
        </w:tabs>
        <w:jc w:val="both"/>
        <w:rPr>
          <w:color w:val="000000"/>
          <w:szCs w:val="24"/>
        </w:rPr>
      </w:pPr>
    </w:p>
    <w:p>
      <w:pPr>
        <w:ind w:left="360"/>
        <w:jc w:val="center"/>
        <w:rPr>
          <w:b/>
          <w:caps/>
          <w:color w:val="000000"/>
          <w:szCs w:val="24"/>
        </w:rPr>
      </w:pPr>
      <w:r>
        <w:rPr>
          <w:b/>
          <w:caps/>
          <w:color w:val="000000"/>
          <w:szCs w:val="24"/>
        </w:rPr>
        <w:t>III</w:t>
      </w:r>
      <w:r>
        <w:rPr>
          <w:b/>
          <w:caps/>
          <w:color w:val="000000"/>
          <w:szCs w:val="24"/>
        </w:rPr>
        <w:t xml:space="preserve"> SKYRIUS</w:t>
      </w:r>
    </w:p>
    <w:p>
      <w:pPr>
        <w:ind w:left="360"/>
        <w:jc w:val="center"/>
        <w:rPr>
          <w:b/>
          <w:caps/>
          <w:color w:val="000000"/>
          <w:szCs w:val="24"/>
        </w:rPr>
      </w:pPr>
      <w:r>
        <w:rPr>
          <w:b/>
          <w:color w:val="000000"/>
          <w:szCs w:val="24"/>
        </w:rPr>
        <w:t xml:space="preserve">VAIKŲ PSICHOMOTORINĖS RAIDOS TIKRINIMO REIKALAVIMAI IR TVARKA </w:t>
      </w:r>
    </w:p>
    <w:p>
      <w:pPr>
        <w:ind w:left="360"/>
        <w:jc w:val="center"/>
        <w:rPr>
          <w:b/>
          <w:caps/>
          <w:color w:val="000000"/>
          <w:szCs w:val="24"/>
        </w:rPr>
      </w:pPr>
    </w:p>
    <w:p>
      <w:pPr>
        <w:ind w:firstLine="851"/>
        <w:jc w:val="both"/>
        <w:rPr>
          <w:color w:val="000000"/>
          <w:szCs w:val="24"/>
        </w:rPr>
      </w:pPr>
      <w:r>
        <w:rPr>
          <w:color w:val="000000"/>
          <w:szCs w:val="24"/>
        </w:rPr>
        <w:t>14</w:t>
      </w:r>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p>
      <w:pPr>
        <w:ind w:firstLine="851"/>
        <w:jc w:val="both"/>
        <w:rPr>
          <w:color w:val="000000"/>
          <w:szCs w:val="24"/>
        </w:rPr>
      </w:pPr>
      <w:r>
        <w:rPr>
          <w:color w:val="000000"/>
          <w:szCs w:val="24"/>
        </w:rPr>
        <w:t>15</w:t>
      </w:r>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p>
      <w:pPr>
        <w:ind w:firstLine="851"/>
        <w:jc w:val="both"/>
        <w:rPr>
          <w:color w:val="000000"/>
          <w:szCs w:val="24"/>
        </w:rPr>
      </w:pPr>
      <w:r>
        <w:rPr>
          <w:color w:val="000000"/>
          <w:szCs w:val="24"/>
        </w:rPr>
        <w:t>16</w:t>
      </w:r>
      <w:r>
        <w:rPr>
          <w:color w:val="000000"/>
          <w:szCs w:val="24"/>
        </w:rPr>
        <w:t xml:space="preserve">. Raidos tikrinimas pagal vaiko amžių ir įgūdžius nustatytas Vaiko psichomotorinės raidos tikrinimo lape (2 priedas). </w:t>
      </w:r>
    </w:p>
    <w:p>
      <w:pPr>
        <w:ind w:firstLine="851"/>
        <w:jc w:val="both"/>
        <w:rPr>
          <w:color w:val="000000"/>
          <w:szCs w:val="24"/>
        </w:rPr>
      </w:pPr>
      <w:r>
        <w:rPr>
          <w:color w:val="000000"/>
          <w:szCs w:val="24"/>
        </w:rPr>
        <w:t>17</w:t>
      </w:r>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p>
      <w:pPr>
        <w:ind w:firstLine="851"/>
        <w:jc w:val="both"/>
        <w:rPr>
          <w:color w:val="000000"/>
          <w:szCs w:val="24"/>
        </w:rPr>
      </w:pPr>
      <w:r>
        <w:rPr>
          <w:color w:val="000000"/>
          <w:szCs w:val="24"/>
        </w:rPr>
        <w:t>18</w:t>
      </w:r>
      <w:r>
        <w:rPr>
          <w:color w:val="000000"/>
          <w:szCs w:val="24"/>
        </w:rPr>
        <w:t xml:space="preserve">. Atitinkamo amžiaus vaiko raidos  įgūdžius, nurodytus Aprašo 2 priede, galima tikrinti ne eilės tvarka.</w:t>
      </w:r>
    </w:p>
    <w:p>
      <w:pPr>
        <w:ind w:firstLine="851"/>
        <w:jc w:val="both"/>
        <w:rPr>
          <w:color w:val="000000"/>
          <w:szCs w:val="24"/>
        </w:rPr>
      </w:pPr>
      <w:r>
        <w:rPr>
          <w:color w:val="000000"/>
          <w:szCs w:val="24"/>
        </w:rPr>
        <w:t>19</w:t>
      </w:r>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p>
      <w:pPr>
        <w:ind w:firstLine="851"/>
        <w:jc w:val="both"/>
        <w:rPr>
          <w:color w:val="000000"/>
          <w:szCs w:val="24"/>
        </w:rPr>
      </w:pPr>
      <w:r>
        <w:rPr>
          <w:color w:val="000000"/>
          <w:szCs w:val="24"/>
        </w:rPr>
        <w:t>20</w:t>
      </w:r>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p>
      <w:pPr>
        <w:ind w:firstLine="851"/>
        <w:jc w:val="both"/>
        <w:rPr>
          <w:color w:val="000000"/>
          <w:szCs w:val="24"/>
        </w:rPr>
      </w:pPr>
      <w:r>
        <w:rPr>
          <w:color w:val="000000"/>
          <w:szCs w:val="24"/>
        </w:rPr>
        <w:t>20.1</w:t>
      </w:r>
      <w:r>
        <w:rPr>
          <w:color w:val="000000"/>
          <w:szCs w:val="24"/>
        </w:rPr>
        <w:t>. jeigu vaikas atlieka vertinamo amžiaus tarpsnio užduotis, įrašo išvadą „Normali raida“ ir tėvams pateikia kito laikotarpio vaiko įgūdžių lavinimo rekomendacijas, informuoja apie kito tikrinimo terminą;</w:t>
      </w:r>
    </w:p>
    <w:p>
      <w:pPr>
        <w:ind w:firstLine="851"/>
        <w:jc w:val="both"/>
        <w:rPr>
          <w:color w:val="000000"/>
          <w:szCs w:val="24"/>
        </w:rPr>
      </w:pPr>
      <w:r>
        <w:rPr>
          <w:color w:val="000000"/>
          <w:szCs w:val="24"/>
        </w:rPr>
        <w:t>20.2</w:t>
      </w:r>
      <w:r>
        <w:rPr>
          <w:color w:val="000000"/>
          <w:szCs w:val="24"/>
        </w:rPr>
        <w:t>. jeigu vaikas neatlieka bent vienos iš vertinamo amžiaus tarpsnio užduočių, įrašo išvadą „Raidos sutrikimo rizika“.</w:t>
      </w:r>
    </w:p>
    <w:p>
      <w:pPr>
        <w:ind w:firstLine="851"/>
        <w:jc w:val="both"/>
        <w:rPr>
          <w:color w:val="000000"/>
          <w:szCs w:val="24"/>
        </w:rPr>
      </w:pPr>
      <w:r>
        <w:rPr>
          <w:color w:val="000000"/>
          <w:szCs w:val="24"/>
        </w:rPr>
        <w:t>21</w:t>
      </w:r>
      <w:r>
        <w:rPr>
          <w:color w:val="000000"/>
          <w:szCs w:val="24"/>
        </w:rPr>
        <w:t>. Vaiko psichomotorinės raidos tikrinimo lapai įklijuojami į Aprašo 5 punkte nurodyto gydytojo pildomą formą Nr. 025-112/a.</w:t>
      </w:r>
    </w:p>
    <w:p>
      <w:pPr>
        <w:ind w:firstLine="851"/>
        <w:jc w:val="both"/>
        <w:rPr>
          <w:color w:val="000000"/>
          <w:szCs w:val="24"/>
        </w:rPr>
      </w:pPr>
      <w:r>
        <w:rPr>
          <w:color w:val="000000"/>
          <w:szCs w:val="24"/>
        </w:rPr>
        <w:t>22</w:t>
      </w:r>
      <w:r>
        <w:rPr>
          <w:color w:val="000000"/>
          <w:szCs w:val="24"/>
        </w:rPr>
        <w:t>. Gydytojas su vaiko tėvais ar kitais vaiko atstovais pagal įstatymą aptaria kiekvieno raidos tikrinimo vertinimo rezultatus. Jei nustatoma raidos sutrikimo rizika, numatomas išsamesnis raidos vertinimas.</w:t>
      </w:r>
    </w:p>
    <w:p>
      <w:pPr>
        <w:ind w:firstLine="851"/>
        <w:jc w:val="both"/>
        <w:rPr>
          <w:color w:val="000000"/>
          <w:szCs w:val="24"/>
        </w:rPr>
      </w:pPr>
      <w:r>
        <w:rPr>
          <w:color w:val="000000"/>
          <w:szCs w:val="24"/>
        </w:rPr>
        <w:t>23</w:t>
      </w:r>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p>
      <w:pPr>
        <w:ind w:firstLine="851"/>
        <w:jc w:val="both"/>
        <w:rPr>
          <w:color w:val="000000"/>
          <w:szCs w:val="24"/>
        </w:rPr>
      </w:pPr>
      <w:r>
        <w:rPr>
          <w:color w:val="000000"/>
          <w:szCs w:val="24"/>
        </w:rPr>
        <w:t>24</w:t>
      </w:r>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p>
      <w:pPr>
        <w:ind w:firstLine="851"/>
        <w:jc w:val="both"/>
        <w:rPr>
          <w:color w:val="000000"/>
          <w:szCs w:val="24"/>
        </w:rPr>
      </w:pPr>
      <w:r>
        <w:rPr>
          <w:color w:val="000000"/>
          <w:szCs w:val="24"/>
        </w:rPr>
        <w:t>25</w:t>
      </w:r>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p>
      <w:pPr>
        <w:ind w:left="360"/>
        <w:jc w:val="center"/>
        <w:rPr>
          <w:caps/>
          <w:color w:val="000000"/>
          <w:szCs w:val="24"/>
        </w:rPr>
      </w:pPr>
      <w:r>
        <w:rPr>
          <w:b/>
          <w:caps/>
          <w:color w:val="000000"/>
          <w:szCs w:val="24"/>
        </w:rPr>
        <w:t>IV</w:t>
      </w:r>
      <w:r>
        <w:rPr>
          <w:b/>
          <w:caps/>
          <w:color w:val="000000"/>
          <w:szCs w:val="24"/>
        </w:rPr>
        <w:t xml:space="preserve"> SKYRIUS </w:t>
      </w:r>
    </w:p>
    <w:p>
      <w:pPr>
        <w:ind w:left="360"/>
        <w:jc w:val="center"/>
        <w:rPr>
          <w:b/>
          <w:caps/>
          <w:color w:val="000000"/>
          <w:szCs w:val="24"/>
        </w:rPr>
      </w:pPr>
      <w:r>
        <w:rPr>
          <w:b/>
          <w:caps/>
          <w:color w:val="000000"/>
          <w:szCs w:val="24"/>
        </w:rPr>
        <w:t>BAIGIAMOSIOS NUOSTATOS</w:t>
      </w:r>
    </w:p>
    <w:p>
      <w:pPr>
        <w:ind w:left="360"/>
        <w:jc w:val="center"/>
        <w:rPr>
          <w:b/>
          <w:caps/>
          <w:color w:val="000000"/>
          <w:szCs w:val="24"/>
        </w:rPr>
      </w:pPr>
    </w:p>
    <w:p>
      <w:pPr>
        <w:ind w:right="-1" w:firstLine="851"/>
        <w:jc w:val="both"/>
        <w:rPr>
          <w:color w:val="000000"/>
          <w:szCs w:val="24"/>
        </w:rPr>
      </w:pPr>
      <w:r>
        <w:rPr>
          <w:color w:val="000000"/>
          <w:szCs w:val="24"/>
        </w:rPr>
        <w:t>26</w:t>
      </w:r>
      <w:r>
        <w:rPr>
          <w:color w:val="000000"/>
          <w:szCs w:val="24"/>
        </w:rPr>
        <w:t>. Atlikus profilaktinį vaiko, lankančio švietimo ar kitą ugdymo įstaigą, sveikatos tikrinimą, išrašomas Vaiko sveikatos pažymėjimas, kuriame įrašomi reikiami duomenys, išvados ir rekomendacijos švietimo ar kitai ugdymo įstaigai.</w:t>
      </w:r>
    </w:p>
    <w:p>
      <w:pPr>
        <w:ind w:firstLine="851"/>
        <w:jc w:val="both"/>
        <w:rPr>
          <w:color w:val="000000"/>
          <w:szCs w:val="24"/>
        </w:rPr>
      </w:pPr>
      <w:r>
        <w:rPr>
          <w:color w:val="000000"/>
          <w:szCs w:val="24"/>
        </w:rPr>
        <w:t>27</w:t>
      </w:r>
      <w:r>
        <w:rPr>
          <w:color w:val="000000"/>
          <w:szCs w:val="24"/>
        </w:rPr>
        <w:t>. Jei medicininės priežastys, dėl kurių vaikui buvo rekomenduoti apribojimai (pvz., fizinis pajėgumas), išlieka ilgiau nei nustatytas Vaiko sveikatos pažymėjimo galiojimo laikas, vaikas (jo tėvai arba kiti atstovai pagal įstatymą) kreipiasi dėl naujo Vaiko sveikatos pažymėjimo išdavimo Aprašo II skyriuje nustatyta tvarka.</w:t>
      </w:r>
    </w:p>
    <w:p>
      <w:pPr>
        <w:ind w:firstLine="851"/>
        <w:jc w:val="both"/>
        <w:rPr>
          <w:color w:val="000000"/>
          <w:szCs w:val="24"/>
        </w:rPr>
      </w:pPr>
      <w:r>
        <w:rPr>
          <w:color w:val="000000"/>
          <w:szCs w:val="24"/>
        </w:rPr>
        <w:t>28</w:t>
      </w:r>
      <w:r>
        <w:rPr>
          <w:color w:val="000000"/>
          <w:szCs w:val="24"/>
        </w:rPr>
        <w:t>. Atlikus privalomą profilaktinį sveikatos tikrinimą švietimo ar kitą ugdymo įstaigą lankančiam vaikui (jo tėvams arba kitiems atstovams pagal įstatymą), ASPĮ išduoda užpildytą ir ASPĮ užregistruotą Vaiko sveikatos pažymėjimą, kurį vaikas (jo tėvai arba kiti atstovai pagal įstatymą) pateikia švietimo ar kitai ugdymo įstaigai.</w:t>
      </w:r>
    </w:p>
    <w:p>
      <w:pPr>
        <w:ind w:firstLine="851"/>
        <w:jc w:val="both"/>
        <w:rPr>
          <w:color w:val="000000"/>
          <w:szCs w:val="24"/>
        </w:rPr>
      </w:pPr>
      <w:r>
        <w:rPr>
          <w:color w:val="000000"/>
          <w:szCs w:val="24"/>
        </w:rPr>
        <w:t>29</w:t>
      </w:r>
      <w:r>
        <w:rPr>
          <w:color w:val="000000"/>
          <w:szCs w:val="24"/>
        </w:rPr>
        <w:t>. Jei reikia, muzikos, dailės mokyklai, vaikų poilsio stovyklai ar kitai ugdymo įstaigai išduodama Vaiko sveikatos pažymėjimo teisės aktų nustatyta tvarka patvirtinta kopija.</w:t>
      </w:r>
    </w:p>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r>
        <w:rPr>
          <w:color w:val="000000"/>
          <w:szCs w:val="24"/>
          <w:lang w:eastAsia="lt-LT"/>
        </w:rPr>
        <w:t>30</w:t>
      </w:r>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ind w:left="8640" w:right="-478"/>
        <w:rPr>
          <w:color w:val="000000"/>
          <w:szCs w:val="24"/>
        </w:rPr>
      </w:pPr>
      <w:r>
        <w:rPr>
          <w:color w:val="000000"/>
          <w:szCs w:val="24"/>
        </w:rPr>
        <w:t>Vaikų sveikatos tikrinimo tvarkos aprašo</w:t>
      </w:r>
    </w:p>
    <w:p>
      <w:pPr>
        <w:tabs>
          <w:tab w:val="left" w:pos="11057"/>
        </w:tabs>
        <w:ind w:left="8640"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p>
      <w:pPr>
        <w:tabs>
          <w:tab w:val="left" w:pos="945"/>
          <w:tab w:val="center" w:pos="6979"/>
        </w:tabs>
        <w:jc w:val="center"/>
        <w:rPr>
          <w:b/>
          <w:color w:val="000000"/>
          <w:szCs w:val="24"/>
        </w:rPr>
      </w:pPr>
      <w:r>
        <w:rPr>
          <w:b/>
          <w:szCs w:val="24"/>
        </w:rPr>
        <w:t xml:space="preserve">PROFILAKTINIO VAIKŲ SVEIKATOS TIKRINIMO </w:t>
      </w:r>
      <w:r>
        <w:rPr>
          <w:b/>
          <w:color w:val="000000"/>
          <w:szCs w:val="24"/>
        </w:rPr>
        <w:t>REIKALAVIMAI</w:t>
      </w:r>
    </w:p>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color w:val="000000"/>
                <w:szCs w:val="24"/>
              </w:rPr>
            </w:pPr>
            <w:r>
              <w:rPr>
                <w:color w:val="000000"/>
                <w:szCs w:val="24"/>
              </w:rPr>
              <w:t>Paauglys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widowControl w:val="0"/>
              <w:rPr>
                <w:color w:val="000000"/>
                <w:szCs w:val="24"/>
              </w:rPr>
            </w:pPr>
            <w:r>
              <w:rPr>
                <w:color w:val="000000"/>
                <w:szCs w:val="24"/>
              </w:rPr>
              <w:t>Gydytojas</w:t>
            </w:r>
          </w:p>
          <w:p>
            <w:pPr>
              <w:widowControl w:val="0"/>
              <w:rPr>
                <w:color w:val="000000"/>
                <w:szCs w:val="24"/>
              </w:rPr>
            </w:pPr>
          </w:p>
          <w:p>
            <w:pPr>
              <w:widowControl w:val="0"/>
              <w:rPr>
                <w:color w:val="000000"/>
                <w:szCs w:val="24"/>
              </w:rPr>
            </w:pPr>
          </w:p>
        </w:tc>
        <w:tc>
          <w:tcPr>
            <w:tcW w:w="4536" w:type="dxa"/>
          </w:tcPr>
          <w:p>
            <w:pPr>
              <w:rPr>
                <w:color w:val="000000"/>
                <w:szCs w:val="24"/>
              </w:rPr>
            </w:pPr>
            <w:r>
              <w:rPr>
                <w:color w:val="000000"/>
                <w:szCs w:val="24"/>
              </w:rPr>
              <w:t xml:space="preserve">5.1. Kiekvieno apsilankymo metu įvertinti paauglio sveikatos būklę, fizinę būklę, lytinį brendimą, augimą, nubrėžiant  asmenines ūgio ir svorio bei  svorio priklausomybės nuo ūgio kitimo kreives pagal lytį; įvertinti </w:t>
            </w:r>
            <w:r>
              <w:rPr>
                <w:color w:val="000000"/>
                <w:szCs w:val="24"/>
                <w:lang w:val="pl-PL"/>
              </w:rPr>
              <w:t xml:space="preserve">KMI, </w:t>
            </w:r>
            <w:r>
              <w:rPr>
                <w:color w:val="000000"/>
                <w:szCs w:val="24"/>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color w:val="000000"/>
                <w:szCs w:val="24"/>
              </w:rPr>
            </w:pPr>
            <w:r>
              <w:rPr>
                <w:color w:val="000000"/>
                <w:szCs w:val="24"/>
              </w:rPr>
              <w:t>5.1.1. asmens higienos;</w:t>
            </w:r>
          </w:p>
          <w:p>
            <w:pPr>
              <w:rPr>
                <w:color w:val="000000"/>
                <w:szCs w:val="24"/>
              </w:rPr>
            </w:pPr>
            <w:r>
              <w:rPr>
                <w:color w:val="000000"/>
                <w:szCs w:val="24"/>
              </w:rPr>
              <w:t>5.1.2. racionalios mitybos;</w:t>
            </w:r>
          </w:p>
          <w:p>
            <w:pPr>
              <w:tabs>
                <w:tab w:val="left" w:pos="600"/>
              </w:tabs>
              <w:rPr>
                <w:color w:val="000000"/>
                <w:szCs w:val="24"/>
              </w:rPr>
            </w:pPr>
            <w:r>
              <w:rPr>
                <w:color w:val="000000"/>
                <w:szCs w:val="24"/>
              </w:rPr>
              <w:t xml:space="preserve">5.1.3. miego ir budrumo režimo; </w:t>
            </w:r>
          </w:p>
          <w:p>
            <w:pPr>
              <w:tabs>
                <w:tab w:val="left" w:pos="600"/>
              </w:tabs>
              <w:rPr>
                <w:color w:val="000000"/>
                <w:szCs w:val="24"/>
              </w:rPr>
            </w:pPr>
            <w:r>
              <w:rPr>
                <w:color w:val="000000"/>
                <w:szCs w:val="24"/>
              </w:rPr>
              <w:t>5.1.4. burnos sveikatos;</w:t>
            </w:r>
          </w:p>
          <w:p>
            <w:pPr>
              <w:tabs>
                <w:tab w:val="left" w:pos="600"/>
              </w:tabs>
              <w:rPr>
                <w:color w:val="000000"/>
                <w:szCs w:val="24"/>
              </w:rPr>
            </w:pPr>
            <w:r>
              <w:rPr>
                <w:color w:val="000000"/>
                <w:szCs w:val="24"/>
              </w:rPr>
              <w:t>5.1.5. fizinio aktyvumo (rekomenduotina ne mažiau kaip 1 val. kasdien) lauke, ir sveiko gyvenimo būdo;</w:t>
            </w:r>
          </w:p>
          <w:p>
            <w:pPr>
              <w:rPr>
                <w:color w:val="000000"/>
                <w:szCs w:val="24"/>
              </w:rPr>
            </w:pPr>
            <w:r>
              <w:rPr>
                <w:color w:val="000000"/>
                <w:szCs w:val="24"/>
              </w:rPr>
              <w:t>5.1.6. regėjimo sutrikimų, sukeliamų darbo su videoterminalais, profilaktikos, taisyklingos laikysenos sėdint prie kompiuterio, darbo ir poilsio režimo;</w:t>
            </w:r>
          </w:p>
          <w:p>
            <w:pPr>
              <w:rPr>
                <w:color w:val="000000"/>
                <w:szCs w:val="24"/>
              </w:rPr>
            </w:pPr>
            <w:r>
              <w:rPr>
                <w:color w:val="000000"/>
                <w:szCs w:val="24"/>
              </w:rPr>
              <w:t>5.1.7. traumų, prievartos, uždusimo, paskendimo, apsinuodijimų, nudegimų ir kitų nelaimingų atsitikimų, saugaus elgesio kelyje ir kitoje aplinkoje profilaktiką, imunoprofilaktiką;</w:t>
            </w:r>
          </w:p>
          <w:p>
            <w:pPr>
              <w:rPr>
                <w:color w:val="000000"/>
                <w:szCs w:val="24"/>
              </w:rPr>
            </w:pPr>
            <w:r>
              <w:rPr>
                <w:color w:val="000000"/>
                <w:szCs w:val="24"/>
              </w:rPr>
              <w:t xml:space="preserve">5.1.8. žalingų sveikatai įpročių (alkoholio, nikotino ir narkotinių medžiagų vartojimo); </w:t>
            </w:r>
          </w:p>
          <w:p>
            <w:pPr>
              <w:tabs>
                <w:tab w:val="left" w:pos="851"/>
              </w:tabs>
              <w:rPr>
                <w:color w:val="000000"/>
                <w:szCs w:val="24"/>
                <w:lang w:val="en-US"/>
              </w:rPr>
            </w:pPr>
            <w:r>
              <w:rPr>
                <w:color w:val="000000"/>
                <w:szCs w:val="24"/>
              </w:rPr>
              <w:t>5.1.9. atsparumo rizikingai sveikatai elgsenai;</w:t>
            </w:r>
          </w:p>
          <w:p>
            <w:pPr>
              <w:tabs>
                <w:tab w:val="left" w:pos="851"/>
              </w:tabs>
              <w:rPr>
                <w:color w:val="000000"/>
                <w:szCs w:val="24"/>
              </w:rPr>
            </w:pPr>
            <w:r>
              <w:rPr>
                <w:color w:val="000000"/>
                <w:szCs w:val="24"/>
              </w:rPr>
              <w:t>5.1.10. lytinės elgsenos saugumo;</w:t>
            </w:r>
          </w:p>
          <w:p>
            <w:pPr>
              <w:rPr>
                <w:color w:val="000000"/>
                <w:szCs w:val="24"/>
              </w:rPr>
            </w:pPr>
            <w:r>
              <w:rPr>
                <w:color w:val="000000"/>
                <w:szCs w:val="24"/>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color w:val="000000"/>
                <w:szCs w:val="24"/>
              </w:rPr>
            </w:pPr>
            <w:r>
              <w:rPr>
                <w:color w:val="000000"/>
                <w:szCs w:val="24"/>
              </w:rPr>
              <w:t xml:space="preserve">Gydytojas </w:t>
            </w:r>
          </w:p>
          <w:p>
            <w:pPr>
              <w:widowControl w:val="0"/>
              <w:rPr>
                <w:color w:val="000000"/>
                <w:szCs w:val="24"/>
              </w:rPr>
            </w:pPr>
          </w:p>
        </w:tc>
        <w:tc>
          <w:tcPr>
            <w:tcW w:w="4536" w:type="dxa"/>
          </w:tcPr>
          <w:p>
            <w:pPr>
              <w:tabs>
                <w:tab w:val="left" w:pos="600"/>
              </w:tabs>
              <w:rPr>
                <w:color w:val="000000"/>
                <w:szCs w:val="24"/>
              </w:rPr>
            </w:pPr>
            <w:r>
              <w:rPr>
                <w:color w:val="000000"/>
                <w:szCs w:val="24"/>
              </w:rPr>
              <w:t>5.2. Atlikti ir įvertinti:</w:t>
            </w:r>
          </w:p>
          <w:p>
            <w:pPr>
              <w:rPr>
                <w:color w:val="000000"/>
                <w:szCs w:val="24"/>
              </w:rPr>
            </w:pPr>
            <w:r>
              <w:rPr>
                <w:color w:val="000000"/>
                <w:szCs w:val="24"/>
              </w:rPr>
              <w:t>5.2.1. bendrą kraujo tyrimą, jei yra šie rizikos veiksniai: neracionali mityba (ypač – vegetarams), gausios menstruacijos, vaikas sportuoja, gyvena blogomis socialinėmis sąlygomis, augimo spurto metu ir jei paauglys netenka kūno masės;</w:t>
            </w:r>
          </w:p>
          <w:p>
            <w:pPr>
              <w:rPr>
                <w:color w:val="000000"/>
                <w:szCs w:val="24"/>
              </w:rPr>
            </w:pPr>
            <w:r>
              <w:rPr>
                <w:color w:val="000000"/>
                <w:szCs w:val="24"/>
              </w:rPr>
              <w:t xml:space="preserve">5.2.2. kapiliarinės glikemijos tyrimą, jei yra šie </w:t>
            </w:r>
            <w:r>
              <w:rPr>
                <w:bCs/>
                <w:color w:val="000000"/>
                <w:szCs w:val="24"/>
              </w:rPr>
              <w:t>klinikiniai simptomai:</w:t>
            </w:r>
            <w:r>
              <w:rPr>
                <w:b/>
                <w:bCs/>
                <w:color w:val="000000"/>
                <w:szCs w:val="24"/>
              </w:rPr>
              <w:t xml:space="preserve"> </w:t>
            </w:r>
            <w:r>
              <w:rPr>
                <w:color w:val="000000"/>
                <w:szCs w:val="24"/>
              </w:rPr>
              <w:t xml:space="preserve">poliurija, polidipsija, svorio kritimas, nuovargis; </w:t>
            </w:r>
            <w:r>
              <w:rPr>
                <w:bCs/>
                <w:color w:val="000000"/>
                <w:szCs w:val="24"/>
              </w:rPr>
              <w:t>nuo 10 metų arba prasidėjus lytiniam brendimui</w:t>
            </w:r>
            <w:r>
              <w:rPr>
                <w:color w:val="000000"/>
                <w:szCs w:val="24"/>
              </w:rPr>
              <w:t>, kai KMI viršija 85 procentilę</w:t>
            </w:r>
            <w:r>
              <w:rPr>
                <w:b/>
                <w:bCs/>
                <w:color w:val="000000"/>
                <w:szCs w:val="24"/>
              </w:rPr>
              <w:t xml:space="preserve"> </w:t>
            </w:r>
            <w:r>
              <w:rPr>
                <w:bCs/>
                <w:color w:val="000000"/>
                <w:szCs w:val="24"/>
              </w:rPr>
              <w:t>ir</w:t>
            </w:r>
            <w:r>
              <w:rPr>
                <w:color w:val="000000"/>
                <w:szCs w:val="24"/>
              </w:rPr>
              <w:t xml:space="preserve"> </w:t>
            </w:r>
            <w:r>
              <w:rPr>
                <w:bCs/>
                <w:color w:val="000000"/>
                <w:szCs w:val="24"/>
              </w:rPr>
              <w:t>yra rizikos veiksnių</w:t>
            </w:r>
            <w:r>
              <w:rPr>
                <w:color w:val="000000"/>
                <w:szCs w:val="24"/>
              </w:rPr>
              <w:t xml:space="preserve">, tokių kaip cukrinis diabetas ir (ar) širdies kraujagyslių ligos šeimoje,  atsparumo insulinui požymių (juodoji akantozė, dislipidemija, hipertenzija, policistinių kiaušidžių sindromas);</w:t>
            </w:r>
          </w:p>
          <w:p>
            <w:pPr>
              <w:rPr>
                <w:color w:val="000000"/>
                <w:szCs w:val="24"/>
              </w:rPr>
            </w:pPr>
            <w:r>
              <w:rPr>
                <w:color w:val="000000"/>
                <w:szCs w:val="24"/>
                <w:lang w:val="en-US"/>
              </w:rPr>
              <w:t>visiems, kuri</w:t>
            </w:r>
            <w:r>
              <w:rPr>
                <w:color w:val="000000"/>
                <w:szCs w:val="24"/>
              </w:rPr>
              <w:t xml:space="preserve">ų </w:t>
            </w:r>
            <w:r>
              <w:rPr>
                <w:color w:val="000000"/>
                <w:szCs w:val="24"/>
                <w:lang w:val="en-US"/>
              </w:rPr>
              <w:t>KMI viršija 95 procentilę pagal amžių ir lytį</w:t>
            </w:r>
            <w:r>
              <w:rPr>
                <w:color w:val="000000"/>
                <w:szCs w:val="24"/>
              </w:rPr>
              <w:t>;</w:t>
            </w:r>
          </w:p>
          <w:p>
            <w:pPr>
              <w:rPr>
                <w:color w:val="000000"/>
                <w:szCs w:val="24"/>
              </w:rPr>
            </w:pPr>
            <w:r>
              <w:rPr>
                <w:color w:val="000000"/>
                <w:szCs w:val="24"/>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tabs>
                <w:tab w:val="left" w:pos="600"/>
              </w:tabs>
              <w:rPr>
                <w:color w:val="000000"/>
                <w:szCs w:val="24"/>
              </w:rPr>
            </w:pPr>
            <w:r>
              <w:rPr>
                <w:color w:val="000000"/>
                <w:szCs w:val="24"/>
              </w:rPr>
              <w:t>arba gydytojas odontologas specialistas</w:t>
            </w:r>
          </w:p>
        </w:tc>
        <w:tc>
          <w:tcPr>
            <w:tcW w:w="4536" w:type="dxa"/>
          </w:tcPr>
          <w:p>
            <w:pPr>
              <w:tabs>
                <w:tab w:val="left" w:pos="600"/>
              </w:tabs>
              <w:rPr>
                <w:color w:val="000000"/>
                <w:szCs w:val="24"/>
              </w:rPr>
            </w:pPr>
            <w:r>
              <w:rPr>
                <w:color w:val="000000"/>
                <w:szCs w:val="24"/>
              </w:rPr>
              <w:t xml:space="preserve">5.3. Atlikti dantų ėduonies diagnostiką, krūminių dantų silantavimą – priklausomai nuo dantų dygimo laiko, esant reikalui, pagydyti ar skirti gydymo laiką / siųsti gydyti. </w:t>
            </w:r>
          </w:p>
          <w:p>
            <w:pPr>
              <w:tabs>
                <w:tab w:val="left" w:pos="600"/>
              </w:tabs>
              <w:rPr>
                <w:color w:val="000000"/>
                <w:szCs w:val="24"/>
              </w:rPr>
            </w:pPr>
            <w:r>
              <w:rPr>
                <w:color w:val="000000"/>
                <w:szCs w:val="24"/>
              </w:rPr>
              <w:t xml:space="preserve">5.4. Įvertinti nuolatinių dantų sąkandį, nustatyti, ar nėra sąkandžio anomalijų, esant reikalui,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rPr>
                <w:color w:val="000000"/>
                <w:szCs w:val="24"/>
              </w:rPr>
            </w:pPr>
            <w:r>
              <w:rPr>
                <w:color w:val="000000"/>
                <w:szCs w:val="24"/>
              </w:rPr>
              <w:t xml:space="preserve">arba gydytojas odontologas specialistas, </w:t>
            </w:r>
          </w:p>
          <w:p>
            <w:pPr>
              <w:rPr>
                <w:color w:val="000000"/>
                <w:szCs w:val="24"/>
              </w:rPr>
            </w:pPr>
            <w:r>
              <w:rPr>
                <w:color w:val="000000"/>
                <w:szCs w:val="24"/>
              </w:rPr>
              <w:t xml:space="preserve">arba burnos higienistas </w:t>
            </w:r>
          </w:p>
        </w:tc>
        <w:tc>
          <w:tcPr>
            <w:tcW w:w="4536" w:type="dxa"/>
          </w:tcPr>
          <w:p>
            <w:pPr>
              <w:spacing w:line="480" w:lineRule="auto"/>
              <w:rPr>
                <w:color w:val="000000"/>
                <w:szCs w:val="24"/>
              </w:rPr>
            </w:pPr>
            <w:r>
              <w:rPr>
                <w:color w:val="000000"/>
                <w:szCs w:val="24"/>
              </w:rPr>
              <w:t xml:space="preserve">5.5. Atlikti dantų ėduonies profilaktiką. </w:t>
            </w:r>
          </w:p>
          <w:p>
            <w:pPr>
              <w:rPr>
                <w:sz w:val="10"/>
                <w:szCs w:val="10"/>
              </w:rPr>
            </w:pPr>
          </w:p>
          <w:p>
            <w:pPr>
              <w:tabs>
                <w:tab w:val="left" w:pos="600"/>
              </w:tabs>
              <w:rPr>
                <w:color w:val="000000"/>
                <w:szCs w:val="24"/>
              </w:rPr>
            </w:pPr>
            <w:r>
              <w:rPr>
                <w:color w:val="000000"/>
                <w:szCs w:val="24"/>
              </w:rPr>
              <w:t>5.6. Įvertinti burnos higienos būklę ir pamokyti burnos higienos ir racionalios mitybos pagrindų, informuoti apie deimantų ant dantų, auskarų liežuvyje žalą.</w:t>
            </w:r>
          </w:p>
          <w:p>
            <w:pPr>
              <w:tabs>
                <w:tab w:val="left" w:pos="600"/>
              </w:tabs>
              <w:rPr>
                <w:color w:val="000000"/>
                <w:szCs w:val="24"/>
              </w:rPr>
            </w:pP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tabs>
                <w:tab w:val="left" w:pos="600"/>
              </w:tabs>
              <w:rPr>
                <w:color w:val="000000"/>
                <w:szCs w:val="24"/>
              </w:rPr>
            </w:pPr>
            <w:r>
              <w:rPr>
                <w:color w:val="000000"/>
                <w:szCs w:val="24"/>
              </w:rPr>
              <w:t xml:space="preserve">5.7. Kiekvieno apsilankymo metu pamatuoti paauglio AKS, ūgį bei svorį ir šiuos duomenis įrašyti į asmeninę svorio priklausomybės nuo ūgio kitimo diagramą pagal lytį, apskaičiuoti </w:t>
            </w:r>
            <w:r>
              <w:rPr>
                <w:color w:val="000000"/>
                <w:szCs w:val="24"/>
                <w:lang w:val="pl-PL"/>
              </w:rPr>
              <w:t>KMI.</w:t>
            </w:r>
          </w:p>
          <w:p>
            <w:pPr>
              <w:tabs>
                <w:tab w:val="left" w:pos="600"/>
              </w:tabs>
              <w:rPr>
                <w:color w:val="000000"/>
                <w:szCs w:val="24"/>
              </w:rPr>
            </w:pPr>
            <w:r>
              <w:rPr>
                <w:color w:val="000000"/>
                <w:szCs w:val="24"/>
              </w:rPr>
              <w:t>5.8. Pagal amžiaus ir lyties ypatumus padėti paaugliui susiformuoti racionalios mitybos, fizinio aktyvumo, sveiko gyvenimo būdo nuostatas.</w:t>
            </w:r>
          </w:p>
          <w:p>
            <w:pPr>
              <w:tabs>
                <w:tab w:val="left" w:pos="600"/>
              </w:tabs>
              <w:rPr>
                <w:color w:val="000000"/>
                <w:szCs w:val="24"/>
              </w:rPr>
            </w:pPr>
            <w:r>
              <w:rPr>
                <w:color w:val="000000"/>
                <w:szCs w:val="24"/>
              </w:rPr>
              <w:t xml:space="preserve">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
      <w:pPr>
        <w:ind w:left="11907"/>
        <w:sectPr>
          <w:headerReference w:type="even" r:id="rId101"/>
          <w:headerReference w:type="default" r:id="rId102"/>
          <w:headerReference w:type="first" r:id="rId103"/>
          <w:pgSz w:w="16838" w:h="11906" w:orient="landscape" w:code="9"/>
          <w:pgMar w:top="539" w:right="1440" w:bottom="284" w:left="1134" w:header="284" w:footer="284" w:gutter="0"/>
          <w:pgNumType w:start="1"/>
          <w:cols w:space="708"/>
          <w:titlePg/>
          <w:docGrid w:linePitch="360"/>
        </w:sectPr>
      </w:pPr>
    </w:p>
    <w:p>
      <w:pPr>
        <w:ind w:left="11907"/>
        <w:rPr>
          <w:color w:val="000000"/>
          <w:szCs w:val="24"/>
        </w:rPr>
      </w:pPr>
      <w:r>
        <w:rPr>
          <w:color w:val="000000"/>
          <w:szCs w:val="24"/>
        </w:rPr>
        <w:t>Vaikų sveikatos</w:t>
      </w:r>
    </w:p>
    <w:p>
      <w:pPr>
        <w:ind w:left="11907" w:right="395"/>
        <w:rPr>
          <w:color w:val="000000"/>
          <w:szCs w:val="24"/>
        </w:rPr>
      </w:pPr>
      <w:r>
        <w:rPr>
          <w:color w:val="000000"/>
          <w:szCs w:val="24"/>
        </w:rPr>
        <w:t xml:space="preserve">tikrinimo tvarkos aprašo  </w:t>
      </w:r>
    </w:p>
    <w:p>
      <w:pPr>
        <w:ind w:left="11907"/>
        <w:rPr>
          <w:color w:val="000000"/>
          <w:szCs w:val="24"/>
        </w:rPr>
      </w:pPr>
      <w:r>
        <w:rPr>
          <w:color w:val="000000"/>
          <w:szCs w:val="24"/>
        </w:rPr>
        <w:t>2</w:t>
      </w:r>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p>
      <w:pPr>
        <w:jc w:val="center"/>
        <w:rPr>
          <w:color w:val="000000"/>
          <w:szCs w:val="24"/>
        </w:rPr>
      </w:pPr>
      <w:r>
        <w:rPr>
          <w:b/>
          <w:color w:val="000000"/>
          <w:szCs w:val="24"/>
        </w:rPr>
        <w:t xml:space="preserve">VAIKO PSICHOMOTORINĖS RAIDOS TIKRINIMO LAPAS (KŪDIKIS) </w:t>
      </w:r>
    </w:p>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7"/>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0"/>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1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1"/>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7"/>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8"/>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9"/>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2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0"/>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1"/>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2"/>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2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3"/>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3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4"/>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5"/>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r>
        <w:rPr>
          <w:color w:val="000000"/>
        </w:rPr>
        <w:t>4</w:t>
      </w:r>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r>
        <w:rPr>
          <w:b/>
          <w:caps/>
          <w:color w:val="000000"/>
        </w:rPr>
        <w:t>ŽEMĖS ŪKIO STOJANČIŲJŲ Į PROFESINIO MOKYMO MOKYKLAS IR ĮDARBINAMŲ NEPILNAMEČIŲ SVEIKATOS TIKRINIMO TVARKA</w:t>
      </w:r>
    </w:p>
    <w:p>
      <w:pPr>
        <w:ind w:left="709"/>
        <w:jc w:val="both"/>
        <w:rPr>
          <w:color w:val="000000"/>
        </w:rPr>
      </w:pPr>
    </w:p>
    <w:p>
      <w:pPr>
        <w:jc w:val="center"/>
        <w:rPr>
          <w:b/>
          <w:caps/>
          <w:color w:val="000000"/>
        </w:rPr>
      </w:pPr>
      <w:r>
        <w:rPr>
          <w:b/>
          <w:caps/>
          <w:color w:val="000000"/>
        </w:rPr>
        <w:t>I</w:t>
      </w:r>
      <w:r>
        <w:rPr>
          <w:b/>
          <w:caps/>
          <w:color w:val="000000"/>
        </w:rPr>
        <w:t xml:space="preserve">. </w:t>
      </w:r>
      <w:r>
        <w:rPr>
          <w:b/>
          <w:caps/>
          <w:color w:val="000000"/>
        </w:rPr>
        <w:t>BENDROSIOS NUOSTATOS</w:t>
      </w:r>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2" w:tgtFrame="_blank" w:history="1">
        <w:r>
          <w:rPr>
            <w:color w:val="0000FF" w:themeColor="hyperlink"/>
            <w:u w:val="single"/>
          </w:rPr>
          <w:t>87-2065</w:t>
        </w:r>
      </w:hyperlink>
      <w:r>
        <w:rPr>
          <w:color w:val="000000"/>
        </w:rPr>
        <w:t>).</w:t>
      </w:r>
    </w:p>
    <w:p>
      <w:pPr>
        <w:widowControl w:val="0"/>
        <w:ind w:firstLine="720"/>
        <w:jc w:val="both"/>
        <w:rPr>
          <w:color w:val="000000"/>
        </w:rPr>
      </w:pPr>
      <w:r>
        <w:rPr>
          <w:color w:val="000000"/>
        </w:rPr>
        <w:t>1</w:t>
      </w:r>
      <w:r>
        <w:rPr>
          <w:color w:val="000000"/>
        </w:rPr>
        <w:t>. Asmenys, stojantys mokytis į profesinio mokymo mokyklas, ir norintys įsidarbinti nepilnamečiai privalo tikrintis sveikatą.</w:t>
      </w:r>
    </w:p>
    <w:p>
      <w:pPr>
        <w:widowControl w:val="0"/>
        <w:ind w:firstLine="720"/>
        <w:jc w:val="both"/>
        <w:rPr>
          <w:color w:val="000000"/>
        </w:rPr>
      </w:pPr>
      <w:r>
        <w:rPr>
          <w:color w:val="000000"/>
        </w:rPr>
        <w:t>2</w:t>
      </w:r>
      <w:r>
        <w:rPr>
          <w:color w:val="000000"/>
        </w:rPr>
        <w:t>. Sveikatą tikrina pirminės sveikatos priežiūros įstaigos bendrosios praktikos gydytojas (BPG) arba apylinkės pediatras (terapeutas).</w:t>
      </w:r>
    </w:p>
    <w:p>
      <w:pPr>
        <w:widowControl w:val="0"/>
        <w:ind w:firstLine="720"/>
        <w:jc w:val="both"/>
        <w:rPr>
          <w:color w:val="000000"/>
        </w:rPr>
      </w:pPr>
      <w:r>
        <w:rPr>
          <w:color w:val="000000"/>
        </w:rPr>
        <w:t>3</w:t>
      </w:r>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3" w:tgtFrame="_blank" w:history="1">
        <w:r>
          <w:rPr>
            <w:color w:val="0000FF" w:themeColor="hyperlink"/>
            <w:u w:val="single"/>
          </w:rPr>
          <w:t>87-2065</w:t>
        </w:r>
      </w:hyperlink>
      <w:r>
        <w:rPr>
          <w:color w:val="000000"/>
        </w:rPr>
        <w:t>).</w:t>
      </w:r>
    </w:p>
    <w:p>
      <w:pPr>
        <w:widowControl w:val="0"/>
        <w:ind w:firstLine="720"/>
        <w:jc w:val="both"/>
        <w:rPr>
          <w:color w:val="000000"/>
        </w:rPr>
      </w:pPr>
      <w:r>
        <w:rPr>
          <w:color w:val="000000"/>
        </w:rPr>
        <w:t>4</w:t>
      </w:r>
      <w:r>
        <w:rPr>
          <w:color w:val="000000"/>
        </w:rPr>
        <w:t>. BPG ar apylinkės pediatras (terapeutas), tikrindamas sveikatą, turi teisę esant medicininių parodymų siųsti pas kitus specialistus, skirti papildomus tyrimus.</w:t>
      </w:r>
    </w:p>
    <w:p>
      <w:pPr>
        <w:widowControl w:val="0"/>
        <w:ind w:firstLine="720"/>
        <w:jc w:val="both"/>
        <w:rPr>
          <w:color w:val="000000"/>
        </w:rPr>
      </w:pPr>
      <w:r>
        <w:rPr>
          <w:color w:val="000000"/>
        </w:rPr>
        <w:t>5</w:t>
      </w:r>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p>
      <w:pPr>
        <w:jc w:val="center"/>
        <w:rPr>
          <w:b/>
          <w:caps/>
          <w:color w:val="000000"/>
        </w:rPr>
      </w:pPr>
      <w:r>
        <w:rPr>
          <w:b/>
          <w:caps/>
          <w:color w:val="000000"/>
        </w:rPr>
        <w:t>II</w:t>
      </w:r>
      <w:r>
        <w:rPr>
          <w:b/>
          <w:caps/>
          <w:color w:val="000000"/>
        </w:rPr>
        <w:t xml:space="preserve">. </w:t>
      </w:r>
      <w:r>
        <w:rPr>
          <w:b/>
          <w:caps/>
          <w:color w:val="000000"/>
        </w:rPr>
        <w:t>LIGOS, KURIOMIS SERGANT DRAUDŽIAMA STOTI Į PROFESINIO MOKYMO MOKYKLAS</w:t>
      </w:r>
    </w:p>
    <w:p>
      <w:pPr>
        <w:ind w:left="709"/>
        <w:jc w:val="both"/>
        <w:rPr>
          <w:color w:val="000000"/>
        </w:rPr>
      </w:pPr>
    </w:p>
    <w:p>
      <w:pPr>
        <w:widowControl w:val="0"/>
        <w:ind w:firstLine="720"/>
        <w:jc w:val="both"/>
        <w:rPr>
          <w:color w:val="000000"/>
        </w:rPr>
      </w:pPr>
      <w:r>
        <w:rPr>
          <w:color w:val="000000"/>
        </w:rPr>
        <w:t>6</w:t>
      </w:r>
      <w:r>
        <w:rPr>
          <w:color w:val="000000"/>
        </w:rPr>
        <w:t>. Bet kokios lokalizacijos tuberkuliozė, kuria sergant išskiriamos mikobakterijos.</w:t>
      </w:r>
    </w:p>
    <w:p>
      <w:pPr>
        <w:widowControl w:val="0"/>
        <w:ind w:firstLine="720"/>
        <w:jc w:val="both"/>
        <w:rPr>
          <w:color w:val="000000"/>
        </w:rPr>
      </w:pPr>
      <w:r>
        <w:rPr>
          <w:color w:val="000000"/>
        </w:rPr>
        <w:t>7</w:t>
      </w:r>
      <w:r>
        <w:rPr>
          <w:color w:val="000000"/>
        </w:rPr>
        <w:t>. Ūmios užkrečiamosios ligos (sprendžiama ligoniui pasveikus).</w:t>
      </w:r>
    </w:p>
    <w:p>
      <w:pPr>
        <w:ind w:left="709"/>
        <w:jc w:val="both"/>
        <w:rPr>
          <w:color w:val="000000"/>
        </w:rPr>
      </w:pPr>
    </w:p>
    <w:p>
      <w:pPr>
        <w:jc w:val="center"/>
        <w:rPr>
          <w:b/>
          <w:caps/>
          <w:color w:val="000000"/>
        </w:rPr>
      </w:pPr>
      <w:r>
        <w:rPr>
          <w:b/>
          <w:caps/>
          <w:color w:val="000000"/>
        </w:rPr>
        <w:t>III</w:t>
      </w:r>
      <w:r>
        <w:rPr>
          <w:b/>
          <w:caps/>
          <w:color w:val="000000"/>
        </w:rPr>
        <w:t xml:space="preserve">. </w:t>
      </w:r>
      <w:r>
        <w:rPr>
          <w:b/>
          <w:caps/>
          <w:color w:val="000000"/>
        </w:rPr>
        <w:t>PAPILDOMI LIGŲ IR BŪKLIŲ PRIEŠPARODYMAI STOJANT Į PROFESINIO MOKYMO MOKYKLAS</w:t>
      </w:r>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p>
      <w:pPr>
        <w:keepLines/>
        <w:widowControl w:val="0"/>
        <w:suppressAutoHyphens/>
        <w:ind w:left="5102"/>
        <w:sectPr>
          <w:headerReference w:type="even" r:id="rId44"/>
          <w:headerReference w:type="default" r:id="rId45"/>
          <w:footerReference w:type="even" r:id="rId46"/>
          <w:footerReference w:type="default" r:id="rId47"/>
          <w:headerReference w:type="first" r:id="rId48"/>
          <w:footerReference w:type="first" r:id="rId49"/>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r>
        <w:rPr>
          <w:color w:val="000000"/>
        </w:rPr>
        <w:t>5</w:t>
      </w:r>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r>
        <w:rPr>
          <w:b/>
          <w:bCs/>
          <w:caps/>
          <w:color w:val="000000"/>
        </w:rPr>
        <w:t>SPORTUOJANČIŲ ASMENŲ SVEIKATOS TIKRINIMO TVARKA</w:t>
      </w:r>
    </w:p>
    <w:p>
      <w:pPr>
        <w:widowControl w:val="0"/>
        <w:suppressAutoHyphens/>
        <w:ind w:firstLine="567"/>
        <w:jc w:val="both"/>
        <w:rPr>
          <w:color w:val="000000"/>
        </w:rPr>
      </w:pPr>
    </w:p>
    <w:p>
      <w:pPr>
        <w:keepLines/>
        <w:widowControl w:val="0"/>
        <w:suppressAutoHyphens/>
        <w:jc w:val="center"/>
        <w:rPr>
          <w:b/>
          <w:bCs/>
          <w:caps/>
          <w:color w:val="000000"/>
        </w:rPr>
      </w:pPr>
      <w:r>
        <w:rPr>
          <w:b/>
          <w:bCs/>
          <w:caps/>
          <w:color w:val="000000"/>
        </w:rPr>
        <w:t>I</w:t>
      </w:r>
      <w:r>
        <w:rPr>
          <w:b/>
          <w:bCs/>
          <w:caps/>
          <w:color w:val="000000"/>
        </w:rPr>
        <w:t xml:space="preserve">. </w:t>
      </w:r>
      <w:r>
        <w:rPr>
          <w:b/>
          <w:bCs/>
          <w:caps/>
          <w:color w:val="000000"/>
        </w:rPr>
        <w:t>BENROSIOS NUOSTATOS</w:t>
      </w:r>
    </w:p>
    <w:p>
      <w:pPr>
        <w:widowControl w:val="0"/>
        <w:suppressAutoHyphens/>
        <w:ind w:firstLine="567"/>
        <w:jc w:val="both"/>
        <w:rPr>
          <w:color w:val="000000"/>
        </w:rPr>
      </w:pPr>
    </w:p>
    <w:p>
      <w:pPr>
        <w:widowControl w:val="0"/>
        <w:suppressAutoHyphens/>
        <w:ind w:firstLine="567"/>
        <w:jc w:val="both"/>
        <w:rPr>
          <w:color w:val="000000"/>
        </w:rPr>
      </w:pPr>
      <w:r>
        <w:rPr>
          <w:color w:val="000000"/>
        </w:rPr>
        <w:t>1.1</w:t>
      </w:r>
      <w:r>
        <w:rPr>
          <w:color w:val="000000"/>
        </w:rPr>
        <w:t>. Asmenys, lankantys bet kokias organizuotas kūno kultūros ir sporto pratybas bei dalyvaujantys varžybose, privalo reguliariai tikrintis sveikatą.</w:t>
      </w:r>
    </w:p>
    <w:p>
      <w:pPr>
        <w:widowControl w:val="0"/>
        <w:suppressAutoHyphens/>
        <w:ind w:firstLine="567"/>
        <w:jc w:val="both"/>
        <w:rPr>
          <w:strike/>
          <w:color w:val="000000"/>
        </w:rPr>
      </w:pPr>
      <w:r>
        <w:rPr>
          <w:color w:val="000000"/>
        </w:rPr>
        <w:t>1.2</w:t>
      </w:r>
      <w:r>
        <w:rPr>
          <w:color w:val="000000"/>
        </w:rPr>
        <w:t>. Profilaktiškai sveikatą tikrina:</w:t>
      </w:r>
    </w:p>
    <w:p>
      <w:pPr>
        <w:widowControl w:val="0"/>
        <w:suppressAutoHyphens/>
        <w:ind w:firstLine="567"/>
        <w:jc w:val="both"/>
        <w:rPr>
          <w:color w:val="000000"/>
        </w:rPr>
      </w:pPr>
      <w:r>
        <w:rPr>
          <w:color w:val="000000"/>
        </w:rPr>
        <w:t>1.2.1</w:t>
      </w:r>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p>
      <w:pPr>
        <w:widowControl w:val="0"/>
        <w:suppressAutoHyphens/>
        <w:ind w:firstLine="567"/>
        <w:jc w:val="both"/>
        <w:rPr>
          <w:color w:val="000000"/>
        </w:rPr>
      </w:pPr>
      <w:r>
        <w:rPr>
          <w:color w:val="000000"/>
        </w:rPr>
        <w:t>1.2.2</w:t>
      </w:r>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p>
      <w:pPr>
        <w:widowControl w:val="0"/>
        <w:suppressAutoHyphens/>
        <w:ind w:firstLine="567"/>
        <w:jc w:val="both"/>
        <w:rPr>
          <w:color w:val="000000"/>
        </w:rPr>
      </w:pPr>
      <w:r>
        <w:rPr>
          <w:color w:val="000000"/>
        </w:rPr>
        <w:t>1.2.3</w:t>
      </w:r>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p>
      <w:pPr>
        <w:widowControl w:val="0"/>
        <w:suppressAutoHyphens/>
        <w:ind w:firstLine="567"/>
        <w:jc w:val="both"/>
        <w:rPr>
          <w:color w:val="000000"/>
        </w:rPr>
      </w:pPr>
      <w:r>
        <w:rPr>
          <w:color w:val="000000"/>
        </w:rPr>
        <w:t>1.2.4</w:t>
      </w:r>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5"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p>
      <w:pPr>
        <w:widowControl w:val="0"/>
        <w:suppressAutoHyphens/>
        <w:ind w:firstLine="567"/>
        <w:jc w:val="both"/>
        <w:rPr>
          <w:color w:val="000000"/>
        </w:rPr>
      </w:pPr>
      <w:r>
        <w:rPr>
          <w:color w:val="000000"/>
        </w:rPr>
        <w:t>1.3</w:t>
      </w:r>
      <w:r>
        <w:rPr>
          <w:color w:val="000000"/>
        </w:rPr>
        <w:t>. Sportininkų ir sportuotojų sveikatą tikrinantys sporto medicinos centrų sporto medicinos gydytojai arba šeimos medicinos paslaugas teikiantys gydytojai:</w:t>
      </w:r>
    </w:p>
    <w:p>
      <w:pPr>
        <w:widowControl w:val="0"/>
        <w:suppressAutoHyphens/>
        <w:ind w:firstLine="567"/>
        <w:jc w:val="both"/>
        <w:rPr>
          <w:color w:val="000000"/>
        </w:rPr>
      </w:pPr>
      <w:r>
        <w:rPr>
          <w:color w:val="000000"/>
        </w:rPr>
        <w:t>1.3.1</w:t>
      </w:r>
      <w:r>
        <w:rPr>
          <w:color w:val="000000"/>
        </w:rPr>
        <w:t>. įvertina tiriamojo sveikatos bei funkcinę būkles;</w:t>
      </w:r>
    </w:p>
    <w:p>
      <w:pPr>
        <w:widowControl w:val="0"/>
        <w:suppressAutoHyphens/>
        <w:ind w:firstLine="567"/>
        <w:jc w:val="both"/>
        <w:rPr>
          <w:color w:val="000000"/>
        </w:rPr>
      </w:pPr>
      <w:r>
        <w:rPr>
          <w:color w:val="000000"/>
        </w:rPr>
        <w:t>1.3.2</w:t>
      </w:r>
      <w:r>
        <w:rPr>
          <w:color w:val="000000"/>
        </w:rPr>
        <w:t>. siunčia, esant indikacijų, pas kitus specialistus konsultuotis ir tirtis;</w:t>
      </w:r>
    </w:p>
    <w:p>
      <w:pPr>
        <w:widowControl w:val="0"/>
        <w:suppressAutoHyphens/>
        <w:ind w:firstLine="567"/>
        <w:jc w:val="both"/>
        <w:rPr>
          <w:color w:val="000000"/>
        </w:rPr>
      </w:pPr>
      <w:r>
        <w:rPr>
          <w:color w:val="000000"/>
        </w:rPr>
        <w:t>1.3.3</w:t>
      </w:r>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p>
      <w:pPr>
        <w:widowControl w:val="0"/>
        <w:suppressAutoHyphens/>
        <w:ind w:firstLine="567"/>
        <w:jc w:val="both"/>
        <w:rPr>
          <w:color w:val="000000"/>
        </w:rPr>
      </w:pPr>
      <w:r>
        <w:rPr>
          <w:color w:val="000000"/>
        </w:rPr>
        <w:t>1.3.4</w:t>
      </w:r>
      <w:r>
        <w:rPr>
          <w:color w:val="000000"/>
        </w:rPr>
        <w:t>. pagal kompetenciją gydo sportininkus ir sportuotojus;</w:t>
      </w:r>
    </w:p>
    <w:p>
      <w:pPr>
        <w:widowControl w:val="0"/>
        <w:suppressAutoHyphens/>
        <w:ind w:firstLine="567"/>
        <w:jc w:val="both"/>
        <w:rPr>
          <w:color w:val="000000"/>
        </w:rPr>
      </w:pPr>
      <w:r>
        <w:rPr>
          <w:color w:val="000000"/>
        </w:rPr>
        <w:t>1.3.5</w:t>
      </w:r>
      <w:r>
        <w:rPr>
          <w:color w:val="000000"/>
        </w:rPr>
        <w:t>. sudėtingais atvejais pirminės sveikatos priežiūros įstaigos profilaktinę sveikatos patikrą atliekantys šeimos medicinos paslaugas teikiantys gydytojai siunčia sportuojančius asmenis į artimiausius sporto medicinos centrus.</w:t>
      </w:r>
    </w:p>
    <w:p>
      <w:pPr>
        <w:widowControl w:val="0"/>
        <w:suppressAutoHyphens/>
        <w:ind w:firstLine="567"/>
        <w:jc w:val="both"/>
        <w:rPr>
          <w:color w:val="000000"/>
        </w:rPr>
      </w:pPr>
      <w:r>
        <w:rPr>
          <w:color w:val="000000"/>
        </w:rPr>
        <w:t>1.4</w:t>
      </w:r>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p>
      <w:pPr>
        <w:widowControl w:val="0"/>
        <w:suppressAutoHyphens/>
        <w:ind w:firstLine="567"/>
        <w:jc w:val="both"/>
        <w:rPr>
          <w:color w:val="000000"/>
        </w:rPr>
      </w:pPr>
      <w:r>
        <w:rPr>
          <w:color w:val="000000"/>
        </w:rPr>
        <w:t>1.4.1</w:t>
      </w:r>
      <w:r>
        <w:rPr>
          <w:color w:val="000000"/>
        </w:rPr>
        <w:t>. nustato fizinį išsivystymą, funkcinių organizmo rezervų rodiklius, organizmo prisitaikymą prie pasirinktos sportinės veiklos bei fizinių krūvių;</w:t>
      </w:r>
    </w:p>
    <w:p>
      <w:pPr>
        <w:widowControl w:val="0"/>
        <w:suppressAutoHyphens/>
        <w:ind w:firstLine="567"/>
        <w:jc w:val="both"/>
        <w:rPr>
          <w:color w:val="000000"/>
        </w:rPr>
      </w:pPr>
      <w:r>
        <w:rPr>
          <w:color w:val="000000"/>
        </w:rPr>
        <w:t>1.4.2</w:t>
      </w:r>
      <w:r>
        <w:rPr>
          <w:color w:val="000000"/>
        </w:rPr>
        <w:t>. sudaro ir vykdo sportininkų organizmo atsigavimo po treniruočių krūvių skatinimo programas;</w:t>
      </w:r>
    </w:p>
    <w:p>
      <w:pPr>
        <w:widowControl w:val="0"/>
        <w:suppressAutoHyphens/>
        <w:ind w:firstLine="567"/>
        <w:jc w:val="both"/>
        <w:rPr>
          <w:color w:val="000000"/>
        </w:rPr>
      </w:pPr>
      <w:r>
        <w:rPr>
          <w:color w:val="000000"/>
        </w:rPr>
        <w:t>1.4.3</w:t>
      </w:r>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p>
      <w:pPr>
        <w:widowControl w:val="0"/>
        <w:suppressAutoHyphens/>
        <w:ind w:firstLine="567"/>
        <w:jc w:val="both"/>
        <w:rPr>
          <w:color w:val="000000"/>
        </w:rPr>
      </w:pPr>
      <w:r>
        <w:rPr>
          <w:color w:val="000000"/>
          <w:spacing w:val="-4"/>
        </w:rPr>
        <w:t>1.5</w:t>
      </w:r>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p>
      <w:pPr>
        <w:widowControl w:val="0"/>
        <w:suppressAutoHyphens/>
        <w:ind w:firstLine="567"/>
        <w:jc w:val="both"/>
        <w:rPr>
          <w:color w:val="000000"/>
          <w:spacing w:val="-9"/>
        </w:rPr>
      </w:pPr>
      <w:r>
        <w:rPr>
          <w:color w:val="000000"/>
          <w:spacing w:val="-9"/>
        </w:rPr>
        <w:t>1.6</w:t>
      </w:r>
      <w:r>
        <w:rPr>
          <w:color w:val="000000"/>
          <w:spacing w:val="-9"/>
        </w:rPr>
        <w:t>. Už sportininkų treniravimąsi ir dalyvavimą sporto varžybose be gydytojo leidimo atsako treneriai, varžybų vyriausieji teisėjai.</w:t>
      </w:r>
    </w:p>
    <w:p>
      <w:pPr>
        <w:widowControl w:val="0"/>
        <w:suppressAutoHyphens/>
        <w:ind w:firstLine="567"/>
        <w:jc w:val="both"/>
        <w:rPr>
          <w:color w:val="000000"/>
        </w:rPr>
      </w:pPr>
      <w:r>
        <w:rPr>
          <w:color w:val="000000"/>
          <w:spacing w:val="-9"/>
        </w:rPr>
        <w:t>1.7</w:t>
      </w:r>
      <w:r>
        <w:rPr>
          <w:color w:val="000000"/>
          <w:spacing w:val="-9"/>
        </w:rPr>
        <w:t>. Sportuojančių asmenų sveikatos priežiūros paslaugos, teikiamos sporto medicinos centruose, apmokamos iš valstybės biudžeto.</w:t>
      </w:r>
    </w:p>
    <w:p>
      <w:pPr>
        <w:widowControl w:val="0"/>
        <w:suppressAutoHyphens/>
        <w:ind w:firstLine="567"/>
        <w:jc w:val="both"/>
        <w:rPr>
          <w:color w:val="000000"/>
        </w:rPr>
      </w:pPr>
      <w:r>
        <w:rPr>
          <w:color w:val="000000"/>
        </w:rPr>
        <w:t>1.8</w:t>
      </w:r>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p>
      <w:pPr>
        <w:jc w:val="center"/>
        <w:rPr>
          <w:b/>
          <w:caps/>
        </w:rPr>
      </w:pPr>
      <w:r>
        <w:rPr>
          <w:b/>
        </w:rPr>
        <w:t>II</w:t>
      </w:r>
      <w:r>
        <w:rPr>
          <w:b/>
        </w:rPr>
        <w:t xml:space="preserve">. </w:t>
      </w:r>
      <w:r>
        <w:rPr>
          <w:b/>
          <w:caps/>
        </w:rPr>
        <w:t xml:space="preserve">ligų ir patologinių būsenų SĄRAŠAS, kurioms esant Ribojamas fizinis krŪvis arba nerekomenduojama sportuoti </w:t>
      </w:r>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p>
      <w:pPr>
        <w:jc w:val="center"/>
        <w:rPr>
          <w:b/>
        </w:rPr>
      </w:pPr>
      <w:r>
        <w:rPr>
          <w:b/>
        </w:rPr>
        <w:t>III</w:t>
      </w:r>
      <w:r>
        <w:rPr>
          <w:b/>
        </w:rPr>
        <w:t xml:space="preserve">. </w:t>
      </w:r>
      <w:r>
        <w:rPr>
          <w:b/>
        </w:rPr>
        <w:t xml:space="preserve">SPORTUOJANČIŲ ASMENŲ SVEIKATOS IŠTYRIMO PERIODIŠKUMAS </w:t>
      </w:r>
      <w:r>
        <w:rPr>
          <w:b/>
          <w:caps/>
        </w:rPr>
        <w:t>ir PASLAUGŲ MASTAS</w:t>
      </w:r>
      <w:r>
        <w:rPr>
          <w:b/>
        </w:rPr>
        <w:t xml:space="preserve"> </w:t>
      </w:r>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p>
      <w:pPr>
        <w:jc w:val="center"/>
        <w:rPr>
          <w:bCs/>
          <w:caps/>
        </w:rPr>
      </w:pPr>
      <w:r>
        <w:rPr>
          <w:b/>
          <w:bCs/>
          <w:caps/>
        </w:rPr>
        <w:t>IV</w:t>
      </w:r>
      <w:r>
        <w:rPr>
          <w:b/>
          <w:bCs/>
          <w:caps/>
        </w:rPr>
        <w:t xml:space="preserve">. </w:t>
      </w:r>
      <w:r>
        <w:rPr>
          <w:b/>
          <w:bCs/>
          <w:caps/>
        </w:rPr>
        <w:t>detalUs sporto medicinOs centruose teikiamų asmens sveikatos priežiūros paslaugų sąrašas</w:t>
      </w:r>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p>
      <w:pPr>
        <w:keepLines/>
        <w:widowControl w:val="0"/>
        <w:suppressAutoHyphens/>
        <w:jc w:val="center"/>
        <w:rPr>
          <w:b/>
          <w:bCs/>
          <w:caps/>
          <w:color w:val="000000"/>
        </w:rPr>
      </w:pPr>
      <w:r>
        <w:rPr>
          <w:b/>
          <w:bCs/>
          <w:caps/>
          <w:color w:val="000000"/>
        </w:rPr>
        <w:t>V</w:t>
      </w:r>
      <w:r>
        <w:rPr>
          <w:b/>
          <w:bCs/>
          <w:caps/>
          <w:color w:val="000000"/>
        </w:rPr>
        <w:t xml:space="preserve">. </w:t>
      </w:r>
      <w:r>
        <w:rPr>
          <w:b/>
          <w:bCs/>
          <w:caps/>
          <w:color w:val="000000"/>
        </w:rPr>
        <w:t>MEDICINOS PAGALBOS TEIKIMAS SPORTO RENGINIŲ, ĮSKAITANT MOKOMĄSIAS TRENIRUOČIŲ STOVYKLAS, METU</w:t>
      </w:r>
    </w:p>
    <w:p>
      <w:pPr>
        <w:widowControl w:val="0"/>
        <w:suppressAutoHyphens/>
        <w:ind w:firstLine="567"/>
        <w:jc w:val="both"/>
        <w:rPr>
          <w:color w:val="000000"/>
        </w:rPr>
      </w:pPr>
    </w:p>
    <w:p>
      <w:pPr>
        <w:widowControl w:val="0"/>
        <w:suppressAutoHyphens/>
        <w:ind w:firstLine="567"/>
        <w:jc w:val="both"/>
        <w:rPr>
          <w:color w:val="000000"/>
        </w:rPr>
      </w:pPr>
      <w:r>
        <w:rPr>
          <w:color w:val="000000"/>
        </w:rPr>
        <w:t>5.1</w:t>
      </w:r>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p>
      <w:pPr>
        <w:widowControl w:val="0"/>
        <w:suppressAutoHyphens/>
        <w:ind w:firstLine="567"/>
        <w:jc w:val="both"/>
        <w:rPr>
          <w:color w:val="000000"/>
        </w:rPr>
      </w:pPr>
      <w:r>
        <w:rPr>
          <w:color w:val="000000"/>
        </w:rPr>
        <w:t>5.2</w:t>
      </w:r>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p>
      <w:pPr>
        <w:widowControl w:val="0"/>
        <w:suppressAutoHyphens/>
        <w:ind w:firstLine="567"/>
        <w:jc w:val="both"/>
        <w:rPr>
          <w:color w:val="000000"/>
        </w:rPr>
      </w:pPr>
      <w:r>
        <w:rPr>
          <w:color w:val="000000"/>
        </w:rPr>
        <w:t>5.3</w:t>
      </w:r>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p>
      <w:pPr>
        <w:widowControl w:val="0"/>
        <w:suppressAutoHyphens/>
        <w:ind w:firstLine="567"/>
        <w:jc w:val="both"/>
        <w:rPr>
          <w:color w:val="000000"/>
        </w:rPr>
      </w:pPr>
      <w:r>
        <w:rPr>
          <w:color w:val="000000"/>
        </w:rPr>
        <w:t>5.4</w:t>
      </w:r>
      <w:r>
        <w:rPr>
          <w:color w:val="000000"/>
        </w:rPr>
        <w:t>. Sporto renginių organizatoriai sporto renginių metu privalo:</w:t>
      </w:r>
    </w:p>
    <w:p>
      <w:pPr>
        <w:widowControl w:val="0"/>
        <w:suppressAutoHyphens/>
        <w:ind w:firstLine="567"/>
        <w:jc w:val="both"/>
        <w:rPr>
          <w:color w:val="000000"/>
        </w:rPr>
      </w:pPr>
      <w:r>
        <w:rPr>
          <w:color w:val="000000"/>
        </w:rPr>
        <w:t>5.4.1</w:t>
      </w:r>
      <w:r>
        <w:rPr>
          <w:color w:val="000000"/>
        </w:rPr>
        <w:t>. užtikrinti reikiamą medicinos personalo skaičių, atsižvelgdami į sporto šaką, varžybų arba treniruočių stovyklos lygį ir dalyvių skaičių;</w:t>
      </w:r>
    </w:p>
    <w:p>
      <w:pPr>
        <w:widowControl w:val="0"/>
        <w:suppressAutoHyphens/>
        <w:ind w:firstLine="567"/>
        <w:jc w:val="both"/>
        <w:rPr>
          <w:color w:val="000000"/>
        </w:rPr>
      </w:pPr>
      <w:r>
        <w:rPr>
          <w:color w:val="000000"/>
        </w:rPr>
        <w:t>5.4.2</w:t>
      </w:r>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p>
      <w:pPr>
        <w:widowControl w:val="0"/>
        <w:suppressAutoHyphens/>
        <w:ind w:firstLine="567"/>
        <w:jc w:val="both"/>
        <w:rPr>
          <w:color w:val="000000"/>
        </w:rPr>
      </w:pPr>
      <w:r>
        <w:rPr>
          <w:color w:val="000000"/>
        </w:rPr>
        <w:t>5.4.3</w:t>
      </w:r>
      <w:r>
        <w:rPr>
          <w:color w:val="000000"/>
        </w:rPr>
        <w:t>. sudaryti medicinos personalui tinkamas darbo sąlygas;</w:t>
      </w:r>
    </w:p>
    <w:p>
      <w:pPr>
        <w:widowControl w:val="0"/>
        <w:suppressAutoHyphens/>
        <w:ind w:firstLine="567"/>
        <w:jc w:val="both"/>
        <w:rPr>
          <w:color w:val="000000"/>
          <w:spacing w:val="-2"/>
        </w:rPr>
      </w:pPr>
      <w:r>
        <w:rPr>
          <w:color w:val="000000"/>
          <w:spacing w:val="-2"/>
        </w:rPr>
        <w:t>5.4.4</w:t>
      </w:r>
      <w:r>
        <w:rPr>
          <w:color w:val="000000"/>
          <w:spacing w:val="-2"/>
        </w:rPr>
        <w:t>. užtikrinti sužeisto, susirgusio sportininko, sporto renginio organizatorių ir žiūrovų transportavimą į gydymo įstaigą;</w:t>
      </w:r>
    </w:p>
    <w:p>
      <w:pPr>
        <w:widowControl w:val="0"/>
        <w:suppressAutoHyphens/>
        <w:ind w:firstLine="567"/>
        <w:jc w:val="both"/>
        <w:rPr>
          <w:color w:val="000000"/>
        </w:rPr>
      </w:pPr>
      <w:r>
        <w:rPr>
          <w:color w:val="000000"/>
        </w:rPr>
        <w:t>5.4.5</w:t>
      </w:r>
      <w:r>
        <w:rPr>
          <w:color w:val="000000"/>
        </w:rPr>
        <w:t>. laiku atsiskaityti už suteiktas medicinos paslaugas sporto varžybų metu;</w:t>
      </w:r>
    </w:p>
    <w:p>
      <w:pPr>
        <w:widowControl w:val="0"/>
        <w:suppressAutoHyphens/>
        <w:ind w:firstLine="567"/>
        <w:jc w:val="both"/>
        <w:rPr>
          <w:color w:val="000000"/>
          <w:spacing w:val="-2"/>
        </w:rPr>
      </w:pPr>
      <w:r>
        <w:rPr>
          <w:color w:val="000000"/>
          <w:spacing w:val="-2"/>
        </w:rPr>
        <w:t>5.4.6</w:t>
      </w:r>
      <w:r>
        <w:rPr>
          <w:color w:val="000000"/>
          <w:spacing w:val="-2"/>
        </w:rPr>
        <w:t>. apmokėti įstaigai už sunaudotą tvarsliavą, įtvarus, medikamentus sporto varžybų metu, teikiant medicinos pagalbą.</w:t>
      </w:r>
    </w:p>
    <w:p>
      <w:pPr>
        <w:widowControl w:val="0"/>
        <w:suppressAutoHyphens/>
        <w:ind w:firstLine="567"/>
        <w:jc w:val="both"/>
        <w:rPr>
          <w:color w:val="000000"/>
        </w:rPr>
      </w:pPr>
      <w:r>
        <w:rPr>
          <w:color w:val="000000"/>
        </w:rPr>
        <w:t>5.5</w:t>
      </w:r>
      <w:r>
        <w:rPr>
          <w:color w:val="000000"/>
        </w:rPr>
        <w:t>. Sporto renginius aptarnaujantis medicinos personalas privalo:</w:t>
      </w:r>
    </w:p>
    <w:p>
      <w:pPr>
        <w:widowControl w:val="0"/>
        <w:suppressAutoHyphens/>
        <w:ind w:firstLine="567"/>
        <w:jc w:val="both"/>
        <w:rPr>
          <w:color w:val="000000"/>
        </w:rPr>
      </w:pPr>
      <w:r>
        <w:rPr>
          <w:color w:val="000000"/>
        </w:rPr>
        <w:t>5.5.1</w:t>
      </w:r>
      <w:r>
        <w:rPr>
          <w:color w:val="000000"/>
        </w:rPr>
        <w:t>. turėti pirmosios medicinos pagalbos medikamentus, tvarsliavą, įtvarus;</w:t>
      </w:r>
    </w:p>
    <w:p>
      <w:pPr>
        <w:widowControl w:val="0"/>
        <w:suppressAutoHyphens/>
        <w:ind w:firstLine="567"/>
        <w:jc w:val="both"/>
        <w:rPr>
          <w:color w:val="000000"/>
        </w:rPr>
      </w:pPr>
      <w:r>
        <w:rPr>
          <w:color w:val="000000"/>
        </w:rPr>
        <w:t>5.5.2</w:t>
      </w:r>
      <w:r>
        <w:rPr>
          <w:color w:val="000000"/>
        </w:rPr>
        <w:t>. turėti aiškius skiriamuosius ženklus;</w:t>
      </w:r>
    </w:p>
    <w:p>
      <w:pPr>
        <w:widowControl w:val="0"/>
        <w:suppressAutoHyphens/>
        <w:ind w:firstLine="567"/>
        <w:jc w:val="both"/>
        <w:rPr>
          <w:color w:val="000000"/>
        </w:rPr>
      </w:pPr>
      <w:r>
        <w:rPr>
          <w:color w:val="000000"/>
        </w:rPr>
        <w:t>5.5.3</w:t>
      </w:r>
      <w:r>
        <w:rPr>
          <w:color w:val="000000"/>
        </w:rPr>
        <w:t>. kvalifikuotai teikti neatidėliotiną medicinos pagalbą sporto varžybų metu;</w:t>
      </w:r>
    </w:p>
    <w:p>
      <w:pPr>
        <w:widowControl w:val="0"/>
        <w:suppressAutoHyphens/>
        <w:ind w:firstLine="567"/>
        <w:jc w:val="both"/>
        <w:rPr>
          <w:color w:val="000000"/>
        </w:rPr>
      </w:pPr>
      <w:r>
        <w:rPr>
          <w:color w:val="000000"/>
        </w:rPr>
        <w:t>5.5.4</w:t>
      </w:r>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p>
      <w:pPr>
        <w:widowControl w:val="0"/>
        <w:suppressAutoHyphens/>
        <w:ind w:firstLine="567"/>
        <w:jc w:val="both"/>
        <w:rPr>
          <w:color w:val="000000"/>
        </w:rPr>
      </w:pPr>
      <w:r>
        <w:rPr>
          <w:color w:val="000000"/>
        </w:rPr>
        <w:t>5.5.5</w:t>
      </w:r>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p>
      <w:pPr>
        <w:widowControl w:val="0"/>
        <w:suppressAutoHyphens/>
        <w:ind w:firstLine="567"/>
        <w:jc w:val="both"/>
        <w:rPr>
          <w:color w:val="000000"/>
        </w:rPr>
      </w:pPr>
      <w:r>
        <w:rPr>
          <w:color w:val="000000"/>
        </w:rPr>
        <w:t>5.6</w:t>
      </w:r>
      <w:r>
        <w:rPr>
          <w:color w:val="000000"/>
        </w:rPr>
        <w:t>. Sporto bazių, kuriose vyksta sporto renginiai, administracija visiškai atsako už jos patalpų, aikščių įrengimą ir inventoriaus kokybę bei saugumą sportuojančių asmenų ir žiūrovų sveikatai.</w:t>
      </w:r>
    </w:p>
    <w:p>
      <w:pPr>
        <w:widowControl w:val="0"/>
        <w:suppressAutoHyphens/>
        <w:ind w:firstLine="567"/>
        <w:jc w:val="both"/>
        <w:rPr>
          <w:color w:val="000000"/>
        </w:rPr>
      </w:pPr>
      <w:r>
        <w:rPr>
          <w:color w:val="000000"/>
        </w:rPr>
        <w:t>5.7</w:t>
      </w:r>
      <w:r>
        <w:rPr>
          <w:color w:val="000000"/>
        </w:rPr>
        <w:t>. Jei medicinos personalo darbuotojas yra sporto bazės darbuotojas, jis privalo turėti pirmosios medicinos pagalbos medikamentus, tvarsliavą, įtvarus bei teikti neatidėliotiną medicinos pagalbą pagal savo kompetenciją.</w:t>
      </w:r>
    </w:p>
    <w:p>
      <w:pPr>
        <w:widowControl w:val="0"/>
        <w:suppressAutoHyphens/>
        <w:ind w:firstLine="567"/>
        <w:jc w:val="both"/>
        <w:rPr>
          <w:color w:val="000000"/>
          <w:spacing w:val="-2"/>
        </w:rPr>
      </w:pPr>
      <w:r>
        <w:rPr>
          <w:color w:val="000000"/>
          <w:spacing w:val="-2"/>
        </w:rPr>
        <w:t>5.8</w:t>
      </w:r>
      <w:r>
        <w:rPr>
          <w:color w:val="000000"/>
          <w:spacing w:val="-2"/>
        </w:rPr>
        <w:t>. Sporto bazės budėtojas (ne medicinos darbuotojas) privalo turėti pirmosios pagalbos priemonių vaistinėlę, neštuvus.</w:t>
      </w:r>
    </w:p>
    <w:p>
      <w:pPr>
        <w:widowControl w:val="0"/>
        <w:suppressAutoHyphens/>
        <w:ind w:firstLine="567"/>
        <w:jc w:val="both"/>
        <w:rPr>
          <w:color w:val="000000"/>
        </w:rPr>
      </w:pPr>
      <w:r>
        <w:rPr>
          <w:color w:val="000000"/>
        </w:rPr>
        <w:t>5.9</w:t>
      </w:r>
      <w:r>
        <w:rPr>
          <w:color w:val="000000"/>
        </w:rPr>
        <w:t>. Pagal kiekvienos sporto šakos ar atskiros jos rungties sveikatos pažeidimo rizikos laipsnį skiriamas reikalingas medicinos personalas. Sporto šakos pagal pažeidimo lygį skirstomos į aukštos rizikos, vidutinės ir žemos rizikos:</w:t>
      </w:r>
    </w:p>
    <w:p>
      <w:pPr>
        <w:widowControl w:val="0"/>
        <w:suppressAutoHyphens/>
        <w:ind w:firstLine="567"/>
        <w:jc w:val="both"/>
        <w:rPr>
          <w:color w:val="000000"/>
        </w:rPr>
      </w:pPr>
      <w:r>
        <w:rPr>
          <w:color w:val="000000"/>
        </w:rPr>
        <w:t>5.9.1</w:t>
      </w:r>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p>
      <w:pPr>
        <w:widowControl w:val="0"/>
        <w:suppressAutoHyphens/>
        <w:ind w:firstLine="567"/>
        <w:jc w:val="both"/>
        <w:rPr>
          <w:color w:val="000000"/>
        </w:rPr>
      </w:pPr>
      <w:r>
        <w:rPr>
          <w:color w:val="000000"/>
        </w:rPr>
        <w:t>5.9.2</w:t>
      </w:r>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p>
      <w:pPr>
        <w:widowControl w:val="0"/>
        <w:suppressAutoHyphens/>
        <w:ind w:firstLine="567"/>
        <w:jc w:val="both"/>
        <w:rPr>
          <w:color w:val="000000"/>
        </w:rPr>
      </w:pPr>
      <w:r>
        <w:rPr>
          <w:color w:val="000000"/>
        </w:rPr>
        <w:t>5.9.3</w:t>
      </w:r>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p>
      <w:pPr>
        <w:widowControl w:val="0"/>
        <w:suppressAutoHyphens/>
        <w:ind w:firstLine="567"/>
        <w:jc w:val="both"/>
        <w:rPr>
          <w:color w:val="000000"/>
        </w:rPr>
      </w:pPr>
      <w:r>
        <w:rPr>
          <w:color w:val="000000"/>
        </w:rPr>
        <w:t>5.9.4</w:t>
      </w:r>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p>
      <w:pPr>
        <w:widowControl w:val="0"/>
        <w:suppressAutoHyphens/>
        <w:ind w:firstLine="567"/>
        <w:jc w:val="both"/>
        <w:rPr>
          <w:color w:val="000000"/>
        </w:rPr>
      </w:pPr>
      <w:r>
        <w:rPr>
          <w:color w:val="000000"/>
        </w:rPr>
        <w:t>5.10</w:t>
      </w:r>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p>
      <w:pPr>
        <w:widowControl w:val="0"/>
        <w:suppressAutoHyphens/>
        <w:ind w:firstLine="567"/>
        <w:jc w:val="both"/>
        <w:rPr>
          <w:color w:val="000000"/>
        </w:rPr>
      </w:pPr>
      <w:r>
        <w:rPr>
          <w:color w:val="000000"/>
        </w:rPr>
        <w:t>5.11</w:t>
      </w:r>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p>
      <w:pPr>
        <w:keepNext/>
        <w:keepLines/>
        <w:pageBreakBefore/>
        <w:widowControl w:val="0"/>
        <w:suppressAutoHyphens/>
        <w:ind w:firstLine="567"/>
        <w:jc w:val="both"/>
        <w:rPr>
          <w:color w:val="000000"/>
        </w:rPr>
      </w:pPr>
      <w:r>
        <w:rPr>
          <w:color w:val="000000"/>
        </w:rPr>
        <w:t>5.12</w:t>
      </w:r>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6" w:tgtFrame="_blank" w:history="1">
        <w:r>
          <w:rPr>
            <w:color w:val="0000FF" w:themeColor="hyperlink"/>
            <w:u w:val="single"/>
          </w:rPr>
          <w:t>79-3605</w:t>
        </w:r>
      </w:hyperlink>
      <w:r>
        <w:rPr>
          <w:color w:val="000000"/>
        </w:rPr>
        <w:t>) pateiktais pirmosios medicinos pagalbos vaistinėlių ir pirmosios pagalbos rinkinių aprašymais.</w:t>
      </w:r>
    </w:p>
    <w:p/>
    <w:p>
      <w:pPr>
        <w:jc w:val="center"/>
        <w:rPr>
          <w:color w:val="000000"/>
        </w:rPr>
      </w:pPr>
      <w:r>
        <w:t>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r>
        <w:rPr>
          <w:b/>
          <w:bCs/>
          <w:caps/>
          <w:szCs w:val="24"/>
          <w:lang w:val="en-US"/>
        </w:rPr>
        <w:t>NEINFEKCINIŲ LIGŲ PROFILAKTIKOS IR KONTROLĖS TVARKA</w:t>
      </w:r>
    </w:p>
    <w:p>
      <w:pPr>
        <w:ind w:left="1080"/>
        <w:rPr>
          <w:b/>
          <w:bCs/>
          <w:caps/>
          <w:szCs w:val="24"/>
        </w:rPr>
      </w:pPr>
    </w:p>
    <w:p>
      <w:pPr>
        <w:ind w:firstLine="312"/>
        <w:jc w:val="both"/>
        <w:rPr>
          <w:szCs w:val="24"/>
        </w:rPr>
      </w:pPr>
      <w:r>
        <w:rPr>
          <w:szCs w:val="24"/>
        </w:rPr>
        <w:t>1</w:t>
      </w:r>
      <w:r>
        <w:rPr>
          <w:szCs w:val="24"/>
        </w:rPr>
        <w:t xml:space="preserve">. Neinfekcinių ligų profilaktikos ir kontrolės tvarka (toliau – Tvarka) nustato įvairaus amžiaus grupių asmenų sveikatos tyrimų, vykdant neinfekcinių ligų profilaktiką ir kontrolę, apimtį ir dažnį. </w:t>
      </w:r>
    </w:p>
    <w:p>
      <w:pPr>
        <w:ind w:firstLine="312"/>
        <w:jc w:val="both"/>
        <w:rPr>
          <w:szCs w:val="24"/>
        </w:rPr>
      </w:pPr>
      <w:r>
        <w:rPr>
          <w:szCs w:val="24"/>
        </w:rPr>
        <w:t>2</w:t>
      </w:r>
      <w:r>
        <w:rPr>
          <w:szCs w:val="24"/>
        </w:rPr>
        <w:t>.</w:t>
      </w:r>
      <w:r>
        <w:rPr>
          <w:b/>
          <w:bCs/>
          <w:szCs w:val="24"/>
        </w:rPr>
        <w:t xml:space="preserve"> </w:t>
      </w:r>
      <w:r>
        <w:rPr>
          <w:szCs w:val="24"/>
        </w:rPr>
        <w:t>Tvarkoje nustatyti tyrimai atliekami atsižvelgiant į asmenų amžiaus grupes.</w:t>
      </w:r>
    </w:p>
    <w:p>
      <w:pPr>
        <w:tabs>
          <w:tab w:val="left" w:pos="426"/>
          <w:tab w:val="left" w:pos="6050"/>
        </w:tabs>
        <w:ind w:firstLine="312"/>
        <w:jc w:val="both"/>
        <w:rPr>
          <w:szCs w:val="24"/>
          <w:lang w:val="en-US"/>
        </w:rPr>
      </w:pPr>
      <w:r>
        <w:rPr>
          <w:szCs w:val="24"/>
        </w:rPr>
        <w:t>3</w:t>
      </w:r>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p>
      <w:pPr>
        <w:tabs>
          <w:tab w:val="left" w:pos="426"/>
          <w:tab w:val="left" w:pos="6050"/>
        </w:tabs>
        <w:ind w:firstLine="312"/>
        <w:jc w:val="both"/>
        <w:rPr>
          <w:szCs w:val="24"/>
          <w:lang w:val="en-US"/>
        </w:rPr>
      </w:pPr>
      <w:r>
        <w:rPr>
          <w:szCs w:val="24"/>
        </w:rPr>
        <w:t>4</w:t>
      </w:r>
      <w:r>
        <w:rPr>
          <w:szCs w:val="24"/>
        </w:rPr>
        <w:t>.Tvarkoje vartojamos sąvokos suprantamos taip, kaip apibrėžta įstatymuose.</w:t>
      </w:r>
    </w:p>
    <w:p>
      <w:pPr>
        <w:ind w:firstLine="312"/>
        <w:jc w:val="both"/>
        <w:rPr>
          <w:szCs w:val="24"/>
        </w:rPr>
      </w:pPr>
      <w:r>
        <w:rPr>
          <w:szCs w:val="24"/>
        </w:rPr>
        <w:t>5</w:t>
      </w:r>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r>
        <w:t>7</w:t>
      </w:r>
      <w:r>
        <w:t xml:space="preserve"> priedas</w:t>
      </w:r>
    </w:p>
    <w:p>
      <w:pPr>
        <w:jc w:val="both"/>
      </w:pPr>
    </w:p>
    <w:p>
      <w:pPr>
        <w:jc w:val="center"/>
        <w:rPr>
          <w:b/>
          <w:bCs/>
        </w:rPr>
      </w:pPr>
      <w:r>
        <w:rPr>
          <w:b/>
          <w:bCs/>
        </w:rPr>
        <w:t>VAIRUOTOJŲ SVEIKATOS TIKRINIMO REIKALAVIMŲ IR TVARKOS APRAŠAS</w:t>
      </w:r>
    </w:p>
    <w:p>
      <w:pPr>
        <w:jc w:val="center"/>
        <w:rPr>
          <w:b/>
          <w:bCs/>
        </w:rPr>
      </w:pPr>
    </w:p>
    <w:p>
      <w:pPr>
        <w:jc w:val="center"/>
        <w:rPr>
          <w:b/>
          <w:bCs/>
        </w:rPr>
      </w:pPr>
      <w:r>
        <w:rPr>
          <w:b/>
          <w:bCs/>
        </w:rPr>
        <w:t>I</w:t>
      </w:r>
      <w:r>
        <w:rPr>
          <w:b/>
          <w:bCs/>
        </w:rPr>
        <w:t xml:space="preserve">. </w:t>
      </w:r>
      <w:r>
        <w:rPr>
          <w:b/>
          <w:bCs/>
        </w:rPr>
        <w:t>BENDROSIOS NUOSTATOS</w:t>
      </w:r>
    </w:p>
    <w:p>
      <w:pPr>
        <w:ind w:firstLine="567"/>
        <w:jc w:val="both"/>
      </w:pPr>
    </w:p>
    <w:p>
      <w:pPr>
        <w:ind w:firstLine="567"/>
        <w:jc w:val="both"/>
      </w:pPr>
      <w:r>
        <w:t>1</w:t>
      </w:r>
      <w:r>
        <w:t>. Vairuotojų sveikatos tikrinimo tikslas – nustatyti, ar tikrinamo asmens sveikatos būklė atitinka minimalias fizinio ir psichikos tinkamumo normas, taikomas asmenims, siekiantiems vairuoti ir vairuojantiems atitinkamos kategorijos motorines transporto priemones arba jų junginius su priekaba ir (ar) traktorius, savaeiges mašinas ir mechanizmus.</w:t>
      </w:r>
    </w:p>
    <w:p>
      <w:pPr>
        <w:ind w:firstLine="567"/>
        <w:jc w:val="both"/>
      </w:pPr>
      <w:r>
        <w:t>2</w:t>
      </w:r>
      <w:r>
        <w:t>. Vairuotojų sveikatos tikrinimo reikalavimų ir tvarkos apraše (toliau – Aprašas) vartojamos sąvokos:</w:t>
      </w:r>
    </w:p>
    <w:p>
      <w:pPr>
        <w:ind w:firstLine="567"/>
        <w:jc w:val="both"/>
      </w:pPr>
      <w:r>
        <w:t>2.1</w:t>
      </w:r>
      <w:r>
        <w:t>. Transporto priemonė – priemonė žmonėms ir (arba) kroviniams, taip pat ant jos sumontuotai stacionariai įrangai vežti. Ši sąvoka taip pat apima traktorius, savaeiges mašinas ir eismui ne keliais skirtas transporto priemones.</w:t>
      </w:r>
    </w:p>
    <w:p>
      <w:pPr>
        <w:ind w:firstLine="567"/>
        <w:jc w:val="both"/>
      </w:pPr>
      <w:r>
        <w:t>2.2</w:t>
      </w:r>
      <w:r>
        <w:t>. Transporto priemonių vairuotojai, kurių kategorijos ir minimalus amžius, nuo kurio leidžiama įgyti teisę vairuoti, nurodyti 2 lentelėje, skirstomi į dvi grupes:</w:t>
      </w:r>
    </w:p>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r>
        <w:rPr>
          <w:szCs w:val="24"/>
        </w:rPr>
        <w:t>2.2.1</w:t>
      </w:r>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p>
      <w:pPr>
        <w:ind w:firstLine="567"/>
        <w:jc w:val="both"/>
      </w:pPr>
      <w:r>
        <w:t>2.2.2</w:t>
      </w:r>
      <w:r>
        <w:t>. 2 grupė – C1, C1E, C, CE, D1, D1E, D, DE ir T kategorijų transporto priemonių vairuotojai.</w:t>
      </w:r>
    </w:p>
    <w:p>
      <w:pPr>
        <w:ind w:firstLine="567"/>
        <w:jc w:val="both"/>
      </w:pPr>
      <w:r>
        <w:t>3</w:t>
      </w:r>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p>
      <w:pPr>
        <w:ind w:firstLine="567"/>
        <w:jc w:val="both"/>
      </w:pPr>
      <w:r>
        <w:t>4</w:t>
      </w:r>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p>
      <w:pPr>
        <w:ind w:firstLine="567"/>
        <w:jc w:val="both"/>
      </w:pPr>
      <w:r>
        <w:t>5</w:t>
      </w:r>
      <w:r>
        <w:t xml:space="preserve">. Kitos apraše vartojamos sąvokos atitinka Lietuvos Respublikos saugaus eismo automobilių keliais įstatyme (Žin., 2000, Nr. </w:t>
      </w:r>
      <w:hyperlink r:id="rId55" w:tgtFrame="_blank" w:history="1">
        <w:r>
          <w:rPr>
            <w:color w:val="0000FF" w:themeColor="hyperlink"/>
            <w:u w:val="single"/>
          </w:rPr>
          <w:t>92-2883</w:t>
        </w:r>
      </w:hyperlink>
      <w:r>
        <w:t xml:space="preserve">; 2007, Nr. </w:t>
      </w:r>
      <w:hyperlink r:id="rId56"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p>
      <w:pPr>
        <w:jc w:val="center"/>
        <w:rPr>
          <w:b/>
          <w:bCs/>
        </w:rPr>
      </w:pPr>
      <w:r>
        <w:rPr>
          <w:b/>
          <w:bCs/>
        </w:rPr>
        <w:t>II</w:t>
      </w:r>
      <w:r>
        <w:rPr>
          <w:b/>
          <w:bCs/>
        </w:rPr>
        <w:t xml:space="preserve">. </w:t>
      </w:r>
      <w:r>
        <w:rPr>
          <w:b/>
          <w:bCs/>
        </w:rPr>
        <w:t>SVEIKATOS TIKRINIMO REIKALAVIMAI IR TVARKA</w:t>
      </w:r>
    </w:p>
    <w:p>
      <w:pPr>
        <w:ind w:firstLine="567"/>
        <w:jc w:val="both"/>
      </w:pPr>
    </w:p>
    <w:p>
      <w:pPr>
        <w:ind w:firstLine="567"/>
        <w:jc w:val="both"/>
      </w:pPr>
      <w:r>
        <w:t>6</w:t>
      </w:r>
      <w:r>
        <w:t>. Visi kandidatai bei 1 ir 2 grupės ir joms prilyginti vairuotojai privalo tikrintis sveikatą prieš įgydami šią teisę bei vėliau periodiškai šiame Apraše nustatyta tvarka.</w:t>
      </w:r>
    </w:p>
    <w:p>
      <w:pPr>
        <w:ind w:firstLine="567"/>
        <w:jc w:val="both"/>
      </w:pPr>
      <w:r>
        <w:t>7</w:t>
      </w:r>
      <w:r>
        <w:t>. Vairuotojų sveikatos tikrinimas atliekamas įstaigoje, turinčioje licenciją teikti sveikatos priežiūros paslaugas.</w:t>
      </w:r>
    </w:p>
    <w:p>
      <w:pPr>
        <w:ind w:firstLine="567"/>
        <w:jc w:val="both"/>
      </w:pPr>
      <w:r>
        <w:t>8</w:t>
      </w:r>
      <w:r>
        <w:t>. Transporto priemonių vairuotojų sveikatos tikrinimo mastas ir periodiškumas nurodyti 1 lentelėje.</w:t>
      </w:r>
    </w:p>
    <w:p>
      <w:pPr>
        <w:ind w:firstLine="567"/>
        <w:jc w:val="both"/>
      </w:pPr>
      <w:r>
        <w:t>9</w:t>
      </w:r>
      <w:r>
        <w:t>. Kandidatai ir vairuotojai prieš sveikatos tikrinimą užpildo ir pasirašo Vairuotojo garbės deklaraciją (sveikatos patikrinimo klausimyną) (4 lentelė).</w:t>
      </w:r>
    </w:p>
    <w:p>
      <w:pPr>
        <w:ind w:firstLine="567"/>
        <w:jc w:val="both"/>
      </w:pPr>
      <w:r>
        <w:t>10</w:t>
      </w:r>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p>
      <w:pPr>
        <w:ind w:firstLine="567"/>
        <w:jc w:val="both"/>
      </w:pPr>
      <w:r>
        <w:t>10.1</w:t>
      </w:r>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p>
      <w:pPr>
        <w:ind w:firstLine="567"/>
        <w:jc w:val="both"/>
      </w:pPr>
      <w:r>
        <w:t>10.2</w:t>
      </w:r>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p>
      <w:pPr>
        <w:tabs>
          <w:tab w:val="left" w:pos="1560"/>
        </w:tabs>
        <w:ind w:firstLine="567"/>
        <w:jc w:val="both"/>
      </w:pPr>
      <w:r>
        <w:rPr>
          <w:szCs w:val="24"/>
        </w:rPr>
        <w:t>10.3</w:t>
      </w:r>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
      <w:pPr>
        <w:ind w:firstLine="567"/>
        <w:jc w:val="both"/>
      </w:pPr>
      <w:r>
        <w:t>11</w:t>
      </w:r>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p>
      <w:pPr>
        <w:ind w:firstLine="567"/>
        <w:jc w:val="both"/>
      </w:pPr>
      <w:r>
        <w:t>12</w:t>
      </w:r>
      <w:r>
        <w:t>. Pacientai, norintys tikrintis sveikatą SPĮ, kurioje prisirašė:</w:t>
      </w:r>
    </w:p>
    <w:p>
      <w:pPr>
        <w:ind w:firstLine="567"/>
        <w:jc w:val="both"/>
      </w:pPr>
      <w:r>
        <w:t>12.1</w:t>
      </w:r>
      <w:r>
        <w:t>. nurodo, kokių kategorijų transporto priemones nori vairuoti, ir pateikia asmens tapatybę patvirtinantį dokumentą;</w:t>
      </w:r>
    </w:p>
    <w:p>
      <w:pPr>
        <w:ind w:firstLine="567"/>
        <w:jc w:val="both"/>
      </w:pPr>
      <w:r>
        <w:t>12.2</w:t>
      </w:r>
      <w:r>
        <w:t>. pateikia vairuotojo pažymėjimą (tikrinantis pakartotinai);</w:t>
      </w:r>
    </w:p>
    <w:p>
      <w:pPr>
        <w:ind w:firstLine="567"/>
        <w:jc w:val="both"/>
      </w:pPr>
      <w:r>
        <w:t>12.3</w:t>
      </w:r>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57"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p>
      <w:pPr>
        <w:ind w:firstLine="567"/>
        <w:jc w:val="both"/>
      </w:pPr>
      <w:r>
        <w:t>13</w:t>
      </w:r>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p>
      <w:pPr>
        <w:ind w:firstLine="567"/>
        <w:jc w:val="both"/>
      </w:pPr>
      <w:r>
        <w:t>14</w:t>
      </w:r>
      <w:r>
        <w:t>. Neįgalieji, turintys išreikštų lokomotorinių sutrikimų, pateikia profesinių dirbtuvių (licencijuotų protezavimo įmonių) pažymą apie kontrolinį protezo tikrinimą po galūnės ar jos dalies protezavimo.</w:t>
      </w:r>
    </w:p>
    <w:p>
      <w:pPr>
        <w:ind w:firstLine="567"/>
        <w:jc w:val="both"/>
      </w:pPr>
      <w:r>
        <w:t>15</w:t>
      </w:r>
      <w:r>
        <w:t>. Traktorių ir savaeigių mašinų vairuotojų, dirbančių pagal darbo sutartis, tikrinimo tvarka nurodyta Aprašo 1 lentelės 4 dalyje.</w:t>
      </w:r>
    </w:p>
    <w:p>
      <w:pPr>
        <w:ind w:firstLine="567"/>
        <w:jc w:val="both"/>
      </w:pPr>
      <w:r>
        <w:t>16</w:t>
      </w:r>
      <w:r>
        <w:t>. Atlikus profilaktinį tikrinimą, išduodama Vairuotojo sveikatos patikrinimo medicininė pažyma (toliau – F Nr. 083-1/a).</w:t>
      </w:r>
    </w:p>
    <w:p>
      <w:pPr>
        <w:tabs>
          <w:tab w:val="left" w:pos="1560"/>
        </w:tabs>
        <w:ind w:firstLine="567"/>
        <w:jc w:val="both"/>
      </w:pPr>
      <w:r>
        <w:rPr>
          <w:szCs w:val="24"/>
        </w:rPr>
        <w:t>17</w:t>
      </w:r>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
      <w:pPr>
        <w:ind w:firstLine="567"/>
        <w:jc w:val="both"/>
      </w:pPr>
      <w:r>
        <w:t>18</w:t>
      </w:r>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p>
      <w:pPr>
        <w:ind w:firstLine="567"/>
        <w:jc w:val="both"/>
      </w:pPr>
      <w:r>
        <w:t>19</w:t>
      </w:r>
      <w:r>
        <w:t>. Galutinę išvadą į F Nr. 025/a įrašo, pasirašo ir patvirtina savo asmeniniu spaudu asmuo, įgaliotas asmens sveikatos priežiūros įstaigos vadovo įsakymu (komisijos pirmininkas).</w:t>
      </w:r>
    </w:p>
    <w:p>
      <w:pPr>
        <w:ind w:firstLine="567"/>
        <w:jc w:val="both"/>
      </w:pPr>
      <w:r>
        <w:t>20</w:t>
      </w:r>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p>
      <w:pPr>
        <w:ind w:firstLine="567"/>
        <w:jc w:val="both"/>
      </w:pPr>
      <w:r>
        <w:t>21</w:t>
      </w:r>
      <w:r>
        <w:t>. Vairuotojams, dirbantiems galimos profesinės rizikos sąlygomis (kenksmingų veiksnių poveikyje ir pavojingą darbą), išvada įrašoma ir į F Nr. 048/a, įsidarbinant – ir į Privalomo sveikatos patikrinimo medicininę pažymą (toliau – F Nr. 047/a).</w:t>
      </w:r>
    </w:p>
    <w:p>
      <w:pPr>
        <w:ind w:firstLine="567"/>
        <w:jc w:val="both"/>
      </w:pPr>
      <w:r>
        <w:t>22</w:t>
      </w:r>
      <w:r>
        <w:t>. Išvada apie tinkamumą vairuoti transporto priemones (nurodant kategoriją (-as) daroma, atsižvelgiant į šio Aprašo 3 lentelėje „Minimalios fizinio ir psichikos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p>
    <w:p>
      <w:pPr>
        <w:ind w:firstLine="567"/>
        <w:jc w:val="both"/>
      </w:pPr>
      <w:r>
        <w:t>23</w:t>
      </w:r>
      <w:r>
        <w:t>. Sveikatos tikrinimo duomenys registruojami sveikatos tikrinimo žurnale (ambulatorinių ligonių registravimo žurnalas) (toliau – F Nr. 074/a) ir patvirtinami sekretoriaus vardiniu spaudu ir parašu.</w:t>
      </w:r>
    </w:p>
    <w:p>
      <w:pPr>
        <w:ind w:firstLine="567"/>
        <w:jc w:val="both"/>
      </w:pPr>
      <w:r>
        <w:t>24</w:t>
      </w:r>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p>
      <w:pPr>
        <w:widowControl w:val="0"/>
        <w:suppressAutoHyphens/>
        <w:ind w:firstLine="567"/>
        <w:jc w:val="both"/>
      </w:pPr>
      <w:r>
        <w:rPr>
          <w:color w:val="000000"/>
        </w:rPr>
        <w:t>25</w:t>
      </w:r>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
      <w:pPr>
        <w:widowControl w:val="0"/>
        <w:suppressAutoHyphens/>
        <w:ind w:firstLine="567"/>
        <w:jc w:val="both"/>
      </w:pPr>
      <w:r>
        <w:rPr>
          <w:color w:val="000000"/>
        </w:rPr>
        <w:t>26</w:t>
      </w:r>
      <w:r>
        <w:rPr>
          <w:color w:val="000000"/>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color w:val="000000"/>
        </w:rPr>
        <w:t xml:space="preserve"> </w:t>
      </w:r>
      <w:r>
        <w:rPr>
          <w:color w:val="000000"/>
        </w:rPr>
        <w:t>darbo dienas raštu informuoja policijos komisariatą pagal tikrinamojo gyvenamąją vietą arba Lietuvos kelių policijos tarnybą, kad asmuo dėl sveikatos būklės vairuoti negali, nurodydamas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
      <w:pPr>
        <w:ind w:firstLine="567"/>
        <w:jc w:val="both"/>
      </w:pPr>
      <w:r>
        <w:t>27</w:t>
      </w:r>
      <w:r>
        <w:t>. Jei laminuojama, pažyma gali būti perpus mažesnė (10,5 cm x 14,8 cm). Medicininėje pažymoje įrašai turi būti įskaitomi, negalima jų taisyti.</w:t>
      </w:r>
    </w:p>
    <w:p>
      <w:pPr>
        <w:ind w:firstLine="567"/>
        <w:jc w:val="both"/>
      </w:pPr>
    </w:p>
    <w:p>
      <w:pPr>
        <w:jc w:val="center"/>
        <w:rPr>
          <w:b/>
          <w:bCs/>
        </w:rPr>
      </w:pPr>
      <w:r>
        <w:rPr>
          <w:b/>
          <w:bCs/>
        </w:rPr>
        <w:t>III</w:t>
      </w:r>
      <w:r>
        <w:rPr>
          <w:b/>
          <w:bCs/>
        </w:rPr>
        <w:t xml:space="preserve">. </w:t>
      </w:r>
      <w:r>
        <w:rPr>
          <w:b/>
          <w:bCs/>
        </w:rPr>
        <w:t>BAIGIAMOSIOS NUOSTATOS</w:t>
      </w:r>
    </w:p>
    <w:p>
      <w:pPr>
        <w:ind w:firstLine="567"/>
        <w:jc w:val="both"/>
      </w:pPr>
    </w:p>
    <w:p>
      <w:pPr>
        <w:ind w:firstLine="567"/>
        <w:jc w:val="both"/>
      </w:pPr>
      <w:r>
        <w:t>28</w:t>
      </w:r>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p>
      <w:pPr>
        <w:ind w:firstLine="567"/>
        <w:jc w:val="both"/>
      </w:pPr>
      <w:r>
        <w:t>29</w:t>
      </w:r>
      <w:r>
        <w:t>. Sudėtingais ir konfliktiniais (kai išvadai reikia priimti individualius sprendimus) atvejais apie tinkamumą vairuoti sprendžia Vairuotojų sveikatos tikrinimo komisija arba SPĮ GKK.</w:t>
      </w:r>
    </w:p>
    <w:p>
      <w:pPr>
        <w:ind w:firstLine="567"/>
        <w:jc w:val="both"/>
      </w:pPr>
      <w:r>
        <w:t>30</w:t>
      </w:r>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58" w:tgtFrame="_blank" w:history="1">
        <w:r>
          <w:rPr>
            <w:color w:val="0000FF" w:themeColor="hyperlink"/>
            <w:u w:val="single"/>
          </w:rPr>
          <w:t>13-308</w:t>
        </w:r>
      </w:hyperlink>
      <w:r>
        <w:t xml:space="preserve">; 2000, Nr. </w:t>
      </w:r>
      <w:hyperlink r:id="rId59" w:tgtFrame="_blank" w:history="1">
        <w:r>
          <w:rPr>
            <w:color w:val="0000FF" w:themeColor="hyperlink"/>
            <w:u w:val="single"/>
          </w:rPr>
          <w:t>85-2566</w:t>
        </w:r>
      </w:hyperlink>
      <w:r>
        <w:t>) nustatyta tvarka.</w:t>
      </w:r>
    </w:p>
    <w:p>
      <w:pPr>
        <w:jc w:val="both"/>
      </w:pPr>
    </w:p>
    <w:p>
      <w:pPr>
        <w:jc w:val="center"/>
      </w:pPr>
      <w:r>
        <w:t>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
      <w:pPr>
        <w:jc w:val="right"/>
      </w:pPr>
      <w:r>
        <w:rPr>
          <w:bCs/>
        </w:rPr>
        <w:t>2</w:t>
      </w:r>
      <w:r>
        <w:rPr>
          <w:bCs/>
        </w:rPr>
        <w:t xml:space="preserve"> </w:t>
      </w:r>
      <w:r>
        <w:t>lentelė</w:t>
      </w:r>
    </w:p>
    <w:p>
      <w:pPr>
        <w:jc w:val="both"/>
        <w:rPr>
          <w:bCs/>
        </w:rPr>
      </w:pPr>
    </w:p>
    <w:p>
      <w:pPr>
        <w:jc w:val="center"/>
        <w:rPr>
          <w:b/>
          <w:bCs/>
        </w:rPr>
      </w:pPr>
      <w:r>
        <w:rPr>
          <w:b/>
          <w:bCs/>
        </w:rPr>
        <w:t>TRANSPORTO PRIEMONIŲ KATEGORIJOS, MINIMALUS VAIRUOTOJŲ AMŽIUS</w:t>
      </w:r>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p>
      <w:pPr>
        <w:jc w:val="right"/>
      </w:pPr>
      <w:r>
        <w:t>3</w:t>
      </w:r>
      <w:r>
        <w:t xml:space="preserve"> lentelė</w:t>
      </w:r>
    </w:p>
    <w:p>
      <w:pPr>
        <w:jc w:val="both"/>
        <w:rPr>
          <w:bCs/>
        </w:rPr>
      </w:pPr>
    </w:p>
    <w:p>
      <w:pPr>
        <w:jc w:val="center"/>
        <w:rPr>
          <w:b/>
          <w:bCs/>
        </w:rPr>
      </w:pPr>
      <w:r>
        <w:rPr>
          <w:b/>
          <w:bCs/>
        </w:rPr>
        <w:t>MINIMALIOS FIZINIO IR PSICHIKOS TINKAMUMO NORMOS, TAIKOMOS ASMENIMS, VAIRUOJANTIEMS VARIKLIO VAROMĄ TRANSPORTO PRIEMONĘ</w:t>
      </w:r>
    </w:p>
    <w:p>
      <w:pPr>
        <w:jc w:val="both"/>
      </w:pPr>
    </w:p>
    <w:tbl>
      <w:tblPr>
        <w:tblW w:w="14740" w:type="dxa"/>
        <w:tblLayout w:type="fixed"/>
        <w:tblCellMar>
          <w:left w:w="40" w:type="dxa"/>
          <w:right w:w="40" w:type="dxa"/>
        </w:tblCellMar>
        <w:tblLook w:val="0000" w:firstRow="0" w:lastRow="0" w:firstColumn="0" w:lastColumn="0" w:noHBand="0" w:noVBand="0"/>
      </w:tblPr>
      <w:tblGrid>
        <w:gridCol w:w="880"/>
        <w:gridCol w:w="9120"/>
        <w:gridCol w:w="2370"/>
        <w:gridCol w:w="2370"/>
      </w:tblGrid>
      <w:tr>
        <w:trPr>
          <w:cantSplit/>
          <w:trHeight w:val="23"/>
          <w:tblHeader/>
        </w:trPr>
        <w:tc>
          <w:tcPr>
            <w:tcW w:w="880" w:type="dxa"/>
            <w:vMerge w:val="restart"/>
            <w:tcBorders>
              <w:top w:val="single" w:sz="6" w:space="0" w:color="auto"/>
              <w:left w:val="single" w:sz="6" w:space="0" w:color="auto"/>
              <w:right w:val="single" w:sz="6" w:space="0" w:color="auto"/>
            </w:tcBorders>
          </w:tcPr>
          <w:p>
            <w:pPr>
              <w:jc w:val="center"/>
              <w:rPr>
                <w:sz w:val="22"/>
              </w:rPr>
            </w:pPr>
            <w:r>
              <w:rPr>
                <w:sz w:val="22"/>
              </w:rPr>
              <w:t>Eil. Nr.</w:t>
            </w:r>
          </w:p>
        </w:tc>
        <w:tc>
          <w:tcPr>
            <w:tcW w:w="9120" w:type="dxa"/>
            <w:vMerge w:val="restart"/>
            <w:tcBorders>
              <w:top w:val="single" w:sz="6" w:space="0" w:color="auto"/>
              <w:left w:val="single" w:sz="6" w:space="0" w:color="auto"/>
              <w:right w:val="single" w:sz="6" w:space="0" w:color="auto"/>
            </w:tcBorders>
          </w:tcPr>
          <w:p>
            <w:pPr>
              <w:jc w:val="center"/>
              <w:rPr>
                <w:sz w:val="22"/>
              </w:rPr>
            </w:pPr>
            <w:r>
              <w:rPr>
                <w:sz w:val="22"/>
              </w:rPr>
              <w:t>Minimalios fizinio ir psichikos tinkamumo normos, taikomos asmenims, siekiantiems vairuoti ir vairuojantiems variklio varomą transporto priemonę</w:t>
            </w:r>
          </w:p>
          <w:p>
            <w:pPr>
              <w:jc w:val="center"/>
              <w:rPr>
                <w:sz w:val="22"/>
              </w:rPr>
            </w:pPr>
            <w:r>
              <w:rPr>
                <w:sz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sz w:val="22"/>
              </w:rPr>
            </w:pPr>
            <w:r>
              <w:rPr>
                <w:sz w:val="22"/>
              </w:rPr>
              <w:t>Transporto priemonių kurias vairuoti draudžiama, kategorijos bei apribojimų(žr. 5 lent.) kodai</w:t>
            </w:r>
          </w:p>
        </w:tc>
      </w:tr>
      <w:tr>
        <w:trPr>
          <w:cantSplit/>
          <w:trHeight w:val="23"/>
          <w:tblHeader/>
        </w:trPr>
        <w:tc>
          <w:tcPr>
            <w:tcW w:w="880" w:type="dxa"/>
            <w:vMerge/>
            <w:tcBorders>
              <w:left w:val="single" w:sz="6" w:space="0" w:color="auto"/>
              <w:bottom w:val="single" w:sz="6" w:space="0" w:color="auto"/>
              <w:right w:val="single" w:sz="6" w:space="0" w:color="auto"/>
            </w:tcBorders>
          </w:tcPr>
          <w:p>
            <w:pPr>
              <w:jc w:val="center"/>
              <w:rPr>
                <w:sz w:val="22"/>
              </w:rPr>
            </w:pPr>
          </w:p>
        </w:tc>
        <w:tc>
          <w:tcPr>
            <w:tcW w:w="9120"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cantSplit/>
          <w:trHeight w:val="23"/>
          <w:tblHeader/>
        </w:trPr>
        <w:tc>
          <w:tcPr>
            <w:tcW w:w="88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KLAUSA</w:t>
            </w:r>
          </w:p>
          <w:p>
            <w:pPr>
              <w:rPr>
                <w:sz w:val="22"/>
              </w:rPr>
            </w:pPr>
            <w:r>
              <w:rPr>
                <w:sz w:val="22"/>
              </w:rPr>
              <w:t>Vairuotojo pažymėjimai gali būti išduoti kandidatams į vairuotojus ar atnaujinti vairuotojams, priklausantiems 2 grupei, atsižvelgiant į gydytojo otorinolaringologo išvadas; medicininių patikrinimų metu ypač atsižvelgiama į kurtumo laipsnį.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Klausos susilpnėjimas (vienos arba abiejų ausų), kai kalba girdima mažesniu kaip 3 m, šnabždesys – 1 m atstumu, arba abiejų ausų klausos susilpnėjimas, kai kalba girdima mažesniu kaip 2 m atstumu: H90, H91, H93.3</w:t>
            </w:r>
          </w:p>
          <w:p>
            <w:pPr>
              <w:rPr>
                <w:b/>
                <w:bCs/>
                <w:sz w:val="22"/>
              </w:rPr>
            </w:pPr>
            <w:r>
              <w:rPr>
                <w:b/>
                <w:bCs/>
                <w:sz w:val="22"/>
              </w:rPr>
              <w:t>PASTABA:</w:t>
            </w:r>
          </w:p>
          <w:p>
            <w:pPr>
              <w:rPr>
                <w:sz w:val="22"/>
              </w:rPr>
            </w:pPr>
            <w:r>
              <w:rPr>
                <w:sz w:val="22"/>
              </w:rPr>
              <w:t>Vairuotojų, turinčių didelį stažą, klausimas sprendžiamas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Kurtumas viena ausimi ir klausos susilpnėjimas kita ausimi, kai kalba girdima mažesniu kaip 3 m atstumu arba šnabždesys – 1 m atstumu</w:t>
            </w:r>
          </w:p>
          <w:p>
            <w:pPr>
              <w:rPr>
                <w:b/>
                <w:bCs/>
                <w:sz w:val="22"/>
              </w:rPr>
            </w:pPr>
            <w:r>
              <w:rPr>
                <w:b/>
                <w:bCs/>
                <w:sz w:val="22"/>
              </w:rPr>
              <w:t>PASTABA:</w:t>
            </w:r>
          </w:p>
          <w:p>
            <w:pPr>
              <w:rPr>
                <w:sz w:val="22"/>
              </w:rPr>
            </w:pPr>
            <w:r>
              <w:rPr>
                <w:sz w:val="22"/>
              </w:rPr>
              <w:t>A; A1; AM; B; B1 ir BE kategorijų vairuotojams, turintiems didelį stažą individualiu sprendimu leidžiama vairuoti (be teisės dirbti pagal darbo sutartis vairuotoju)</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02</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Visiškas kurtumas, kurčnebylumas: H91.3, H91.9 </w:t>
            </w:r>
          </w:p>
          <w:p>
            <w:pPr>
              <w:rPr>
                <w:b/>
                <w:bCs/>
                <w:sz w:val="22"/>
              </w:rPr>
            </w:pPr>
            <w:r>
              <w:rPr>
                <w:b/>
                <w:bCs/>
                <w:sz w:val="22"/>
              </w:rPr>
              <w:t>PASTABA:</w:t>
            </w:r>
          </w:p>
          <w:p>
            <w:pPr>
              <w:rPr>
                <w:sz w:val="22"/>
              </w:rPr>
            </w:pPr>
            <w:r>
              <w:rPr>
                <w:sz w:val="22"/>
              </w:rPr>
              <w:t>Išimties tvarka, individualiu sprendimu, gydytojų komisija gali leisti vairuoti A; A1; A2; AM; B; B1 ir BE kategorijų (be teisės dirbti pagal darbo sutartis vairuotoju)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Lėtinis vienos arba abiejų ausų uždegimas, komplikuotas cholestestomos, granuliacijų, polipų, labirinto fistulės, taip pat nesant efekto po operacijos: H66.1, H66.2, H66.3, H66.4</w:t>
            </w:r>
          </w:p>
          <w:p>
            <w:pPr>
              <w:rPr>
                <w:b/>
                <w:bCs/>
                <w:sz w:val="22"/>
              </w:rPr>
            </w:pPr>
            <w:r>
              <w:rPr>
                <w:b/>
                <w:bCs/>
                <w:sz w:val="22"/>
              </w:rPr>
              <w:t>PASTABA:</w:t>
            </w:r>
          </w:p>
          <w:p>
            <w:pPr>
              <w:rPr>
                <w:sz w:val="22"/>
              </w:rPr>
            </w:pPr>
            <w:r>
              <w:rPr>
                <w:sz w:val="22"/>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ASMENYS SU JUDĖJIMO SUTRIKIMAIS</w:t>
            </w:r>
          </w:p>
          <w:p>
            <w:pPr>
              <w:rPr>
                <w:sz w:val="22"/>
                <w:szCs w:val="22"/>
              </w:rPr>
            </w:pPr>
            <w:r>
              <w:rPr>
                <w:sz w:val="22"/>
                <w:szCs w:val="22"/>
              </w:rPr>
              <w:t>Vairuotojo pažymėjimai neišduodami kandidatams į vairuotojus ar neatnaujinami vairuotojams, kurie skundžiasi judėjimo sistemos negalavimais ar sutrikimais, kurie kelia pavojų saugiam variklio varomos priemonės vairavimui.</w:t>
            </w:r>
          </w:p>
          <w:p>
            <w:pPr>
              <w:rPr>
                <w:sz w:val="22"/>
                <w:szCs w:val="22"/>
              </w:rPr>
            </w:pPr>
            <w:r>
              <w:rPr>
                <w:sz w:val="22"/>
                <w:szCs w:val="22"/>
              </w:rPr>
              <w:t>1 grupė:</w:t>
            </w:r>
          </w:p>
          <w:p>
            <w:pPr>
              <w:rPr>
                <w:sz w:val="22"/>
                <w:szCs w:val="22"/>
              </w:rPr>
            </w:pPr>
            <w:r>
              <w:rPr>
                <w:sz w:val="22"/>
                <w:szCs w:val="22"/>
              </w:rPr>
              <w:t>1. Vairuotojo pažymėjimai, kuriems taikomi tam tikri apribojimai, prireikus gali būti išduodami fiziškai neįgaliems kandidatams į vairuotojus ar vairuotojams po to, kai savo išvadą pateikia gydytojas ortopedas traumatologas arba chirurgas po fizinės medicinos ir reabilitacijos gydytojo bei techniko, dirbančio protezinių ortopedijos gaminių ir techninių priemonių pritaikymo įstaigose (institucijose), konsultacijos. Ši išvada turi remtis atitinkamo negalavimo ar sutrikimo medicininiu įvertinimu ir, jei būtina, praktiniu patikrinimu. Taip pat joje turi būti nurodyta, kokia automobilio modifikacija reikalinga ir ar vairuotojui reikalingas ortopedinis įrenginys, kuriuo naudojantis, kaip rodo įgūdžių ir elgsenos patikrinimas, vairavimas nekeltų pavojaus.</w:t>
            </w:r>
          </w:p>
          <w:p>
            <w:pPr>
              <w:rPr>
                <w:sz w:val="22"/>
                <w:szCs w:val="22"/>
              </w:rPr>
            </w:pPr>
            <w:r>
              <w:rPr>
                <w:sz w:val="22"/>
                <w:szCs w:val="22"/>
              </w:rPr>
              <w:t>2. Vairuotojo pažymėjimai bet kuriam kandidatui į vairuotojus su progresuojančia negalia gali būti išduodami ar atnaujinami tik tokiu atveju, jei toks asmuo reguliariai tikrinsis sveikatą kad būtų nustatyta, ar jis dar gali visiškai saugiai vairuoti transporto priemonę.</w:t>
            </w:r>
          </w:p>
          <w:p>
            <w:pPr>
              <w:rPr>
                <w:sz w:val="22"/>
                <w:szCs w:val="22"/>
              </w:rPr>
            </w:pPr>
            <w:r>
              <w:rPr>
                <w:sz w:val="22"/>
                <w:szCs w:val="22"/>
              </w:rPr>
              <w:t>Kai negalia neprogresuoja, vairuotojo pažymėjimas gali būti išduotas ar atnaujintas nereikalaujant reguliarios medicininės apžiūros.</w:t>
            </w:r>
          </w:p>
          <w:p>
            <w:pPr>
              <w:rPr>
                <w:sz w:val="22"/>
                <w:szCs w:val="22"/>
              </w:rPr>
            </w:pPr>
            <w:r>
              <w:rPr>
                <w:sz w:val="22"/>
                <w:szCs w:val="22"/>
              </w:rPr>
              <w:t>2 grupė:</w:t>
            </w:r>
          </w:p>
          <w:p>
            <w:pPr>
              <w:rPr>
                <w:sz w:val="22"/>
                <w:szCs w:val="22"/>
              </w:rPr>
            </w:pPr>
            <w:r>
              <w:rPr>
                <w:sz w:val="22"/>
                <w:szCs w:val="22"/>
              </w:rPr>
              <w:t>3. Gydytojai ir kiti specialistai, išvardinti 3.1 punkte,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Rankos, kojos, plaštakos, pėdos ar abiejų plaštakų, pėdų trūkumas, žymios deformacijos su lokomotorinės funkcijos sutrikimu: Z89.1, Z 89.2, Z 89.3, Z 89.4, Z 89.5, Z 89.6, Z 89.7, Z 89.8, Z 89.9 </w:t>
            </w:r>
          </w:p>
          <w:p>
            <w:pPr>
              <w:rPr>
                <w:sz w:val="22"/>
                <w:szCs w:val="22"/>
              </w:rPr>
            </w:pPr>
            <w:r>
              <w:rPr>
                <w:b/>
                <w:bCs/>
                <w:sz w:val="22"/>
                <w:szCs w:val="22"/>
              </w:rPr>
              <w:t xml:space="preserve">PASTABA: </w:t>
            </w:r>
            <w:r>
              <w:rPr>
                <w:sz w:val="22"/>
                <w:szCs w:val="22"/>
              </w:rPr>
              <w:t>Tik individualiam transportui be teisės dirbti pagal darbo sutartis vairuotoju.</w:t>
            </w:r>
          </w:p>
          <w:p>
            <w:pPr>
              <w:rPr>
                <w:sz w:val="22"/>
                <w:szCs w:val="22"/>
              </w:rPr>
            </w:pPr>
            <w:r>
              <w:rPr>
                <w:sz w:val="22"/>
                <w:szCs w:val="22"/>
              </w:rPr>
              <w:t>A; A1; A2; AM; B; B1 ir BE kategorijų vairuotojams turi būti nurodyta, kokia automobilio modifikacija reikalinga ir ar vairuotojui reikalingas ortopedinis įrenginys, kuriuo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rPr>
                <w:b/>
                <w:bCs/>
                <w:sz w:val="22"/>
                <w:szCs w:val="22"/>
              </w:rPr>
            </w:pPr>
            <w:r>
              <w:rPr>
                <w:b/>
                <w:bCs/>
                <w:sz w:val="22"/>
                <w:szCs w:val="22"/>
              </w:rPr>
              <w:t>PASTABA:</w:t>
            </w:r>
          </w:p>
          <w:p>
            <w:pPr>
              <w:rPr>
                <w:sz w:val="22"/>
                <w:szCs w:val="22"/>
              </w:rPr>
            </w:pPr>
            <w:r>
              <w:rPr>
                <w:sz w:val="22"/>
                <w:szCs w:val="22"/>
              </w:rPr>
              <w:t>A; A1; A2; AM; B; B1 ir BE kategorijų vairuotojams turi būti nurodytą kokia automobilio modifikacija reikalinga ir ar vairuotojui reikalingas ortopedinis įrenginys, kuriuo naudojantis, vairavimas nekeltų pavojaus. Apie galimybę vairuoti rankinio valdymo ar su automatine pavarų dėže automobilį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b/>
                <w:bCs/>
                <w:sz w:val="22"/>
                <w:szCs w:val="22"/>
              </w:rPr>
            </w:pPr>
            <w:r>
              <w:rPr>
                <w:sz w:val="22"/>
                <w:szCs w:val="22"/>
                <w:lang w:eastAsia="lt-LT"/>
              </w:rPr>
              <w:t>Dėl širdies ir kraujagyslių sistemos sutrikimų ar ligų gali staiga sutrikti cerebrinės funkcijos, o tai kelia pavojų kelių eismo saugumui. Atsižvelgiant į šiuos sutrikimus nustatomi šie laikini ar nuolatiniai vairavimo apribojimai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Vairuotojo pažymėjimai gali būti išduodami prie nurodytų grupių priskiriamiems kandidatams į vairuotojus arba atnaujinami vairuotojams, patyrusiems toliau išvardytus širdies ir kraujagyslių sistemų sutrikimus, tik po veiksmingo šių sutrikimų gydymo, jei tie asmenys turi atitinkamo gydytojo išvadą, kad gali vairuoti, ir jei atitinkamais atvejais reguliariai atliekamas tų asmenų sveikatos būklės vertinimas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(sinusinio mazgo disfunkciją ir laidumo sutrikimus) bei tachiaritmiją (prieširdžių ir skilvelinę aritmiją), kai dėl šių aritmijų patiriama sinkopė ar jos epizodai: I45.9, I45.3, I45.6, I49.0, I49.5, I47.0, I47.1, I47.2, I47.9</w:t>
            </w:r>
          </w:p>
          <w:p>
            <w:pPr>
              <w:rPr>
                <w:b/>
                <w:sz w:val="22"/>
                <w:szCs w:val="22"/>
                <w:lang w:eastAsia="lt-LT"/>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tachiaritmiją (prieširdžių ir skilvelinę aritmiją), sergantiems struktūrine širdies liga ir pasireiškiančią ilgalaike skilveline tachikardija arba skilvelių tachisistolija: I47.0, I47.1, I47.2, I47.9, I48.2</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simptominę anginą:</w:t>
            </w:r>
            <w:r>
              <w:rPr>
                <w:sz w:val="22"/>
                <w:szCs w:val="22"/>
              </w:rPr>
              <w:t xml:space="preserve"> I20</w:t>
            </w:r>
          </w:p>
          <w:p>
            <w:pPr>
              <w:rPr>
                <w:sz w:val="22"/>
                <w:szCs w:val="22"/>
              </w:rPr>
            </w:pPr>
            <w:r>
              <w:rPr>
                <w:sz w:val="22"/>
                <w:szCs w:val="22"/>
                <w:lang w:eastAsia="lt-LT"/>
              </w:rPr>
              <w:t xml:space="preserve">(I ir II funkcinės klasės atvejais 1 ir 2 grupės vairuotojams reikalingas šeimos gydytojo leidimas, o </w:t>
            </w:r>
            <w:r>
              <w:rPr>
                <w:sz w:val="22"/>
                <w:szCs w:val="22"/>
              </w:rPr>
              <w:t xml:space="preserve">III ir IV funkcinės klasės atvejais </w:t>
            </w: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 xml:space="preserve">sinkopę </w:t>
            </w:r>
            <w:r>
              <w:rPr>
                <w:sz w:val="22"/>
                <w:szCs w:val="22"/>
                <w:lang w:eastAsia="lt-LT"/>
              </w:rPr>
              <w:t>–</w:t>
            </w:r>
            <w:r>
              <w:rPr>
                <w:sz w:val="22"/>
                <w:szCs w:val="22"/>
              </w:rPr>
              <w:t xml:space="preserve"> trumpalaikį, greitai prasidedantį ir savaime praeinantį refleksinį sąmonės netekimą, kūno suglebimą, atsirandantį dėl nežinomų priežasčių, pablogėjus bendrajai smegenų kraujotakai, kai nėra duomenų, kad tokį sutrikimą lemtų širdies liga: </w:t>
            </w:r>
            <w:r>
              <w:rPr>
                <w:sz w:val="22"/>
                <w:szCs w:val="22"/>
                <w:lang w:eastAsia="lt-LT"/>
              </w:rPr>
              <w:t>R55</w:t>
            </w:r>
          </w:p>
          <w:p>
            <w:pPr>
              <w:rPr>
                <w:sz w:val="22"/>
                <w:szCs w:val="22"/>
              </w:rPr>
            </w:pPr>
            <w:r>
              <w:rPr>
                <w:sz w:val="22"/>
                <w:szCs w:val="22"/>
                <w:lang w:eastAsia="lt-LT"/>
              </w:rPr>
              <w:t>(1 ir 2 grupės vairuotojams reikalingas gydytojo kardiologo arba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ūmų koronarinį sindromą: I21, I22, I25.2</w:t>
            </w:r>
          </w:p>
          <w:p>
            <w:pPr>
              <w:rPr>
                <w:sz w:val="22"/>
                <w:szCs w:val="22"/>
                <w:lang w:eastAsia="lt-LT"/>
              </w:rPr>
            </w:pPr>
            <w:r>
              <w:rPr>
                <w:sz w:val="22"/>
                <w:szCs w:val="22"/>
                <w:lang w:eastAsia="lt-LT"/>
              </w:rPr>
              <w:t>(I25.2 atveju – per vienų metų laikotarpį patirtas miokardo infarktas)</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4.1.6.</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stabiliąją krūtinės anginą, jei simptomai nepasireiškia atliekant lengvus pratimus (I ir II funkcinės klasės atvejais): I20</w:t>
            </w:r>
          </w:p>
          <w:p>
            <w:pPr>
              <w:rPr>
                <w:sz w:val="22"/>
                <w:szCs w:val="22"/>
              </w:rPr>
            </w:pPr>
            <w:r>
              <w:rPr>
                <w:sz w:val="22"/>
                <w:szCs w:val="22"/>
                <w:lang w:eastAsia="lt-LT"/>
              </w:rPr>
              <w:t>(1 ir 2 grupės vairuotojams 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4.1.7.</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perkutaninė koronarinė intervencija: Z95.5</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4.1.8</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atliktas koronarinių arterijų šuntavimas: Z95.1</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4.1.9.</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ūminį/praeinantį (tranzitinį) smegenų išemijos priepuolį</w:t>
            </w:r>
            <w:r>
              <w:rPr>
                <w:sz w:val="22"/>
                <w:szCs w:val="22"/>
                <w:lang w:eastAsia="lt-LT"/>
              </w:rPr>
              <w:t>:</w:t>
            </w:r>
            <w:r>
              <w:rPr>
                <w:sz w:val="22"/>
                <w:szCs w:val="22"/>
              </w:rPr>
              <w:t xml:space="preserve"> G45, I63</w:t>
            </w:r>
          </w:p>
          <w:p>
            <w:pPr>
              <w:rPr>
                <w:sz w:val="22"/>
                <w:szCs w:val="22"/>
              </w:rPr>
            </w:pPr>
            <w:r>
              <w:rPr>
                <w:sz w:val="22"/>
                <w:szCs w:val="22"/>
                <w:lang w:eastAsia="lt-LT"/>
              </w:rPr>
              <w:t>(1 ir 2 grupės vairuotojams 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4.1.10.</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transplantacija: Z94.1</w:t>
            </w:r>
          </w:p>
          <w:p>
            <w:pPr>
              <w:rPr>
                <w:sz w:val="22"/>
                <w:szCs w:val="22"/>
              </w:rPr>
            </w:pPr>
            <w:r>
              <w:rPr>
                <w:sz w:val="22"/>
                <w:szCs w:val="22"/>
                <w:lang w:eastAsia="lt-LT"/>
              </w:rPr>
              <w:t xml:space="preserve">(1 ir 2 grupės vairuotojams reikalingas gydytojo kardiologo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vožtuvo operacija: Z95.2, Z95.4</w:t>
            </w:r>
          </w:p>
          <w:p>
            <w:pPr>
              <w:rPr>
                <w:sz w:val="22"/>
                <w:szCs w:val="22"/>
              </w:rPr>
            </w:pPr>
            <w:r>
              <w:rPr>
                <w:sz w:val="22"/>
                <w:szCs w:val="22"/>
                <w:lang w:eastAsia="lt-LT"/>
              </w:rPr>
              <w:t xml:space="preserve">(1 ir 2 grupės vairuotojams pirmus metus po operacijos reikalingas gydytojo kardiologo leidimas, vėliau – šeimos gydytojo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piktybinę hipertenziją, pasireiškiančią pakilusiu sistoliniu kraujospūdžiu (≥ 180 mmHg) arba diastoliniu kraujospūdžiu (≥ 110 mmHg) ir gręsiančiu ar laipsnišku organų pažeidimu: I10, I15</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turi įgimtą širdies ydą: Q20, Q21, Q24</w:t>
            </w:r>
          </w:p>
          <w:p>
            <w:pPr>
              <w:rPr>
                <w:sz w:val="22"/>
                <w:szCs w:val="22"/>
              </w:rPr>
            </w:pPr>
            <w:r>
              <w:rPr>
                <w:sz w:val="22"/>
                <w:szCs w:val="22"/>
                <w:lang w:eastAsia="lt-LT"/>
              </w:rPr>
              <w:t>(jeigu įgimta širdies yda yra hemodinamiškai reikšminga, 1 ir 2 grupės vairuotojams reikalingas gydytojo kardiologo leidimas, kitais atvejais –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 pakeistas defibriliatorius arba kurie patyrė tinkamą ar netinkamą defibriliatoriaus iškrovą: Z95.0</w:t>
            </w:r>
          </w:p>
          <w:p>
            <w:pPr>
              <w:rPr>
                <w:sz w:val="22"/>
                <w:szCs w:val="22"/>
                <w:lang w:eastAsia="lt-LT"/>
              </w:rPr>
            </w:pPr>
            <w:r>
              <w:rPr>
                <w:sz w:val="22"/>
                <w:szCs w:val="22"/>
                <w:lang w:eastAsia="lt-LT"/>
              </w:rPr>
              <w:t>(jeigu defibriliatorius implantuotas pirminei prevencijai, draudžiama vairuoti 4 sav. po implantacijos, o jeigu antrinei prevencijai – 3 mėn. po implantacijos. Po tikslingos</w:t>
            </w:r>
            <w:r>
              <w:rPr>
                <w:sz w:val="22"/>
                <w:szCs w:val="22"/>
              </w:rPr>
              <w:t xml:space="preserve"> </w:t>
            </w:r>
            <w:r>
              <w:rPr>
                <w:sz w:val="22"/>
                <w:szCs w:val="22"/>
                <w:lang w:eastAsia="lt-LT"/>
              </w:rPr>
              <w:t>defibriliatoriaus iškrovos draudžiama vairuoti 3 mėn., po netikslingos iškrovos draudžiama vairuoti, kol nebus pašalinta ją sukėlusi priežastis. Po defibriliatoriaus pakeitimo draudžiama vairuoti 1 sav., po laidų pakeitimo draudžiama vairuoti 4 sav.)</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II, III klasių pagal Niujorko širdies asociacijos (toliau – NYHA) klasifikaciją: I50</w:t>
            </w:r>
          </w:p>
          <w:p>
            <w:pPr>
              <w:rPr>
                <w:sz w:val="22"/>
                <w:szCs w:val="22"/>
              </w:rPr>
            </w:pPr>
            <w:r>
              <w:rPr>
                <w:sz w:val="22"/>
                <w:szCs w:val="22"/>
                <w:lang w:eastAsia="lt-LT"/>
              </w:rPr>
              <w:t xml:space="preserve">(I ir II funkcinės klasės atvejais reikalingas šeimos gydytojo leidimas, o </w:t>
            </w:r>
            <w:r>
              <w:rPr>
                <w:sz w:val="22"/>
                <w:szCs w:val="22"/>
              </w:rPr>
              <w:t xml:space="preserve">III funkcinės klasės atveju </w:t>
            </w:r>
            <w:r>
              <w:rPr>
                <w:sz w:val="22"/>
                <w:szCs w:val="22"/>
                <w:lang w:eastAsia="lt-LT"/>
              </w:rPr>
              <w:t>–</w:t>
            </w:r>
            <w:r>
              <w:rPr>
                <w:sz w:val="22"/>
                <w:szCs w:val="22"/>
              </w:rPr>
              <w:t xml:space="preserve"> </w:t>
            </w:r>
            <w:r>
              <w:rPr>
                <w:sz w:val="22"/>
                <w:szCs w:val="22"/>
                <w:lang w:eastAsia="lt-LT"/>
              </w:rPr>
              <w:t>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4.1.16.</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naudoja širdies veiklą palaikančią priemonę (prietaisą) (dirbtinį skilvelį ilgalaikei mechaninei asistuojančiai kraujotakai palaikyti): Z95.8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4.1.17.</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hipertrofinę kardiomiopatiją, jei nepasireiškia sinkopė: I42, I42.1, I42.2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4.1.18.</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arba didesniu kaip 500 ms QTc: I49.8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4.1.19.</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simptominę sinusinio mazgo disfunkciją ir laidumo sutrikimus su antrojo laipsnio Mobico II tipo atrioventrikuline (AV) blokada, trečiojo laipsnio AV blokada arba intermituojančia Hiso pluošto kojyčių blokada: I44.1, I44.2, I44.7, I49.5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4.1.20.</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pavojingą tachiaritmiją (polimorfinę trumpalaikę skilvelinę tachikardiją ar ilgalaikę skilvelinę tachikardiją) arba būklę, kai rekomenduojamas defibriliatoriaus implantavimas: I47.0, I47.2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arba pakeistas nuolatinis širdies stimuliatorius: Z95.0</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didelę miego arterijos stenozę: I65.2</w:t>
            </w:r>
          </w:p>
          <w:p>
            <w:pPr>
              <w:rPr>
                <w:sz w:val="22"/>
                <w:szCs w:val="22"/>
              </w:rPr>
            </w:pPr>
            <w:r>
              <w:rPr>
                <w:sz w:val="22"/>
                <w:szCs w:val="22"/>
                <w:lang w:eastAsia="lt-LT"/>
              </w:rPr>
              <w:t>(reikalingas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kurių didžiausias kylančiosios aortos skersmuo didesnis kaip 5,5 cm: I71.2</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20"/>
            </w:tblGrid>
            <w:tr>
              <w:trPr>
                <w:tblCellSpacing w:w="0" w:type="dxa"/>
              </w:trPr>
              <w:tc>
                <w:tcPr>
                  <w:tcW w:w="14" w:type="dxa"/>
                  <w:hideMark/>
                </w:tcPr>
                <w:p>
                  <w:pPr>
                    <w:rPr>
                      <w:sz w:val="22"/>
                      <w:szCs w:val="22"/>
                      <w:lang w:eastAsia="lt-LT"/>
                    </w:rPr>
                  </w:pPr>
                </w:p>
              </w:tc>
              <w:tc>
                <w:tcPr>
                  <w:tcW w:w="9958" w:type="dxa"/>
                  <w:hideMark/>
                </w:tcPr>
                <w:p>
                  <w:pPr>
                    <w:rPr>
                      <w:sz w:val="22"/>
                      <w:szCs w:val="22"/>
                      <w:lang w:eastAsia="lt-LT"/>
                    </w:rPr>
                  </w:pPr>
                  <w:r>
                    <w:rPr>
                      <w:sz w:val="22"/>
                      <w:szCs w:val="22"/>
                      <w:lang w:eastAsia="lt-LT"/>
                    </w:rPr>
                    <w:t>(reikalingas gydytojo kardiologo leidimas)</w:t>
                  </w:r>
                </w:p>
              </w:tc>
            </w:tr>
          </w:tbl>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ir II klasių pagal NYHA klasifikaciją, jei kairiojo skilvelio išstūmimo frakcija ne mažiau kaip 35 % : I50</w:t>
            </w:r>
          </w:p>
          <w:p>
            <w:pPr>
              <w:rPr>
                <w:sz w:val="22"/>
                <w:szCs w:val="22"/>
              </w:rPr>
            </w:pPr>
            <w:r>
              <w:rPr>
                <w:sz w:val="22"/>
                <w:szCs w:val="22"/>
                <w:lang w:eastAsia="lt-LT"/>
              </w:rPr>
              <w:t>(reikalingas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nustatytas III laipsnio kraujospūdis: diastolinis kraujospūdis – ≥ 110 mmHg ir (arba) sistolinis kraujospūdis – ≥ 180 mmHg: I10–I15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 </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Vairuotojo pažymėjimai neišduodami prie nurodytų grupių priskiriamiems kandidatams į vairuotojus arba neatnaujinami vairuotojams, patiriantiems šiuos širdies ir kraujagyslių sistemų sutrikimus:</w:t>
            </w:r>
          </w:p>
          <w:p>
            <w:pPr>
              <w:ind w:left="50"/>
              <w:rPr>
                <w:sz w:val="22"/>
                <w:szCs w:val="22"/>
              </w:rPr>
            </w:pPr>
            <w:r>
              <w:rPr>
                <w:b/>
                <w:sz w:val="22"/>
                <w:szCs w:val="22"/>
                <w:lang w:eastAsia="lt-LT"/>
              </w:rPr>
              <w:t>PASTABA.</w:t>
            </w:r>
            <w:r>
              <w:rPr>
                <w:sz w:val="22"/>
                <w:szCs w:val="22"/>
                <w:lang w:eastAsia="lt-LT"/>
              </w:rPr>
              <w:t xml:space="preserve"> Vairuotojo pažymėjimai gali būti išduodami ar atnaujinami tik šiame punkte nurodytais atvejais „Spręsti individualiai“, kai gydytojas kardiologas išvadoje pagrindžia asmens gebėjimą saugiai vairuoti, ir jei reguliariai atliekamas sveikatos būklės vertinimas, kurio duomenys, atsižvelgiant į sveikatos sutrikimų poveikį, leistų užtikrinti asmens gebėjimą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periferinių arterijų liga – krūtinės ir pilvo aortos dalies aneurizma, kuriai esant didžiausias aortos skersmuo yra toks, kad kyla didelis staigaus plyšimo, galinčio sukelti ūmią negalią, pavojus: I71.2, I71.4, I71.6</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4.2.2.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Brugados sindromą, pasireiškiantį sinkope arba asmenims, išgyvenusiems staigią kardialinę mirtį: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IV klasės pagal NYHA klasifikaciją: I50</w:t>
            </w:r>
          </w:p>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val="en-US"/>
              </w:rPr>
            </w:pPr>
            <w:r>
              <w:rPr>
                <w:sz w:val="22"/>
                <w:szCs w:val="22"/>
                <w:lang w:eastAsia="lt-LT"/>
              </w:rPr>
              <w:t>sergantiems širdies vožtuvų liga, jei yra regurgitacija per aortos vožtuvą, aortos stenozė, regurgitacija per mitralinį vožtuvą arba mitralinio vožtuvo stenozė, jei pagal NYHA klasifikaciją įvertinus funkcinį pajėgumą nustatytas IV klasės širdies nepakankamumas arba buvo sinkopės epizodų: I</w:t>
            </w:r>
            <w:r>
              <w:rPr>
                <w:sz w:val="22"/>
                <w:szCs w:val="22"/>
                <w:lang w:val="en-US" w:eastAsia="lt-LT"/>
              </w:rPr>
              <w:t>05, I06, I08, I34, I35, I39.0,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2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4.2.5.</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kuriems implantuotas defibriliatorius: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4.2.6.</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širdies nepakankamumą III klasės pagal NYHA klasifikaciją: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4.2.7.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 naudoja širdies veiklą palaikančias priemones (prietaisus) (dirbtinį skilvelį ilgalaikei mechaninei asistuojančiai kraujotakai palaikyti): Z95.8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4.2.8.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širdies vožtuvų liga, per kurią pasireiškė III arba IV klasės (pagal NYHA klasifikaciją) širdies nepakankamumas arba išstūmimo frakcija mažesnė kaip 35 %, mitralinio vožtuvo stenozė ir sunki plaučių hipertenzija arba sunki aortos stenozė, kuri įvertinta atliekant echokardiografinį tyrimą, arba sinkopę sukelianti aortos stenozė, išskyrus visiškai besimptomę sunkią aortos stenozę, jei įvykdomi fizinio krūvio toleravimo reikalavimai: I</w:t>
            </w:r>
            <w:r>
              <w:rPr>
                <w:sz w:val="22"/>
                <w:szCs w:val="22"/>
                <w:lang w:val="en-US" w:eastAsia="lt-LT"/>
              </w:rPr>
              <w:t>05.0, I05.2, I06.0, I06.2, I08, I34.2, I35.0, I35.2, I39.0, I39.1, I27.2,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4.2.9.</w:t>
            </w:r>
          </w:p>
        </w:tc>
        <w:tc>
          <w:tcPr>
            <w:tcW w:w="9120" w:type="dxa"/>
            <w:tcBorders>
              <w:top w:val="single" w:sz="6" w:space="0" w:color="auto"/>
              <w:left w:val="single" w:sz="6" w:space="0" w:color="auto"/>
              <w:bottom w:val="single" w:sz="6" w:space="0" w:color="auto"/>
              <w:right w:val="single" w:sz="6" w:space="0" w:color="auto"/>
            </w:tcBorders>
          </w:tcPr>
          <w:p>
            <w:pPr>
              <w:ind w:left="50"/>
              <w:rPr>
                <w:sz w:val="22"/>
                <w:szCs w:val="22"/>
              </w:rPr>
            </w:pPr>
            <w:r>
              <w:rPr>
                <w:sz w:val="22"/>
                <w:szCs w:val="22"/>
                <w:lang w:eastAsia="lt-LT"/>
              </w:rPr>
              <w:t>struktūriniais pokyčiais ar elektrine disfunkcija pasireiškiančią kardiomiopatiją – hipertrofinę kardiomiopatiją, per kurią pasireiškia sinkopė arba patiriami du ar daugiau iš šių sutrikimų: kairiojo skilvelio sienelės storis – &gt; 3 cm, trumpalaikė skilvelinė tachikardija, šeimoje (tarp pirmos eilės giminaičių) būta staigios mirties atvejų, krūvio mėginių AKS nepadidėja: I42.1, I42.2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4.2.10.</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ir didesniu kaip 500 ms QTc: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Kitos kardiomiopatijos: I42</w:t>
            </w:r>
          </w:p>
          <w:p>
            <w:pPr>
              <w:rPr>
                <w:sz w:val="22"/>
                <w:szCs w:val="22"/>
              </w:rPr>
            </w:pPr>
            <w:r>
              <w:rPr>
                <w:sz w:val="22"/>
                <w:szCs w:val="22"/>
                <w:lang w:eastAsia="lt-LT"/>
              </w:rPr>
              <w:t>Turi būti įvertinamas staigių kardiovaskulinių įvykių, sukeliančių gebėjimo vairuoti praradimą, poveikis kandidatams į vairuotojus arba vairuotojams, sergantiems kardiomiopatijomis (pvz., aritmogenine dešiniojo skilvelio kardiomiopatija, nekompaktinio kairiojo skilvelio miokardo sukeliama kardiomiopatija, katecholaminergine polimorfine skilveline tachikardija ir turintiems trumpo QT sindromą). Reikalingas išsamus gydytojo kardiologo vertinimas. Turi būti atsižvelgiama į konkrečią kardiomiopatiją pranašaujančius požymius.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5.2.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Cukriniu diabetu sergantis kandidatas į vairuotojus arba vairuotojas, gydomas vaistais, sukeliančiais hipoglikemijos riziką, turi įrodyti, kad jis suvokia hipoglikemijos keliamus pavojus ir geba tinkamai kontroliuoti savo sveikatos būklę, kad jam nepasireikštų hipoglikemija.</w:t>
            </w:r>
          </w:p>
          <w:p>
            <w:pPr>
              <w:rPr>
                <w:sz w:val="22"/>
                <w:szCs w:val="22"/>
                <w:lang w:eastAsia="lt-LT"/>
              </w:rPr>
            </w:pPr>
            <w:r>
              <w:rPr>
                <w:sz w:val="22"/>
                <w:szCs w:val="22"/>
                <w:lang w:eastAsia="lt-LT"/>
              </w:rPr>
              <w:t>Vairuotojo pažymėjimai neišduodami kandidatams į vairuotojus arba neatnaujinami vairuotojams, kurie nepakankamai aiškiai suvokia hipoglikemijos keliamus pavojus.</w:t>
            </w:r>
          </w:p>
          <w:p>
            <w:pPr>
              <w:rPr>
                <w:sz w:val="22"/>
                <w:szCs w:val="22"/>
                <w:lang w:eastAsia="lt-LT"/>
              </w:rPr>
            </w:pPr>
            <w:r>
              <w:rPr>
                <w:sz w:val="22"/>
                <w:szCs w:val="22"/>
                <w:lang w:eastAsia="lt-LT"/>
              </w:rPr>
              <w:t xml:space="preserve">Vairuotojo pažymėjimai neišduodami kandidatams į vairuotojus arba neatnaujinami vairuotojams, kuriems pasireiškia pasikartojanti sunki hipoglikemija, išskyrus atvejus, kai pateikiama gydytojo endokrinologo išvada ir atliekamas sveikatos būklės vertinimas vadovaujantis Lietuvos Respublikos sveikatos apsaugos ministro 2012 m. vasario 28 d. įsakymo Nr. V-159 „Dėl Cukrinio </w:t>
            </w:r>
            <w:r>
              <w:rPr>
                <w:color w:val="000000"/>
                <w:sz w:val="22"/>
                <w:szCs w:val="22"/>
                <w:lang w:eastAsia="lt-LT"/>
              </w:rPr>
              <w:t>diabeto ambulatorinio gydymo</w:t>
            </w:r>
            <w:r>
              <w:rPr>
                <w:b/>
                <w:bCs/>
                <w:color w:val="000000"/>
                <w:sz w:val="22"/>
                <w:szCs w:val="22"/>
                <w:lang w:eastAsia="lt-LT"/>
              </w:rPr>
              <w:t xml:space="preserve"> </w:t>
            </w:r>
            <w:r>
              <w:rPr>
                <w:color w:val="000000"/>
                <w:sz w:val="22"/>
                <w:szCs w:val="22"/>
                <w:lang w:eastAsia="lt-LT"/>
              </w:rPr>
              <w:t xml:space="preserve">kompensuojamaisiais vaistais tvarkos aprašo patvirtinimo“ (toliau </w:t>
            </w:r>
            <w:r>
              <w:rPr>
                <w:sz w:val="22"/>
                <w:szCs w:val="22"/>
                <w:lang w:eastAsia="lt-LT"/>
              </w:rPr>
              <w:t>– įsakymas Nr. V-159)</w:t>
            </w:r>
            <w:r>
              <w:rPr>
                <w:color w:val="000000"/>
                <w:sz w:val="22"/>
                <w:szCs w:val="22"/>
                <w:lang w:eastAsia="lt-LT"/>
              </w:rPr>
              <w:t xml:space="preserve"> nustatyta tvarka</w:t>
            </w:r>
            <w:r>
              <w:rPr>
                <w:sz w:val="22"/>
                <w:szCs w:val="22"/>
                <w:lang w:eastAsia="lt-LT"/>
              </w:rPr>
              <w:t>. Jei sunki hipoglikemija kartojasi ne miego metu, vairuotojo pažymėjimas neišduodamas ar neatnaujinamas tris mėnesius po paskutinio tokios hipoglikemijos atvejo.</w:t>
            </w:r>
          </w:p>
          <w:p>
            <w:pPr>
              <w:rPr>
                <w:sz w:val="22"/>
                <w:szCs w:val="22"/>
                <w:lang w:eastAsia="lt-LT"/>
              </w:rPr>
            </w:pPr>
            <w:r>
              <w:rPr>
                <w:sz w:val="22"/>
                <w:szCs w:val="22"/>
                <w:lang w:eastAsia="lt-LT"/>
              </w:rPr>
              <w:t xml:space="preserve">Vairuotojo pažymėjimai gali būti išduodami ar atnaujinami išskirtiniais atvejais, kai gydytojas endokrinologas išvadoje pagrindžia asmens gebėjimą saugiai  vairuoti  ir  jei  vadovaujantis  įsakymu  Nr.     V-159, atliekamas sveikatos būklės vertinimas, kuriuo, atsižvelgiant į sveikatos sutrikimų poveikį, užtikrinamas asmens gebėjimas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20"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7.10.</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Protinis atsilikimas F70–F71 – sprendžiama individualiai, atsižvelgiant į praktinius įgūdžius bei adaptacijos kokybę; dėl leidimo vairuoti AM, A1; A; B1; B; BE kategorijų transporto priemones (be teisės užsiimti transporto ūkine veikla), traktorių, remiantis psichiatro išvada, sprendžiama individualiai). </w:t>
            </w:r>
          </w:p>
          <w:p>
            <w:pPr>
              <w:rPr>
                <w:sz w:val="22"/>
              </w:rPr>
            </w:pPr>
            <w:r>
              <w:rPr>
                <w:sz w:val="22"/>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PASTABA: Psichozinio lygio sutrikimų atveju kokybiška remisija turėtų trukti ne trumpiau kaip 3 metus Nepsichozinio lygio psichikos sutrikimų atveju remisija turėtų trukti ne trumpiau kaip 1 metus Galima taikyti 68 apribojimą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ALKOHOLIS</w:t>
            </w:r>
          </w:p>
          <w:p>
            <w:pPr>
              <w:rPr>
                <w:sz w:val="22"/>
                <w:szCs w:val="22"/>
              </w:rPr>
            </w:pPr>
            <w:r>
              <w:rPr>
                <w:sz w:val="22"/>
                <w:szCs w:val="22"/>
              </w:rPr>
              <w:t>Alkoholio vartojimas kelia didžiulį pavojų kelių eismo saugumui. Atsižvelgiant į problemos mastą, medikai turi būti ypač budrūs.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priklausomiems nuo alkoholio arba negalintiems susilaikyti negėrus ir nevairavus esant neblaiviems.</w:t>
            </w:r>
          </w:p>
          <w:p>
            <w:pPr>
              <w:rPr>
                <w:sz w:val="22"/>
                <w:szCs w:val="22"/>
              </w:rPr>
            </w:pPr>
            <w:r>
              <w:rPr>
                <w:sz w:val="22"/>
                <w:szCs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Priklausomybės ligos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NARKOTIKAI IR VAISTAI</w:t>
            </w:r>
          </w:p>
          <w:p>
            <w:pPr>
              <w:rPr>
                <w:sz w:val="22"/>
                <w:szCs w:val="22"/>
              </w:rPr>
            </w:pPr>
            <w:r>
              <w:rPr>
                <w:sz w:val="22"/>
                <w:szCs w:val="22"/>
              </w:rPr>
              <w:t>Piktnaudžiavimas:</w:t>
            </w:r>
          </w:p>
          <w:p>
            <w:pPr>
              <w:rPr>
                <w:sz w:val="22"/>
                <w:szCs w:val="22"/>
              </w:rPr>
            </w:pPr>
            <w:r>
              <w:rPr>
                <w:sz w:val="22"/>
                <w:szCs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Piktnaudžiavimas narkotikais ir vaistais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 xml:space="preserve">Sergantiesiems priklausomybės liga turi būti ne trumpesnė kaip 3 metų remisija. </w:t>
            </w:r>
          </w:p>
          <w:p>
            <w:pPr>
              <w:rPr>
                <w:sz w:val="22"/>
                <w:szCs w:val="22"/>
              </w:rPr>
            </w:pPr>
            <w:r>
              <w:rPr>
                <w:sz w:val="22"/>
                <w:szCs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414"/>
        </w:trPr>
        <w:tc>
          <w:tcPr>
            <w:tcW w:w="880" w:type="dxa"/>
            <w:tcBorders>
              <w:top w:val="single" w:sz="6" w:space="0" w:color="auto"/>
              <w:left w:val="single" w:sz="6" w:space="0" w:color="auto"/>
              <w:right w:val="single" w:sz="6" w:space="0" w:color="auto"/>
            </w:tcBorders>
          </w:tcPr>
          <w:p>
            <w:pPr>
              <w:rPr>
                <w:sz w:val="22"/>
              </w:rPr>
            </w:pPr>
            <w:r>
              <w:rPr>
                <w:sz w:val="22"/>
              </w:rPr>
              <w:t>10.</w:t>
            </w:r>
          </w:p>
        </w:tc>
        <w:tc>
          <w:tcPr>
            <w:tcW w:w="9120"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p>
      <w:pPr>
        <w:jc w:val="both"/>
        <w:rPr>
          <w:sz w:val="22"/>
        </w:rPr>
      </w:pPr>
      <w:r>
        <w:rPr>
          <w:sz w:val="22"/>
        </w:rPr>
        <w:t>Pastabos:</w:t>
      </w:r>
    </w:p>
    <w:p>
      <w:pPr>
        <w:jc w:val="both"/>
        <w:rPr>
          <w:sz w:val="22"/>
        </w:rPr>
      </w:pPr>
      <w:r>
        <w:rPr>
          <w:sz w:val="22"/>
        </w:rPr>
        <w:t>1</w:t>
      </w:r>
      <w:r>
        <w:rPr>
          <w:sz w:val="22"/>
        </w:rPr>
        <w:t>. Vairuotojai, turintys stažą – tai vairuotojai, turintys didesnį kaip 3 metų vairavimo stažą iki pastarojo sveikatos tikrinimo.</w:t>
      </w:r>
    </w:p>
    <w:p>
      <w:pPr>
        <w:jc w:val="both"/>
        <w:rPr>
          <w:sz w:val="22"/>
        </w:rPr>
      </w:pPr>
      <w:r>
        <w:rPr>
          <w:sz w:val="22"/>
        </w:rPr>
        <w:t>2</w:t>
      </w:r>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p>
      <w:pPr>
        <w:jc w:val="both"/>
      </w:pPr>
      <w:r>
        <w:rPr>
          <w:sz w:val="22"/>
        </w:rPr>
        <w:t>3</w:t>
      </w:r>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be9f0398911e881f2ba995b003ed2">
        <w:r w:rsidRPr="00532B9F">
          <w:rPr>
            <w:rFonts w:ascii="Times New Roman" w:eastAsia="MS Mincho" w:hAnsi="Times New Roman"/>
            <w:sz w:val="20"/>
            <w:i/>
            <w:iCs/>
            <w:color w:val="0000FF" w:themeColor="hyperlink"/>
            <w:u w:val="single"/>
          </w:rPr>
          <w:t>V-381</w:t>
        </w:r>
      </w:fldSimple>
      <w:r>
        <w:rPr>
          <w:rFonts w:ascii="Times New Roman" w:eastAsia="MS Mincho" w:hAnsi="Times New Roman"/>
          <w:sz w:val="20"/>
          <w:i/>
          <w:iCs/>
        </w:rPr>
        <w:t>,
2018-04-06,
paskelbta TAR 2018-04-09, i. k. 2018-05598            </w:t>
      </w:r>
    </w:p>
    <w:p/>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p>
      <w:pPr>
        <w:jc w:val="center"/>
        <w:rPr>
          <w:b/>
          <w:bCs/>
        </w:rPr>
      </w:pPr>
      <w:r>
        <w:rPr>
          <w:b/>
          <w:bCs/>
        </w:rPr>
        <w:t>VAIRUOTOJO GARBĖS DEKLARACIJA (SVEIKATOS PATIKRINIMO KLAUSIMYNAS)</w:t>
      </w:r>
    </w:p>
    <w:p>
      <w:pPr>
        <w:rPr>
          <w:b/>
          <w:bCs/>
        </w:rPr>
      </w:pPr>
    </w:p>
    <w:p>
      <w:pPr>
        <w:jc w:val="center"/>
      </w:pPr>
      <w:r>
        <w:t>___________________</w:t>
      </w:r>
    </w:p>
    <w:p>
      <w:pPr>
        <w:jc w:val="center"/>
      </w:pPr>
      <w:r>
        <w:t>(data)</w:t>
      </w:r>
    </w:p>
    <w:p>
      <w:pPr>
        <w:jc w:val="center"/>
      </w:pPr>
      <w:r>
        <w:t>______________________________________</w:t>
      </w:r>
    </w:p>
    <w:p>
      <w:pPr>
        <w:jc w:val="center"/>
      </w:pPr>
      <w:r>
        <w:t>(sudarymo vieta)</w:t>
      </w:r>
    </w:p>
    <w:p>
      <w:pPr>
        <w:jc w:val="both"/>
      </w:pPr>
    </w:p>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p>
      <w:pPr>
        <w:ind w:firstLine="567"/>
        <w:jc w:val="both"/>
      </w:pPr>
      <w:r>
        <w:t>Užtikrinu, kad visa mano pateikta informacija yra visiškai teisinga, ir suprantu, kad, pablogėjus sveikatos būklei, turiu nedelsdamas (-a) kreiptis į gydytoją.</w:t>
      </w:r>
    </w:p>
    <w:p>
      <w:pPr>
        <w:jc w:val="both"/>
      </w:pPr>
    </w:p>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p>
      <w:pPr>
        <w:jc w:val="both"/>
        <w:rPr>
          <w:color w:val="000000"/>
        </w:rPr>
      </w:pPr>
      <w:r>
        <w:rPr>
          <w:b/>
          <w:bCs/>
        </w:rPr>
        <w:t xml:space="preserve">Pastaba: </w:t>
      </w:r>
      <w:r>
        <w:t>Įdedamas į Asmens sveikatos istoriją – F 025/a</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
      <w:pPr>
        <w:ind w:firstLine="567"/>
        <w:jc w:val="right"/>
      </w:pPr>
      <w:r>
        <w:br w:type="page"/>
      </w:r>
      <w:r>
        <w:t>5</w:t>
      </w:r>
      <w:r>
        <w:t xml:space="preserve"> lentelė</w:t>
      </w:r>
    </w:p>
    <w:p>
      <w:pPr>
        <w:jc w:val="both"/>
        <w:rPr>
          <w:bCs/>
        </w:rPr>
      </w:pPr>
    </w:p>
    <w:p>
      <w:pPr>
        <w:jc w:val="center"/>
        <w:rPr>
          <w:b/>
          <w:bCs/>
        </w:rPr>
      </w:pPr>
      <w:r>
        <w:rPr>
          <w:b/>
          <w:bCs/>
        </w:rPr>
        <w:t>TAIKOMŲ APRIBOJIMŲ KODAI</w:t>
      </w:r>
    </w:p>
    <w:p>
      <w:pPr>
        <w:jc w:val="both"/>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45"/>
        <w:gridCol w:w="51"/>
        <w:gridCol w:w="8785"/>
      </w:tblGrid>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rPr>
                <w:b/>
              </w:rPr>
            </w:pPr>
            <w:r>
              <w:rPr>
                <w:b/>
              </w:rPr>
              <w:t>Kodas</w:t>
            </w:r>
          </w:p>
        </w:tc>
        <w:tc>
          <w:tcPr>
            <w:tcW w:w="4517" w:type="pct"/>
            <w:gridSpan w:val="2"/>
            <w:tcBorders>
              <w:top w:val="single" w:sz="4" w:space="0" w:color="auto"/>
              <w:left w:val="single" w:sz="4" w:space="0" w:color="auto"/>
              <w:bottom w:val="single" w:sz="4" w:space="0" w:color="auto"/>
              <w:right w:val="single" w:sz="4" w:space="0" w:color="auto"/>
            </w:tcBorders>
          </w:tcPr>
          <w:p>
            <w:pPr>
              <w:jc w:val="center"/>
              <w:rPr>
                <w:b/>
              </w:rPr>
            </w:pPr>
            <w:r>
              <w:rPr>
                <w:b/>
              </w:rPr>
              <w:t>Apribojimas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Dėl medicininių priežasčių</w:t>
            </w:r>
          </w:p>
          <w:p>
            <w:pPr>
              <w:jc w:val="center"/>
              <w:rPr>
                <w:b/>
              </w:rPr>
            </w:pPr>
            <w:r>
              <w:t>(kandidatui į vairuotojus ir vairuotojui – išvadą pateikia SPĮ)</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Regos korekcija ir (arba) apsauga</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Kontaktinis (-iai) lęšis (-iai)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01.05</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Akies raištis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01.06</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 arba kontaktiniai lęšiai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01.07</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Speciali optinė pagalbinė priemonė</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 xml:space="preserve">Klausos ir susikalbėjimo pagalbinė priemonė </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Galūnių protezai arba korekcijos įtaisai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Viršutinės galūnės protezas arba korekcijos įtaisas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Apatinės galūnės protezas arba korekcijos įtaisas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pritaikymas</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Nuo 10 iki 50</w:t>
            </w:r>
          </w:p>
        </w:tc>
        <w:tc>
          <w:tcPr>
            <w:tcW w:w="4491" w:type="pct"/>
            <w:tcBorders>
              <w:top w:val="single" w:sz="4" w:space="0" w:color="auto"/>
              <w:left w:val="single" w:sz="4" w:space="0" w:color="auto"/>
              <w:bottom w:val="single" w:sz="4" w:space="0" w:color="auto"/>
              <w:right w:val="single" w:sz="4" w:space="0" w:color="auto"/>
            </w:tcBorders>
          </w:tcPr>
          <w:p>
            <w:pPr>
              <w:jc w:val="both"/>
            </w:pPr>
            <w:r>
              <w:t>Transporto priemonės pritaikymas – išvadą pateikia protezinių ortopedijos gaminių ir techninių priemonių pritaikymo įstaigos (institucijos)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naudojimo ribojimo kodai</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68</w:t>
            </w:r>
          </w:p>
        </w:tc>
        <w:tc>
          <w:tcPr>
            <w:tcW w:w="4491" w:type="pct"/>
            <w:tcBorders>
              <w:top w:val="single" w:sz="4" w:space="0" w:color="auto"/>
              <w:left w:val="single" w:sz="4" w:space="0" w:color="auto"/>
              <w:bottom w:val="single" w:sz="4" w:space="0" w:color="auto"/>
              <w:right w:val="single" w:sz="4" w:space="0" w:color="auto"/>
            </w:tcBorders>
          </w:tcPr>
          <w:p>
            <w:pPr>
              <w:jc w:val="both"/>
            </w:pPr>
            <w:r>
              <w:t>Draudžiama vairuoti išgėrus alkoholio</w:t>
            </w:r>
          </w:p>
        </w:tc>
      </w:tr>
    </w:tbl>
    <w:p>
      <w:pPr>
        <w:jc w:val="both"/>
      </w:pPr>
    </w:p>
    <w:p>
      <w:pPr>
        <w:jc w:val="center"/>
      </w:pPr>
      <w:r>
        <w:t>_________________</w:t>
      </w:r>
    </w:p>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
      <w:pPr>
        <w:spacing w:line="276" w:lineRule="auto"/>
        <w:sectPr>
          <w:pgSz w:w="11906" w:h="16838"/>
          <w:pgMar w:top="1134" w:right="1134" w:bottom="1134" w:left="1701" w:header="567" w:footer="567" w:gutter="0"/>
          <w:cols w:space="1296"/>
          <w:noEndnote/>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
      <w:pPr>
        <w:tabs>
          <w:tab w:val="left" w:pos="1304"/>
          <w:tab w:val="left" w:pos="1457"/>
          <w:tab w:val="left" w:pos="1604"/>
          <w:tab w:val="left" w:pos="1757"/>
        </w:tabs>
        <w:ind w:left="5102"/>
        <w:sectPr>
          <w:pgSz w:w="11906" w:h="16838"/>
          <w:pgMar w:top="1134" w:right="1134" w:bottom="1134" w:left="1701" w:header="567" w:footer="567" w:gutter="0"/>
          <w:cols w:space="1296"/>
          <w:noEndnote/>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r>
        <w:rPr>
          <w:color w:val="000000"/>
        </w:rPr>
        <w:t>8</w:t>
      </w:r>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50"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51"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2"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3"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r>
        <w:rPr>
          <w:color w:val="000000"/>
        </w:rPr>
        <w:t>9</w:t>
      </w:r>
      <w:r>
        <w:rPr>
          <w:color w:val="000000"/>
        </w:rPr>
        <w:t xml:space="preserve"> priedas</w:t>
      </w:r>
    </w:p>
    <w:p>
      <w:pPr>
        <w:widowControl w:val="0"/>
        <w:ind w:left="1069"/>
        <w:jc w:val="both"/>
        <w:rPr>
          <w:color w:val="000000"/>
        </w:rPr>
      </w:pPr>
    </w:p>
    <w:p>
      <w:pPr>
        <w:jc w:val="center"/>
        <w:rPr>
          <w:b/>
          <w:caps/>
          <w:color w:val="000000"/>
        </w:rPr>
      </w:pPr>
      <w:r>
        <w:rPr>
          <w:b/>
          <w:caps/>
          <w:color w:val="000000"/>
        </w:rPr>
        <w:t>VYKSTANČIŲJŲ Į UŽSIENĮ SVEIKATOS TIKRINIMO TVARKA</w:t>
      </w:r>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p>
      <w:pPr>
        <w:jc w:val="center"/>
        <w:rPr>
          <w:b/>
          <w:caps/>
          <w:color w:val="000000"/>
        </w:rPr>
      </w:pPr>
      <w:r>
        <w:rPr>
          <w:b/>
          <w:caps/>
          <w:color w:val="000000"/>
        </w:rPr>
        <w:t>I</w:t>
      </w:r>
      <w:r>
        <w:rPr>
          <w:b/>
          <w:caps/>
          <w:color w:val="000000"/>
        </w:rPr>
        <w:t xml:space="preserve">. </w:t>
      </w:r>
      <w:r>
        <w:rPr>
          <w:b/>
          <w:caps/>
          <w:color w:val="000000"/>
        </w:rPr>
        <w:t>BENDROSIOS NUOSTATOS</w:t>
      </w:r>
    </w:p>
    <w:p>
      <w:pPr>
        <w:widowControl w:val="0"/>
        <w:ind w:left="1069"/>
        <w:jc w:val="both"/>
        <w:rPr>
          <w:color w:val="000000"/>
        </w:rPr>
      </w:pPr>
    </w:p>
    <w:p>
      <w:pPr>
        <w:widowControl w:val="0"/>
        <w:ind w:firstLine="720"/>
        <w:jc w:val="both"/>
        <w:rPr>
          <w:color w:val="000000"/>
        </w:rPr>
      </w:pPr>
      <w:r>
        <w:rPr>
          <w:color w:val="000000"/>
        </w:rPr>
        <w:t>1</w:t>
      </w:r>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p>
      <w:pPr>
        <w:widowControl w:val="0"/>
        <w:ind w:firstLine="720"/>
        <w:jc w:val="both"/>
        <w:rPr>
          <w:color w:val="000000"/>
        </w:rPr>
      </w:pPr>
      <w:r>
        <w:rPr>
          <w:color w:val="000000"/>
        </w:rPr>
        <w:t>2</w:t>
      </w:r>
      <w:r>
        <w:rPr>
          <w:color w:val="000000"/>
        </w:rPr>
        <w:t>. Sveikatos tikrinimą organizuoja bendrosios praktikos gydytojas (BPG) arba apylinkės terapeutas (pediatras).</w:t>
      </w:r>
    </w:p>
    <w:p>
      <w:pPr>
        <w:widowControl w:val="0"/>
        <w:ind w:firstLine="720"/>
        <w:jc w:val="both"/>
        <w:rPr>
          <w:color w:val="000000"/>
        </w:rPr>
      </w:pPr>
      <w:r>
        <w:rPr>
          <w:color w:val="000000"/>
        </w:rPr>
        <w:t>3</w:t>
      </w:r>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p>
      <w:pPr>
        <w:widowControl w:val="0"/>
        <w:ind w:firstLine="720"/>
        <w:jc w:val="both"/>
        <w:rPr>
          <w:color w:val="000000"/>
        </w:rPr>
      </w:pPr>
      <w:r>
        <w:rPr>
          <w:color w:val="000000"/>
        </w:rPr>
        <w:t>4</w:t>
      </w:r>
      <w:r>
        <w:rPr>
          <w:color w:val="000000"/>
        </w:rPr>
        <w:t>. Įvedus vykstančių į užsienį privalomą sveikatos draudimą, tikrinant išvykstančiųjų sveikatą reikia vadovautis draudimo dokumentais nustatyta tvarka.</w:t>
      </w:r>
    </w:p>
    <w:p>
      <w:pPr>
        <w:widowControl w:val="0"/>
        <w:ind w:firstLine="720"/>
        <w:jc w:val="both"/>
        <w:rPr>
          <w:color w:val="000000"/>
        </w:rPr>
      </w:pPr>
      <w:r>
        <w:rPr>
          <w:color w:val="000000"/>
        </w:rPr>
        <w:t>5</w:t>
      </w:r>
      <w:r>
        <w:rPr>
          <w:color w:val="000000"/>
        </w:rPr>
        <w:t>. Tikrinantis sveikatą, reikia turėti asmens dokumentą su fotonuotrauka.</w:t>
      </w:r>
    </w:p>
    <w:p>
      <w:pPr>
        <w:widowControl w:val="0"/>
        <w:ind w:firstLine="720"/>
        <w:jc w:val="both"/>
        <w:rPr>
          <w:color w:val="000000"/>
        </w:rPr>
      </w:pPr>
      <w:r>
        <w:rPr>
          <w:color w:val="000000"/>
        </w:rPr>
        <w:t>6</w:t>
      </w:r>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p>
      <w:pPr>
        <w:widowControl w:val="0"/>
        <w:ind w:firstLine="720"/>
        <w:jc w:val="both"/>
        <w:rPr>
          <w:color w:val="000000"/>
        </w:rPr>
      </w:pPr>
      <w:r>
        <w:rPr>
          <w:color w:val="000000"/>
        </w:rPr>
        <w:t>7</w:t>
      </w:r>
      <w:r>
        <w:rPr>
          <w:color w:val="000000"/>
        </w:rPr>
        <w:t>. Bendrosios praktikos gydytojas, apylinkės terapeutas ar pediatras, esant indikacijų, gali siųsti pas kitus specialistus.</w:t>
      </w:r>
    </w:p>
    <w:p>
      <w:pPr>
        <w:widowControl w:val="0"/>
        <w:ind w:firstLine="720"/>
        <w:jc w:val="both"/>
        <w:rPr>
          <w:color w:val="000000"/>
        </w:rPr>
      </w:pPr>
      <w:r>
        <w:rPr>
          <w:color w:val="000000"/>
        </w:rPr>
        <w:t>8</w:t>
      </w:r>
      <w:r>
        <w:rPr>
          <w:color w:val="000000"/>
        </w:rPr>
        <w:t>. Sveikatą tikrinantis gydytojas turi teisę gauti informaciją iš kitų sveikatos priežiūros įstaigų, o šios privalo tokią informaciją teikti.</w:t>
      </w:r>
    </w:p>
    <w:p>
      <w:pPr>
        <w:widowControl w:val="0"/>
        <w:ind w:firstLine="720"/>
        <w:jc w:val="both"/>
        <w:rPr>
          <w:color w:val="000000"/>
        </w:rPr>
      </w:pPr>
      <w:r>
        <w:rPr>
          <w:color w:val="000000"/>
        </w:rPr>
        <w:t>9</w:t>
      </w:r>
      <w:r>
        <w:rPr>
          <w:color w:val="000000"/>
        </w:rPr>
        <w:t>. Prireikus vadovaujamasi vairuotojų, geležinkelininkų, jūreivių ir kt. sveikatos tikrinimo tvarka.</w:t>
      </w:r>
    </w:p>
    <w:p>
      <w:pPr>
        <w:widowControl w:val="0"/>
        <w:ind w:firstLine="720"/>
        <w:jc w:val="both"/>
        <w:rPr>
          <w:color w:val="000000"/>
        </w:rPr>
      </w:pPr>
      <w:r>
        <w:rPr>
          <w:color w:val="000000"/>
        </w:rPr>
        <w:t>10</w:t>
      </w:r>
      <w:r>
        <w:rPr>
          <w:color w:val="000000"/>
        </w:rPr>
        <w:t>. Vykstant į epidemiologiškai pavojingas šalis, reikalingas sertifikatas (pažyma) apie skiepus. Siuntimą skiepyti (F 027/a), būtinai nurodant, kad nėra kontraindikacijų, išduoda sveikatą tikrinantis gydytojas.</w:t>
      </w:r>
    </w:p>
    <w:p>
      <w:pPr>
        <w:widowControl w:val="0"/>
        <w:ind w:firstLine="720"/>
        <w:jc w:val="both"/>
        <w:rPr>
          <w:color w:val="000000"/>
        </w:rPr>
      </w:pPr>
      <w:r>
        <w:rPr>
          <w:color w:val="000000"/>
        </w:rPr>
        <w:t>11</w:t>
      </w:r>
      <w:r>
        <w:rPr>
          <w:color w:val="000000"/>
        </w:rPr>
        <w:t>. Vykstant į kai kurias užsienio šalis, būtina turėti ŽIV antikūnų tyrimo sertifikatą, kurį išduoda Lietuvos AIDS profilaktikos centras (Liubarto g. 20, Vilnius, tel. 75 12 49) ar kitos šiuos tyrimus atliekančios laboratorijos.</w:t>
      </w:r>
    </w:p>
    <w:p>
      <w:pPr>
        <w:widowControl w:val="0"/>
        <w:ind w:firstLine="720"/>
        <w:jc w:val="both"/>
        <w:rPr>
          <w:color w:val="000000"/>
        </w:rPr>
      </w:pPr>
      <w:r>
        <w:rPr>
          <w:color w:val="000000"/>
        </w:rPr>
        <w:t>12</w:t>
      </w:r>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p>
      <w:pPr>
        <w:widowControl w:val="0"/>
        <w:ind w:firstLine="720"/>
        <w:jc w:val="both"/>
        <w:rPr>
          <w:color w:val="000000"/>
        </w:rPr>
      </w:pPr>
      <w:r>
        <w:rPr>
          <w:color w:val="000000"/>
        </w:rPr>
        <w:t>13</w:t>
      </w:r>
      <w:r>
        <w:rPr>
          <w:color w:val="000000"/>
        </w:rPr>
        <w:t>. Gali būti užpildomi ir kiti dokumentai, pateikti užsienio šalies ambasados, Lietuvos darbo biržos, draudimo ar kitų įstaigų.</w:t>
      </w:r>
    </w:p>
    <w:p>
      <w:pPr>
        <w:widowControl w:val="0"/>
        <w:ind w:firstLine="720"/>
        <w:jc w:val="both"/>
        <w:rPr>
          <w:color w:val="000000"/>
        </w:rPr>
      </w:pPr>
      <w:r>
        <w:rPr>
          <w:color w:val="000000"/>
        </w:rPr>
        <w:t>14</w:t>
      </w:r>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p>
      <w:pPr>
        <w:widowControl w:val="0"/>
        <w:ind w:firstLine="720"/>
        <w:jc w:val="both"/>
        <w:rPr>
          <w:color w:val="000000"/>
        </w:rPr>
      </w:pPr>
      <w:r>
        <w:rPr>
          <w:color w:val="000000"/>
        </w:rPr>
        <w:t>15</w:t>
      </w:r>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p>
      <w:pPr>
        <w:widowControl w:val="0"/>
        <w:ind w:firstLine="720"/>
        <w:jc w:val="both"/>
        <w:rPr>
          <w:color w:val="000000"/>
        </w:rPr>
      </w:pPr>
      <w:r>
        <w:rPr>
          <w:color w:val="000000"/>
        </w:rPr>
        <w:t>16</w:t>
      </w:r>
      <w:r>
        <w:rPr>
          <w:color w:val="000000"/>
        </w:rPr>
        <w:t>. Asmenų, sergančių ūmiomis, užkrečiamosiomis infekcinėmis, venerinėmis ar odos ligomis, užkrečiamuoju laikotarpiu sveikata dėl išvykimo į užsienį netikrinama.</w:t>
      </w:r>
    </w:p>
    <w:p>
      <w:pPr>
        <w:widowControl w:val="0"/>
        <w:ind w:firstLine="720"/>
        <w:jc w:val="both"/>
        <w:rPr>
          <w:color w:val="000000"/>
        </w:rPr>
      </w:pPr>
      <w:r>
        <w:rPr>
          <w:color w:val="000000"/>
        </w:rPr>
        <w:t>17</w:t>
      </w:r>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p>
      <w:pPr>
        <w:widowControl w:val="0"/>
        <w:ind w:firstLine="720"/>
        <w:jc w:val="both"/>
        <w:rPr>
          <w:color w:val="000000"/>
        </w:rPr>
      </w:pPr>
      <w:r>
        <w:rPr>
          <w:color w:val="000000"/>
        </w:rPr>
        <w:t>18</w:t>
      </w:r>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p>
      <w:pPr>
        <w:jc w:val="center"/>
        <w:rPr>
          <w:caps/>
          <w:color w:val="000000"/>
        </w:rPr>
      </w:pPr>
      <w:r>
        <w:rPr>
          <w:b/>
          <w:caps/>
          <w:color w:val="000000"/>
        </w:rPr>
        <w:t>II</w:t>
      </w:r>
      <w:r>
        <w:rPr>
          <w:b/>
          <w:caps/>
          <w:color w:val="000000"/>
        </w:rPr>
        <w:t xml:space="preserve">. </w:t>
      </w:r>
      <w:r>
        <w:rPr>
          <w:b/>
          <w:caps/>
          <w:color w:val="000000"/>
        </w:rPr>
        <w:t>SVEIKATOS TIKRINIMAS VYKSTANT Į UŽSIENĮ</w:t>
      </w:r>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ministerijos</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r>
        <w:rPr>
          <w:color w:val="000000"/>
        </w:rPr>
        <w:t>10</w:t>
      </w:r>
      <w:r>
        <w:rPr>
          <w:color w:val="000000"/>
        </w:rPr>
        <w:t xml:space="preserve"> priedas</w:t>
      </w:r>
    </w:p>
    <w:p>
      <w:pPr>
        <w:widowControl w:val="0"/>
        <w:ind w:left="5462"/>
        <w:rPr>
          <w:color w:val="000000"/>
        </w:rPr>
      </w:pPr>
    </w:p>
    <w:p>
      <w:pPr>
        <w:jc w:val="center"/>
        <w:rPr>
          <w:b/>
          <w:bCs/>
        </w:rPr>
      </w:pPr>
      <w:r>
        <w:t xml:space="preserve"> </w:t>
      </w:r>
      <w:r>
        <w:rPr>
          <w:b/>
          <w:bCs/>
        </w:rPr>
        <w:t>LICENCIJUOJAMŲ CIVILINĖS AVIACIJOS SPECIALISTŲ SVEIKATOS BŪKLĖS TIKRINIMO TVARKOS APRAŠAS</w:t>
      </w:r>
    </w:p>
    <w:p>
      <w:pPr>
        <w:jc w:val="center"/>
        <w:rPr>
          <w:b/>
          <w:caps/>
          <w:color w:val="000000"/>
        </w:rPr>
      </w:pPr>
      <w:r>
        <w:rPr>
          <w:b/>
          <w:caps/>
          <w:color w:val="000000"/>
        </w:rPr>
        <w:t xml:space="preserve"> </w:t>
      </w:r>
    </w:p>
    <w:p>
      <w:pPr>
        <w:widowControl w:val="0"/>
        <w:ind w:left="1069"/>
        <w:jc w:val="both"/>
        <w:rPr>
          <w:color w:val="000000"/>
        </w:rPr>
      </w:pPr>
      <w:r>
        <w:rPr>
          <w:color w:val="000000"/>
        </w:rPr>
        <w:t>Tikslas – nustatyti, ar tikrinamasis asmuo pagal savo sveikatos būklę gali siekti gauti (mokytis) ar naudotis teisėmis, nurodytomis licencijoje, ir atlikti joje nurodytas pareigas.</w:t>
      </w:r>
    </w:p>
    <w:p>
      <w:pPr>
        <w:widowControl w:val="0"/>
        <w:ind w:left="1069"/>
        <w:jc w:val="both"/>
        <w:rPr>
          <w:color w:val="00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tc>
          <w:tcPr>
            <w:tcW w:w="9072" w:type="dxa"/>
            <w:gridSpan w:val="2"/>
          </w:tcPr>
          <w:p>
            <w:pPr>
              <w:jc w:val="center"/>
              <w:rPr>
                <w:rFonts w:hAnsi="Calibri"/>
                <w:sz w:val="22"/>
                <w:szCs w:val="22"/>
              </w:rPr>
            </w:pPr>
            <w:r>
              <w:rPr>
                <w:sz w:val="22"/>
                <w:szCs w:val="22"/>
              </w:rPr>
              <w:t>Sveikatos tikrintojas</w:t>
            </w:r>
          </w:p>
        </w:tc>
      </w:tr>
      <w:tr>
        <w:tc>
          <w:tcPr>
            <w:tcW w:w="4536" w:type="dxa"/>
          </w:tcPr>
          <w:p>
            <w:pPr>
              <w:jc w:val="both"/>
              <w:rPr>
                <w:sz w:val="22"/>
                <w:szCs w:val="22"/>
              </w:rPr>
            </w:pPr>
            <w:r>
              <w:rPr>
                <w:sz w:val="22"/>
                <w:szCs w:val="22"/>
              </w:rPr>
              <w:t>Pirminio lygio asmens sveikatos priežiūros paslaugas teikiantys gydytojai</w:t>
            </w:r>
          </w:p>
        </w:tc>
        <w:tc>
          <w:tcPr>
            <w:tcW w:w="4536" w:type="dxa"/>
          </w:tcPr>
          <w:p>
            <w:pPr>
              <w:jc w:val="both"/>
              <w:rPr>
                <w:rFonts w:hAnsi="Calibri"/>
                <w:sz w:val="22"/>
                <w:szCs w:val="22"/>
              </w:rPr>
            </w:pPr>
            <w:r>
              <w:rPr>
                <w:sz w:val="22"/>
                <w:szCs w:val="22"/>
              </w:rPr>
              <w:t>Privalomos antrinio ar tretinio lygio asmens sveikatos priežiūros paslaugas teikiančių gydytojų specialistų konsultacijos</w:t>
            </w:r>
          </w:p>
        </w:tc>
      </w:tr>
      <w:tr>
        <w:tc>
          <w:tcPr>
            <w:tcW w:w="4536" w:type="dxa"/>
          </w:tcPr>
          <w:p>
            <w:pPr>
              <w:jc w:val="both"/>
              <w:rPr>
                <w:sz w:val="22"/>
                <w:szCs w:val="22"/>
              </w:rPr>
            </w:pPr>
            <w:r>
              <w:rPr>
                <w:sz w:val="22"/>
                <w:szCs w:val="22"/>
              </w:rPr>
              <w:t>Šeimos gydytojas arba pirminės asmens sveikatos priežiūros (toliau – PASP) komandos vidaus ligų gydytojas, dirbantis asmens sveikatos priežiūros įstaigoje, kurią pacientas yra pasirinkęs teisės aktų nustatyta tvarka, tikrina pagal savo kompetenciją ir užpildo bei išduoda išrašą (F Nr. 027/a) iš asmens sveikatos istorijos (F Nr. 025/a) ar asmens sveikatos istoriją (F Nr. 025/a), ne trumpesnę kaip paskutiniųjų 5 metų (F Nr. 025/a išduodama tik prašant asmens sveikatos priežiūros įstaigai), skirtą gydytojui, kuris įgaliotas tikrinti civilinės aviacijos specialistų sveikatą ir dirba Civilinės aviacijos administracijos pripažintoje asmens sveikatos priežiūros įstaigoje (pvz., Aviacijos medicinos centre ar kt.), ir pateikia jį pacientui.</w:t>
            </w:r>
          </w:p>
        </w:tc>
        <w:tc>
          <w:tcPr>
            <w:tcW w:w="4536" w:type="dxa"/>
          </w:tcPr>
          <w:p>
            <w:pPr>
              <w:jc w:val="both"/>
              <w:rPr>
                <w:sz w:val="22"/>
                <w:szCs w:val="22"/>
              </w:rPr>
            </w:pPr>
            <w:r>
              <w:rPr>
                <w:sz w:val="22"/>
                <w:szCs w:val="22"/>
              </w:rPr>
              <w:t xml:space="preserve">Vadovaujantis Lietuvos Respublikos sveikatos apsaugos ministro ir Lietuvos Respublikos susisiekimo ministro 2004 m. birželio 17 d. įsakymu Nr. V-446/3-357 „Dėl licencijuojamų civilinės aviacijos specialistų sveikatos būklės reikalavimų“ (Žin., 2004, Nr. </w:t>
            </w:r>
            <w:hyperlink r:id="rId54" w:tgtFrame="_blank" w:history="1">
              <w:r>
                <w:rPr>
                  <w:color w:val="0000FF" w:themeColor="hyperlink"/>
                  <w:sz w:val="22"/>
                  <w:szCs w:val="22"/>
                  <w:u w:val="single"/>
                </w:rPr>
                <w:t>98-3671</w:t>
              </w:r>
            </w:hyperlink>
            <w:r>
              <w:rPr>
                <w:sz w:val="22"/>
                <w:szCs w:val="22"/>
              </w:rPr>
              <w:t>), teisę tikrinti civilinės aviacijos specialistų sveikatą ir teikti išvadas, išduodamas atitinkamos klasės sveikatos pažymėjimą, turi gydytojas, turintis Lietuvos Respublikos teisės aktų nustatyta tvarka išduotą galiojančią medicinos praktikos licenciją verstis medicinos praktika pagal įgytą profesinę kvalifikaciją ir pažymėjimą, liudijantį, kad jis papildomai pasirengęs aviacijos medicinos srityje bei yra pripažintas licencijuojančios institucijos, kuriai licencijuojamas civilinės aviacijos specialistas pateikia sveikatos pažymėjimą.“</w:t>
            </w:r>
          </w:p>
        </w:tc>
      </w:tr>
    </w:tbl>
    <w:p>
      <w:pPr>
        <w:widowControl w:val="0"/>
        <w:ind w:left="1069"/>
        <w:jc w:val="both"/>
        <w:rPr>
          <w:color w:val="000000"/>
        </w:rPr>
      </w:pPr>
    </w:p>
    <w:p>
      <w:pPr>
        <w:widowControl w:val="0"/>
        <w:tabs>
          <w:tab w:val="left" w:pos="5046"/>
        </w:tabs>
        <w:ind w:left="360"/>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r>
        <w:rPr>
          <w:szCs w:val="24"/>
        </w:rPr>
        <w:t>11</w:t>
      </w:r>
      <w:r>
        <w:rPr>
          <w:szCs w:val="24"/>
        </w:rPr>
        <w:t xml:space="preserve"> priedas</w:t>
      </w:r>
    </w:p>
    <w:p>
      <w:pPr>
        <w:keepNext/>
        <w:jc w:val="center"/>
        <w:outlineLvl w:val="5"/>
        <w:rPr>
          <w:b/>
          <w:color w:val="000000"/>
          <w:szCs w:val="24"/>
        </w:rPr>
      </w:pPr>
    </w:p>
    <w:p>
      <w:pPr>
        <w:keepNext/>
        <w:jc w:val="center"/>
        <w:outlineLvl w:val="5"/>
        <w:rPr>
          <w:b/>
          <w:color w:val="000000"/>
          <w:szCs w:val="24"/>
        </w:rPr>
      </w:pPr>
      <w:r>
        <w:rPr>
          <w:b/>
          <w:color w:val="000000"/>
          <w:szCs w:val="24"/>
        </w:rPr>
        <w:t>JŪRININKŲ IR VIDAUS VANDENŲ TRANSPORTO SPECIALISTŲ BEI MOTORINIŲ PRAMOGINIŲ LAIVŲ IR KITŲ MOTORINIŲ PLAUKIOJIMO PRIEMONIŲ LAIVAVEDŽIŲ SVEIKATOS TIKRINIMO TVARKOS APRAŠAS</w:t>
      </w:r>
    </w:p>
    <w:p>
      <w:pPr>
        <w:keepNext/>
        <w:ind w:left="568"/>
        <w:jc w:val="center"/>
        <w:outlineLvl w:val="1"/>
        <w:rPr>
          <w:b/>
          <w:szCs w:val="24"/>
        </w:rPr>
      </w:pPr>
    </w:p>
    <w:p>
      <w:pPr>
        <w:keepNext/>
        <w:ind w:left="1288"/>
        <w:jc w:val="center"/>
        <w:outlineLvl w:val="1"/>
        <w:rPr>
          <w:b/>
          <w:szCs w:val="24"/>
        </w:rPr>
      </w:pPr>
      <w:r>
        <w:rPr>
          <w:b/>
          <w:szCs w:val="24"/>
        </w:rPr>
        <w:t>I</w:t>
      </w:r>
      <w:r>
        <w:rPr>
          <w:b/>
          <w:szCs w:val="24"/>
        </w:rPr>
        <w:t xml:space="preserve">. </w:t>
      </w:r>
      <w:r>
        <w:rPr>
          <w:b/>
          <w:szCs w:val="24"/>
        </w:rPr>
        <w:t>BENDROSIOS NUOSTATOS</w:t>
      </w:r>
    </w:p>
    <w:p>
      <w:pPr>
        <w:rPr>
          <w:sz w:val="20"/>
        </w:rPr>
      </w:pPr>
    </w:p>
    <w:p>
      <w:pPr>
        <w:ind w:firstLine="709"/>
        <w:jc w:val="both"/>
        <w:rPr>
          <w:szCs w:val="24"/>
        </w:rPr>
      </w:pPr>
      <w:r>
        <w:rPr>
          <w:szCs w:val="24"/>
        </w:rPr>
        <w:t>1</w:t>
      </w:r>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p>
      <w:pPr>
        <w:ind w:firstLine="709"/>
        <w:jc w:val="both"/>
        <w:rPr>
          <w:szCs w:val="24"/>
        </w:rPr>
      </w:pPr>
      <w:r>
        <w:rPr>
          <w:szCs w:val="24"/>
        </w:rPr>
        <w:t>2</w:t>
      </w:r>
      <w:r>
        <w:rPr>
          <w:szCs w:val="24"/>
        </w:rPr>
        <w:t>. Sveikatos tikrinimo tikslas – nustatyti, ar tikrinamo asmens sveikatos būklė atitinka šiame Apraše nustatytus sveikatos būklės reikalavimus.</w:t>
      </w:r>
    </w:p>
    <w:p>
      <w:pPr>
        <w:ind w:firstLine="709"/>
        <w:jc w:val="both"/>
        <w:rPr>
          <w:color w:val="000000"/>
          <w:szCs w:val="24"/>
        </w:rPr>
      </w:pPr>
      <w:r>
        <w:rPr>
          <w:szCs w:val="24"/>
        </w:rPr>
        <w:t>3</w:t>
      </w:r>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p>
      <w:pPr>
        <w:ind w:firstLine="709"/>
        <w:jc w:val="both"/>
        <w:rPr>
          <w:szCs w:val="24"/>
          <w:lang w:eastAsia="x-none"/>
        </w:rPr>
      </w:pPr>
      <w:r>
        <w:rPr>
          <w:szCs w:val="24"/>
          <w:lang w:eastAsia="x-none"/>
        </w:rPr>
        <w:t>4</w:t>
      </w:r>
      <w:r>
        <w:rPr>
          <w:szCs w:val="24"/>
          <w:lang w:eastAsia="x-none"/>
        </w:rPr>
        <w:t>. Aprašas netaikomas karinio laivyno, karinio laivyno pagalbinių laivų, pakrančių apsaugos laivų personalui.</w:t>
      </w:r>
    </w:p>
    <w:p>
      <w:pPr>
        <w:widowControl w:val="0"/>
        <w:tabs>
          <w:tab w:val="left" w:pos="1080"/>
        </w:tabs>
        <w:ind w:right="-1" w:firstLine="709"/>
        <w:jc w:val="both"/>
        <w:rPr>
          <w:color w:val="000000"/>
          <w:szCs w:val="24"/>
        </w:rPr>
      </w:pPr>
      <w:r>
        <w:rPr>
          <w:szCs w:val="24"/>
          <w:lang w:val="en-US"/>
        </w:rPr>
        <w:t>5</w:t>
      </w:r>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p>
      <w:pPr>
        <w:ind w:firstLine="709"/>
        <w:jc w:val="both"/>
        <w:rPr>
          <w:color w:val="000000"/>
          <w:szCs w:val="24"/>
          <w:lang w:val="en-AU" w:eastAsia="x-none"/>
        </w:rPr>
      </w:pPr>
      <w:r>
        <w:rPr>
          <w:color w:val="000000"/>
          <w:szCs w:val="24"/>
          <w:lang w:val="en-AU" w:eastAsia="x-none"/>
        </w:rPr>
        <w:t>6</w:t>
      </w:r>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p>
      <w:pPr>
        <w:ind w:firstLine="709"/>
        <w:jc w:val="both"/>
        <w:rPr>
          <w:rFonts w:eastAsia="Calibri"/>
          <w:color w:val="000000"/>
          <w:szCs w:val="24"/>
        </w:rPr>
      </w:pPr>
      <w:r>
        <w:rPr>
          <w:rFonts w:eastAsia="Calibri"/>
          <w:color w:val="000000"/>
          <w:szCs w:val="24"/>
        </w:rPr>
        <w:t>6.1</w:t>
      </w:r>
      <w:r>
        <w:rPr>
          <w:rFonts w:eastAsia="Calibri"/>
          <w:color w:val="000000"/>
          <w:szCs w:val="24"/>
        </w:rPr>
        <w:t>. I profesinė grupė – Denio tarnyba. Vykdantys navigacinį budėjimą kapitonai, kapitonų padėjėjai, laivų škiperiai ir jų padėjėjai, kvalifikuoti jūreiviai, jūreiviai, upeiviai, locmanai ir pan.;</w:t>
      </w:r>
    </w:p>
    <w:p>
      <w:pPr>
        <w:ind w:firstLine="709"/>
        <w:jc w:val="both"/>
        <w:rPr>
          <w:rFonts w:eastAsia="Calibri"/>
          <w:color w:val="000000"/>
          <w:szCs w:val="24"/>
        </w:rPr>
      </w:pPr>
      <w:r>
        <w:rPr>
          <w:rFonts w:eastAsia="Calibri"/>
          <w:color w:val="000000"/>
          <w:szCs w:val="24"/>
        </w:rPr>
        <w:t>6.2</w:t>
      </w:r>
      <w:r>
        <w:rPr>
          <w:rFonts w:eastAsia="Calibri"/>
          <w:color w:val="000000"/>
          <w:szCs w:val="24"/>
        </w:rPr>
        <w:t>. II profesinė grupė – Mašinų (Jėgainės) tarnyba. Vykdantys mašinų (jėgainės) eigos budėjimą visų grupių mechanikai, kvalifikuoti motoristai, motoristai, elektrikai ir pan.;</w:t>
      </w:r>
    </w:p>
    <w:p>
      <w:pPr>
        <w:ind w:firstLine="709"/>
        <w:jc w:val="both"/>
        <w:rPr>
          <w:rFonts w:eastAsia="Calibri"/>
          <w:color w:val="000000"/>
          <w:szCs w:val="24"/>
        </w:rPr>
      </w:pPr>
      <w:r>
        <w:rPr>
          <w:rFonts w:eastAsia="Calibri"/>
          <w:color w:val="000000"/>
          <w:szCs w:val="24"/>
        </w:rPr>
        <w:t>6.3</w:t>
      </w:r>
      <w:r>
        <w:rPr>
          <w:rFonts w:eastAsia="Calibri"/>
          <w:color w:val="000000"/>
          <w:szCs w:val="24"/>
        </w:rPr>
        <w:t>. III profesinė grupė – Aptarnavimo tarnyba. Laivus ir jų personalą bei keleivius aptarnaujantys sveikatos priežiūros specialistai ir kiti darbuotojai, saugos pareigūnai, virėjai, narai ir pan.;</w:t>
      </w:r>
    </w:p>
    <w:p>
      <w:pPr>
        <w:ind w:firstLine="709"/>
        <w:jc w:val="both"/>
        <w:rPr>
          <w:color w:val="000000"/>
          <w:szCs w:val="24"/>
          <w:lang w:val="en-AU" w:eastAsia="x-none"/>
        </w:rPr>
      </w:pPr>
      <w:r>
        <w:rPr>
          <w:rFonts w:eastAsia="Calibri"/>
          <w:color w:val="000000"/>
          <w:szCs w:val="24"/>
          <w:lang w:val="en-AU" w:eastAsia="x-none"/>
        </w:rPr>
        <w:t>6.4</w:t>
      </w:r>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p>
      <w:pPr>
        <w:ind w:left="568"/>
        <w:jc w:val="center"/>
        <w:rPr>
          <w:b/>
          <w:szCs w:val="24"/>
          <w:lang w:eastAsia="x-none"/>
        </w:rPr>
      </w:pPr>
      <w:r>
        <w:rPr>
          <w:b/>
          <w:szCs w:val="24"/>
          <w:lang w:eastAsia="x-none"/>
        </w:rPr>
        <w:t>II</w:t>
      </w:r>
      <w:r>
        <w:rPr>
          <w:b/>
          <w:szCs w:val="24"/>
          <w:lang w:eastAsia="x-none"/>
        </w:rPr>
        <w:t xml:space="preserve">. </w:t>
      </w:r>
      <w:r>
        <w:rPr>
          <w:b/>
          <w:szCs w:val="24"/>
          <w:lang w:eastAsia="x-none"/>
        </w:rPr>
        <w:t>SVEIKATOS TIKRINIMO REIKALAVIMAI IR TVARKA</w:t>
      </w:r>
    </w:p>
    <w:p>
      <w:pPr>
        <w:jc w:val="center"/>
        <w:rPr>
          <w:szCs w:val="24"/>
          <w:lang w:eastAsia="x-none"/>
        </w:rPr>
      </w:pPr>
    </w:p>
    <w:p>
      <w:pPr>
        <w:ind w:firstLine="709"/>
        <w:jc w:val="both"/>
        <w:rPr>
          <w:szCs w:val="24"/>
          <w:lang w:eastAsia="x-none"/>
        </w:rPr>
      </w:pPr>
      <w:r>
        <w:rPr>
          <w:szCs w:val="24"/>
          <w:lang w:eastAsia="x-none"/>
        </w:rPr>
        <w:t>7</w:t>
      </w:r>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p>
      <w:pPr>
        <w:ind w:firstLine="720"/>
        <w:jc w:val="both"/>
        <w:rPr>
          <w:szCs w:val="24"/>
        </w:rPr>
      </w:pPr>
      <w:r>
        <w:rPr>
          <w:szCs w:val="24"/>
        </w:rPr>
        <w:t>8</w:t>
      </w:r>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p>
      <w:pPr>
        <w:ind w:firstLine="709"/>
        <w:jc w:val="both"/>
        <w:rPr>
          <w:szCs w:val="24"/>
          <w:lang w:eastAsia="x-none"/>
        </w:rPr>
      </w:pPr>
      <w:r>
        <w:rPr>
          <w:szCs w:val="24"/>
          <w:lang w:eastAsia="x-none"/>
        </w:rPr>
        <w:t>9</w:t>
      </w:r>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p>
      <w:pPr>
        <w:ind w:firstLine="709"/>
        <w:jc w:val="both"/>
        <w:rPr>
          <w:color w:val="000000"/>
          <w:szCs w:val="24"/>
          <w:lang w:eastAsia="x-none"/>
        </w:rPr>
      </w:pPr>
      <w:r>
        <w:rPr>
          <w:rFonts w:eastAsia="Calibri"/>
          <w:color w:val="000000"/>
          <w:szCs w:val="24"/>
          <w:lang w:eastAsia="x-none"/>
        </w:rPr>
        <w:t>10</w:t>
      </w:r>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p>
      <w:pPr>
        <w:widowControl w:val="0"/>
        <w:ind w:firstLine="709"/>
        <w:jc w:val="both"/>
        <w:rPr>
          <w:color w:val="000000"/>
          <w:lang w:eastAsia="x-none"/>
        </w:rPr>
      </w:pPr>
      <w:r>
        <w:rPr>
          <w:szCs w:val="24"/>
          <w:lang w:val="en-AU" w:eastAsia="x-none"/>
        </w:rPr>
        <w:t>11</w:t>
      </w:r>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p>
      <w:pPr>
        <w:widowControl w:val="0"/>
        <w:ind w:firstLine="709"/>
        <w:jc w:val="both"/>
        <w:rPr>
          <w:rFonts w:eastAsia="Calibri"/>
          <w:color w:val="000000"/>
          <w:szCs w:val="24"/>
          <w:lang w:val="en-AU" w:eastAsia="x-none"/>
        </w:rPr>
      </w:pPr>
      <w:r>
        <w:rPr>
          <w:color w:val="000000"/>
          <w:lang w:eastAsia="x-none"/>
        </w:rPr>
        <w:t>12</w:t>
      </w:r>
      <w:r>
        <w:rPr>
          <w:color w:val="000000"/>
          <w:lang w:eastAsia="x-none"/>
        </w:rPr>
        <w:t xml:space="preserve">. </w:t>
      </w:r>
      <w:r>
        <w:rPr>
          <w:rFonts w:eastAsia="Calibri"/>
          <w:color w:val="000000"/>
          <w:szCs w:val="24"/>
          <w:lang w:val="en-AU" w:eastAsia="x-none"/>
        </w:rPr>
        <w:t>Atliekami šie tyrimai:</w:t>
      </w:r>
    </w:p>
    <w:p>
      <w:pPr>
        <w:ind w:firstLine="709"/>
        <w:jc w:val="both"/>
        <w:rPr>
          <w:rFonts w:eastAsia="Calibri"/>
          <w:color w:val="000000"/>
          <w:szCs w:val="24"/>
        </w:rPr>
      </w:pPr>
      <w:r>
        <w:rPr>
          <w:rFonts w:eastAsia="Calibri"/>
          <w:color w:val="000000"/>
          <w:szCs w:val="24"/>
        </w:rPr>
        <w:t>12.1</w:t>
      </w:r>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p>
      <w:pPr>
        <w:ind w:firstLine="709"/>
        <w:jc w:val="both"/>
        <w:rPr>
          <w:rFonts w:eastAsia="Calibri"/>
          <w:color w:val="000000"/>
          <w:szCs w:val="24"/>
        </w:rPr>
      </w:pPr>
      <w:r>
        <w:rPr>
          <w:rFonts w:eastAsia="Calibri"/>
          <w:color w:val="000000"/>
          <w:szCs w:val="24"/>
        </w:rPr>
        <w:t>12.2</w:t>
      </w:r>
      <w:r>
        <w:rPr>
          <w:rFonts w:eastAsia="Calibri"/>
          <w:color w:val="000000"/>
          <w:szCs w:val="24"/>
        </w:rPr>
        <w:t>. eritrocitų nusėdimo greičio (ENG);</w:t>
      </w:r>
    </w:p>
    <w:p>
      <w:pPr>
        <w:ind w:firstLine="709"/>
        <w:jc w:val="both"/>
        <w:rPr>
          <w:rFonts w:eastAsia="Calibri"/>
          <w:color w:val="000000"/>
          <w:szCs w:val="24"/>
        </w:rPr>
      </w:pPr>
      <w:r>
        <w:rPr>
          <w:rFonts w:eastAsia="Calibri"/>
          <w:color w:val="000000"/>
          <w:szCs w:val="24"/>
        </w:rPr>
        <w:t>12.3</w:t>
      </w:r>
      <w:r>
        <w:rPr>
          <w:rFonts w:eastAsia="Calibri"/>
          <w:color w:val="000000"/>
          <w:szCs w:val="24"/>
        </w:rPr>
        <w:t>. gliukozės kiekio veniniame kraujyje (nevalgius) (prieš įsidarbinimą ir asmenims nuo 40 m.);</w:t>
      </w:r>
    </w:p>
    <w:p>
      <w:pPr>
        <w:ind w:firstLine="709"/>
        <w:jc w:val="both"/>
        <w:rPr>
          <w:rFonts w:eastAsia="Calibri"/>
          <w:color w:val="000000"/>
          <w:szCs w:val="24"/>
        </w:rPr>
      </w:pPr>
      <w:r>
        <w:rPr>
          <w:rFonts w:eastAsia="Calibri"/>
          <w:color w:val="000000"/>
          <w:szCs w:val="24"/>
        </w:rPr>
        <w:t>12.4</w:t>
      </w:r>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p>
      <w:pPr>
        <w:ind w:firstLine="709"/>
        <w:jc w:val="both"/>
        <w:rPr>
          <w:rFonts w:eastAsia="Calibri"/>
          <w:color w:val="000000"/>
          <w:szCs w:val="24"/>
        </w:rPr>
      </w:pPr>
      <w:r>
        <w:rPr>
          <w:rFonts w:eastAsia="Calibri"/>
          <w:color w:val="000000"/>
          <w:szCs w:val="24"/>
        </w:rPr>
        <w:t>12.5</w:t>
      </w:r>
      <w:r>
        <w:rPr>
          <w:rFonts w:eastAsia="Calibri"/>
          <w:color w:val="000000"/>
          <w:szCs w:val="24"/>
        </w:rPr>
        <w:t>. kraujo grupės ir Rh faktoriaus nustatymas (jei nėra nustatyta);</w:t>
      </w:r>
    </w:p>
    <w:p>
      <w:pPr>
        <w:ind w:firstLine="709"/>
        <w:jc w:val="both"/>
        <w:rPr>
          <w:rFonts w:eastAsia="Calibri"/>
          <w:color w:val="000000"/>
          <w:szCs w:val="24"/>
        </w:rPr>
      </w:pPr>
      <w:r>
        <w:rPr>
          <w:rFonts w:eastAsia="Calibri"/>
          <w:color w:val="000000"/>
          <w:szCs w:val="24"/>
        </w:rPr>
        <w:t>12.6</w:t>
      </w:r>
      <w:r>
        <w:rPr>
          <w:rFonts w:eastAsia="Calibri"/>
          <w:color w:val="000000"/>
          <w:szCs w:val="24"/>
        </w:rPr>
        <w:t>. kraujo dėl lytiškai plintančių ligų (serologinės reakcijos);</w:t>
      </w:r>
    </w:p>
    <w:p>
      <w:pPr>
        <w:ind w:firstLine="709"/>
        <w:jc w:val="both"/>
        <w:rPr>
          <w:rFonts w:eastAsia="Calibri"/>
          <w:color w:val="000000"/>
          <w:szCs w:val="24"/>
        </w:rPr>
      </w:pPr>
      <w:r>
        <w:rPr>
          <w:rFonts w:eastAsia="Calibri"/>
          <w:color w:val="000000"/>
          <w:szCs w:val="24"/>
        </w:rPr>
        <w:t>12.7</w:t>
      </w:r>
      <w:r>
        <w:rPr>
          <w:rFonts w:eastAsia="Calibri"/>
          <w:color w:val="000000"/>
          <w:szCs w:val="24"/>
        </w:rPr>
        <w:t>. bendrasis šlapimo tyrimas analizatoriumi;</w:t>
      </w:r>
    </w:p>
    <w:p>
      <w:pPr>
        <w:ind w:firstLine="709"/>
        <w:jc w:val="both"/>
        <w:rPr>
          <w:rFonts w:eastAsia="Calibri"/>
          <w:color w:val="000000"/>
          <w:szCs w:val="24"/>
        </w:rPr>
      </w:pPr>
      <w:r>
        <w:rPr>
          <w:rFonts w:eastAsia="Calibri"/>
          <w:color w:val="000000"/>
          <w:szCs w:val="24"/>
        </w:rPr>
        <w:t>12.8</w:t>
      </w:r>
      <w:r>
        <w:rPr>
          <w:rFonts w:eastAsia="Calibri"/>
          <w:color w:val="000000"/>
          <w:szCs w:val="24"/>
        </w:rPr>
        <w:t>. krūtinės ląstos rentgenograma;</w:t>
      </w:r>
    </w:p>
    <w:p>
      <w:pPr>
        <w:ind w:firstLine="709"/>
        <w:jc w:val="both"/>
        <w:rPr>
          <w:rFonts w:eastAsia="Calibri"/>
          <w:szCs w:val="24"/>
        </w:rPr>
      </w:pPr>
      <w:r>
        <w:rPr>
          <w:rFonts w:eastAsia="Calibri"/>
          <w:szCs w:val="24"/>
        </w:rPr>
        <w:t>12.9</w:t>
      </w:r>
      <w:r>
        <w:rPr>
          <w:rFonts w:eastAsia="Calibri"/>
          <w:szCs w:val="24"/>
        </w:rPr>
        <w:t>. EKG ramybės metu (prieš įsidarbinimą ir nuo 35 m.);</w:t>
      </w:r>
    </w:p>
    <w:p>
      <w:pPr>
        <w:ind w:firstLine="709"/>
        <w:jc w:val="both"/>
        <w:rPr>
          <w:rFonts w:eastAsia="Calibri"/>
          <w:color w:val="000000"/>
          <w:szCs w:val="24"/>
        </w:rPr>
      </w:pPr>
      <w:r>
        <w:rPr>
          <w:rFonts w:eastAsia="Calibri"/>
          <w:color w:val="000000"/>
          <w:szCs w:val="24"/>
        </w:rPr>
        <w:t>12.10</w:t>
      </w:r>
      <w:r>
        <w:rPr>
          <w:rFonts w:eastAsia="Calibri"/>
          <w:color w:val="000000"/>
          <w:szCs w:val="24"/>
        </w:rPr>
        <w:t>. akispūdžio matavimas (asmenims nuo 40 m. amžiaus – 1 kartą kas 3 metus);</w:t>
      </w:r>
    </w:p>
    <w:p>
      <w:pPr>
        <w:ind w:firstLine="709"/>
        <w:jc w:val="both"/>
        <w:rPr>
          <w:color w:val="000000"/>
          <w:szCs w:val="24"/>
        </w:rPr>
      </w:pPr>
      <w:r>
        <w:rPr>
          <w:color w:val="000000"/>
          <w:szCs w:val="24"/>
        </w:rPr>
        <w:t>12.11</w:t>
      </w:r>
      <w:r>
        <w:rPr>
          <w:color w:val="000000"/>
          <w:szCs w:val="24"/>
        </w:rPr>
        <w:t>. regėjimo aštrumo nustatymas;</w:t>
      </w:r>
    </w:p>
    <w:p>
      <w:pPr>
        <w:ind w:firstLine="709"/>
        <w:jc w:val="both"/>
        <w:rPr>
          <w:rFonts w:eastAsia="Calibri"/>
          <w:color w:val="000000"/>
          <w:szCs w:val="24"/>
        </w:rPr>
      </w:pPr>
      <w:r>
        <w:rPr>
          <w:color w:val="000000"/>
          <w:szCs w:val="24"/>
        </w:rPr>
        <w:t>12.12</w:t>
      </w:r>
      <w:r>
        <w:rPr>
          <w:color w:val="000000"/>
          <w:szCs w:val="24"/>
        </w:rPr>
        <w:t>. spalvinės regos nustatymas – I ir IV profesinei grupei</w:t>
      </w:r>
      <w:r>
        <w:rPr>
          <w:rFonts w:eastAsia="Calibri"/>
          <w:color w:val="000000"/>
          <w:szCs w:val="24"/>
        </w:rPr>
        <w:t>;</w:t>
      </w:r>
    </w:p>
    <w:p>
      <w:pPr>
        <w:ind w:firstLine="709"/>
        <w:jc w:val="both"/>
        <w:rPr>
          <w:rFonts w:eastAsia="Calibri"/>
          <w:color w:val="000000"/>
          <w:szCs w:val="24"/>
        </w:rPr>
      </w:pPr>
      <w:r>
        <w:rPr>
          <w:rFonts w:eastAsia="Calibri"/>
          <w:color w:val="000000"/>
          <w:szCs w:val="24"/>
        </w:rPr>
        <w:t>12.13</w:t>
      </w:r>
      <w:r>
        <w:rPr>
          <w:rFonts w:eastAsia="Calibri"/>
          <w:color w:val="000000"/>
          <w:szCs w:val="24"/>
        </w:rPr>
        <w:t>. klausos patikrinimas;</w:t>
      </w:r>
    </w:p>
    <w:p>
      <w:pPr>
        <w:ind w:firstLine="709"/>
        <w:jc w:val="both"/>
        <w:rPr>
          <w:rFonts w:eastAsia="Calibri"/>
          <w:color w:val="000000"/>
          <w:szCs w:val="24"/>
        </w:rPr>
      </w:pPr>
      <w:r>
        <w:rPr>
          <w:rFonts w:eastAsia="Calibri"/>
          <w:color w:val="000000"/>
          <w:szCs w:val="24"/>
        </w:rPr>
        <w:t>12.14</w:t>
      </w:r>
      <w:r>
        <w:rPr>
          <w:rFonts w:eastAsia="Calibri"/>
          <w:color w:val="000000"/>
          <w:szCs w:val="24"/>
        </w:rPr>
        <w:t>. audiometrija – II profesinei grupei;</w:t>
      </w:r>
    </w:p>
    <w:p>
      <w:pPr>
        <w:ind w:firstLine="709"/>
        <w:jc w:val="both"/>
        <w:rPr>
          <w:rFonts w:eastAsia="Calibri"/>
          <w:color w:val="000000"/>
          <w:szCs w:val="24"/>
        </w:rPr>
      </w:pPr>
      <w:r>
        <w:rPr>
          <w:rFonts w:eastAsia="Calibri"/>
          <w:color w:val="000000"/>
          <w:szCs w:val="24"/>
        </w:rPr>
        <w:t>12.15</w:t>
      </w:r>
      <w:r>
        <w:rPr>
          <w:rFonts w:eastAsia="Calibri"/>
          <w:color w:val="000000"/>
          <w:szCs w:val="24"/>
        </w:rPr>
        <w:t>. citologinis Pap tyrimas moterims – nuo 35 m;</w:t>
      </w:r>
    </w:p>
    <w:p>
      <w:pPr>
        <w:ind w:firstLine="709"/>
        <w:jc w:val="both"/>
        <w:rPr>
          <w:color w:val="000000"/>
          <w:szCs w:val="24"/>
        </w:rPr>
      </w:pPr>
      <w:r>
        <w:rPr>
          <w:rFonts w:eastAsia="Calibri"/>
          <w:color w:val="000000"/>
          <w:szCs w:val="24"/>
        </w:rPr>
        <w:t>12.16</w:t>
      </w:r>
      <w:r>
        <w:rPr>
          <w:rFonts w:eastAsia="Calibri"/>
          <w:color w:val="000000"/>
          <w:szCs w:val="24"/>
        </w:rPr>
        <w:t>. rekomenduojamas PSA tyrimas vyrams, vyresniems kaip 50 m. amžiaus.</w:t>
      </w:r>
    </w:p>
    <w:p>
      <w:pPr>
        <w:ind w:firstLine="709"/>
        <w:jc w:val="both"/>
        <w:rPr>
          <w:color w:val="FF0000"/>
          <w:szCs w:val="24"/>
          <w:lang w:val="en-AU" w:eastAsia="x-none"/>
        </w:rPr>
      </w:pPr>
      <w:r>
        <w:rPr>
          <w:szCs w:val="24"/>
          <w:lang w:eastAsia="x-none"/>
        </w:rPr>
        <w:t>13</w:t>
      </w:r>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p>
      <w:pPr>
        <w:widowControl w:val="0"/>
        <w:ind w:firstLine="709"/>
        <w:jc w:val="both"/>
        <w:rPr>
          <w:szCs w:val="24"/>
          <w:lang w:eastAsia="x-none"/>
        </w:rPr>
      </w:pPr>
      <w:r>
        <w:rPr>
          <w:szCs w:val="24"/>
          <w:lang w:eastAsia="x-none"/>
        </w:rPr>
        <w:t>14</w:t>
      </w:r>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p>
      <w:pPr>
        <w:ind w:firstLine="709"/>
        <w:jc w:val="both"/>
        <w:rPr>
          <w:rFonts w:eastAsia="Calibri"/>
          <w:color w:val="000000"/>
          <w:szCs w:val="24"/>
          <w:lang w:eastAsia="x-none"/>
        </w:rPr>
      </w:pPr>
      <w:r>
        <w:rPr>
          <w:color w:val="000000"/>
          <w:szCs w:val="24"/>
          <w:lang w:eastAsia="x-none"/>
        </w:rPr>
        <w:t>15</w:t>
      </w:r>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p>
      <w:pPr>
        <w:widowControl w:val="0"/>
        <w:ind w:firstLine="709"/>
        <w:jc w:val="both"/>
        <w:rPr>
          <w:rFonts w:eastAsia="Calibri"/>
          <w:color w:val="000000"/>
          <w:szCs w:val="24"/>
          <w:lang w:eastAsia="x-none"/>
        </w:rPr>
      </w:pPr>
      <w:r>
        <w:rPr>
          <w:color w:val="000000"/>
          <w:szCs w:val="24"/>
          <w:lang w:eastAsia="x-none"/>
        </w:rPr>
        <w:t>16</w:t>
      </w:r>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p>
      <w:pPr>
        <w:widowControl w:val="0"/>
        <w:ind w:firstLine="709"/>
        <w:jc w:val="both"/>
        <w:rPr>
          <w:szCs w:val="24"/>
          <w:lang w:eastAsia="x-none"/>
        </w:rPr>
      </w:pPr>
      <w:r>
        <w:rPr>
          <w:szCs w:val="24"/>
          <w:lang w:eastAsia="x-none"/>
        </w:rPr>
        <w:t>17</w:t>
      </w:r>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p>
      <w:pPr>
        <w:ind w:firstLine="709"/>
        <w:jc w:val="both"/>
        <w:rPr>
          <w:szCs w:val="24"/>
          <w:lang w:val="en-AU" w:eastAsia="x-none"/>
        </w:rPr>
      </w:pPr>
      <w:r>
        <w:rPr>
          <w:szCs w:val="24"/>
          <w:lang w:val="en-AU" w:eastAsia="x-none"/>
        </w:rPr>
        <w:t>18</w:t>
      </w:r>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p>
      <w:pPr>
        <w:ind w:firstLine="709"/>
        <w:jc w:val="both"/>
        <w:rPr>
          <w:color w:val="000000"/>
          <w:szCs w:val="24"/>
        </w:rPr>
      </w:pPr>
      <w:r>
        <w:rPr>
          <w:color w:val="000000"/>
          <w:szCs w:val="24"/>
        </w:rPr>
        <w:t>19</w:t>
      </w:r>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p>
      <w:pPr>
        <w:ind w:firstLine="720"/>
        <w:jc w:val="both"/>
        <w:rPr>
          <w:color w:val="000000"/>
          <w:szCs w:val="24"/>
        </w:rPr>
      </w:pPr>
      <w:r>
        <w:rPr>
          <w:color w:val="000000"/>
          <w:szCs w:val="24"/>
        </w:rPr>
        <w:t>20</w:t>
      </w:r>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p>
      <w:pPr>
        <w:tabs>
          <w:tab w:val="left" w:pos="851"/>
        </w:tabs>
        <w:ind w:firstLine="709"/>
        <w:jc w:val="both"/>
        <w:rPr>
          <w:szCs w:val="24"/>
        </w:rPr>
      </w:pPr>
      <w:r>
        <w:rPr>
          <w:color w:val="000000"/>
          <w:szCs w:val="24"/>
        </w:rPr>
        <w:t>21</w:t>
      </w:r>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2018-09-05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p>
      <w:pPr>
        <w:ind w:left="568"/>
        <w:jc w:val="center"/>
        <w:rPr>
          <w:b/>
          <w:szCs w:val="24"/>
        </w:rPr>
      </w:pPr>
      <w:r>
        <w:rPr>
          <w:b/>
          <w:szCs w:val="24"/>
        </w:rPr>
        <w:t>III</w:t>
      </w:r>
      <w:r>
        <w:rPr>
          <w:b/>
          <w:szCs w:val="24"/>
        </w:rPr>
        <w:t xml:space="preserve">. </w:t>
      </w:r>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p>
    <w:p>
      <w:pPr>
        <w:jc w:val="both"/>
        <w:rPr>
          <w:b/>
          <w:szCs w:val="24"/>
        </w:rPr>
      </w:pPr>
    </w:p>
    <w:p>
      <w:pPr>
        <w:ind w:firstLine="709"/>
        <w:jc w:val="both"/>
        <w:rPr>
          <w:color w:val="000000"/>
          <w:szCs w:val="24"/>
        </w:rPr>
      </w:pPr>
      <w:r>
        <w:rPr>
          <w:szCs w:val="24"/>
        </w:rPr>
        <w:t>23</w:t>
      </w:r>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p>
      <w:pPr>
        <w:tabs>
          <w:tab w:val="left" w:pos="709"/>
          <w:tab w:val="left" w:pos="851"/>
          <w:tab w:val="left" w:pos="1134"/>
        </w:tabs>
        <w:ind w:firstLine="709"/>
        <w:jc w:val="both"/>
        <w:rPr>
          <w:color w:val="000000"/>
          <w:szCs w:val="24"/>
        </w:rPr>
      </w:pPr>
      <w:r>
        <w:rPr>
          <w:color w:val="000000"/>
          <w:szCs w:val="24"/>
        </w:rPr>
        <w:t>23.1</w:t>
      </w:r>
      <w:r>
        <w:rPr>
          <w:color w:val="000000"/>
          <w:szCs w:val="24"/>
        </w:rPr>
        <w:t>. I–III profesinės grupės darbuotojai iki 18 ir nuo 46 metų – 1 kartą per 1 metus;</w:t>
      </w:r>
    </w:p>
    <w:p>
      <w:pPr>
        <w:tabs>
          <w:tab w:val="left" w:pos="709"/>
          <w:tab w:val="left" w:pos="851"/>
          <w:tab w:val="left" w:pos="1134"/>
        </w:tabs>
        <w:ind w:firstLine="709"/>
        <w:jc w:val="both"/>
        <w:rPr>
          <w:szCs w:val="24"/>
        </w:rPr>
      </w:pPr>
      <w:r>
        <w:rPr>
          <w:szCs w:val="24"/>
        </w:rPr>
        <w:t>23.2</w:t>
      </w:r>
      <w:r>
        <w:rPr>
          <w:szCs w:val="24"/>
        </w:rPr>
        <w:t xml:space="preserve">. I–III profesinės grupės </w:t>
      </w:r>
      <w:r>
        <w:rPr>
          <w:color w:val="000000"/>
          <w:szCs w:val="24"/>
        </w:rPr>
        <w:t>darbuotojai</w:t>
      </w:r>
      <w:r>
        <w:rPr>
          <w:szCs w:val="24"/>
        </w:rPr>
        <w:t xml:space="preserve"> nuo 18 iki 45 metų – 1 kartą per 2 metus;</w:t>
      </w:r>
    </w:p>
    <w:p>
      <w:pPr>
        <w:tabs>
          <w:tab w:val="left" w:pos="709"/>
          <w:tab w:val="left" w:pos="851"/>
          <w:tab w:val="left" w:pos="1134"/>
        </w:tabs>
        <w:ind w:firstLine="709"/>
        <w:jc w:val="both"/>
        <w:rPr>
          <w:szCs w:val="24"/>
        </w:rPr>
      </w:pPr>
      <w:r>
        <w:rPr>
          <w:szCs w:val="24"/>
        </w:rPr>
        <w:t>23.3</w:t>
      </w:r>
      <w:r>
        <w:rPr>
          <w:szCs w:val="24"/>
        </w:rPr>
        <w:t xml:space="preserve">. IV profesinės grupės </w:t>
      </w:r>
      <w:r>
        <w:rPr>
          <w:color w:val="000000"/>
          <w:szCs w:val="24"/>
        </w:rPr>
        <w:t>darbuotojai</w:t>
      </w:r>
      <w:r>
        <w:rPr>
          <w:szCs w:val="24"/>
        </w:rPr>
        <w:t xml:space="preserve"> iki 55 metų – 1 kartą per 10 metų;</w:t>
      </w:r>
    </w:p>
    <w:p>
      <w:pPr>
        <w:tabs>
          <w:tab w:val="left" w:pos="709"/>
          <w:tab w:val="left" w:pos="851"/>
          <w:tab w:val="left" w:pos="1134"/>
        </w:tabs>
        <w:ind w:firstLine="709"/>
        <w:jc w:val="both"/>
        <w:rPr>
          <w:szCs w:val="24"/>
        </w:rPr>
      </w:pPr>
      <w:r>
        <w:rPr>
          <w:szCs w:val="24"/>
        </w:rPr>
        <w:t>23.4</w:t>
      </w:r>
      <w:r>
        <w:rPr>
          <w:szCs w:val="24"/>
        </w:rPr>
        <w:t xml:space="preserve">. IV profesinės grupės </w:t>
      </w:r>
      <w:r>
        <w:rPr>
          <w:color w:val="000000"/>
          <w:szCs w:val="24"/>
        </w:rPr>
        <w:t>darbuotojai</w:t>
      </w:r>
      <w:r>
        <w:rPr>
          <w:szCs w:val="24"/>
        </w:rPr>
        <w:t xml:space="preserve"> nuo 56 iki 69 metų – 1 kartą per 5 metus;</w:t>
      </w:r>
    </w:p>
    <w:p>
      <w:pPr>
        <w:tabs>
          <w:tab w:val="left" w:pos="709"/>
          <w:tab w:val="left" w:pos="851"/>
          <w:tab w:val="left" w:pos="1134"/>
        </w:tabs>
        <w:ind w:firstLine="709"/>
        <w:jc w:val="both"/>
        <w:rPr>
          <w:szCs w:val="24"/>
        </w:rPr>
      </w:pPr>
      <w:r>
        <w:rPr>
          <w:szCs w:val="24"/>
        </w:rPr>
        <w:t>23.5</w:t>
      </w:r>
      <w:r>
        <w:rPr>
          <w:szCs w:val="24"/>
        </w:rPr>
        <w:t xml:space="preserve">. IV profesinės grupės </w:t>
      </w:r>
      <w:r>
        <w:rPr>
          <w:color w:val="000000"/>
          <w:szCs w:val="24"/>
        </w:rPr>
        <w:t>darbuotojai</w:t>
      </w:r>
      <w:r>
        <w:rPr>
          <w:szCs w:val="24"/>
        </w:rPr>
        <w:t xml:space="preserve"> nuo 70 iki 79 metų – 1 kartą per 2 metus;</w:t>
      </w:r>
    </w:p>
    <w:p>
      <w:pPr>
        <w:tabs>
          <w:tab w:val="left" w:pos="709"/>
          <w:tab w:val="left" w:pos="851"/>
          <w:tab w:val="left" w:pos="1134"/>
        </w:tabs>
        <w:ind w:firstLine="709"/>
        <w:jc w:val="both"/>
        <w:rPr>
          <w:szCs w:val="24"/>
        </w:rPr>
      </w:pPr>
      <w:r>
        <w:rPr>
          <w:szCs w:val="24"/>
        </w:rPr>
        <w:t>23.6</w:t>
      </w:r>
      <w:r>
        <w:rPr>
          <w:szCs w:val="24"/>
        </w:rPr>
        <w:t xml:space="preserve">. IV profesinės grupės </w:t>
      </w:r>
      <w:r>
        <w:rPr>
          <w:color w:val="000000"/>
          <w:szCs w:val="24"/>
        </w:rPr>
        <w:t>darbuotojai</w:t>
      </w:r>
      <w:r>
        <w:rPr>
          <w:szCs w:val="24"/>
        </w:rPr>
        <w:t xml:space="preserve"> nuo 80 metų – 1 kartą per 1 metus.</w:t>
      </w:r>
    </w:p>
    <w:p>
      <w:pPr>
        <w:tabs>
          <w:tab w:val="left" w:pos="709"/>
          <w:tab w:val="left" w:pos="851"/>
        </w:tabs>
        <w:ind w:firstLine="709"/>
        <w:jc w:val="both"/>
        <w:rPr>
          <w:szCs w:val="24"/>
        </w:rPr>
      </w:pPr>
      <w:r>
        <w:rPr>
          <w:szCs w:val="24"/>
        </w:rPr>
        <w:t>24</w:t>
      </w:r>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p>
      <w:pPr>
        <w:widowControl w:val="0"/>
        <w:tabs>
          <w:tab w:val="left" w:pos="709"/>
          <w:tab w:val="left" w:pos="851"/>
        </w:tabs>
        <w:ind w:right="-1" w:firstLine="709"/>
        <w:jc w:val="both"/>
        <w:rPr>
          <w:szCs w:val="24"/>
        </w:rPr>
      </w:pPr>
      <w:r>
        <w:rPr>
          <w:szCs w:val="24"/>
        </w:rPr>
        <w:t>25</w:t>
      </w:r>
      <w:r>
        <w:rPr>
          <w:szCs w:val="24"/>
        </w:rPr>
        <w:t>. Darbdaviui atstovaujantis ar jo įgaliotas asmuo turi teisę, raštu nurodęs priežastį, siųsti darbuotoją neeilinio sveikatos tikrinimo.</w:t>
      </w:r>
    </w:p>
    <w:p>
      <w:pPr>
        <w:widowControl w:val="0"/>
        <w:tabs>
          <w:tab w:val="left" w:pos="0"/>
        </w:tabs>
        <w:ind w:right="-1" w:firstLine="709"/>
        <w:jc w:val="both"/>
        <w:rPr>
          <w:szCs w:val="24"/>
        </w:rPr>
      </w:pPr>
      <w:r>
        <w:rPr>
          <w:szCs w:val="24"/>
          <w:lang w:val="pt-BR"/>
        </w:rPr>
        <w:t>26</w:t>
      </w:r>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p>
      <w:pPr>
        <w:widowControl w:val="0"/>
        <w:tabs>
          <w:tab w:val="left" w:pos="0"/>
          <w:tab w:val="left" w:pos="1080"/>
        </w:tabs>
        <w:ind w:left="709" w:right="-1"/>
        <w:jc w:val="center"/>
        <w:rPr>
          <w:b/>
          <w:szCs w:val="24"/>
        </w:rPr>
      </w:pPr>
      <w:r>
        <w:rPr>
          <w:b/>
          <w:szCs w:val="24"/>
        </w:rPr>
        <w:t>IV</w:t>
      </w:r>
      <w:r>
        <w:rPr>
          <w:b/>
          <w:szCs w:val="24"/>
        </w:rPr>
        <w:t xml:space="preserve">. </w:t>
      </w:r>
      <w:r>
        <w:rPr>
          <w:b/>
          <w:szCs w:val="24"/>
        </w:rPr>
        <w:t>SVEIKATOS PAŽYMĖJIMŲ</w:t>
      </w:r>
      <w:r>
        <w:rPr>
          <w:b/>
          <w:color w:val="000000"/>
          <w:szCs w:val="24"/>
        </w:rPr>
        <w:t xml:space="preserve"> IŠDAVIMO </w:t>
      </w:r>
      <w:r>
        <w:rPr>
          <w:b/>
          <w:szCs w:val="24"/>
        </w:rPr>
        <w:t xml:space="preserve">TVARKA </w:t>
      </w:r>
    </w:p>
    <w:p>
      <w:pPr>
        <w:tabs>
          <w:tab w:val="left" w:pos="0"/>
        </w:tabs>
        <w:ind w:firstLine="709"/>
        <w:rPr>
          <w:b/>
          <w:szCs w:val="24"/>
        </w:rPr>
      </w:pPr>
    </w:p>
    <w:p>
      <w:pPr>
        <w:ind w:firstLine="709"/>
        <w:jc w:val="both"/>
        <w:rPr>
          <w:color w:val="000000"/>
          <w:szCs w:val="24"/>
        </w:rPr>
      </w:pPr>
      <w:r>
        <w:rPr>
          <w:color w:val="000000"/>
          <w:szCs w:val="24"/>
        </w:rPr>
        <w:t>27</w:t>
      </w:r>
      <w:r>
        <w:rPr>
          <w:color w:val="000000"/>
          <w:szCs w:val="24"/>
        </w:rPr>
        <w:t>. Galutinę išvadą, įvertinę tyrimų duomenis ir visų konsultavusių gydytojų išvadas, vadovaujantis šiuo Aprašu, į atitinkamos formos (Nr. 048-1/a ar Nr. 048-2/a) sveikatos pažymėjimą įrašo ir pasirašo:</w:t>
      </w:r>
    </w:p>
    <w:p>
      <w:pPr>
        <w:ind w:firstLine="709"/>
        <w:jc w:val="both"/>
        <w:rPr>
          <w:color w:val="000000"/>
          <w:szCs w:val="24"/>
        </w:rPr>
      </w:pPr>
      <w:r>
        <w:rPr>
          <w:color w:val="000000"/>
          <w:szCs w:val="24"/>
        </w:rPr>
        <w:t>27.1</w:t>
      </w:r>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p>
      <w:pPr>
        <w:ind w:firstLine="709"/>
        <w:jc w:val="both"/>
        <w:rPr>
          <w:color w:val="000000"/>
          <w:szCs w:val="24"/>
        </w:rPr>
      </w:pPr>
      <w:r>
        <w:rPr>
          <w:color w:val="000000"/>
          <w:szCs w:val="24"/>
        </w:rPr>
        <w:t>27.2</w:t>
      </w:r>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p>
      <w:pPr>
        <w:tabs>
          <w:tab w:val="left" w:pos="851"/>
        </w:tabs>
        <w:ind w:firstLine="709"/>
        <w:jc w:val="both"/>
        <w:rPr>
          <w:szCs w:val="24"/>
        </w:rPr>
      </w:pPr>
      <w:r>
        <w:rPr>
          <w:color w:val="000000"/>
          <w:szCs w:val="24"/>
        </w:rPr>
        <w:t>28</w:t>
      </w:r>
      <w:r>
        <w:rPr>
          <w:color w:val="000000"/>
          <w:szCs w:val="24"/>
        </w:rPr>
        <w:t>. Sudėtingais ir ginčytinais (kai dėl išvados reikia spręsti individualiai</w:t>
      </w:r>
      <w:r>
        <w:rPr>
          <w:szCs w:val="24"/>
        </w:rPr>
        <w:t>) atvejais apie tinkamumą dirbti sprendžia:</w:t>
      </w:r>
    </w:p>
    <w:p>
      <w:pPr>
        <w:tabs>
          <w:tab w:val="left" w:pos="851"/>
        </w:tabs>
        <w:ind w:firstLine="709"/>
        <w:jc w:val="both"/>
        <w:rPr>
          <w:szCs w:val="24"/>
        </w:rPr>
      </w:pPr>
      <w:r>
        <w:rPr>
          <w:szCs w:val="24"/>
        </w:rPr>
        <w:t>28.1</w:t>
      </w:r>
      <w:r>
        <w:rPr>
          <w:szCs w:val="24"/>
        </w:rPr>
        <w:t>. dėl jūrininkų – Jūrininkų ligoninės GKK;</w:t>
      </w:r>
    </w:p>
    <w:p>
      <w:pPr>
        <w:tabs>
          <w:tab w:val="left" w:pos="851"/>
        </w:tabs>
        <w:ind w:firstLine="709"/>
        <w:jc w:val="both"/>
        <w:rPr>
          <w:szCs w:val="24"/>
        </w:rPr>
      </w:pPr>
      <w:r>
        <w:rPr>
          <w:szCs w:val="24"/>
        </w:rPr>
        <w:t>28.2</w:t>
      </w:r>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p>
      <w:pPr>
        <w:tabs>
          <w:tab w:val="left" w:pos="851"/>
        </w:tabs>
        <w:ind w:firstLine="709"/>
        <w:jc w:val="both"/>
        <w:rPr>
          <w:szCs w:val="24"/>
        </w:rPr>
      </w:pPr>
      <w:r>
        <w:rPr>
          <w:szCs w:val="24"/>
        </w:rPr>
        <w:t>29</w:t>
      </w:r>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p>
      <w:pPr>
        <w:tabs>
          <w:tab w:val="left" w:pos="851"/>
        </w:tabs>
        <w:ind w:firstLine="709"/>
        <w:jc w:val="both"/>
        <w:rPr>
          <w:szCs w:val="24"/>
        </w:rPr>
      </w:pPr>
      <w:r>
        <w:rPr>
          <w:szCs w:val="24"/>
        </w:rPr>
        <w:t>30</w:t>
      </w:r>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p>
      <w:pPr>
        <w:ind w:firstLine="709"/>
        <w:jc w:val="both"/>
        <w:rPr>
          <w:szCs w:val="24"/>
        </w:rPr>
      </w:pPr>
      <w:r>
        <w:rPr>
          <w:szCs w:val="24"/>
        </w:rPr>
        <w:t>31</w:t>
      </w:r>
      <w:r>
        <w:rPr>
          <w:szCs w:val="24"/>
        </w:rPr>
        <w:t>. Asmenims, atitinkantiems sveikatos būklės reikalavimus, yra išduodami tai patvirtinantys atitinkamai formos Nr. 048-1/a arba formos Nr. 048-2/a sveikatos pažymėjimai.</w:t>
      </w:r>
    </w:p>
    <w:p>
      <w:pPr>
        <w:tabs>
          <w:tab w:val="left" w:pos="0"/>
        </w:tabs>
        <w:ind w:firstLine="709"/>
        <w:jc w:val="both"/>
        <w:rPr>
          <w:szCs w:val="24"/>
        </w:rPr>
      </w:pPr>
      <w:r>
        <w:rPr>
          <w:szCs w:val="24"/>
        </w:rPr>
        <w:t>32</w:t>
      </w:r>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p>
      <w:pPr>
        <w:tabs>
          <w:tab w:val="left" w:pos="0"/>
          <w:tab w:val="left" w:pos="1134"/>
        </w:tabs>
        <w:ind w:left="709"/>
        <w:jc w:val="both"/>
        <w:rPr>
          <w:szCs w:val="24"/>
        </w:rPr>
      </w:pPr>
      <w:r>
        <w:rPr>
          <w:szCs w:val="24"/>
        </w:rPr>
        <w:t>32.1</w:t>
      </w:r>
      <w:r>
        <w:rPr>
          <w:szCs w:val="24"/>
        </w:rPr>
        <w:t>. I–III profesinės grupės darbuotojams iki 18 metų ir nuo 4</w:t>
      </w:r>
      <w:r>
        <w:rPr>
          <w:szCs w:val="24"/>
          <w:lang w:val="en-US"/>
        </w:rPr>
        <w:t>6</w:t>
      </w:r>
      <w:r>
        <w:rPr>
          <w:szCs w:val="24"/>
        </w:rPr>
        <w:t xml:space="preserve"> metų – 1 metai;</w:t>
      </w:r>
    </w:p>
    <w:p>
      <w:pPr>
        <w:tabs>
          <w:tab w:val="left" w:pos="0"/>
          <w:tab w:val="left" w:pos="1134"/>
        </w:tabs>
        <w:ind w:left="709"/>
        <w:jc w:val="both"/>
        <w:rPr>
          <w:szCs w:val="24"/>
        </w:rPr>
      </w:pPr>
      <w:r>
        <w:rPr>
          <w:szCs w:val="24"/>
        </w:rPr>
        <w:t>32.2</w:t>
      </w:r>
      <w:r>
        <w:rPr>
          <w:szCs w:val="24"/>
        </w:rPr>
        <w:t>. I–III profesinės grupės darbuotojams nuo 18 metų iki 45 metų – 2 metai;</w:t>
      </w:r>
    </w:p>
    <w:p>
      <w:pPr>
        <w:tabs>
          <w:tab w:val="left" w:pos="0"/>
          <w:tab w:val="left" w:pos="1134"/>
        </w:tabs>
        <w:ind w:left="709"/>
        <w:jc w:val="both"/>
        <w:rPr>
          <w:szCs w:val="24"/>
        </w:rPr>
      </w:pPr>
      <w:r>
        <w:rPr>
          <w:szCs w:val="24"/>
        </w:rPr>
        <w:t>32.3</w:t>
      </w:r>
      <w:r>
        <w:rPr>
          <w:szCs w:val="24"/>
        </w:rPr>
        <w:t>. IV profesinės grupės darbuotojams iki 55 metų – 10 metų;</w:t>
      </w:r>
    </w:p>
    <w:p>
      <w:pPr>
        <w:tabs>
          <w:tab w:val="left" w:pos="0"/>
        </w:tabs>
        <w:ind w:left="709"/>
        <w:jc w:val="both"/>
        <w:rPr>
          <w:szCs w:val="24"/>
        </w:rPr>
      </w:pPr>
      <w:r>
        <w:rPr>
          <w:szCs w:val="24"/>
        </w:rPr>
        <w:t>32.4</w:t>
      </w:r>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p>
      <w:pPr>
        <w:tabs>
          <w:tab w:val="left" w:pos="0"/>
          <w:tab w:val="left" w:pos="1134"/>
        </w:tabs>
        <w:ind w:left="709"/>
        <w:jc w:val="both"/>
        <w:rPr>
          <w:szCs w:val="24"/>
        </w:rPr>
      </w:pPr>
      <w:r>
        <w:rPr>
          <w:szCs w:val="24"/>
        </w:rPr>
        <w:t>32</w:t>
      </w:r>
      <w:r>
        <w:rPr>
          <w:szCs w:val="24"/>
          <w:lang w:val="en-US"/>
        </w:rPr>
        <w:t>.5</w:t>
      </w:r>
      <w:r>
        <w:rPr>
          <w:szCs w:val="24"/>
          <w:lang w:val="en-US"/>
        </w:rPr>
        <w:t xml:space="preserve">. IV </w:t>
      </w:r>
      <w:r>
        <w:rPr>
          <w:szCs w:val="24"/>
        </w:rPr>
        <w:t>profesinės grupės darbuotojams nuo 70 iki 79 metų –</w:t>
      </w:r>
      <w:r>
        <w:rPr>
          <w:szCs w:val="24"/>
          <w:lang w:val="en-US"/>
        </w:rPr>
        <w:t xml:space="preserve"> 2 metai;</w:t>
      </w:r>
    </w:p>
    <w:p>
      <w:pPr>
        <w:tabs>
          <w:tab w:val="left" w:pos="0"/>
          <w:tab w:val="left" w:pos="1134"/>
        </w:tabs>
        <w:ind w:left="709"/>
        <w:jc w:val="both"/>
        <w:rPr>
          <w:szCs w:val="24"/>
        </w:rPr>
      </w:pPr>
      <w:r>
        <w:rPr>
          <w:szCs w:val="24"/>
        </w:rPr>
        <w:t>32.6</w:t>
      </w:r>
      <w:r>
        <w:rPr>
          <w:szCs w:val="24"/>
        </w:rPr>
        <w:t xml:space="preserve">. </w:t>
      </w:r>
      <w:r>
        <w:rPr>
          <w:szCs w:val="24"/>
          <w:lang w:val="en-US"/>
        </w:rPr>
        <w:t>IV profesin</w:t>
      </w:r>
      <w:r>
        <w:rPr>
          <w:szCs w:val="24"/>
        </w:rPr>
        <w:t>ės grupės darbuotojams nuo 80 metų –</w:t>
      </w:r>
      <w:r>
        <w:rPr>
          <w:szCs w:val="24"/>
          <w:lang w:val="en-US"/>
        </w:rPr>
        <w:t xml:space="preserve"> 1 metai.</w:t>
      </w:r>
    </w:p>
    <w:p>
      <w:pPr>
        <w:tabs>
          <w:tab w:val="left" w:pos="0"/>
        </w:tabs>
        <w:ind w:firstLine="709"/>
        <w:jc w:val="both"/>
        <w:rPr>
          <w:szCs w:val="24"/>
          <w:lang w:eastAsia="x-none"/>
        </w:rPr>
      </w:pPr>
      <w:r>
        <w:rPr>
          <w:szCs w:val="24"/>
          <w:lang w:eastAsia="x-none"/>
        </w:rPr>
        <w:t>33</w:t>
      </w:r>
      <w:r>
        <w:rPr>
          <w:szCs w:val="24"/>
          <w:lang w:eastAsia="x-none"/>
        </w:rPr>
        <w:t>. Esant 24 punkte numatytoms aplinkybėms, sveikatos pažymėjimas gali būti išduotas trumpesniam laikotarpiui, nei nurodyta 32 punkte.</w:t>
      </w:r>
    </w:p>
    <w:p>
      <w:pPr>
        <w:ind w:firstLine="709"/>
        <w:jc w:val="both"/>
        <w:rPr>
          <w:strike/>
          <w:color w:val="000000"/>
          <w:szCs w:val="24"/>
          <w:lang w:eastAsia="x-none"/>
        </w:rPr>
      </w:pPr>
      <w:r>
        <w:rPr>
          <w:color w:val="000000"/>
          <w:szCs w:val="24"/>
          <w:lang w:eastAsia="x-none"/>
        </w:rPr>
        <w:t>34</w:t>
      </w:r>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p>
      <w:pPr>
        <w:tabs>
          <w:tab w:val="left" w:pos="0"/>
          <w:tab w:val="left" w:pos="426"/>
        </w:tabs>
        <w:ind w:left="709"/>
        <w:jc w:val="both"/>
        <w:rPr>
          <w:szCs w:val="24"/>
          <w:lang w:eastAsia="x-none"/>
        </w:rPr>
      </w:pPr>
      <w:r>
        <w:rPr>
          <w:color w:val="000000"/>
          <w:szCs w:val="24"/>
          <w:lang w:eastAsia="x-none"/>
        </w:rPr>
        <w:t>35</w:t>
      </w:r>
      <w:r>
        <w:rPr>
          <w:color w:val="000000"/>
          <w:szCs w:val="24"/>
          <w:lang w:eastAsia="x-none"/>
        </w:rPr>
        <w:t>. Sveikatos pažymėjimas</w:t>
      </w:r>
      <w:r>
        <w:rPr>
          <w:szCs w:val="24"/>
          <w:lang w:eastAsia="x-none"/>
        </w:rPr>
        <w:t xml:space="preserve"> išrašomas lietuvių ir anglų kalbomis.</w:t>
      </w:r>
    </w:p>
    <w:p>
      <w:pPr>
        <w:ind w:firstLine="709"/>
        <w:jc w:val="both"/>
        <w:rPr>
          <w:color w:val="000000"/>
          <w:szCs w:val="24"/>
          <w:lang w:eastAsia="x-none"/>
        </w:rPr>
      </w:pPr>
      <w:r>
        <w:rPr>
          <w:szCs w:val="24"/>
          <w:lang w:eastAsia="x-none"/>
        </w:rPr>
        <w:t>36</w:t>
      </w:r>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p>
      <w:pPr>
        <w:ind w:firstLine="709"/>
        <w:jc w:val="both"/>
        <w:rPr>
          <w:szCs w:val="24"/>
        </w:rPr>
      </w:pPr>
      <w:r>
        <w:rPr>
          <w:color w:val="000000"/>
          <w:szCs w:val="24"/>
        </w:rPr>
        <w:t>37</w:t>
      </w:r>
      <w:r>
        <w:rPr>
          <w:color w:val="000000"/>
          <w:szCs w:val="24"/>
        </w:rPr>
        <w:t>. Įrašai sveikatos pažymėjime turi</w:t>
      </w:r>
      <w:r>
        <w:rPr>
          <w:szCs w:val="24"/>
        </w:rPr>
        <w:t xml:space="preserve"> būti įskaitomi, atitikti įrašus asmens tapatybės dokumente, jų negalima taisyti.</w:t>
      </w:r>
    </w:p>
    <w:p>
      <w:pPr>
        <w:ind w:firstLine="709"/>
        <w:jc w:val="both"/>
        <w:rPr>
          <w:color w:val="000000"/>
          <w:szCs w:val="24"/>
        </w:rPr>
      </w:pPr>
      <w:r>
        <w:rPr>
          <w:szCs w:val="24"/>
        </w:rPr>
        <w:t>38</w:t>
      </w:r>
      <w:r>
        <w:rPr>
          <w:szCs w:val="24"/>
        </w:rPr>
        <w:t xml:space="preserve">. Pildant elektroninę sveikatos pažymėjimo formą Nr. 048-1/a ar formą Nr. 048-2/a, duomenys įrašomi laužtiniuose skliaustuose. </w:t>
      </w:r>
    </w:p>
    <w:p>
      <w:pPr>
        <w:keepNext/>
        <w:tabs>
          <w:tab w:val="left" w:pos="0"/>
          <w:tab w:val="left" w:pos="709"/>
        </w:tabs>
        <w:ind w:firstLine="709"/>
        <w:outlineLvl w:val="5"/>
        <w:rPr>
          <w:color w:val="000000"/>
          <w:szCs w:val="24"/>
        </w:rPr>
      </w:pPr>
      <w:r>
        <w:rPr>
          <w:color w:val="000000"/>
          <w:szCs w:val="24"/>
        </w:rPr>
        <w:t>39</w:t>
      </w:r>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p>
      <w:pPr>
        <w:keepNext/>
        <w:tabs>
          <w:tab w:val="left" w:pos="0"/>
        </w:tabs>
        <w:ind w:firstLine="709"/>
        <w:jc w:val="center"/>
        <w:outlineLvl w:val="5"/>
        <w:rPr>
          <w:b/>
        </w:rPr>
      </w:pPr>
      <w:r>
        <w:rPr>
          <w:b/>
        </w:rPr>
        <w:t>V</w:t>
      </w:r>
      <w:r>
        <w:rPr>
          <w:b/>
        </w:rPr>
        <w:t xml:space="preserve">. </w:t>
      </w:r>
      <w:r>
        <w:rPr>
          <w:b/>
        </w:rPr>
        <w:t>BAIGIAMOSIOS NUOSTATOS</w:t>
      </w:r>
    </w:p>
    <w:p>
      <w:pPr>
        <w:tabs>
          <w:tab w:val="left" w:pos="0"/>
        </w:tabs>
        <w:ind w:firstLine="709"/>
        <w:rPr>
          <w:sz w:val="20"/>
        </w:rPr>
      </w:pPr>
    </w:p>
    <w:p>
      <w:pPr>
        <w:tabs>
          <w:tab w:val="left" w:pos="0"/>
        </w:tabs>
        <w:ind w:firstLine="709"/>
        <w:jc w:val="both"/>
        <w:rPr>
          <w:lang w:eastAsia="x-none"/>
        </w:rPr>
      </w:pPr>
      <w:r>
        <w:rPr>
          <w:color w:val="000000"/>
          <w:szCs w:val="24"/>
          <w:lang w:eastAsia="x-none"/>
        </w:rPr>
        <w:t>40</w:t>
      </w:r>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p>
      <w:pPr>
        <w:tabs>
          <w:tab w:val="left" w:pos="0"/>
        </w:tabs>
        <w:ind w:firstLine="709"/>
        <w:jc w:val="both"/>
        <w:rPr>
          <w:lang w:eastAsia="x-none"/>
        </w:rPr>
      </w:pPr>
      <w:r>
        <w:rPr>
          <w:lang w:eastAsia="x-none"/>
        </w:rPr>
        <w:t>41</w:t>
      </w:r>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
      <w:pPr>
        <w:ind w:left="720" w:hanging="11"/>
        <w:jc w:val="center"/>
        <w:rPr>
          <w:szCs w:val="24"/>
        </w:rPr>
      </w:pPr>
    </w:p>
    <w:p>
      <w:pPr>
        <w:ind w:right="27"/>
        <w:jc w:val="both"/>
        <w:rPr>
          <w:sz w:val="20"/>
          <w:szCs w:val="24"/>
        </w:rPr>
        <w:sectPr>
          <w:headerReference w:type="even" r:id="rId97"/>
          <w:headerReference w:type="default" r:id="rId98"/>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
      <w:pPr>
        <w:ind w:left="5184"/>
        <w:jc w:val="both"/>
        <w:sectPr>
          <w:headerReference w:type="even" r:id="rId99"/>
          <w:headerReference w:type="default" r:id="rId100"/>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r>
        <w:rPr>
          <w:szCs w:val="24"/>
        </w:rPr>
        <w:t>2</w:t>
      </w:r>
      <w:r>
        <w:rPr>
          <w:szCs w:val="24"/>
        </w:rPr>
        <w:t xml:space="preserve"> priedas</w:t>
      </w:r>
    </w:p>
    <w:p>
      <w:pPr>
        <w:jc w:val="center"/>
        <w:rPr>
          <w:b/>
          <w:szCs w:val="24"/>
        </w:rPr>
      </w:pPr>
    </w:p>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i/>
                <w:sz w:val="20"/>
              </w:rPr>
            </w:pPr>
            <w:r>
              <w:rPr>
                <w:i/>
                <w:sz w:val="20"/>
              </w:rPr>
              <w:t>Neteko galios nuo 2018-09-05</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r>
        <w:rPr>
          <w:color w:val="000000"/>
        </w:rPr>
        <w:t>12</w:t>
      </w:r>
      <w:r>
        <w:rPr>
          <w:color w:val="000000"/>
        </w:rPr>
        <w:t xml:space="preserve"> priedas</w:t>
      </w:r>
    </w:p>
    <w:p>
      <w:pPr>
        <w:widowControl w:val="0"/>
        <w:suppressAutoHyphens/>
        <w:rPr>
          <w:color w:val="000000"/>
        </w:rPr>
      </w:pPr>
    </w:p>
    <w:p>
      <w:pPr>
        <w:widowControl w:val="0"/>
        <w:suppressAutoHyphens/>
        <w:jc w:val="center"/>
        <w:rPr>
          <w:b/>
          <w:bCs/>
          <w:caps/>
          <w:color w:val="000000"/>
        </w:rPr>
      </w:pPr>
      <w:r>
        <w:rPr>
          <w:b/>
          <w:bCs/>
          <w:caps/>
          <w:color w:val="000000"/>
        </w:rPr>
        <w:t>TRAUKINIO MAŠINISTŲ IR DARBUOTOJŲ, KURIŲ DARBAS SUSIJĘS SU GELEŽINKELIŲ TRANSPORTO EISMU, SVEIKATOS TIKRINIMO REIKALAVIMŲ IR TVARKOS APRAŠAS</w:t>
      </w:r>
    </w:p>
    <w:p>
      <w:pPr>
        <w:widowControl w:val="0"/>
        <w:suppressAutoHyphens/>
        <w:jc w:val="both"/>
        <w:rPr>
          <w:color w:val="000000"/>
        </w:rPr>
      </w:pPr>
    </w:p>
    <w:p>
      <w:pPr>
        <w:widowControl w:val="0"/>
        <w:suppressAutoHyphens/>
        <w:jc w:val="center"/>
        <w:rPr>
          <w:b/>
          <w:bCs/>
          <w:caps/>
          <w:color w:val="000000"/>
        </w:rPr>
      </w:pPr>
      <w:r>
        <w:rPr>
          <w:b/>
          <w:bCs/>
          <w:caps/>
          <w:color w:val="000000"/>
        </w:rPr>
        <w:t>I</w:t>
      </w:r>
      <w:r>
        <w:rPr>
          <w:b/>
          <w:bCs/>
          <w:caps/>
          <w:color w:val="000000"/>
        </w:rPr>
        <w:t xml:space="preserve">. </w:t>
      </w:r>
      <w:r>
        <w:rPr>
          <w:b/>
          <w:bCs/>
          <w:caps/>
          <w:color w:val="000000"/>
        </w:rPr>
        <w:t>BENDROSIOS NUOSTATOS</w:t>
      </w:r>
    </w:p>
    <w:p>
      <w:pPr>
        <w:widowControl w:val="0"/>
        <w:suppressAutoHyphens/>
        <w:jc w:val="both"/>
        <w:rPr>
          <w:color w:val="000000"/>
        </w:rPr>
      </w:pPr>
    </w:p>
    <w:p>
      <w:pPr>
        <w:widowControl w:val="0"/>
        <w:suppressAutoHyphens/>
        <w:ind w:firstLine="567"/>
        <w:jc w:val="both"/>
        <w:rPr>
          <w:color w:val="000000"/>
        </w:rPr>
      </w:pPr>
      <w:r>
        <w:rPr>
          <w:color w:val="000000"/>
        </w:rPr>
        <w:t>1</w:t>
      </w:r>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p>
      <w:pPr>
        <w:widowControl w:val="0"/>
        <w:suppressAutoHyphens/>
        <w:ind w:firstLine="567"/>
        <w:jc w:val="both"/>
        <w:rPr>
          <w:color w:val="000000"/>
        </w:rPr>
      </w:pPr>
      <w:r>
        <w:rPr>
          <w:color w:val="000000"/>
        </w:rPr>
        <w:t>2</w:t>
      </w:r>
      <w:r>
        <w:rPr>
          <w:color w:val="000000"/>
        </w:rPr>
        <w:t>. Apraše nustatyto sveikatos tikrinimo tikslas – nustatyti, ar tikrinamo asmens fizinė ir psichikos sveikatos būklė atitinka reikalavimus traukinio mašinistams ir darbuotojams, kurių darbas susijęs su geležinkelių transporto eismu.</w:t>
      </w:r>
    </w:p>
    <w:p>
      <w:pPr>
        <w:widowControl w:val="0"/>
        <w:suppressAutoHyphens/>
        <w:ind w:firstLine="567"/>
        <w:jc w:val="both"/>
        <w:rPr>
          <w:color w:val="000000"/>
        </w:rPr>
      </w:pPr>
      <w:r>
        <w:rPr>
          <w:color w:val="000000"/>
        </w:rPr>
        <w:t>3</w:t>
      </w:r>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p>
      <w:pPr>
        <w:widowControl w:val="0"/>
        <w:suppressAutoHyphens/>
        <w:ind w:firstLine="567"/>
        <w:jc w:val="both"/>
        <w:rPr>
          <w:color w:val="000000"/>
        </w:rPr>
      </w:pPr>
      <w:r>
        <w:rPr>
          <w:color w:val="000000"/>
        </w:rPr>
        <w:t>4</w:t>
      </w:r>
      <w:r>
        <w:rPr>
          <w:color w:val="000000"/>
        </w:rPr>
        <w:t xml:space="preserve">. Kitos Apraše vartojamos sąvokos atitinka Lietuvos Respublikos geležinkelių transporto eismo saugos įstatyme (Žin., 2004, Nr. </w:t>
      </w:r>
      <w:hyperlink r:id="rId60" w:tgtFrame="_blank" w:history="1">
        <w:r>
          <w:rPr>
            <w:color w:val="0000FF" w:themeColor="hyperlink"/>
            <w:u w:val="single"/>
          </w:rPr>
          <w:t>4-27</w:t>
        </w:r>
      </w:hyperlink>
      <w:r>
        <w:rPr>
          <w:color w:val="000000"/>
        </w:rPr>
        <w:t xml:space="preserve">; 2006, Nr. </w:t>
      </w:r>
      <w:hyperlink r:id="rId61"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p>
      <w:pPr>
        <w:widowControl w:val="0"/>
        <w:suppressAutoHyphens/>
        <w:ind w:firstLine="567"/>
        <w:jc w:val="both"/>
        <w:rPr>
          <w:color w:val="000000"/>
        </w:rPr>
      </w:pPr>
      <w:r>
        <w:rPr>
          <w:color w:val="000000"/>
        </w:rPr>
        <w:t>5</w:t>
      </w:r>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II</w:t>
      </w:r>
      <w:r>
        <w:rPr>
          <w:b/>
          <w:bCs/>
          <w:caps/>
          <w:color w:val="000000"/>
        </w:rPr>
        <w:t xml:space="preserve">. </w:t>
      </w:r>
      <w:r>
        <w:rPr>
          <w:b/>
          <w:bCs/>
          <w:caps/>
          <w:color w:val="000000"/>
        </w:rPr>
        <w:t>SVEIKATOS TIKRINIMO REIKALAVIMAI IR TVARKA</w:t>
      </w:r>
    </w:p>
    <w:p>
      <w:pPr>
        <w:widowControl w:val="0"/>
        <w:suppressAutoHyphens/>
        <w:ind w:firstLine="567"/>
        <w:jc w:val="both"/>
        <w:rPr>
          <w:color w:val="000000"/>
        </w:rPr>
      </w:pPr>
    </w:p>
    <w:p>
      <w:pPr>
        <w:widowControl w:val="0"/>
        <w:suppressAutoHyphens/>
        <w:ind w:firstLine="567"/>
        <w:jc w:val="both"/>
        <w:rPr>
          <w:color w:val="000000"/>
        </w:rPr>
      </w:pPr>
      <w:r>
        <w:rPr>
          <w:color w:val="000000"/>
        </w:rPr>
        <w:t>6</w:t>
      </w:r>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p>
      <w:pPr>
        <w:widowControl w:val="0"/>
        <w:suppressAutoHyphens/>
        <w:ind w:firstLine="567"/>
        <w:jc w:val="both"/>
        <w:rPr>
          <w:b/>
          <w:bCs/>
          <w:color w:val="000000"/>
        </w:rPr>
      </w:pPr>
      <w:r>
        <w:rPr>
          <w:color w:val="000000"/>
        </w:rPr>
        <w:t>7</w:t>
      </w:r>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p>
      <w:pPr>
        <w:widowControl w:val="0"/>
        <w:suppressAutoHyphens/>
        <w:ind w:firstLine="567"/>
        <w:jc w:val="both"/>
        <w:rPr>
          <w:color w:val="000000"/>
        </w:rPr>
      </w:pPr>
      <w:r>
        <w:rPr>
          <w:color w:val="000000"/>
        </w:rPr>
        <w:t>8</w:t>
      </w:r>
      <w:r>
        <w:rPr>
          <w:color w:val="000000"/>
        </w:rPr>
        <w:t>.</w:t>
      </w:r>
      <w:r>
        <w:rPr>
          <w:b/>
          <w:bCs/>
          <w:color w:val="000000"/>
        </w:rPr>
        <w:t xml:space="preserve"> </w:t>
      </w:r>
      <w:r>
        <w:rPr>
          <w:color w:val="000000"/>
        </w:rPr>
        <w:t>Įsidarbinantiesiems traukinio mašinistams atliktini būtiniausi sveikatos patikrinimai, nurodyti šio Aprašo IV skyriuje.</w:t>
      </w:r>
    </w:p>
    <w:p>
      <w:pPr>
        <w:widowControl w:val="0"/>
        <w:suppressAutoHyphens/>
        <w:ind w:firstLine="567"/>
        <w:jc w:val="both"/>
        <w:rPr>
          <w:color w:val="000000"/>
        </w:rPr>
      </w:pPr>
      <w:r>
        <w:rPr>
          <w:color w:val="000000"/>
        </w:rPr>
        <w:t>9</w:t>
      </w:r>
      <w:r>
        <w:rPr>
          <w:color w:val="000000"/>
        </w:rPr>
        <w:t>. Periodinių traukinio mašinistų ir darbuotojų sveikatos tikrinimų dažnumas ir būtiniausi periodinio sveikatos tikrinimo reikalavimai nurodyti šio Aprašo V skyriuje.</w:t>
      </w:r>
    </w:p>
    <w:p>
      <w:pPr>
        <w:widowControl w:val="0"/>
        <w:suppressAutoHyphens/>
        <w:ind w:firstLine="567"/>
        <w:jc w:val="both"/>
        <w:rPr>
          <w:color w:val="000000"/>
        </w:rPr>
      </w:pPr>
      <w:r>
        <w:rPr>
          <w:color w:val="000000"/>
        </w:rPr>
        <w:t>10</w:t>
      </w:r>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p>
      <w:pPr>
        <w:widowControl w:val="0"/>
        <w:suppressAutoHyphens/>
        <w:ind w:firstLine="567"/>
        <w:jc w:val="both"/>
        <w:rPr>
          <w:color w:val="000000"/>
        </w:rPr>
      </w:pPr>
      <w:r>
        <w:rPr>
          <w:color w:val="000000"/>
        </w:rPr>
        <w:t>11</w:t>
      </w:r>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p>
      <w:pPr>
        <w:widowControl w:val="0"/>
        <w:suppressAutoHyphens/>
        <w:ind w:firstLine="567"/>
        <w:jc w:val="both"/>
        <w:rPr>
          <w:color w:val="000000"/>
        </w:rPr>
      </w:pPr>
      <w:r>
        <w:rPr>
          <w:color w:val="000000"/>
        </w:rPr>
        <w:t>12</w:t>
      </w:r>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p>
      <w:pPr>
        <w:widowControl w:val="0"/>
        <w:suppressAutoHyphens/>
        <w:ind w:firstLine="567"/>
        <w:jc w:val="both"/>
        <w:rPr>
          <w:color w:val="000000"/>
        </w:rPr>
      </w:pPr>
      <w:r>
        <w:rPr>
          <w:color w:val="000000"/>
        </w:rPr>
        <w:t>13</w:t>
      </w:r>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p>
      <w:pPr>
        <w:widowControl w:val="0"/>
        <w:suppressAutoHyphens/>
        <w:ind w:firstLine="567"/>
        <w:jc w:val="both"/>
        <w:rPr>
          <w:color w:val="000000"/>
        </w:rPr>
      </w:pPr>
      <w:r>
        <w:rPr>
          <w:color w:val="000000"/>
        </w:rPr>
        <w:t>14</w:t>
      </w:r>
      <w:r>
        <w:rPr>
          <w:color w:val="000000"/>
        </w:rPr>
        <w:t>. Gydytojai, nurodyti šio Aprašo 11 punkte, paskiria tyrimus, nustato jų dažnumą, vadovaudamiesi šiuo Aprašu ir kitais teisės aktais, bei atsako už sveikatos tikrinimo kokybę.</w:t>
      </w:r>
    </w:p>
    <w:p>
      <w:pPr>
        <w:widowControl w:val="0"/>
        <w:suppressAutoHyphens/>
        <w:ind w:firstLine="567"/>
        <w:jc w:val="both"/>
        <w:rPr>
          <w:color w:val="000000"/>
        </w:rPr>
      </w:pPr>
      <w:r>
        <w:rPr>
          <w:color w:val="000000"/>
        </w:rPr>
        <w:t>15</w:t>
      </w:r>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p>
      <w:pPr>
        <w:widowControl w:val="0"/>
        <w:suppressAutoHyphens/>
        <w:ind w:firstLine="567"/>
        <w:jc w:val="both"/>
        <w:rPr>
          <w:color w:val="000000"/>
        </w:rPr>
      </w:pPr>
      <w:r>
        <w:rPr>
          <w:color w:val="000000"/>
        </w:rPr>
        <w:t>16</w:t>
      </w:r>
      <w:r>
        <w:rPr>
          <w:color w:val="000000"/>
        </w:rPr>
        <w:t>. Tikrinantis sveikatą gydytojas turi teisę gauti informaciją iš kitų ASPĮ, o pastarosios privalo tokią informaciją teikti teisės aktų nustatyta tvarka.</w:t>
      </w:r>
    </w:p>
    <w:p>
      <w:pPr>
        <w:widowControl w:val="0"/>
        <w:suppressAutoHyphens/>
        <w:ind w:firstLine="567"/>
        <w:jc w:val="both"/>
        <w:rPr>
          <w:color w:val="000000"/>
        </w:rPr>
      </w:pPr>
      <w:r>
        <w:rPr>
          <w:color w:val="000000"/>
        </w:rPr>
        <w:t>17</w:t>
      </w:r>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2" w:tgtFrame="_blank" w:history="1">
        <w:r>
          <w:rPr>
            <w:color w:val="0000FF" w:themeColor="hyperlink"/>
            <w:u w:val="single"/>
          </w:rPr>
          <w:t>47-1365</w:t>
        </w:r>
      </w:hyperlink>
      <w:r>
        <w:rPr>
          <w:color w:val="000000"/>
        </w:rPr>
        <w:t xml:space="preserve">; 2009, Nr. </w:t>
      </w:r>
      <w:hyperlink r:id="rId63" w:tgtFrame="_blank" w:history="1">
        <w:r>
          <w:rPr>
            <w:color w:val="0000FF" w:themeColor="hyperlink"/>
            <w:u w:val="single"/>
          </w:rPr>
          <w:t>39-1480</w:t>
        </w:r>
      </w:hyperlink>
      <w:r>
        <w:rPr>
          <w:color w:val="000000"/>
        </w:rPr>
        <w:t>), bei kitais teisės aktais.</w:t>
      </w:r>
    </w:p>
    <w:p>
      <w:pPr>
        <w:widowControl w:val="0"/>
        <w:suppressAutoHyphens/>
        <w:ind w:firstLine="567"/>
        <w:jc w:val="both"/>
        <w:rPr>
          <w:color w:val="000000"/>
        </w:rPr>
      </w:pPr>
      <w:r>
        <w:rPr>
          <w:color w:val="000000"/>
        </w:rPr>
        <w:t>18</w:t>
      </w:r>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4" w:tgtFrame="_blank" w:history="1">
        <w:r>
          <w:rPr>
            <w:color w:val="0000FF" w:themeColor="hyperlink"/>
            <w:u w:val="single"/>
          </w:rPr>
          <w:t>41-1294</w:t>
        </w:r>
      </w:hyperlink>
      <w:r>
        <w:rPr>
          <w:color w:val="000000"/>
        </w:rPr>
        <w:t>; 2002, Nr. 73-3127) nuostatomis.</w:t>
      </w:r>
    </w:p>
    <w:p>
      <w:pPr>
        <w:widowControl w:val="0"/>
        <w:suppressAutoHyphens/>
        <w:ind w:firstLine="567"/>
        <w:jc w:val="both"/>
        <w:rPr>
          <w:color w:val="000000"/>
        </w:rPr>
      </w:pPr>
      <w:r>
        <w:rPr>
          <w:color w:val="000000"/>
        </w:rPr>
        <w:t>19</w:t>
      </w:r>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5" w:tgtFrame="_blank" w:history="1">
        <w:r>
          <w:rPr>
            <w:color w:val="0000FF" w:themeColor="hyperlink"/>
            <w:u w:val="single"/>
          </w:rPr>
          <w:t>103-2972</w:t>
        </w:r>
      </w:hyperlink>
      <w:r>
        <w:rPr>
          <w:color w:val="000000"/>
        </w:rPr>
        <w:t>).</w:t>
      </w:r>
    </w:p>
    <w:p>
      <w:pPr>
        <w:widowControl w:val="0"/>
        <w:suppressAutoHyphens/>
        <w:ind w:firstLine="567"/>
        <w:jc w:val="both"/>
        <w:rPr>
          <w:color w:val="000000"/>
        </w:rPr>
      </w:pPr>
      <w:r>
        <w:rPr>
          <w:color w:val="000000"/>
        </w:rPr>
        <w:t>20</w:t>
      </w:r>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p>
      <w:pPr>
        <w:widowControl w:val="0"/>
        <w:suppressAutoHyphens/>
        <w:ind w:firstLine="567"/>
        <w:jc w:val="both"/>
        <w:rPr>
          <w:color w:val="000000"/>
        </w:rPr>
      </w:pPr>
      <w:r>
        <w:rPr>
          <w:color w:val="000000"/>
        </w:rPr>
        <w:t>21</w:t>
      </w:r>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p>
      <w:pPr>
        <w:widowControl w:val="0"/>
        <w:suppressAutoHyphens/>
        <w:ind w:firstLine="567"/>
        <w:jc w:val="both"/>
        <w:rPr>
          <w:color w:val="000000"/>
        </w:rPr>
      </w:pPr>
      <w:r>
        <w:rPr>
          <w:color w:val="000000"/>
        </w:rPr>
        <w:t>22</w:t>
      </w:r>
      <w:r>
        <w:rPr>
          <w:color w:val="000000"/>
        </w:rPr>
        <w:t>. Pacientai, norintys tikrintis sveikatą ASPĮ, kurioje yra prisirašę, pateikia:</w:t>
      </w:r>
    </w:p>
    <w:p>
      <w:pPr>
        <w:widowControl w:val="0"/>
        <w:suppressAutoHyphens/>
        <w:ind w:firstLine="567"/>
        <w:jc w:val="both"/>
        <w:rPr>
          <w:color w:val="000000"/>
        </w:rPr>
      </w:pPr>
      <w:r>
        <w:rPr>
          <w:color w:val="000000"/>
        </w:rPr>
        <w:t>22.1</w:t>
      </w:r>
      <w:r>
        <w:rPr>
          <w:color w:val="000000"/>
        </w:rPr>
        <w:t>. asmens tapatybę patvirtinantį dokumentą:</w:t>
      </w:r>
    </w:p>
    <w:p>
      <w:pPr>
        <w:widowControl w:val="0"/>
        <w:suppressAutoHyphens/>
        <w:ind w:firstLine="567"/>
        <w:jc w:val="both"/>
        <w:rPr>
          <w:color w:val="000000"/>
        </w:rPr>
      </w:pPr>
      <w:r>
        <w:rPr>
          <w:color w:val="000000"/>
        </w:rPr>
        <w:t>22.2</w:t>
      </w:r>
      <w:r>
        <w:rPr>
          <w:color w:val="000000"/>
        </w:rPr>
        <w:t>. F Nr. 027/a iš jo ASPĮ aptarnaujančio psichikos sveikatos centro gydytojo psichiatro, įvertinusio psichologo vadovaujantis šio Aprašo 13 punkte nustatyta tvarka atlikto tyrimo rezultatus;</w:t>
      </w:r>
    </w:p>
    <w:p>
      <w:pPr>
        <w:widowControl w:val="0"/>
        <w:suppressAutoHyphens/>
        <w:ind w:firstLine="567"/>
        <w:jc w:val="both"/>
        <w:rPr>
          <w:color w:val="000000"/>
        </w:rPr>
      </w:pPr>
      <w:r>
        <w:rPr>
          <w:color w:val="000000"/>
        </w:rPr>
        <w:t>22.3</w:t>
      </w:r>
      <w:r>
        <w:rPr>
          <w:color w:val="000000"/>
        </w:rPr>
        <w:t>. darbdaviui atstovaujančio ar jo įgalioto asmens tinkamai užpildytą F Nr. 047/a – jei privalomai sveikata tikrinama įsidarbinančiajam;</w:t>
      </w:r>
    </w:p>
    <w:p>
      <w:pPr>
        <w:widowControl w:val="0"/>
        <w:suppressAutoHyphens/>
        <w:ind w:firstLine="567"/>
        <w:jc w:val="both"/>
        <w:rPr>
          <w:color w:val="000000"/>
        </w:rPr>
      </w:pPr>
      <w:r>
        <w:rPr>
          <w:color w:val="000000"/>
        </w:rPr>
        <w:t>22.4</w:t>
      </w:r>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p>
      <w:pPr>
        <w:widowControl w:val="0"/>
        <w:suppressAutoHyphens/>
        <w:ind w:firstLine="567"/>
        <w:jc w:val="both"/>
        <w:rPr>
          <w:color w:val="000000"/>
        </w:rPr>
      </w:pPr>
      <w:r>
        <w:rPr>
          <w:color w:val="000000"/>
        </w:rPr>
        <w:t>23</w:t>
      </w:r>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p>
      <w:pPr>
        <w:widowControl w:val="0"/>
        <w:suppressAutoHyphens/>
        <w:ind w:firstLine="567"/>
        <w:jc w:val="both"/>
        <w:rPr>
          <w:color w:val="000000"/>
        </w:rPr>
      </w:pPr>
      <w:r>
        <w:rPr>
          <w:color w:val="000000"/>
        </w:rPr>
        <w:t>24</w:t>
      </w:r>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p>
      <w:pPr>
        <w:widowControl w:val="0"/>
        <w:suppressAutoHyphens/>
        <w:ind w:firstLine="567"/>
        <w:jc w:val="both"/>
        <w:rPr>
          <w:color w:val="000000"/>
        </w:rPr>
      </w:pPr>
      <w:r>
        <w:rPr>
          <w:color w:val="000000"/>
        </w:rPr>
        <w:t>25</w:t>
      </w:r>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p>
      <w:pPr>
        <w:widowControl w:val="0"/>
        <w:suppressAutoHyphens/>
        <w:ind w:firstLine="567"/>
        <w:jc w:val="both"/>
        <w:rPr>
          <w:color w:val="000000"/>
        </w:rPr>
      </w:pPr>
      <w:r>
        <w:rPr>
          <w:color w:val="000000"/>
        </w:rPr>
        <w:t>26</w:t>
      </w:r>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p>
      <w:pPr>
        <w:widowControl w:val="0"/>
        <w:suppressAutoHyphens/>
        <w:ind w:firstLine="567"/>
        <w:jc w:val="both"/>
        <w:rPr>
          <w:color w:val="000000"/>
        </w:rPr>
      </w:pPr>
      <w:r>
        <w:rPr>
          <w:color w:val="000000"/>
        </w:rPr>
        <w:t>27</w:t>
      </w:r>
      <w:r>
        <w:rPr>
          <w:color w:val="000000"/>
        </w:rPr>
        <w:t>. Išduotos pažymos registruojamos sveikatos tikrinimo žurnale (Ambulatorinių ligonių registracijos knygoje) (toliau – F Nr. 074/a).</w:t>
      </w:r>
    </w:p>
    <w:p>
      <w:pPr>
        <w:widowControl w:val="0"/>
        <w:suppressAutoHyphens/>
        <w:ind w:firstLine="567"/>
        <w:jc w:val="both"/>
        <w:rPr>
          <w:color w:val="000000"/>
        </w:rPr>
      </w:pPr>
      <w:r>
        <w:rPr>
          <w:color w:val="000000"/>
        </w:rPr>
        <w:t>28</w:t>
      </w:r>
      <w:r>
        <w:rPr>
          <w:color w:val="000000"/>
        </w:rPr>
        <w:t>. F Nr. 047/a ar F Nr. 048/a įrašus turi teisę tikrinti darbdaviui atstovaujantis arba jo įgaliotas asmuo, Valstybinės darbo inspekcijos darbo inspektoriai, ASPĮ vadovai ar jų įgalioti asmenys.</w:t>
      </w:r>
    </w:p>
    <w:p>
      <w:pPr>
        <w:widowControl w:val="0"/>
        <w:suppressAutoHyphens/>
        <w:ind w:firstLine="567"/>
        <w:jc w:val="both"/>
        <w:rPr>
          <w:color w:val="000000"/>
        </w:rPr>
      </w:pPr>
      <w:r>
        <w:rPr>
          <w:color w:val="000000"/>
        </w:rPr>
        <w:t>29</w:t>
      </w:r>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6"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p>
      <w:pPr>
        <w:widowControl w:val="0"/>
        <w:suppressAutoHyphens/>
        <w:jc w:val="center"/>
        <w:rPr>
          <w:b/>
          <w:bCs/>
          <w:caps/>
          <w:color w:val="000000"/>
        </w:rPr>
      </w:pPr>
      <w:r>
        <w:rPr>
          <w:b/>
          <w:bCs/>
          <w:caps/>
          <w:color w:val="000000"/>
        </w:rPr>
        <w:t>III</w:t>
      </w:r>
      <w:r>
        <w:rPr>
          <w:b/>
          <w:bCs/>
          <w:caps/>
          <w:color w:val="000000"/>
        </w:rPr>
        <w:t xml:space="preserve">. </w:t>
      </w:r>
      <w:r>
        <w:rPr>
          <w:b/>
          <w:bCs/>
          <w:caps/>
          <w:color w:val="000000"/>
        </w:rPr>
        <w:t>BENDRIEJI REIKALAVIMAI TRAUKINIO MAŠINISTO IR DARBUOTOJO, KURIO DARBAS SUSIJĘS SU GELEŽINKELIŲ TRANSPORTO EISMU, SVEIKATOS BŪKLEI</w:t>
      </w:r>
    </w:p>
    <w:p>
      <w:pPr>
        <w:widowControl w:val="0"/>
        <w:suppressAutoHyphens/>
        <w:ind w:firstLine="567"/>
        <w:jc w:val="both"/>
        <w:rPr>
          <w:color w:val="000000"/>
        </w:rPr>
      </w:pPr>
    </w:p>
    <w:p>
      <w:pPr>
        <w:widowControl w:val="0"/>
        <w:suppressAutoHyphens/>
        <w:ind w:firstLine="567"/>
        <w:jc w:val="both"/>
        <w:rPr>
          <w:color w:val="000000"/>
        </w:rPr>
      </w:pPr>
      <w:r>
        <w:rPr>
          <w:color w:val="000000"/>
        </w:rPr>
        <w:t>30</w:t>
      </w:r>
      <w:r>
        <w:rPr>
          <w:color w:val="000000"/>
        </w:rPr>
        <w:t>. Traukinio mašinistai ir darbuotojai, kurių darbas susijęs su geležinkelių transporto eismu (toliau – darbuotojai) negali turėti sveikatos sutrikimų arba vartoti vaistus ar medžiagas, kurios galėtų sukelti:</w:t>
      </w:r>
    </w:p>
    <w:p>
      <w:pPr>
        <w:widowControl w:val="0"/>
        <w:suppressAutoHyphens/>
        <w:ind w:firstLine="567"/>
        <w:jc w:val="both"/>
        <w:rPr>
          <w:color w:val="000000"/>
        </w:rPr>
      </w:pPr>
      <w:r>
        <w:rPr>
          <w:color w:val="000000"/>
        </w:rPr>
        <w:t>30.1</w:t>
      </w:r>
      <w:r>
        <w:rPr>
          <w:color w:val="000000"/>
        </w:rPr>
        <w:t>. staigų sąmonės praradimą;</w:t>
      </w:r>
    </w:p>
    <w:p>
      <w:pPr>
        <w:widowControl w:val="0"/>
        <w:suppressAutoHyphens/>
        <w:ind w:firstLine="567"/>
        <w:jc w:val="both"/>
        <w:rPr>
          <w:color w:val="000000"/>
        </w:rPr>
      </w:pPr>
      <w:r>
        <w:rPr>
          <w:color w:val="000000"/>
        </w:rPr>
        <w:t>30.2</w:t>
      </w:r>
      <w:r>
        <w:rPr>
          <w:color w:val="000000"/>
        </w:rPr>
        <w:t>. atidumo ir susikaupimo sumažėjimą;</w:t>
      </w:r>
    </w:p>
    <w:p>
      <w:pPr>
        <w:widowControl w:val="0"/>
        <w:suppressAutoHyphens/>
        <w:ind w:firstLine="567"/>
        <w:jc w:val="both"/>
        <w:rPr>
          <w:color w:val="000000"/>
        </w:rPr>
      </w:pPr>
      <w:r>
        <w:rPr>
          <w:color w:val="000000"/>
        </w:rPr>
        <w:t>30.3</w:t>
      </w:r>
      <w:r>
        <w:rPr>
          <w:color w:val="000000"/>
        </w:rPr>
        <w:t>. staigų nepajėgumą dirbti;</w:t>
      </w:r>
    </w:p>
    <w:p>
      <w:pPr>
        <w:widowControl w:val="0"/>
        <w:suppressAutoHyphens/>
        <w:ind w:firstLine="567"/>
        <w:jc w:val="both"/>
        <w:rPr>
          <w:color w:val="000000"/>
        </w:rPr>
      </w:pPr>
      <w:r>
        <w:rPr>
          <w:color w:val="000000"/>
        </w:rPr>
        <w:t>30.4</w:t>
      </w:r>
      <w:r>
        <w:rPr>
          <w:color w:val="000000"/>
        </w:rPr>
        <w:t>. pusiausvyros ar koordinacijos – praradimą (traukinio mašinisto), pablogėjimą (darbuotojo);</w:t>
      </w:r>
    </w:p>
    <w:p>
      <w:pPr>
        <w:widowControl w:val="0"/>
        <w:suppressAutoHyphens/>
        <w:ind w:firstLine="567"/>
        <w:jc w:val="both"/>
        <w:rPr>
          <w:color w:val="000000"/>
        </w:rPr>
      </w:pPr>
      <w:r>
        <w:rPr>
          <w:color w:val="000000"/>
        </w:rPr>
        <w:t>30.5</w:t>
      </w:r>
      <w:r>
        <w:rPr>
          <w:color w:val="000000"/>
        </w:rPr>
        <w:t>. žymų judrumo sumažėjimą (traukinio mašinisto), didelį judrumo apribojimą (darbuotojo).</w:t>
      </w:r>
    </w:p>
    <w:p>
      <w:pPr>
        <w:widowControl w:val="0"/>
        <w:suppressAutoHyphens/>
        <w:ind w:firstLine="567"/>
        <w:jc w:val="both"/>
        <w:rPr>
          <w:color w:val="000000"/>
        </w:rPr>
      </w:pPr>
      <w:r>
        <w:rPr>
          <w:color w:val="000000"/>
        </w:rPr>
        <w:t>31</w:t>
      </w:r>
      <w:r>
        <w:rPr>
          <w:color w:val="000000"/>
        </w:rPr>
        <w:t>. Turi būti laikomasi šių regėjimui taikomų reikalavimų:</w:t>
      </w:r>
    </w:p>
    <w:p>
      <w:pPr>
        <w:widowControl w:val="0"/>
        <w:suppressAutoHyphens/>
        <w:ind w:firstLine="567"/>
        <w:jc w:val="both"/>
        <w:rPr>
          <w:color w:val="000000"/>
        </w:rPr>
      </w:pPr>
      <w:r>
        <w:rPr>
          <w:color w:val="000000"/>
        </w:rPr>
        <w:t>31.1</w:t>
      </w:r>
      <w:r>
        <w:rPr>
          <w:color w:val="000000"/>
        </w:rPr>
        <w:t>. Regėjimo į tolį aštrumas su pagalba ar be jos:</w:t>
      </w:r>
    </w:p>
    <w:p>
      <w:pPr>
        <w:widowControl w:val="0"/>
        <w:suppressAutoHyphens/>
        <w:ind w:firstLine="567"/>
        <w:jc w:val="both"/>
        <w:rPr>
          <w:color w:val="000000"/>
        </w:rPr>
      </w:pPr>
      <w:r>
        <w:rPr>
          <w:color w:val="000000"/>
        </w:rPr>
        <w:t>31.1.1</w:t>
      </w:r>
      <w:r>
        <w:rPr>
          <w:color w:val="000000"/>
        </w:rPr>
        <w:t>. traukinio mašinisto – 1,0; blogiau matančios akies – mažiausiai 0,5;</w:t>
      </w:r>
    </w:p>
    <w:p>
      <w:pPr>
        <w:widowControl w:val="0"/>
        <w:suppressAutoHyphens/>
        <w:ind w:firstLine="567"/>
        <w:jc w:val="both"/>
        <w:rPr>
          <w:color w:val="000000"/>
        </w:rPr>
      </w:pPr>
      <w:r>
        <w:rPr>
          <w:color w:val="000000"/>
        </w:rPr>
        <w:t>31.1.2</w:t>
      </w:r>
      <w:r>
        <w:rPr>
          <w:color w:val="000000"/>
        </w:rPr>
        <w:t>. darbuotojo – 0,8 (dešinė akis + kairė akis – tiriama atskirai): mažiausias blogiau matančios akies regėjimo aštrumas 0,3;</w:t>
      </w:r>
    </w:p>
    <w:p>
      <w:pPr>
        <w:widowControl w:val="0"/>
        <w:suppressAutoHyphens/>
        <w:ind w:firstLine="567"/>
        <w:jc w:val="both"/>
        <w:rPr>
          <w:color w:val="000000"/>
        </w:rPr>
      </w:pPr>
      <w:r>
        <w:rPr>
          <w:color w:val="000000"/>
        </w:rPr>
        <w:t>31.2</w:t>
      </w:r>
      <w:r>
        <w:rPr>
          <w:color w:val="000000"/>
        </w:rPr>
        <w:t>. korekciniams lęšiams taikomi maksimumai: +5 (toliaregystė) / -8 (trumparegystė); išimtis galima daryti ypatingais atvejais, gavus gydytojo oftalmologo išvadą, šiuo atveju sprendimą priima gydytojas oftalmologas;</w:t>
      </w:r>
    </w:p>
    <w:p>
      <w:pPr>
        <w:widowControl w:val="0"/>
        <w:suppressAutoHyphens/>
        <w:ind w:firstLine="567"/>
        <w:jc w:val="both"/>
        <w:rPr>
          <w:color w:val="000000"/>
        </w:rPr>
      </w:pPr>
      <w:r>
        <w:rPr>
          <w:color w:val="000000"/>
        </w:rPr>
        <w:t>31.3</w:t>
      </w:r>
      <w:r>
        <w:rPr>
          <w:color w:val="000000"/>
        </w:rPr>
        <w:t>. regėjimas trumpu ir vidutiniu atstumu: pakankamas, su korekcija (pagalba) ar be jos;</w:t>
      </w:r>
    </w:p>
    <w:p>
      <w:pPr>
        <w:widowControl w:val="0"/>
        <w:suppressAutoHyphens/>
        <w:ind w:firstLine="567"/>
        <w:jc w:val="both"/>
        <w:rPr>
          <w:color w:val="000000"/>
        </w:rPr>
      </w:pPr>
      <w:r>
        <w:rPr>
          <w:color w:val="000000"/>
        </w:rPr>
        <w:t>31.4</w:t>
      </w:r>
      <w:r>
        <w:rPr>
          <w:color w:val="000000"/>
        </w:rPr>
        <w:t>. leidžiama naudoti:</w:t>
      </w:r>
    </w:p>
    <w:p>
      <w:pPr>
        <w:widowControl w:val="0"/>
        <w:suppressAutoHyphens/>
        <w:ind w:firstLine="567"/>
        <w:jc w:val="both"/>
        <w:rPr>
          <w:color w:val="000000"/>
        </w:rPr>
      </w:pPr>
      <w:r>
        <w:rPr>
          <w:color w:val="000000"/>
        </w:rPr>
        <w:t>31.4.1</w:t>
      </w:r>
      <w:r>
        <w:rPr>
          <w:color w:val="000000"/>
        </w:rPr>
        <w:t>. traukinio mašinistui – kontaktinius lęšius ar akinius, jei regėjimą periodiškai tikrina gydytojas oftalmologas;</w:t>
      </w:r>
    </w:p>
    <w:p>
      <w:pPr>
        <w:widowControl w:val="0"/>
        <w:suppressAutoHyphens/>
        <w:ind w:firstLine="567"/>
        <w:jc w:val="both"/>
        <w:rPr>
          <w:color w:val="000000"/>
        </w:rPr>
      </w:pPr>
      <w:r>
        <w:rPr>
          <w:color w:val="000000"/>
        </w:rPr>
        <w:t>31.4.2</w:t>
      </w:r>
      <w:r>
        <w:rPr>
          <w:color w:val="000000"/>
        </w:rPr>
        <w:t>. darbuotojui – kontaktinius lęšius ar akinius;</w:t>
      </w:r>
    </w:p>
    <w:p>
      <w:pPr>
        <w:widowControl w:val="0"/>
        <w:suppressAutoHyphens/>
        <w:ind w:firstLine="567"/>
        <w:jc w:val="both"/>
        <w:rPr>
          <w:color w:val="000000"/>
        </w:rPr>
      </w:pPr>
      <w:r>
        <w:rPr>
          <w:color w:val="000000"/>
        </w:rPr>
        <w:t>31.5</w:t>
      </w:r>
      <w:r>
        <w:rPr>
          <w:color w:val="000000"/>
        </w:rPr>
        <w:t>. normalus spalvų jutimas: naudojamas pripažintas testas, pvz., Išiharos testas, ir prireikus kitas pripažintas testas;</w:t>
      </w:r>
    </w:p>
    <w:p>
      <w:pPr>
        <w:widowControl w:val="0"/>
        <w:suppressAutoHyphens/>
        <w:ind w:firstLine="567"/>
        <w:jc w:val="both"/>
        <w:rPr>
          <w:color w:val="000000"/>
        </w:rPr>
      </w:pPr>
      <w:r>
        <w:rPr>
          <w:color w:val="000000"/>
        </w:rPr>
        <w:t>31.6</w:t>
      </w:r>
      <w:r>
        <w:rPr>
          <w:color w:val="000000"/>
        </w:rPr>
        <w:t>. regos laukas: visas (nėra jokių anomalijų; galinčių turėti įtakos darbui);</w:t>
      </w:r>
    </w:p>
    <w:p>
      <w:pPr>
        <w:widowControl w:val="0"/>
        <w:suppressAutoHyphens/>
        <w:ind w:firstLine="567"/>
        <w:jc w:val="both"/>
        <w:rPr>
          <w:color w:val="000000"/>
        </w:rPr>
      </w:pPr>
      <w:r>
        <w:rPr>
          <w:color w:val="000000"/>
        </w:rPr>
        <w:t>31.7</w:t>
      </w:r>
      <w:r>
        <w:rPr>
          <w:color w:val="000000"/>
        </w:rPr>
        <w:t>. regėjimas abiem akimis:</w:t>
      </w:r>
    </w:p>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r>
        <w:rPr>
          <w:szCs w:val="24"/>
        </w:rPr>
        <w:t>31.7.1</w:t>
      </w:r>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p>
      <w:pPr>
        <w:widowControl w:val="0"/>
        <w:suppressAutoHyphens/>
        <w:ind w:firstLine="567"/>
        <w:jc w:val="both"/>
        <w:rPr>
          <w:color w:val="000000"/>
        </w:rPr>
      </w:pPr>
      <w:r>
        <w:rPr>
          <w:color w:val="000000"/>
        </w:rPr>
        <w:t>31.7.2</w:t>
      </w:r>
      <w:r>
        <w:rPr>
          <w:color w:val="000000"/>
        </w:rPr>
        <w:t>. darbuotojui – yra;</w:t>
      </w:r>
    </w:p>
    <w:p>
      <w:pPr>
        <w:widowControl w:val="0"/>
        <w:suppressAutoHyphens/>
        <w:ind w:firstLine="567"/>
        <w:jc w:val="both"/>
        <w:rPr>
          <w:color w:val="000000"/>
        </w:rPr>
      </w:pPr>
      <w:r>
        <w:rPr>
          <w:color w:val="000000"/>
        </w:rPr>
        <w:t>31.8</w:t>
      </w:r>
      <w:r>
        <w:rPr>
          <w:color w:val="000000"/>
        </w:rPr>
        <w:t>. abiakis matymas (binokulinis):</w:t>
      </w:r>
    </w:p>
    <w:p>
      <w:pPr>
        <w:widowControl w:val="0"/>
        <w:suppressAutoHyphens/>
        <w:ind w:firstLine="567"/>
        <w:jc w:val="both"/>
        <w:rPr>
          <w:color w:val="000000"/>
        </w:rPr>
      </w:pPr>
      <w:r>
        <w:rPr>
          <w:color w:val="000000"/>
        </w:rPr>
        <w:t>31.8.1</w:t>
      </w:r>
      <w:r>
        <w:rPr>
          <w:color w:val="000000"/>
        </w:rPr>
        <w:t>. traukinio mašinistui – yra (efektyvus);</w:t>
      </w:r>
    </w:p>
    <w:p>
      <w:pPr>
        <w:widowControl w:val="0"/>
        <w:suppressAutoHyphens/>
        <w:ind w:firstLine="567"/>
        <w:jc w:val="both"/>
        <w:rPr>
          <w:color w:val="000000"/>
        </w:rPr>
      </w:pPr>
      <w:r>
        <w:rPr>
          <w:color w:val="000000"/>
        </w:rPr>
        <w:t>31.8.2</w:t>
      </w:r>
      <w:r>
        <w:rPr>
          <w:color w:val="000000"/>
        </w:rPr>
        <w:t>. darbuotojui – yra;</w:t>
      </w:r>
    </w:p>
    <w:p>
      <w:pPr>
        <w:widowControl w:val="0"/>
        <w:suppressAutoHyphens/>
        <w:ind w:firstLine="567"/>
        <w:jc w:val="both"/>
        <w:rPr>
          <w:color w:val="000000"/>
        </w:rPr>
      </w:pPr>
      <w:r>
        <w:rPr>
          <w:color w:val="000000"/>
        </w:rPr>
        <w:t>31.9</w:t>
      </w:r>
      <w:r>
        <w:rPr>
          <w:color w:val="000000"/>
        </w:rPr>
        <w:t>. traukinio mašinistui – spalvų signalų atpažinimas: testas grindžiamas atskirų spalvų atpažinimu, o ne reliatyviais skirtumais;</w:t>
      </w:r>
    </w:p>
    <w:p>
      <w:pPr>
        <w:widowControl w:val="0"/>
        <w:suppressAutoHyphens/>
        <w:ind w:firstLine="567"/>
        <w:jc w:val="both"/>
        <w:rPr>
          <w:color w:val="000000"/>
        </w:rPr>
      </w:pPr>
      <w:r>
        <w:rPr>
          <w:color w:val="000000"/>
        </w:rPr>
        <w:t>31.10</w:t>
      </w:r>
      <w:r>
        <w:rPr>
          <w:color w:val="000000"/>
        </w:rPr>
        <w:t>. kontrastų jutimas traukinio mašinistui ir darbuotojui – geras;</w:t>
      </w:r>
    </w:p>
    <w:p>
      <w:pPr>
        <w:widowControl w:val="0"/>
        <w:suppressAutoHyphens/>
        <w:ind w:firstLine="567"/>
        <w:jc w:val="both"/>
        <w:rPr>
          <w:color w:val="000000"/>
        </w:rPr>
      </w:pPr>
      <w:r>
        <w:rPr>
          <w:color w:val="000000"/>
        </w:rPr>
        <w:t>31.11</w:t>
      </w:r>
      <w:r>
        <w:rPr>
          <w:color w:val="000000"/>
        </w:rPr>
        <w:t>. progresuojančių akių ligų – nėra;</w:t>
      </w:r>
    </w:p>
    <w:p>
      <w:pPr>
        <w:widowControl w:val="0"/>
        <w:suppressAutoHyphens/>
        <w:ind w:firstLine="567"/>
        <w:jc w:val="both"/>
        <w:rPr>
          <w:color w:val="000000"/>
        </w:rPr>
      </w:pPr>
      <w:r>
        <w:rPr>
          <w:color w:val="000000"/>
        </w:rPr>
        <w:t>31.12</w:t>
      </w:r>
      <w:r>
        <w:rPr>
          <w:color w:val="000000"/>
        </w:rPr>
        <w:t>. implantai:</w:t>
      </w:r>
    </w:p>
    <w:p>
      <w:pPr>
        <w:widowControl w:val="0"/>
        <w:suppressAutoHyphens/>
        <w:ind w:firstLine="567"/>
        <w:jc w:val="both"/>
        <w:rPr>
          <w:color w:val="000000"/>
        </w:rPr>
      </w:pPr>
      <w:r>
        <w:rPr>
          <w:color w:val="000000"/>
        </w:rPr>
        <w:t>31.12.1</w:t>
      </w:r>
      <w:r>
        <w:rPr>
          <w:color w:val="000000"/>
        </w:rPr>
        <w:t>. traukinio mašinistui – lęšių implantai, atliktos keratotomijos ir keratektomijos operacijos leistinos tik tuomet, jei kasmet arba gydytojo oftalmologo nustatytais laikotarpiais konsultuojama, tikrinamas operacijų poveikis akims;</w:t>
      </w:r>
    </w:p>
    <w:p>
      <w:pPr>
        <w:widowControl w:val="0"/>
        <w:suppressAutoHyphens/>
        <w:ind w:firstLine="567"/>
        <w:jc w:val="both"/>
        <w:rPr>
          <w:color w:val="000000"/>
        </w:rPr>
      </w:pPr>
      <w:r>
        <w:rPr>
          <w:color w:val="000000"/>
        </w:rPr>
        <w:t>31.12.2</w:t>
      </w:r>
      <w:r>
        <w:rPr>
          <w:color w:val="000000"/>
        </w:rPr>
        <w:t>. darbuotojui – akių implantai (protezai), atliktos keratotomijos ir keratektomijos operacijos leistinos tik tuomet, jei kasmet arba gydytojo oftalmologo nustatytais laikotarpiais konsultuojama, tikrinamas operacijų poveikis akims;</w:t>
      </w:r>
    </w:p>
    <w:p>
      <w:pPr>
        <w:widowControl w:val="0"/>
        <w:suppressAutoHyphens/>
        <w:ind w:firstLine="567"/>
        <w:jc w:val="both"/>
        <w:rPr>
          <w:color w:val="000000"/>
        </w:rPr>
      </w:pPr>
      <w:r>
        <w:rPr>
          <w:color w:val="000000"/>
        </w:rPr>
        <w:t>31.13</w:t>
      </w:r>
      <w:r>
        <w:rPr>
          <w:color w:val="000000"/>
        </w:rPr>
        <w:t>. traukinio mašinistui – atsparumas akinimui;</w:t>
      </w:r>
    </w:p>
    <w:p>
      <w:pPr>
        <w:widowControl w:val="0"/>
        <w:suppressAutoHyphens/>
        <w:ind w:firstLine="567"/>
        <w:jc w:val="both"/>
        <w:rPr>
          <w:color w:val="000000"/>
        </w:rPr>
      </w:pPr>
      <w:r>
        <w:rPr>
          <w:color w:val="000000"/>
        </w:rPr>
        <w:t>31.14</w:t>
      </w:r>
      <w:r>
        <w:rPr>
          <w:color w:val="000000"/>
        </w:rPr>
        <w:t>. traukinio mašinistui – draudžiama naudoti spalvotus kontaktinius lęšius ir fotochrominius lęšius, leidžiama naudoti lęšius su UV filtru.</w:t>
      </w:r>
    </w:p>
    <w:p>
      <w:pPr>
        <w:widowControl w:val="0"/>
        <w:suppressAutoHyphens/>
        <w:ind w:firstLine="567"/>
        <w:jc w:val="both"/>
        <w:rPr>
          <w:color w:val="000000"/>
        </w:rPr>
      </w:pPr>
      <w:r>
        <w:rPr>
          <w:color w:val="000000"/>
        </w:rPr>
        <w:t>32</w:t>
      </w:r>
      <w:r>
        <w:rPr>
          <w:color w:val="000000"/>
        </w:rPr>
        <w:t>. Turi būti laikomasi šių klausai ir kalbėjimui taikomų reikalavimų:</w:t>
      </w:r>
    </w:p>
    <w:p>
      <w:pPr>
        <w:widowControl w:val="0"/>
        <w:suppressAutoHyphens/>
        <w:ind w:firstLine="567"/>
        <w:jc w:val="both"/>
        <w:rPr>
          <w:color w:val="000000"/>
        </w:rPr>
      </w:pPr>
      <w:r>
        <w:rPr>
          <w:color w:val="000000"/>
        </w:rPr>
        <w:t>32.1</w:t>
      </w:r>
      <w:r>
        <w:rPr>
          <w:color w:val="000000"/>
        </w:rPr>
        <w:t>. traukinio mašinistui ir darbuotojui: pakankama, audiograma patvirtinta klausa, t. y. pakankama klausa kalbėtis telefonu ir gebėjimas išgirsti pavojaus signalus bei radijo pranešimus. Orientacinės reikšmės yra šios:</w:t>
      </w:r>
    </w:p>
    <w:p>
      <w:pPr>
        <w:widowControl w:val="0"/>
        <w:suppressAutoHyphens/>
        <w:ind w:firstLine="567"/>
        <w:jc w:val="both"/>
        <w:rPr>
          <w:color w:val="000000"/>
        </w:rPr>
      </w:pPr>
      <w:r>
        <w:rPr>
          <w:color w:val="000000"/>
        </w:rPr>
        <w:t>32.1.1</w:t>
      </w:r>
      <w:r>
        <w:rPr>
          <w:color w:val="000000"/>
        </w:rPr>
        <w:t>. klausos sutrikimo laipsnis neturi viršyti 40 dB, esant 500 ir 1 000 Hz dažniui;</w:t>
      </w:r>
    </w:p>
    <w:p>
      <w:pPr>
        <w:widowControl w:val="0"/>
        <w:suppressAutoHyphens/>
        <w:ind w:firstLine="567"/>
        <w:jc w:val="both"/>
        <w:rPr>
          <w:color w:val="000000"/>
        </w:rPr>
      </w:pPr>
      <w:r>
        <w:rPr>
          <w:color w:val="000000"/>
        </w:rPr>
        <w:t>32.1.2</w:t>
      </w:r>
      <w:r>
        <w:rPr>
          <w:color w:val="000000"/>
        </w:rPr>
        <w:t>. tos ausies, kurioje oro laidumas garsui yra blogesnis, klausos sutrikimo laipsnis neturi viršyti 45 dB, esant 2 000 Hz dažniui;</w:t>
      </w:r>
    </w:p>
    <w:p>
      <w:pPr>
        <w:widowControl w:val="0"/>
        <w:suppressAutoHyphens/>
        <w:ind w:firstLine="567"/>
        <w:jc w:val="both"/>
        <w:rPr>
          <w:color w:val="000000"/>
        </w:rPr>
      </w:pPr>
      <w:r>
        <w:rPr>
          <w:color w:val="000000"/>
        </w:rPr>
        <w:t>32.2</w:t>
      </w:r>
      <w:r>
        <w:rPr>
          <w:color w:val="000000"/>
        </w:rPr>
        <w:t>. traukinio mašinistui: neturi būti jokių vestibulinės sistemos anomalijų;</w:t>
      </w:r>
    </w:p>
    <w:p>
      <w:pPr>
        <w:widowControl w:val="0"/>
        <w:suppressAutoHyphens/>
        <w:ind w:firstLine="567"/>
        <w:jc w:val="both"/>
        <w:rPr>
          <w:color w:val="000000"/>
        </w:rPr>
      </w:pPr>
      <w:r>
        <w:rPr>
          <w:color w:val="000000"/>
        </w:rPr>
        <w:t>32.3</w:t>
      </w:r>
      <w:r>
        <w:rPr>
          <w:color w:val="000000"/>
        </w:rPr>
        <w:t>. traukinio mašinistui: neleistini jokie lėtiniai kalbos sutrikimai (dėl būtinybės garsiai ir aiškiai perduoti pranešimus);</w:t>
      </w:r>
    </w:p>
    <w:p>
      <w:pPr>
        <w:widowControl w:val="0"/>
        <w:suppressAutoHyphens/>
        <w:ind w:firstLine="567"/>
        <w:jc w:val="both"/>
        <w:rPr>
          <w:color w:val="000000"/>
        </w:rPr>
      </w:pPr>
      <w:r>
        <w:rPr>
          <w:color w:val="000000"/>
        </w:rPr>
        <w:t>32.4</w:t>
      </w:r>
      <w:r>
        <w:rPr>
          <w:color w:val="000000"/>
        </w:rPr>
        <w:t>. traukinio mašinistui: ypatingais atvejais leidžiama naudoti klausos aparatus.</w:t>
      </w:r>
    </w:p>
    <w:p>
      <w:pPr>
        <w:widowControl w:val="0"/>
        <w:suppressAutoHyphens/>
        <w:ind w:firstLine="567"/>
        <w:jc w:val="both"/>
        <w:rPr>
          <w:color w:val="000000"/>
        </w:rPr>
      </w:pPr>
      <w:r>
        <w:rPr>
          <w:color w:val="000000"/>
        </w:rPr>
        <w:t>33</w:t>
      </w:r>
      <w:r>
        <w:rPr>
          <w:color w:val="000000"/>
        </w:rPr>
        <w:t>. Minimalios psichologinio tinkamumo normos:</w:t>
      </w:r>
    </w:p>
    <w:p>
      <w:pPr>
        <w:widowControl w:val="0"/>
        <w:suppressAutoHyphens/>
        <w:ind w:firstLine="567"/>
        <w:jc w:val="both"/>
        <w:rPr>
          <w:color w:val="000000"/>
        </w:rPr>
      </w:pPr>
      <w:r>
        <w:rPr>
          <w:color w:val="000000"/>
        </w:rPr>
        <w:t>33.1</w:t>
      </w:r>
      <w:r>
        <w:rPr>
          <w:color w:val="000000"/>
        </w:rPr>
        <w:t>. normalus arba greitas reakcijos laikas;</w:t>
      </w:r>
    </w:p>
    <w:p>
      <w:pPr>
        <w:widowControl w:val="0"/>
        <w:suppressAutoHyphens/>
        <w:ind w:firstLine="567"/>
        <w:jc w:val="both"/>
        <w:rPr>
          <w:color w:val="000000"/>
        </w:rPr>
      </w:pPr>
      <w:r>
        <w:rPr>
          <w:color w:val="000000"/>
        </w:rPr>
        <w:t>33.2</w:t>
      </w:r>
      <w:r>
        <w:rPr>
          <w:color w:val="000000"/>
        </w:rPr>
        <w:t>. adekvatus regimųjų ir girdimųjų stimulų suvokimas;</w:t>
      </w:r>
    </w:p>
    <w:p>
      <w:pPr>
        <w:widowControl w:val="0"/>
        <w:suppressAutoHyphens/>
        <w:ind w:firstLine="567"/>
        <w:jc w:val="both"/>
        <w:rPr>
          <w:color w:val="000000"/>
        </w:rPr>
      </w:pPr>
      <w:r>
        <w:rPr>
          <w:color w:val="000000"/>
        </w:rPr>
        <w:t>33.3</w:t>
      </w:r>
      <w:r>
        <w:rPr>
          <w:color w:val="000000"/>
        </w:rPr>
        <w:t>. normalus vidutinis kalbos tempas, aiškus žodžių tarimas, pakankamas instrukcijų suvokimas;</w:t>
      </w:r>
    </w:p>
    <w:p>
      <w:pPr>
        <w:widowControl w:val="0"/>
        <w:suppressAutoHyphens/>
        <w:ind w:firstLine="567"/>
        <w:jc w:val="both"/>
        <w:rPr>
          <w:color w:val="000000"/>
        </w:rPr>
      </w:pPr>
      <w:r>
        <w:rPr>
          <w:color w:val="000000"/>
        </w:rPr>
        <w:t>33.4</w:t>
      </w:r>
      <w:r>
        <w:rPr>
          <w:color w:val="000000"/>
        </w:rPr>
        <w:t>. gebėjimas sutelkti ir išlaikyti dėmesį, ryškių dėmesio išsekimo požymių nebuvimas;</w:t>
      </w:r>
    </w:p>
    <w:p>
      <w:pPr>
        <w:widowControl w:val="0"/>
        <w:suppressAutoHyphens/>
        <w:ind w:firstLine="567"/>
        <w:jc w:val="both"/>
        <w:rPr>
          <w:color w:val="000000"/>
        </w:rPr>
      </w:pPr>
      <w:r>
        <w:rPr>
          <w:color w:val="000000"/>
        </w:rPr>
        <w:t>33.5</w:t>
      </w:r>
      <w:r>
        <w:rPr>
          <w:color w:val="000000"/>
        </w:rPr>
        <w:t>. informacijos įsiminimo ir išlaikymo atmintyje sutrikimų nebuvimas.</w:t>
      </w:r>
    </w:p>
    <w:p>
      <w:pPr>
        <w:widowControl w:val="0"/>
        <w:suppressAutoHyphens/>
        <w:ind w:firstLine="567"/>
        <w:jc w:val="both"/>
        <w:rPr>
          <w:color w:val="000000"/>
        </w:rPr>
      </w:pPr>
      <w:r>
        <w:rPr>
          <w:color w:val="000000"/>
        </w:rPr>
        <w:t>34</w:t>
      </w:r>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67"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IV</w:t>
      </w:r>
      <w:r>
        <w:rPr>
          <w:b/>
          <w:bCs/>
          <w:caps/>
          <w:color w:val="000000"/>
        </w:rPr>
        <w:t xml:space="preserve">. </w:t>
      </w:r>
      <w:r>
        <w:rPr>
          <w:b/>
          <w:bCs/>
          <w:caps/>
          <w:color w:val="000000"/>
        </w:rPr>
        <w:t>PRIEŠ PRIIMANT Į MOKYMO ĮSTAIGĄ ARBA Į DARBĄ ATLIKTINI BŪTINIAUSI SVEIKATOS PATIKRINIMAI</w:t>
      </w:r>
    </w:p>
    <w:p>
      <w:pPr>
        <w:widowControl w:val="0"/>
        <w:suppressAutoHyphens/>
        <w:ind w:firstLine="567"/>
        <w:jc w:val="both"/>
        <w:rPr>
          <w:color w:val="000000"/>
        </w:rPr>
      </w:pPr>
    </w:p>
    <w:p>
      <w:pPr>
        <w:widowControl w:val="0"/>
        <w:suppressAutoHyphens/>
        <w:ind w:firstLine="567"/>
        <w:jc w:val="both"/>
        <w:rPr>
          <w:color w:val="000000"/>
        </w:rPr>
      </w:pPr>
      <w:r>
        <w:rPr>
          <w:color w:val="000000"/>
        </w:rPr>
        <w:t>35</w:t>
      </w:r>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68"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p>
      <w:pPr>
        <w:widowControl w:val="0"/>
        <w:suppressAutoHyphens/>
        <w:ind w:firstLine="567"/>
        <w:jc w:val="both"/>
        <w:rPr>
          <w:color w:val="000000"/>
        </w:rPr>
      </w:pPr>
      <w:r>
        <w:rPr>
          <w:color w:val="000000"/>
        </w:rPr>
        <w:t>36</w:t>
      </w:r>
      <w:r>
        <w:rPr>
          <w:color w:val="000000"/>
        </w:rPr>
        <w:t>. Traukinio mašinistui – sensorinių funkcijų patikrinimas:</w:t>
      </w:r>
    </w:p>
    <w:p>
      <w:pPr>
        <w:widowControl w:val="0"/>
        <w:suppressAutoHyphens/>
        <w:ind w:firstLine="567"/>
        <w:jc w:val="both"/>
        <w:rPr>
          <w:color w:val="000000"/>
        </w:rPr>
      </w:pPr>
      <w:r>
        <w:rPr>
          <w:color w:val="000000"/>
        </w:rPr>
        <w:t>36.1</w:t>
      </w:r>
      <w:r>
        <w:rPr>
          <w:color w:val="000000"/>
        </w:rPr>
        <w:t>. regėjimo – tikrina gydytojas oftalmologas:</w:t>
      </w:r>
    </w:p>
    <w:p>
      <w:pPr>
        <w:widowControl w:val="0"/>
        <w:suppressAutoHyphens/>
        <w:ind w:firstLine="567"/>
        <w:jc w:val="both"/>
        <w:rPr>
          <w:color w:val="000000"/>
        </w:rPr>
      </w:pPr>
      <w:r>
        <w:rPr>
          <w:color w:val="000000"/>
        </w:rPr>
        <w:t>36.1.1</w:t>
      </w:r>
      <w:r>
        <w:rPr>
          <w:color w:val="000000"/>
        </w:rPr>
        <w:t>. regėjimo aštrumo;</w:t>
      </w:r>
    </w:p>
    <w:p>
      <w:pPr>
        <w:widowControl w:val="0"/>
        <w:suppressAutoHyphens/>
        <w:ind w:firstLine="567"/>
        <w:jc w:val="both"/>
        <w:rPr>
          <w:color w:val="000000"/>
        </w:rPr>
      </w:pPr>
      <w:r>
        <w:rPr>
          <w:color w:val="000000"/>
        </w:rPr>
        <w:t>36.1.2</w:t>
      </w:r>
      <w:r>
        <w:rPr>
          <w:color w:val="000000"/>
        </w:rPr>
        <w:t>. regėjimo lauko (akipločio);</w:t>
      </w:r>
    </w:p>
    <w:p>
      <w:pPr>
        <w:widowControl w:val="0"/>
        <w:suppressAutoHyphens/>
        <w:ind w:firstLine="567"/>
        <w:jc w:val="both"/>
        <w:rPr>
          <w:color w:val="000000"/>
        </w:rPr>
      </w:pPr>
      <w:r>
        <w:rPr>
          <w:color w:val="000000"/>
        </w:rPr>
        <w:t>36.1.3</w:t>
      </w:r>
      <w:r>
        <w:rPr>
          <w:color w:val="000000"/>
        </w:rPr>
        <w:t>. regėjimo prieblandoje (adaptacijos tamsai);</w:t>
      </w:r>
    </w:p>
    <w:p>
      <w:pPr>
        <w:widowControl w:val="0"/>
        <w:suppressAutoHyphens/>
        <w:ind w:firstLine="567"/>
        <w:jc w:val="both"/>
        <w:rPr>
          <w:color w:val="000000"/>
        </w:rPr>
      </w:pPr>
      <w:r>
        <w:rPr>
          <w:color w:val="000000"/>
        </w:rPr>
        <w:t>36.1.4</w:t>
      </w:r>
      <w:r>
        <w:rPr>
          <w:color w:val="000000"/>
        </w:rPr>
        <w:t>. akispūdžio matavimas (asmenims nuo 40 m.);</w:t>
      </w:r>
    </w:p>
    <w:p>
      <w:pPr>
        <w:widowControl w:val="0"/>
        <w:suppressAutoHyphens/>
        <w:ind w:firstLine="567"/>
        <w:jc w:val="both"/>
        <w:rPr>
          <w:color w:val="000000"/>
        </w:rPr>
      </w:pPr>
      <w:r>
        <w:rPr>
          <w:color w:val="000000"/>
        </w:rPr>
        <w:t>36.1.5</w:t>
      </w:r>
      <w:r>
        <w:rPr>
          <w:color w:val="000000"/>
        </w:rPr>
        <w:t>. kontrastų jutimo;</w:t>
      </w:r>
    </w:p>
    <w:p>
      <w:pPr>
        <w:widowControl w:val="0"/>
        <w:suppressAutoHyphens/>
        <w:ind w:firstLine="567"/>
        <w:jc w:val="both"/>
        <w:rPr>
          <w:color w:val="000000"/>
        </w:rPr>
      </w:pPr>
      <w:r>
        <w:rPr>
          <w:color w:val="000000"/>
        </w:rPr>
        <w:t>36.1.6</w:t>
      </w:r>
      <w:r>
        <w:rPr>
          <w:color w:val="000000"/>
        </w:rPr>
        <w:t>. spalvų jutimo:</w:t>
      </w:r>
    </w:p>
    <w:p>
      <w:pPr>
        <w:widowControl w:val="0"/>
        <w:suppressAutoHyphens/>
        <w:ind w:firstLine="567"/>
        <w:jc w:val="both"/>
        <w:rPr>
          <w:color w:val="000000"/>
        </w:rPr>
      </w:pPr>
      <w:r>
        <w:rPr>
          <w:color w:val="000000"/>
        </w:rPr>
        <w:t>36.1.6.1</w:t>
      </w:r>
      <w:r>
        <w:rPr>
          <w:color w:val="000000"/>
        </w:rPr>
        <w:t>. spalvinio jutimo (įsigyjant traukinio mašinisto pažymėjimą);</w:t>
      </w:r>
    </w:p>
    <w:p>
      <w:pPr>
        <w:widowControl w:val="0"/>
        <w:suppressAutoHyphens/>
        <w:ind w:firstLine="567"/>
        <w:jc w:val="both"/>
        <w:rPr>
          <w:color w:val="000000"/>
        </w:rPr>
      </w:pPr>
      <w:r>
        <w:rPr>
          <w:color w:val="000000"/>
        </w:rPr>
        <w:t>36.1.6.2</w:t>
      </w:r>
      <w:r>
        <w:rPr>
          <w:color w:val="000000"/>
        </w:rPr>
        <w:t>. spalvų signalo atpažinimo;</w:t>
      </w:r>
    </w:p>
    <w:p>
      <w:pPr>
        <w:widowControl w:val="0"/>
        <w:suppressAutoHyphens/>
        <w:ind w:firstLine="567"/>
        <w:jc w:val="both"/>
        <w:rPr>
          <w:color w:val="000000"/>
        </w:rPr>
      </w:pPr>
      <w:r>
        <w:rPr>
          <w:color w:val="000000"/>
        </w:rPr>
        <w:t>36.1.7</w:t>
      </w:r>
      <w:r>
        <w:rPr>
          <w:color w:val="000000"/>
        </w:rPr>
        <w:t>. atsparumo akinimui;</w:t>
      </w:r>
    </w:p>
    <w:p>
      <w:pPr>
        <w:widowControl w:val="0"/>
        <w:suppressAutoHyphens/>
        <w:ind w:firstLine="567"/>
        <w:jc w:val="both"/>
        <w:rPr>
          <w:color w:val="000000"/>
        </w:rPr>
      </w:pPr>
      <w:r>
        <w:rPr>
          <w:color w:val="000000"/>
        </w:rPr>
        <w:t>36.2</w:t>
      </w:r>
      <w:r>
        <w:rPr>
          <w:color w:val="000000"/>
        </w:rPr>
        <w:t>. klausos – tikrina gydytojas otorinolaringologas:</w:t>
      </w:r>
    </w:p>
    <w:p>
      <w:pPr>
        <w:widowControl w:val="0"/>
        <w:suppressAutoHyphens/>
        <w:ind w:firstLine="567"/>
        <w:jc w:val="both"/>
        <w:rPr>
          <w:color w:val="000000"/>
        </w:rPr>
      </w:pPr>
      <w:r>
        <w:rPr>
          <w:color w:val="000000"/>
        </w:rPr>
        <w:t>36.2.1</w:t>
      </w:r>
      <w:r>
        <w:rPr>
          <w:color w:val="000000"/>
        </w:rPr>
        <w:t>. klausos aštrumo, šnabždesiu abipus;</w:t>
      </w:r>
    </w:p>
    <w:p>
      <w:pPr>
        <w:widowControl w:val="0"/>
        <w:suppressAutoHyphens/>
        <w:ind w:firstLine="567"/>
        <w:jc w:val="both"/>
        <w:rPr>
          <w:color w:val="000000"/>
        </w:rPr>
      </w:pPr>
      <w:r>
        <w:rPr>
          <w:color w:val="000000"/>
        </w:rPr>
        <w:t>36.2.2</w:t>
      </w:r>
      <w:r>
        <w:rPr>
          <w:color w:val="000000"/>
        </w:rPr>
        <w:t>. audiograma;</w:t>
      </w:r>
    </w:p>
    <w:p>
      <w:pPr>
        <w:widowControl w:val="0"/>
        <w:suppressAutoHyphens/>
        <w:ind w:firstLine="567"/>
        <w:jc w:val="both"/>
        <w:rPr>
          <w:color w:val="000000"/>
        </w:rPr>
      </w:pPr>
      <w:r>
        <w:rPr>
          <w:color w:val="000000"/>
        </w:rPr>
        <w:t>36.3</w:t>
      </w:r>
      <w:r>
        <w:rPr>
          <w:color w:val="000000"/>
        </w:rPr>
        <w:t>. vestibulinės funkcijos įvertinimas – tikrina gydytojas otorinolaringologas:</w:t>
      </w:r>
    </w:p>
    <w:p>
      <w:pPr>
        <w:widowControl w:val="0"/>
        <w:suppressAutoHyphens/>
        <w:ind w:firstLine="567"/>
        <w:jc w:val="both"/>
        <w:rPr>
          <w:color w:val="000000"/>
        </w:rPr>
      </w:pPr>
      <w:r>
        <w:rPr>
          <w:color w:val="000000"/>
        </w:rPr>
        <w:t>36.3.1</w:t>
      </w:r>
      <w:r>
        <w:rPr>
          <w:color w:val="000000"/>
        </w:rPr>
        <w:t>. tikrinamas spontaninis nistagmas;</w:t>
      </w:r>
    </w:p>
    <w:p>
      <w:pPr>
        <w:widowControl w:val="0"/>
        <w:suppressAutoHyphens/>
        <w:ind w:firstLine="567"/>
        <w:jc w:val="both"/>
        <w:rPr>
          <w:color w:val="000000"/>
        </w:rPr>
      </w:pPr>
      <w:r>
        <w:rPr>
          <w:color w:val="000000"/>
        </w:rPr>
        <w:t>36.3.2</w:t>
      </w:r>
      <w:r>
        <w:rPr>
          <w:color w:val="000000"/>
        </w:rPr>
        <w:t>. atliekami koordinaciniai mėginiai (Rombergo poza, piršto–nosies mėginys ir kt.);</w:t>
      </w:r>
    </w:p>
    <w:p>
      <w:pPr>
        <w:widowControl w:val="0"/>
        <w:suppressAutoHyphens/>
        <w:ind w:firstLine="567"/>
        <w:jc w:val="both"/>
        <w:rPr>
          <w:color w:val="000000"/>
        </w:rPr>
      </w:pPr>
      <w:r>
        <w:rPr>
          <w:color w:val="000000"/>
        </w:rPr>
        <w:t>36.3.3</w:t>
      </w:r>
      <w:r>
        <w:rPr>
          <w:color w:val="000000"/>
        </w:rPr>
        <w:t>. videonistagmometrija atliekama, esant bent vienam patologiniam simptomui, atlikus 35.3.1 ir 35.3.2 punktuose nurodytus tyrimus.</w:t>
      </w:r>
    </w:p>
    <w:p>
      <w:pPr>
        <w:widowControl w:val="0"/>
        <w:suppressAutoHyphens/>
        <w:ind w:firstLine="567"/>
        <w:jc w:val="both"/>
        <w:rPr>
          <w:color w:val="000000"/>
        </w:rPr>
      </w:pPr>
      <w:r>
        <w:rPr>
          <w:color w:val="000000"/>
        </w:rPr>
        <w:t>37</w:t>
      </w:r>
      <w:r>
        <w:rPr>
          <w:color w:val="000000"/>
        </w:rPr>
        <w:t>. Kraujo tyrimas hematologiniu analizatoriumi.</w:t>
      </w:r>
    </w:p>
    <w:p>
      <w:pPr>
        <w:widowControl w:val="0"/>
        <w:suppressAutoHyphens/>
        <w:ind w:firstLine="567"/>
        <w:jc w:val="both"/>
        <w:rPr>
          <w:color w:val="000000"/>
        </w:rPr>
      </w:pPr>
      <w:r>
        <w:rPr>
          <w:color w:val="000000"/>
        </w:rPr>
        <w:t>38</w:t>
      </w:r>
      <w:r>
        <w:rPr>
          <w:color w:val="000000"/>
        </w:rPr>
        <w:t>. Kraujo tyrimas dėl cukrinio diabeto (gliukozės kiekio kraujyje nustatymas, esant indikacijų), kiek tai būtina siekiant įvertinti fizinę kandidato būklę.</w:t>
      </w:r>
    </w:p>
    <w:p>
      <w:pPr>
        <w:widowControl w:val="0"/>
        <w:suppressAutoHyphens/>
        <w:ind w:firstLine="567"/>
        <w:jc w:val="both"/>
        <w:rPr>
          <w:color w:val="000000"/>
        </w:rPr>
      </w:pPr>
      <w:r>
        <w:rPr>
          <w:color w:val="000000"/>
        </w:rPr>
        <w:t>39</w:t>
      </w:r>
      <w:r>
        <w:rPr>
          <w:color w:val="000000"/>
        </w:rPr>
        <w:t>. Bendras šlapimo tyrimas analizatoriumi, įskaitant gliukozės nustatymą (esant indikacijų).</w:t>
      </w:r>
    </w:p>
    <w:p>
      <w:pPr>
        <w:widowControl w:val="0"/>
        <w:suppressAutoHyphens/>
        <w:ind w:firstLine="567"/>
        <w:jc w:val="both"/>
        <w:rPr>
          <w:color w:val="000000"/>
        </w:rPr>
      </w:pPr>
      <w:r>
        <w:rPr>
          <w:color w:val="000000"/>
        </w:rPr>
        <w:t>40</w:t>
      </w:r>
      <w:r>
        <w:rPr>
          <w:color w:val="000000"/>
        </w:rPr>
        <w:t>. Traukinio mašinistui – elektrokardiograma (EKG) ramybės būsenoje.</w:t>
      </w:r>
    </w:p>
    <w:p>
      <w:pPr>
        <w:widowControl w:val="0"/>
        <w:suppressAutoHyphens/>
        <w:ind w:firstLine="567"/>
        <w:jc w:val="both"/>
        <w:rPr>
          <w:color w:val="000000"/>
        </w:rPr>
      </w:pPr>
      <w:r>
        <w:rPr>
          <w:color w:val="000000"/>
        </w:rPr>
        <w:t>41</w:t>
      </w:r>
      <w:r>
        <w:rPr>
          <w:color w:val="000000"/>
        </w:rPr>
        <w:t>. Patikrinimai dėl psichotropinių medžiagų, pavyzdžiui, neteisėtų narkotinių medžiagų ar psichotropinių medikamentų vartojimo, piktnaudžiavimo alkoholiu, jei dėl to kyla abejonių dėl tinkamumo darbui.</w:t>
      </w:r>
    </w:p>
    <w:p>
      <w:pPr>
        <w:widowControl w:val="0"/>
        <w:suppressAutoHyphens/>
        <w:ind w:firstLine="567"/>
        <w:jc w:val="both"/>
        <w:rPr>
          <w:color w:val="000000"/>
        </w:rPr>
      </w:pPr>
      <w:r>
        <w:rPr>
          <w:color w:val="000000"/>
        </w:rPr>
        <w:t>42</w:t>
      </w:r>
      <w:r>
        <w:rPr>
          <w:color w:val="000000"/>
        </w:rPr>
        <w:t>. Psichikos sveikatos įvertinimas – tikrina gydytojas psichiatras, įvertinęs psichologo atliktus tyrimus:</w:t>
      </w:r>
    </w:p>
    <w:p>
      <w:pPr>
        <w:widowControl w:val="0"/>
        <w:suppressAutoHyphens/>
        <w:ind w:firstLine="567"/>
        <w:jc w:val="both"/>
        <w:rPr>
          <w:color w:val="000000"/>
        </w:rPr>
      </w:pPr>
      <w:r>
        <w:rPr>
          <w:color w:val="000000"/>
        </w:rPr>
        <w:t>42.1</w:t>
      </w:r>
      <w:r>
        <w:rPr>
          <w:color w:val="000000"/>
        </w:rPr>
        <w:t>. kognityvines funkcijas:</w:t>
      </w:r>
    </w:p>
    <w:p>
      <w:pPr>
        <w:widowControl w:val="0"/>
        <w:suppressAutoHyphens/>
        <w:ind w:firstLine="567"/>
        <w:jc w:val="both"/>
        <w:rPr>
          <w:color w:val="000000"/>
        </w:rPr>
      </w:pPr>
      <w:r>
        <w:rPr>
          <w:color w:val="000000"/>
        </w:rPr>
        <w:t>42.1.1</w:t>
      </w:r>
      <w:r>
        <w:rPr>
          <w:color w:val="000000"/>
        </w:rPr>
        <w:t>. reakcijos greitį;</w:t>
      </w:r>
    </w:p>
    <w:p>
      <w:pPr>
        <w:widowControl w:val="0"/>
        <w:suppressAutoHyphens/>
        <w:ind w:firstLine="567"/>
        <w:jc w:val="both"/>
        <w:rPr>
          <w:color w:val="000000"/>
        </w:rPr>
      </w:pPr>
      <w:r>
        <w:rPr>
          <w:color w:val="000000"/>
        </w:rPr>
        <w:t>42.1.2</w:t>
      </w:r>
      <w:r>
        <w:rPr>
          <w:color w:val="000000"/>
        </w:rPr>
        <w:t>. regimųjų ir girdimųjų stimulų suvokimą;</w:t>
      </w:r>
    </w:p>
    <w:p>
      <w:pPr>
        <w:widowControl w:val="0"/>
        <w:suppressAutoHyphens/>
        <w:ind w:firstLine="567"/>
        <w:jc w:val="both"/>
        <w:rPr>
          <w:color w:val="000000"/>
        </w:rPr>
      </w:pPr>
      <w:r>
        <w:rPr>
          <w:color w:val="000000"/>
        </w:rPr>
        <w:t>42.1.3</w:t>
      </w:r>
      <w:r>
        <w:rPr>
          <w:color w:val="000000"/>
        </w:rPr>
        <w:t>. kalbos funkcijas (automatinė kalba, kalbos nuoseklumas, šnekamosios kalbos suvokimas, komunikabilumas);</w:t>
      </w:r>
    </w:p>
    <w:p>
      <w:pPr>
        <w:widowControl w:val="0"/>
        <w:suppressAutoHyphens/>
        <w:ind w:firstLine="567"/>
        <w:jc w:val="both"/>
        <w:rPr>
          <w:color w:val="000000"/>
        </w:rPr>
      </w:pPr>
      <w:r>
        <w:rPr>
          <w:color w:val="000000"/>
        </w:rPr>
        <w:t>42.1.4</w:t>
      </w:r>
      <w:r>
        <w:rPr>
          <w:color w:val="000000"/>
        </w:rPr>
        <w:t>. dėmesį;</w:t>
      </w:r>
    </w:p>
    <w:p>
      <w:pPr>
        <w:widowControl w:val="0"/>
        <w:suppressAutoHyphens/>
        <w:ind w:firstLine="567"/>
        <w:jc w:val="both"/>
        <w:rPr>
          <w:color w:val="000000"/>
        </w:rPr>
      </w:pPr>
      <w:r>
        <w:rPr>
          <w:color w:val="000000"/>
        </w:rPr>
        <w:t>42.1.5</w:t>
      </w:r>
      <w:r>
        <w:rPr>
          <w:color w:val="000000"/>
        </w:rPr>
        <w:t>. atmintį;</w:t>
      </w:r>
    </w:p>
    <w:p>
      <w:pPr>
        <w:widowControl w:val="0"/>
        <w:suppressAutoHyphens/>
        <w:ind w:firstLine="567"/>
        <w:jc w:val="both"/>
        <w:rPr>
          <w:color w:val="000000"/>
        </w:rPr>
      </w:pPr>
      <w:r>
        <w:rPr>
          <w:color w:val="000000"/>
        </w:rPr>
        <w:t>42.2</w:t>
      </w:r>
      <w:r>
        <w:rPr>
          <w:color w:val="000000"/>
        </w:rPr>
        <w:t>. mąstymo tyrimą (gydytojui psichiatrui skyrus);</w:t>
      </w:r>
    </w:p>
    <w:p>
      <w:pPr>
        <w:widowControl w:val="0"/>
        <w:suppressAutoHyphens/>
        <w:ind w:firstLine="567"/>
        <w:jc w:val="both"/>
        <w:rPr>
          <w:color w:val="000000"/>
        </w:rPr>
      </w:pPr>
      <w:r>
        <w:rPr>
          <w:color w:val="000000"/>
        </w:rPr>
        <w:t>42.3</w:t>
      </w:r>
      <w:r>
        <w:rPr>
          <w:color w:val="000000"/>
        </w:rPr>
        <w:t>. asmenybės ir emocijų tyrimas (gydytojui psichiatrui skyrus);</w:t>
      </w:r>
    </w:p>
    <w:p>
      <w:pPr>
        <w:widowControl w:val="0"/>
        <w:suppressAutoHyphens/>
        <w:ind w:firstLine="567"/>
        <w:jc w:val="both"/>
        <w:rPr>
          <w:color w:val="000000"/>
        </w:rPr>
      </w:pPr>
      <w:r>
        <w:rPr>
          <w:color w:val="000000"/>
        </w:rPr>
        <w:t>42.4</w:t>
      </w:r>
      <w:r>
        <w:rPr>
          <w:color w:val="000000"/>
        </w:rPr>
        <w:t>. narkotinių medžiagų naudojimo tyrimai (jei yra klinikinių indikacijų).</w:t>
      </w:r>
    </w:p>
    <w:p>
      <w:pPr>
        <w:widowControl w:val="0"/>
        <w:suppressAutoHyphens/>
        <w:ind w:firstLine="567"/>
        <w:jc w:val="both"/>
        <w:rPr>
          <w:color w:val="000000"/>
        </w:rPr>
      </w:pPr>
      <w:r>
        <w:rPr>
          <w:color w:val="000000"/>
        </w:rPr>
        <w:t>43</w:t>
      </w:r>
      <w:r>
        <w:rPr>
          <w:color w:val="000000"/>
        </w:rPr>
        <w:t>. Neurologo įvertinimas:</w:t>
      </w:r>
    </w:p>
    <w:p>
      <w:pPr>
        <w:widowControl w:val="0"/>
        <w:suppressAutoHyphens/>
        <w:ind w:firstLine="567"/>
        <w:jc w:val="both"/>
        <w:rPr>
          <w:color w:val="000000"/>
        </w:rPr>
      </w:pPr>
      <w:r>
        <w:rPr>
          <w:color w:val="000000"/>
        </w:rPr>
        <w:t>43.1</w:t>
      </w:r>
      <w:r>
        <w:rPr>
          <w:color w:val="000000"/>
        </w:rPr>
        <w:t>. jutimų, motorikos ir koordinacijos įvertinimas;</w:t>
      </w:r>
    </w:p>
    <w:p>
      <w:pPr>
        <w:widowControl w:val="0"/>
        <w:suppressAutoHyphens/>
        <w:ind w:firstLine="567"/>
        <w:jc w:val="both"/>
        <w:rPr>
          <w:color w:val="000000"/>
        </w:rPr>
      </w:pPr>
      <w:r>
        <w:rPr>
          <w:color w:val="000000"/>
        </w:rPr>
        <w:t>43.2</w:t>
      </w:r>
      <w:r>
        <w:rPr>
          <w:color w:val="000000"/>
        </w:rPr>
        <w:t>. kalbos funkcijų įvertinimas (afazija, dizartrija).</w:t>
      </w:r>
    </w:p>
    <w:p>
      <w:pPr>
        <w:widowControl w:val="0"/>
        <w:suppressAutoHyphens/>
        <w:ind w:firstLine="567"/>
        <w:jc w:val="both"/>
        <w:rPr>
          <w:color w:val="000000"/>
        </w:rPr>
      </w:pPr>
      <w:r>
        <w:rPr>
          <w:color w:val="000000"/>
        </w:rPr>
        <w:t>44</w:t>
      </w:r>
      <w:r>
        <w:rPr>
          <w:color w:val="000000"/>
        </w:rPr>
        <w:t>. Krūtinės ląstos rentgenograma – esant indikacijų.</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V</w:t>
      </w:r>
      <w:r>
        <w:rPr>
          <w:b/>
          <w:bCs/>
          <w:caps/>
          <w:color w:val="000000"/>
        </w:rPr>
        <w:t xml:space="preserve">. </w:t>
      </w:r>
      <w:r>
        <w:rPr>
          <w:b/>
          <w:bCs/>
          <w:caps/>
          <w:color w:val="000000"/>
        </w:rPr>
        <w:t>PERIODINIAI DARBUOTOJŲ SVEIKATOS PATIKRINIMAI IR BŪTINIAUSI PERIODINIO SVEIKATOS PATIKRINIMO REIKALAVIMAI</w:t>
      </w:r>
    </w:p>
    <w:p>
      <w:pPr>
        <w:widowControl w:val="0"/>
        <w:suppressAutoHyphens/>
        <w:ind w:firstLine="567"/>
        <w:jc w:val="both"/>
        <w:rPr>
          <w:color w:val="000000"/>
        </w:rPr>
      </w:pPr>
    </w:p>
    <w:p>
      <w:pPr>
        <w:widowControl w:val="0"/>
        <w:suppressAutoHyphens/>
        <w:ind w:firstLine="567"/>
        <w:jc w:val="both"/>
        <w:rPr>
          <w:color w:val="000000"/>
        </w:rPr>
      </w:pPr>
      <w:r>
        <w:rPr>
          <w:color w:val="000000"/>
        </w:rPr>
        <w:t>45</w:t>
      </w:r>
      <w:r>
        <w:rPr>
          <w:color w:val="000000"/>
        </w:rPr>
        <w:t>. Dažnumas. Sveikata turi būti tikrinama:</w:t>
      </w:r>
    </w:p>
    <w:p>
      <w:pPr>
        <w:widowControl w:val="0"/>
        <w:suppressAutoHyphens/>
        <w:ind w:firstLine="567"/>
        <w:jc w:val="both"/>
        <w:rPr>
          <w:color w:val="000000"/>
        </w:rPr>
      </w:pPr>
      <w:r>
        <w:rPr>
          <w:color w:val="000000"/>
        </w:rPr>
        <w:t>45.1</w:t>
      </w:r>
      <w:r>
        <w:rPr>
          <w:color w:val="000000"/>
        </w:rPr>
        <w:t>. traukinio mašinistams – ne rečiau kaip kas treji metai, jei asmuo yra jaunesnis nei 55 metų, vėliau – kasmet;</w:t>
      </w:r>
    </w:p>
    <w:p>
      <w:pPr>
        <w:widowControl w:val="0"/>
        <w:suppressAutoHyphens/>
        <w:ind w:firstLine="567"/>
        <w:jc w:val="both"/>
        <w:rPr>
          <w:color w:val="000000"/>
        </w:rPr>
      </w:pPr>
      <w:r>
        <w:rPr>
          <w:color w:val="000000"/>
        </w:rPr>
        <w:t>45.2</w:t>
      </w:r>
      <w:r>
        <w:rPr>
          <w:color w:val="000000"/>
        </w:rPr>
        <w:t>. darbuotojams, jaunesniems kaip 40 m. – kas 5 metus; 41–62 m. amžiaus darbuotojams – kas 3 metus, vyresniems kaip 62 metų darbuotojams – kasmet.</w:t>
      </w:r>
    </w:p>
    <w:p>
      <w:pPr>
        <w:widowControl w:val="0"/>
        <w:suppressAutoHyphens/>
        <w:ind w:firstLine="567"/>
        <w:jc w:val="both"/>
        <w:rPr>
          <w:color w:val="000000"/>
        </w:rPr>
      </w:pPr>
      <w:r>
        <w:rPr>
          <w:color w:val="000000"/>
        </w:rPr>
        <w:t>45.3</w:t>
      </w:r>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p>
      <w:pPr>
        <w:widowControl w:val="0"/>
        <w:suppressAutoHyphens/>
        <w:ind w:firstLine="567"/>
        <w:jc w:val="both"/>
        <w:rPr>
          <w:color w:val="000000"/>
        </w:rPr>
      </w:pPr>
      <w:r>
        <w:rPr>
          <w:color w:val="000000"/>
        </w:rPr>
        <w:t>45.4</w:t>
      </w:r>
      <w:r>
        <w:rPr>
          <w:color w:val="000000"/>
        </w:rPr>
        <w:t>. Sveikatos patikrinimas turi būti atliktas, jei yra pagrindas abejoti, kad pažymėjimo ar sertifikato turėtojo sveikatos būklė nebeatitinka bendrųjų reikalavimų sveikatos būklei, nurodytų šio Aprašo III skyriuje.</w:t>
      </w:r>
    </w:p>
    <w:p>
      <w:pPr>
        <w:widowControl w:val="0"/>
        <w:suppressAutoHyphens/>
        <w:ind w:firstLine="567"/>
        <w:jc w:val="both"/>
        <w:rPr>
          <w:color w:val="000000"/>
        </w:rPr>
      </w:pPr>
      <w:r>
        <w:rPr>
          <w:color w:val="000000"/>
        </w:rPr>
        <w:t>45.5</w:t>
      </w:r>
      <w:r>
        <w:rPr>
          <w:color w:val="000000"/>
        </w:rPr>
        <w:t>. Darbdaviui atstovaujantis ar jo įgaliotas asmuo turi teisę, nurodę priežastį, siųsti darbuotojus neeilinio sveikatos tikrinimo:</w:t>
      </w:r>
    </w:p>
    <w:p>
      <w:pPr>
        <w:widowControl w:val="0"/>
        <w:suppressAutoHyphens/>
        <w:ind w:firstLine="567"/>
        <w:jc w:val="both"/>
        <w:rPr>
          <w:color w:val="000000"/>
        </w:rPr>
      </w:pPr>
      <w:r>
        <w:rPr>
          <w:color w:val="000000"/>
        </w:rPr>
        <w:t>45.5.1</w:t>
      </w:r>
      <w:r>
        <w:rPr>
          <w:color w:val="000000"/>
        </w:rPr>
        <w:t>. po kiekvieno nelaimingo atsitikimo darbe, ypač – po rikto arba avarijos, kurių priežastis –žmogaus padaryta klaida;</w:t>
      </w:r>
    </w:p>
    <w:p>
      <w:pPr>
        <w:widowControl w:val="0"/>
        <w:suppressAutoHyphens/>
        <w:ind w:firstLine="567"/>
        <w:jc w:val="both"/>
        <w:rPr>
          <w:color w:val="000000"/>
        </w:rPr>
      </w:pPr>
      <w:r>
        <w:rPr>
          <w:color w:val="000000"/>
        </w:rPr>
        <w:t>45.5.2</w:t>
      </w:r>
      <w:r>
        <w:rPr>
          <w:color w:val="000000"/>
        </w:rPr>
        <w:t>. po nebuvimo darbe dėl nelaimingo atsitikimo, per kurį nukentėjo asmenys;</w:t>
      </w:r>
    </w:p>
    <w:p>
      <w:pPr>
        <w:widowControl w:val="0"/>
        <w:suppressAutoHyphens/>
        <w:ind w:firstLine="567"/>
        <w:jc w:val="both"/>
        <w:rPr>
          <w:color w:val="000000"/>
        </w:rPr>
      </w:pPr>
      <w:r>
        <w:rPr>
          <w:color w:val="000000"/>
        </w:rPr>
        <w:t>45.5.3</w:t>
      </w:r>
      <w:r>
        <w:rPr>
          <w:color w:val="000000"/>
        </w:rPr>
        <w:t>. jeigu darbdaviui atstovaujantis ar jo įgaliotas asmuo turėjo nušalinti traukinio mašinistą nuo pareigų, kai dėl jo veikos iškilo grėsmė eismo saugai;</w:t>
      </w:r>
    </w:p>
    <w:p>
      <w:pPr>
        <w:widowControl w:val="0"/>
        <w:suppressAutoHyphens/>
        <w:ind w:firstLine="567"/>
        <w:jc w:val="both"/>
        <w:rPr>
          <w:color w:val="000000"/>
        </w:rPr>
      </w:pPr>
      <w:r>
        <w:rPr>
          <w:color w:val="000000"/>
        </w:rPr>
        <w:t>45.5.4</w:t>
      </w:r>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p>
      <w:pPr>
        <w:widowControl w:val="0"/>
        <w:suppressAutoHyphens/>
        <w:ind w:firstLine="567"/>
        <w:jc w:val="both"/>
        <w:rPr>
          <w:color w:val="000000"/>
        </w:rPr>
      </w:pPr>
      <w:r>
        <w:rPr>
          <w:color w:val="000000"/>
        </w:rPr>
        <w:t>46</w:t>
      </w:r>
      <w:r>
        <w:rPr>
          <w:color w:val="000000"/>
        </w:rPr>
        <w:t>. Būtiniausi periodinio sveikatos patikrinimo reikalavimai. Jei traukinio mašinistas ar darbuotojas atitinka visus sveikatos patikrinimo prieš priimant į darbą kriterijus, periodiniai patikrinimai privalo apimti bent:</w:t>
      </w:r>
    </w:p>
    <w:p>
      <w:pPr>
        <w:widowControl w:val="0"/>
        <w:suppressAutoHyphens/>
        <w:ind w:firstLine="567"/>
        <w:jc w:val="both"/>
        <w:rPr>
          <w:color w:val="000000"/>
        </w:rPr>
      </w:pPr>
      <w:r>
        <w:rPr>
          <w:color w:val="000000"/>
        </w:rPr>
        <w:t>46.1</w:t>
      </w:r>
      <w:r>
        <w:rPr>
          <w:color w:val="000000"/>
        </w:rPr>
        <w:t>. bendrą sveikatos patikrinimą vadovaujantis šio Aprašo 35 punktu;</w:t>
      </w:r>
    </w:p>
    <w:p>
      <w:pPr>
        <w:widowControl w:val="0"/>
        <w:suppressAutoHyphens/>
        <w:ind w:firstLine="567"/>
        <w:jc w:val="both"/>
        <w:rPr>
          <w:color w:val="000000"/>
        </w:rPr>
      </w:pPr>
      <w:r>
        <w:rPr>
          <w:color w:val="000000"/>
        </w:rPr>
        <w:t>46.2</w:t>
      </w:r>
      <w:r>
        <w:rPr>
          <w:color w:val="000000"/>
        </w:rPr>
        <w:t>. sensorinių funkcijų patikrinimą (regėjimas, klausa, spalvų jutimas);</w:t>
      </w:r>
    </w:p>
    <w:p>
      <w:pPr>
        <w:widowControl w:val="0"/>
        <w:suppressAutoHyphens/>
        <w:ind w:firstLine="567"/>
        <w:jc w:val="both"/>
        <w:rPr>
          <w:color w:val="000000"/>
        </w:rPr>
      </w:pPr>
      <w:r>
        <w:rPr>
          <w:color w:val="000000"/>
        </w:rPr>
        <w:t>46.3</w:t>
      </w:r>
      <w:r>
        <w:rPr>
          <w:color w:val="000000"/>
        </w:rPr>
        <w:t>. kraujo tyrimą hematologiniu analizatoriumi;</w:t>
      </w:r>
    </w:p>
    <w:p>
      <w:pPr>
        <w:widowControl w:val="0"/>
        <w:suppressAutoHyphens/>
        <w:ind w:firstLine="567"/>
        <w:jc w:val="both"/>
        <w:rPr>
          <w:color w:val="000000"/>
        </w:rPr>
      </w:pPr>
      <w:r>
        <w:rPr>
          <w:color w:val="000000"/>
        </w:rPr>
        <w:t>46.4</w:t>
      </w:r>
      <w:r>
        <w:rPr>
          <w:color w:val="000000"/>
        </w:rPr>
        <w:t>. bendrą šlapimo tyrimą analizatoriumi (įskaitant tyrimą dėl cukrinio diabeto), kiek tai būtina siekiant įvertinti fizinę kandidato būklę, kaip nurodyta, atlikus klinikinius tyrimus;</w:t>
      </w:r>
    </w:p>
    <w:p>
      <w:pPr>
        <w:widowControl w:val="0"/>
        <w:suppressAutoHyphens/>
        <w:ind w:firstLine="567"/>
        <w:jc w:val="both"/>
        <w:rPr>
          <w:color w:val="000000"/>
        </w:rPr>
      </w:pPr>
      <w:r>
        <w:rPr>
          <w:color w:val="000000"/>
        </w:rPr>
        <w:t>46.5</w:t>
      </w:r>
      <w:r>
        <w:rPr>
          <w:color w:val="000000"/>
        </w:rPr>
        <w:t>. narkotinių medžiagų naudojimo tyrimus, jei yra klinikinių indikacijų;</w:t>
      </w:r>
    </w:p>
    <w:p>
      <w:pPr>
        <w:widowControl w:val="0"/>
        <w:suppressAutoHyphens/>
        <w:ind w:firstLine="567"/>
        <w:jc w:val="both"/>
        <w:rPr>
          <w:color w:val="000000"/>
        </w:rPr>
      </w:pPr>
      <w:r>
        <w:rPr>
          <w:color w:val="000000"/>
        </w:rPr>
        <w:t>46.6</w:t>
      </w:r>
      <w:r>
        <w:rPr>
          <w:color w:val="000000"/>
        </w:rPr>
        <w:t>. vyresniems nei 40 metų traukinio mašinistams būtina atlikti EKG ramybės būsenoje.</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VI</w:t>
      </w:r>
      <w:r>
        <w:rPr>
          <w:b/>
          <w:bCs/>
          <w:caps/>
          <w:color w:val="000000"/>
        </w:rPr>
        <w:t xml:space="preserve">. </w:t>
      </w:r>
      <w:r>
        <w:rPr>
          <w:b/>
          <w:bCs/>
          <w:caps/>
          <w:color w:val="000000"/>
        </w:rPr>
        <w:t>BAIGIAMOSIOS NUOSTATOS</w:t>
      </w:r>
    </w:p>
    <w:p>
      <w:pPr>
        <w:widowControl w:val="0"/>
        <w:suppressAutoHyphens/>
        <w:ind w:firstLine="567"/>
        <w:jc w:val="both"/>
        <w:rPr>
          <w:color w:val="000000"/>
        </w:rPr>
      </w:pPr>
    </w:p>
    <w:p>
      <w:pPr>
        <w:widowControl w:val="0"/>
        <w:suppressAutoHyphens/>
        <w:ind w:firstLine="567"/>
        <w:jc w:val="both"/>
        <w:rPr>
          <w:color w:val="000000"/>
        </w:rPr>
      </w:pPr>
      <w:r>
        <w:rPr>
          <w:color w:val="000000"/>
        </w:rPr>
        <w:t>47</w:t>
      </w:r>
      <w:r>
        <w:rPr>
          <w:color w:val="000000"/>
        </w:rPr>
        <w:t>. Atlikus sveikatos patikrinimą F Nr. 047/a ar F Nr. 048/a atiduodama pacientui, kuris pats ją pateikia darbdaviui atstovaujančiam ar jo įgaliotam asmeniui. Jos saugomos teisės aktų nustatyta tvarka.</w:t>
      </w:r>
    </w:p>
    <w:p>
      <w:pPr>
        <w:widowControl w:val="0"/>
        <w:suppressAutoHyphens/>
        <w:ind w:firstLine="567"/>
        <w:jc w:val="both"/>
        <w:rPr>
          <w:color w:val="000000"/>
        </w:rPr>
      </w:pPr>
      <w:r>
        <w:rPr>
          <w:color w:val="000000"/>
        </w:rPr>
        <w:t>48</w:t>
      </w:r>
      <w:r>
        <w:rPr>
          <w:color w:val="000000"/>
        </w:rPr>
        <w:t>. Sudėtingais ir ginčytinais (kai dėl išvados reikia spręsti individualiai) atvejais apie tinkamumą mokytis ar dirbti traukinio mašinistu, darbuotoju sprendžia ASPĮ gydytojų konsultacinė komisija (toliau – GKK).</w:t>
      </w:r>
    </w:p>
    <w:p>
      <w:pPr>
        <w:widowControl w:val="0"/>
        <w:suppressAutoHyphens/>
        <w:ind w:firstLine="567"/>
        <w:jc w:val="both"/>
        <w:rPr>
          <w:color w:val="000000"/>
        </w:rPr>
      </w:pPr>
      <w:r>
        <w:rPr>
          <w:color w:val="000000"/>
        </w:rPr>
        <w:t>49</w:t>
      </w:r>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p>
      <w:pPr>
        <w:widowControl w:val="0"/>
        <w:suppressAutoHyphens/>
        <w:ind w:firstLine="567"/>
        <w:jc w:val="both"/>
        <w:rPr>
          <w:color w:val="000000"/>
        </w:rPr>
      </w:pPr>
      <w:r>
        <w:rPr>
          <w:color w:val="000000"/>
        </w:rPr>
        <w:t>50</w:t>
      </w:r>
      <w:r>
        <w:rPr>
          <w:color w:val="000000"/>
        </w:rPr>
        <w:t xml:space="preserve">. Pacientas, nesutinkantis su privalomo sveikatos patikrinimo išvadomis, gali jas apskųsti Lietuvos Respublikos pacientų teisių ir žalos sveikatai atlyginimo įstatymo (Žin., 1996, Nr. </w:t>
      </w:r>
      <w:hyperlink r:id="rId69"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0"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p>
      <w:pPr>
        <w:jc w:val="both"/>
      </w:pPr>
      <w:r>
        <w:t>1</w:t>
      </w:r>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p>
      <w:pPr>
        <w:jc w:val="both"/>
      </w:pPr>
      <w:r>
        <w:t>2</w:t>
      </w:r>
      <w:r>
        <w:t xml:space="preserve">. Apie būtinybę dirbti su akiniais, kontaktiniais lęšiais, klausos aparatu, protezu, draudimą dirbti, privaloma įrašyti į F Nr. 048/a. </w:t>
      </w:r>
    </w:p>
    <w:p>
      <w:pPr>
        <w:jc w:val="both"/>
      </w:pPr>
      <w:r>
        <w:t>3</w:t>
      </w:r>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1"/>
          <w:footerReference w:type="default" r:id="rId72"/>
          <w:pgSz w:w="16838" w:h="11906" w:orient="landscape"/>
          <w:pgMar w:top="1078" w:right="1701" w:bottom="567" w:left="1134" w:header="567" w:footer="567" w:gutter="0"/>
          <w:cols w:space="1296"/>
          <w:docGrid w:linePitch="360"/>
        </w:sectPr>
      </w:pPr>
    </w:p>
    <w:p>
      <w:pPr>
        <w:rPr>
          <w:sz w:val="6"/>
          <w:szCs w:val="6"/>
        </w:rPr>
      </w:pPr>
    </w:p>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r>
        <w:rPr>
          <w:color w:val="000000"/>
        </w:rPr>
        <w:t>13</w:t>
      </w:r>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r>
        <w:rPr>
          <w:b/>
          <w:bCs/>
          <w:caps/>
          <w:color w:val="000000"/>
        </w:rPr>
        <w:t>ASMENŲ, DIRBANČIŲ DARBO APLINKOJE, KURIOJE GALIMA PROFESINĖ RIZIKA (KENKSMINGŲ VEIKSNIŲ POVEIKIS IR (AR) PAVOJINGAS DARBAS), PRIVALOMO SVEIKATOS TIKRINIMO TVARKOS APRAŠAS</w:t>
      </w:r>
    </w:p>
    <w:p>
      <w:pPr>
        <w:widowControl w:val="0"/>
        <w:suppressAutoHyphens/>
        <w:ind w:firstLine="567"/>
        <w:jc w:val="both"/>
        <w:rPr>
          <w:b/>
          <w:bCs/>
          <w:caps/>
          <w:color w:val="000000"/>
        </w:rPr>
      </w:pPr>
    </w:p>
    <w:p>
      <w:pPr>
        <w:keepLines/>
        <w:widowControl w:val="0"/>
        <w:suppressAutoHyphens/>
        <w:jc w:val="center"/>
        <w:rPr>
          <w:b/>
          <w:bCs/>
          <w:caps/>
          <w:color w:val="000000"/>
        </w:rPr>
      </w:pPr>
      <w:r>
        <w:rPr>
          <w:b/>
          <w:bCs/>
          <w:caps/>
          <w:color w:val="000000"/>
        </w:rPr>
        <w:t>I</w:t>
      </w:r>
      <w:r>
        <w:rPr>
          <w:b/>
          <w:bCs/>
          <w:caps/>
          <w:color w:val="000000"/>
        </w:rPr>
        <w:t xml:space="preserve">. </w:t>
      </w:r>
      <w:r>
        <w:rPr>
          <w:b/>
          <w:bCs/>
          <w:caps/>
          <w:color w:val="000000"/>
        </w:rPr>
        <w:t>BENDROSIOS NUOSTATOS</w:t>
      </w:r>
    </w:p>
    <w:p>
      <w:pPr>
        <w:widowControl w:val="0"/>
        <w:suppressAutoHyphens/>
        <w:ind w:firstLine="567"/>
        <w:jc w:val="both"/>
        <w:rPr>
          <w:color w:val="000000"/>
        </w:rPr>
      </w:pPr>
    </w:p>
    <w:p>
      <w:pPr>
        <w:widowControl w:val="0"/>
        <w:suppressAutoHyphens/>
        <w:ind w:firstLine="567"/>
        <w:jc w:val="both"/>
        <w:rPr>
          <w:color w:val="000000"/>
        </w:rPr>
      </w:pPr>
      <w:r>
        <w:rPr>
          <w:color w:val="000000"/>
        </w:rPr>
        <w:t>1</w:t>
      </w:r>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p>
      <w:pPr>
        <w:widowControl w:val="0"/>
        <w:suppressAutoHyphens/>
        <w:ind w:firstLine="567"/>
        <w:jc w:val="both"/>
        <w:rPr>
          <w:color w:val="000000"/>
        </w:rPr>
      </w:pPr>
      <w:r>
        <w:rPr>
          <w:color w:val="000000"/>
        </w:rPr>
        <w:t>2</w:t>
      </w:r>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3"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74"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p>
      <w:pPr>
        <w:widowControl w:val="0"/>
        <w:suppressAutoHyphens/>
        <w:ind w:firstLine="567"/>
        <w:jc w:val="both"/>
        <w:rPr>
          <w:color w:val="000000"/>
        </w:rPr>
      </w:pPr>
      <w:r>
        <w:rPr>
          <w:color w:val="000000"/>
        </w:rPr>
        <w:t>3</w:t>
      </w:r>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5"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6" w:tgtFrame="_blank" w:history="1">
        <w:r>
          <w:rPr>
            <w:color w:val="0000FF" w:themeColor="hyperlink"/>
            <w:u w:val="single"/>
          </w:rPr>
          <w:t>41-1294</w:t>
        </w:r>
      </w:hyperlink>
      <w:r>
        <w:rPr>
          <w:color w:val="000000"/>
        </w:rPr>
        <w:t>; 2002, Nr. 73-3127) ir kitų darbuotojų saugą ir sveikatą reglamentuojančių teisės aktų nuostatomis.</w:t>
      </w:r>
    </w:p>
    <w:p>
      <w:pPr>
        <w:widowControl w:val="0"/>
        <w:suppressAutoHyphens/>
        <w:ind w:firstLine="567"/>
        <w:jc w:val="both"/>
        <w:rPr>
          <w:color w:val="000000"/>
        </w:rPr>
      </w:pPr>
      <w:r>
        <w:rPr>
          <w:color w:val="000000"/>
        </w:rPr>
        <w:t>4</w:t>
      </w:r>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p>
      <w:pPr>
        <w:widowControl w:val="0"/>
        <w:suppressAutoHyphens/>
        <w:ind w:firstLine="567"/>
        <w:jc w:val="both"/>
        <w:rPr>
          <w:color w:val="000000"/>
        </w:rPr>
      </w:pPr>
      <w:r>
        <w:rPr>
          <w:color w:val="000000"/>
        </w:rPr>
        <w:t>5</w:t>
      </w:r>
      <w:r>
        <w:rPr>
          <w:color w:val="000000"/>
        </w:rPr>
        <w:t>. Privalomo profilaktinio sveikatos tikrinimo tikslas:</w:t>
      </w:r>
    </w:p>
    <w:p>
      <w:pPr>
        <w:widowControl w:val="0"/>
        <w:suppressAutoHyphens/>
        <w:ind w:firstLine="567"/>
        <w:jc w:val="both"/>
        <w:rPr>
          <w:color w:val="000000"/>
        </w:rPr>
      </w:pPr>
      <w:r>
        <w:rPr>
          <w:color w:val="000000"/>
        </w:rPr>
        <w:t>5.1</w:t>
      </w:r>
      <w:r>
        <w:rPr>
          <w:color w:val="000000"/>
        </w:rPr>
        <w:t>. apsaugoti įsidarbinančių asmenų ir darbuotojų sveikatą nuo galimo profesinės rizikos veiksnių poveikio, siekiant išvengti traumų ar kitokio darbuotojo sveikatos pakenkimo;</w:t>
      </w:r>
    </w:p>
    <w:p>
      <w:pPr>
        <w:widowControl w:val="0"/>
        <w:suppressAutoHyphens/>
        <w:ind w:firstLine="567"/>
        <w:jc w:val="both"/>
        <w:rPr>
          <w:color w:val="000000"/>
        </w:rPr>
      </w:pPr>
      <w:r>
        <w:rPr>
          <w:color w:val="000000"/>
        </w:rPr>
        <w:t>5.2</w:t>
      </w:r>
      <w:r>
        <w:rPr>
          <w:color w:val="000000"/>
        </w:rPr>
        <w:t>. įvertinti, ar efektyvios taikytos profesinės rizikos šalinimo ir mažinimo priemonės;</w:t>
      </w:r>
    </w:p>
    <w:p>
      <w:pPr>
        <w:widowControl w:val="0"/>
        <w:suppressAutoHyphens/>
        <w:ind w:firstLine="567"/>
        <w:jc w:val="both"/>
        <w:rPr>
          <w:color w:val="000000"/>
        </w:rPr>
      </w:pPr>
      <w:r>
        <w:rPr>
          <w:color w:val="000000"/>
        </w:rPr>
        <w:t>5.3</w:t>
      </w:r>
      <w:r>
        <w:rPr>
          <w:color w:val="000000"/>
        </w:rPr>
        <w:t>. įvertinti, ar įsidarbinantys asmenys ir darbuotojai gali dirbti konkretų darbą konkrečiomis galimos profesinės rizikos sąlygomis;</w:t>
      </w:r>
    </w:p>
    <w:p>
      <w:pPr>
        <w:widowControl w:val="0"/>
        <w:suppressAutoHyphens/>
        <w:ind w:firstLine="567"/>
        <w:jc w:val="both"/>
        <w:rPr>
          <w:color w:val="000000"/>
        </w:rPr>
      </w:pPr>
      <w:r>
        <w:rPr>
          <w:color w:val="000000"/>
        </w:rPr>
        <w:t>5.4</w:t>
      </w:r>
      <w:r>
        <w:rPr>
          <w:color w:val="000000"/>
        </w:rPr>
        <w:t>. siekti išvengti ar kuo anksčiau diagnozuoti profesines ligas.</w:t>
      </w:r>
    </w:p>
    <w:p>
      <w:pPr>
        <w:widowControl w:val="0"/>
        <w:suppressAutoHyphens/>
        <w:ind w:firstLine="567"/>
        <w:jc w:val="both"/>
        <w:rPr>
          <w:color w:val="000000"/>
        </w:rPr>
      </w:pPr>
      <w:r>
        <w:rPr>
          <w:color w:val="000000"/>
        </w:rPr>
        <w:t>6</w:t>
      </w:r>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p>
      <w:pPr>
        <w:keepLines/>
        <w:widowControl w:val="0"/>
        <w:suppressAutoHyphens/>
        <w:jc w:val="center"/>
        <w:rPr>
          <w:b/>
          <w:bCs/>
          <w:caps/>
          <w:color w:val="000000"/>
        </w:rPr>
      </w:pPr>
      <w:r>
        <w:rPr>
          <w:b/>
          <w:bCs/>
          <w:caps/>
          <w:color w:val="000000"/>
        </w:rPr>
        <w:t>II</w:t>
      </w:r>
      <w:r>
        <w:rPr>
          <w:b/>
          <w:bCs/>
          <w:caps/>
          <w:color w:val="000000"/>
        </w:rPr>
        <w:t xml:space="preserve">. </w:t>
      </w:r>
      <w:r>
        <w:rPr>
          <w:b/>
          <w:bCs/>
          <w:caps/>
          <w:color w:val="000000"/>
        </w:rPr>
        <w:t>PRIVALOMO SVEIKATOS TIKRINIMO TVARKA</w:t>
      </w:r>
    </w:p>
    <w:p>
      <w:pPr>
        <w:widowControl w:val="0"/>
        <w:suppressAutoHyphens/>
        <w:ind w:firstLine="567"/>
        <w:jc w:val="both"/>
        <w:rPr>
          <w:color w:val="000000"/>
        </w:rPr>
      </w:pPr>
    </w:p>
    <w:p>
      <w:pPr>
        <w:widowControl w:val="0"/>
        <w:suppressAutoHyphens/>
        <w:ind w:firstLine="567"/>
        <w:jc w:val="both"/>
        <w:rPr>
          <w:color w:val="000000"/>
        </w:rPr>
      </w:pPr>
      <w:r>
        <w:rPr>
          <w:color w:val="000000"/>
        </w:rPr>
        <w:t>7</w:t>
      </w:r>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77" w:tgtFrame="_blank" w:history="1">
        <w:r>
          <w:rPr>
            <w:color w:val="0000FF" w:themeColor="hyperlink"/>
            <w:u w:val="single"/>
          </w:rPr>
          <w:t>103-2972</w:t>
        </w:r>
      </w:hyperlink>
      <w:r>
        <w:rPr>
          <w:color w:val="000000"/>
        </w:rPr>
        <w:t>) (toliau – įsakymas Nr. 515), nurodant:</w:t>
      </w:r>
    </w:p>
    <w:p>
      <w:pPr>
        <w:widowControl w:val="0"/>
        <w:suppressAutoHyphens/>
        <w:ind w:firstLine="567"/>
        <w:jc w:val="both"/>
        <w:rPr>
          <w:color w:val="000000"/>
        </w:rPr>
      </w:pPr>
      <w:r>
        <w:rPr>
          <w:color w:val="000000"/>
        </w:rPr>
        <w:t>7.1</w:t>
      </w:r>
      <w:r>
        <w:rPr>
          <w:color w:val="000000"/>
        </w:rPr>
        <w:t>. vardą, pavardę, darbo stažą pagal profesiją metais;</w:t>
      </w:r>
    </w:p>
    <w:p>
      <w:pPr>
        <w:widowControl w:val="0"/>
        <w:suppressAutoHyphens/>
        <w:ind w:firstLine="567"/>
        <w:jc w:val="both"/>
        <w:rPr>
          <w:color w:val="000000"/>
        </w:rPr>
      </w:pPr>
      <w:r>
        <w:rPr>
          <w:color w:val="000000"/>
        </w:rPr>
        <w:t>7.2</w:t>
      </w:r>
      <w:r>
        <w:rPr>
          <w:color w:val="000000"/>
        </w:rPr>
        <w:t>. kenksmingus darbo aplinkos veiksnius ir jų dydžius konkrečioje darbo vietoje;</w:t>
      </w:r>
    </w:p>
    <w:p>
      <w:pPr>
        <w:widowControl w:val="0"/>
        <w:suppressAutoHyphens/>
        <w:ind w:firstLine="567"/>
        <w:jc w:val="both"/>
        <w:rPr>
          <w:color w:val="000000"/>
        </w:rPr>
      </w:pPr>
      <w:r>
        <w:rPr>
          <w:color w:val="000000"/>
        </w:rPr>
        <w:t>7.3</w:t>
      </w:r>
      <w:r>
        <w:rPr>
          <w:color w:val="000000"/>
        </w:rPr>
        <w:t>. pavojingus darbus konkrečioje darbo vietoje;</w:t>
      </w:r>
    </w:p>
    <w:p>
      <w:pPr>
        <w:widowControl w:val="0"/>
        <w:suppressAutoHyphens/>
        <w:ind w:firstLine="567"/>
        <w:jc w:val="both"/>
        <w:rPr>
          <w:color w:val="000000"/>
        </w:rPr>
      </w:pPr>
      <w:r>
        <w:rPr>
          <w:color w:val="000000"/>
        </w:rPr>
        <w:t>7.4</w:t>
      </w:r>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78" w:tgtFrame="_blank" w:history="1">
        <w:r>
          <w:rPr>
            <w:color w:val="0000FF" w:themeColor="hyperlink"/>
            <w:u w:val="single"/>
          </w:rPr>
          <w:t>11-388</w:t>
        </w:r>
      </w:hyperlink>
      <w:r>
        <w:rPr>
          <w:color w:val="000000"/>
        </w:rPr>
        <w:t>);</w:t>
      </w:r>
    </w:p>
    <w:p>
      <w:pPr>
        <w:widowControl w:val="0"/>
        <w:suppressAutoHyphens/>
        <w:ind w:firstLine="567"/>
        <w:jc w:val="both"/>
        <w:rPr>
          <w:color w:val="000000"/>
        </w:rPr>
      </w:pPr>
      <w:r>
        <w:rPr>
          <w:color w:val="000000"/>
        </w:rPr>
        <w:t>7.5</w:t>
      </w:r>
      <w:r>
        <w:rPr>
          <w:color w:val="000000"/>
        </w:rPr>
        <w:t>. F Nr. 048/a turi būti su asmens nuotrauka ir patvirtinta darbovietės antspaudu bei darbdaviui atstovaujančio ar jo įgalioto asmens parašu.</w:t>
      </w:r>
    </w:p>
    <w:p>
      <w:pPr>
        <w:widowControl w:val="0"/>
        <w:suppressAutoHyphens/>
        <w:ind w:firstLine="567"/>
        <w:jc w:val="both"/>
        <w:rPr>
          <w:color w:val="000000"/>
        </w:rPr>
      </w:pPr>
      <w:r>
        <w:rPr>
          <w:color w:val="000000"/>
        </w:rPr>
        <w:t>8</w:t>
      </w:r>
      <w:r>
        <w:rPr>
          <w:color w:val="000000"/>
        </w:rPr>
        <w:t>. Privalomai profilaktiškai darbuotojų sveikata tikrinama asmens sveikatos priežiūros įstaigoje (toliau – ASPĮ), turinčioje licenciją asmens sveikatos priežiūros veiklai.</w:t>
      </w:r>
    </w:p>
    <w:p>
      <w:pPr>
        <w:widowControl w:val="0"/>
        <w:suppressAutoHyphens/>
        <w:ind w:firstLine="567"/>
        <w:jc w:val="both"/>
        <w:rPr>
          <w:color w:val="000000"/>
        </w:rPr>
      </w:pPr>
      <w:r>
        <w:rPr>
          <w:color w:val="000000"/>
        </w:rPr>
        <w:t>9</w:t>
      </w:r>
      <w:r>
        <w:rPr>
          <w:color w:val="000000"/>
        </w:rPr>
        <w:t>. Prieš privalomą profilaktinį asmens sveikatos tikrinimą, pacientas ASPĮ turi pateikti:</w:t>
      </w:r>
    </w:p>
    <w:p>
      <w:pPr>
        <w:widowControl w:val="0"/>
        <w:suppressAutoHyphens/>
        <w:ind w:firstLine="567"/>
        <w:jc w:val="both"/>
        <w:rPr>
          <w:color w:val="000000"/>
        </w:rPr>
      </w:pPr>
      <w:r>
        <w:rPr>
          <w:color w:val="000000"/>
        </w:rPr>
        <w:t>9.1</w:t>
      </w:r>
      <w:r>
        <w:rPr>
          <w:color w:val="000000"/>
        </w:rPr>
        <w:t>. asmens tapatybę patvirtinantį dokumentą;</w:t>
      </w:r>
    </w:p>
    <w:p>
      <w:pPr>
        <w:widowControl w:val="0"/>
        <w:suppressAutoHyphens/>
        <w:ind w:firstLine="567"/>
        <w:jc w:val="both"/>
        <w:rPr>
          <w:color w:val="000000"/>
        </w:rPr>
      </w:pPr>
      <w:r>
        <w:rPr>
          <w:color w:val="000000"/>
        </w:rPr>
        <w:t>9.2</w:t>
      </w:r>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p>
      <w:pPr>
        <w:widowControl w:val="0"/>
        <w:suppressAutoHyphens/>
        <w:ind w:firstLine="567"/>
        <w:jc w:val="both"/>
        <w:rPr>
          <w:color w:val="000000"/>
        </w:rPr>
      </w:pPr>
      <w:r>
        <w:rPr>
          <w:color w:val="000000"/>
        </w:rPr>
        <w:t>9.3</w:t>
      </w:r>
      <w:r>
        <w:rPr>
          <w:color w:val="000000"/>
        </w:rPr>
        <w:t>. jei reikia, kitos profesinės kvalifikacijos gydytojo užpildytą Medicinos dokumentų išrašą pagal F 025/a, F 003/a (toliau – F Nr. 027/a), patvirtintą įsakymu Nr. 515;</w:t>
      </w:r>
    </w:p>
    <w:p>
      <w:pPr>
        <w:widowControl w:val="0"/>
        <w:suppressAutoHyphens/>
        <w:ind w:firstLine="567"/>
        <w:jc w:val="both"/>
        <w:rPr>
          <w:color w:val="000000"/>
        </w:rPr>
      </w:pPr>
      <w:r>
        <w:rPr>
          <w:color w:val="000000"/>
        </w:rPr>
        <w:t>9.4</w:t>
      </w:r>
      <w:r>
        <w:rPr>
          <w:color w:val="000000"/>
        </w:rPr>
        <w:t>. ASPĮ, kurią asmuo yra pasirinkęs teisės aktų nustatyta tvarka, šeimos medicinos paslaugas teikiančio gydytojo užpildytą F Nr. 027/a (jei asmuo tikrinasi kitoje ASPĮ, nei yra prisirašęs).</w:t>
      </w:r>
    </w:p>
    <w:p>
      <w:pPr>
        <w:widowControl w:val="0"/>
        <w:suppressAutoHyphens/>
        <w:ind w:firstLine="567"/>
        <w:jc w:val="both"/>
        <w:rPr>
          <w:color w:val="000000"/>
        </w:rPr>
      </w:pPr>
      <w:r>
        <w:rPr>
          <w:color w:val="000000"/>
        </w:rPr>
        <w:t>10</w:t>
      </w:r>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pPr>
        <w:widowControl w:val="0"/>
        <w:suppressAutoHyphens/>
        <w:ind w:firstLine="567"/>
        <w:jc w:val="both"/>
        <w:rPr>
          <w:color w:val="000000"/>
        </w:rPr>
      </w:pPr>
      <w:r>
        <w:rPr>
          <w:color w:val="000000"/>
        </w:rPr>
        <w:t>10.1</w:t>
      </w:r>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p>
      <w:pPr>
        <w:widowControl w:val="0"/>
        <w:suppressAutoHyphens/>
        <w:ind w:firstLine="567"/>
        <w:jc w:val="both"/>
        <w:rPr>
          <w:color w:val="000000"/>
        </w:rPr>
      </w:pPr>
      <w:r>
        <w:rPr>
          <w:color w:val="000000"/>
        </w:rPr>
        <w:t>10.2</w:t>
      </w:r>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p>
      <w:pPr>
        <w:widowControl w:val="0"/>
        <w:suppressAutoHyphens/>
        <w:ind w:firstLine="567"/>
        <w:jc w:val="both"/>
        <w:rPr>
          <w:color w:val="000000"/>
        </w:rPr>
      </w:pPr>
      <w:r>
        <w:rPr>
          <w:color w:val="000000"/>
        </w:rPr>
        <w:t>10.3</w:t>
      </w:r>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p>
      <w:pPr>
        <w:widowControl w:val="0"/>
        <w:suppressAutoHyphens/>
        <w:ind w:firstLine="567"/>
        <w:jc w:val="both"/>
        <w:rPr>
          <w:color w:val="000000"/>
        </w:rPr>
      </w:pPr>
      <w:r>
        <w:rPr>
          <w:color w:val="000000"/>
        </w:rPr>
        <w:t>10.4</w:t>
      </w:r>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p>
      <w:pPr>
        <w:widowControl w:val="0"/>
        <w:suppressAutoHyphens/>
        <w:ind w:firstLine="567"/>
        <w:jc w:val="both"/>
        <w:rPr>
          <w:color w:val="000000"/>
        </w:rPr>
      </w:pPr>
      <w:r>
        <w:rPr>
          <w:color w:val="000000"/>
        </w:rPr>
        <w:t>11</w:t>
      </w:r>
      <w:r>
        <w:rPr>
          <w:color w:val="000000"/>
        </w:rPr>
        <w:t>. Sveikatos tikrinimo ir tyrimų duomenis bei išvadą dėl profesinio tinkamumo kiekvienas tikrinantis sveikatą gydytojas įrašo į F Nr. 025/a.</w:t>
      </w:r>
    </w:p>
    <w:p>
      <w:pPr>
        <w:widowControl w:val="0"/>
        <w:suppressAutoHyphens/>
        <w:ind w:firstLine="567"/>
        <w:jc w:val="both"/>
        <w:rPr>
          <w:color w:val="000000"/>
        </w:rPr>
      </w:pPr>
      <w:r>
        <w:rPr>
          <w:color w:val="000000"/>
        </w:rPr>
        <w:t>12</w:t>
      </w:r>
      <w:r>
        <w:rPr>
          <w:color w:val="000000"/>
        </w:rPr>
        <w:t>. Išvadą dėl darbuotojo profesinio tinkamumo: „dirbti gali“ „dirbti gali, bet ribotai“ (nurodant kaip), „dirbti negali“ įsidarbinančiam – į F Nr. 047/a, dirbančiajam – į F Nr. 048/a įrašo 10.4. punkte nurodytas gydytojas.</w:t>
      </w:r>
    </w:p>
    <w:p>
      <w:pPr>
        <w:widowControl w:val="0"/>
        <w:suppressAutoHyphens/>
        <w:ind w:firstLine="567"/>
        <w:jc w:val="both"/>
        <w:rPr>
          <w:color w:val="000000"/>
        </w:rPr>
      </w:pPr>
      <w:r>
        <w:rPr>
          <w:color w:val="000000"/>
        </w:rPr>
        <w:t>13</w:t>
      </w:r>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p>
      <w:pPr>
        <w:widowControl w:val="0"/>
        <w:suppressAutoHyphens/>
        <w:ind w:firstLine="567"/>
        <w:jc w:val="both"/>
        <w:rPr>
          <w:color w:val="000000"/>
        </w:rPr>
      </w:pPr>
      <w:r>
        <w:rPr>
          <w:color w:val="000000"/>
        </w:rPr>
        <w:t>14</w:t>
      </w:r>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p>
      <w:pPr>
        <w:widowControl w:val="0"/>
        <w:suppressAutoHyphens/>
        <w:ind w:firstLine="567"/>
        <w:jc w:val="both"/>
        <w:rPr>
          <w:color w:val="000000"/>
        </w:rPr>
      </w:pPr>
      <w:r>
        <w:rPr>
          <w:color w:val="000000"/>
        </w:rPr>
        <w:t>15</w:t>
      </w:r>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p>
      <w:pPr>
        <w:widowControl w:val="0"/>
        <w:suppressAutoHyphens/>
        <w:ind w:firstLine="567"/>
        <w:jc w:val="both"/>
        <w:rPr>
          <w:color w:val="000000"/>
        </w:rPr>
      </w:pPr>
      <w:r>
        <w:rPr>
          <w:color w:val="000000"/>
        </w:rPr>
        <w:t>16</w:t>
      </w:r>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p>
      <w:pPr>
        <w:widowControl w:val="0"/>
        <w:suppressAutoHyphens/>
        <w:ind w:firstLine="567"/>
        <w:jc w:val="both"/>
        <w:rPr>
          <w:color w:val="000000"/>
        </w:rPr>
      </w:pPr>
      <w:r>
        <w:rPr>
          <w:color w:val="000000"/>
        </w:rPr>
        <w:t>17</w:t>
      </w:r>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p>
      <w:pPr>
        <w:widowControl w:val="0"/>
        <w:suppressAutoHyphens/>
        <w:ind w:firstLine="567"/>
        <w:jc w:val="both"/>
        <w:rPr>
          <w:color w:val="000000"/>
        </w:rPr>
      </w:pPr>
      <w:r>
        <w:rPr>
          <w:color w:val="000000"/>
        </w:rPr>
        <w:t>17.1</w:t>
      </w:r>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79" w:tgtFrame="_blank" w:history="1">
        <w:r>
          <w:rPr>
            <w:color w:val="0000FF" w:themeColor="hyperlink"/>
            <w:u w:val="single"/>
          </w:rPr>
          <w:t>65-2396</w:t>
        </w:r>
      </w:hyperlink>
      <w:r>
        <w:rPr>
          <w:color w:val="000000"/>
        </w:rPr>
        <w:t>);</w:t>
      </w:r>
    </w:p>
    <w:p>
      <w:pPr>
        <w:widowControl w:val="0"/>
        <w:suppressAutoHyphens/>
        <w:ind w:firstLine="567"/>
        <w:jc w:val="both"/>
        <w:rPr>
          <w:color w:val="000000"/>
        </w:rPr>
      </w:pPr>
      <w:r>
        <w:rPr>
          <w:color w:val="000000"/>
        </w:rPr>
        <w:t>17.2</w:t>
      </w:r>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0"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p>
      <w:pPr>
        <w:widowControl w:val="0"/>
        <w:suppressAutoHyphens/>
        <w:ind w:firstLine="567"/>
        <w:jc w:val="both"/>
        <w:rPr>
          <w:color w:val="000000"/>
        </w:rPr>
      </w:pPr>
      <w:r>
        <w:rPr>
          <w:color w:val="000000"/>
        </w:rPr>
        <w:t>17.3</w:t>
      </w:r>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1"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p>
      <w:pPr>
        <w:widowControl w:val="0"/>
        <w:suppressAutoHyphens/>
        <w:ind w:firstLine="567"/>
        <w:jc w:val="both"/>
        <w:rPr>
          <w:color w:val="000000"/>
        </w:rPr>
      </w:pPr>
      <w:r>
        <w:rPr>
          <w:color w:val="000000"/>
        </w:rPr>
        <w:t>17.4</w:t>
      </w:r>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2" w:tgtFrame="_blank" w:history="1">
        <w:r>
          <w:rPr>
            <w:color w:val="0000FF" w:themeColor="hyperlink"/>
            <w:u w:val="single"/>
          </w:rPr>
          <w:t>41-1350</w:t>
        </w:r>
      </w:hyperlink>
      <w:r>
        <w:rPr>
          <w:color w:val="000000"/>
        </w:rPr>
        <w:t>) nustatytas vertes;</w:t>
      </w:r>
    </w:p>
    <w:p>
      <w:pPr>
        <w:widowControl w:val="0"/>
        <w:suppressAutoHyphens/>
        <w:ind w:firstLine="567"/>
        <w:jc w:val="both"/>
        <w:rPr>
          <w:color w:val="000000"/>
        </w:rPr>
      </w:pPr>
      <w:r>
        <w:rPr>
          <w:color w:val="000000"/>
        </w:rPr>
        <w:t>17.5</w:t>
      </w:r>
      <w:r>
        <w:rPr>
          <w:color w:val="000000"/>
        </w:rPr>
        <w:t>. tikrinant sveikatą asmenims, dirbantiesiems su jonizuojančiosios spinduliuotės šaltiniais – vadovautis Lietuvos Respublikos radiacinės saugos įstatymu.</w:t>
      </w:r>
    </w:p>
    <w:p>
      <w:pPr>
        <w:widowControl w:val="0"/>
        <w:suppressAutoHyphens/>
        <w:ind w:firstLine="567"/>
        <w:jc w:val="both"/>
        <w:rPr>
          <w:color w:val="000000"/>
        </w:rPr>
      </w:pPr>
      <w:r>
        <w:rPr>
          <w:color w:val="000000"/>
        </w:rPr>
        <w:t>17.6</w:t>
      </w:r>
      <w:r>
        <w:rPr>
          <w:color w:val="000000"/>
        </w:rPr>
        <w:t>. kitais teisės aktų nustatytais atvejais.</w:t>
      </w:r>
    </w:p>
    <w:p>
      <w:pPr>
        <w:widowControl w:val="0"/>
        <w:suppressAutoHyphens/>
        <w:ind w:firstLine="567"/>
        <w:jc w:val="both"/>
        <w:rPr>
          <w:color w:val="000000"/>
        </w:rPr>
      </w:pPr>
      <w:r>
        <w:rPr>
          <w:color w:val="000000"/>
        </w:rPr>
        <w:t>18</w:t>
      </w:r>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p>
      <w:pPr>
        <w:widowControl w:val="0"/>
        <w:suppressAutoHyphens/>
        <w:ind w:firstLine="567"/>
        <w:jc w:val="both"/>
        <w:rPr>
          <w:color w:val="000000"/>
        </w:rPr>
      </w:pPr>
      <w:r>
        <w:rPr>
          <w:color w:val="000000"/>
        </w:rPr>
        <w:t>19</w:t>
      </w:r>
      <w:r>
        <w:rPr>
          <w:color w:val="000000"/>
        </w:rPr>
        <w:t>. Asmenų iki aštuoniolikos metų, nėščių, neseniai pagimdžiusių ar krūtimi maitinančių moterų, neįgaliųjų ir asmenų, kuriems nustatytas nepilnas darbingumo lygis privalomi sveikatos tikrinimai:</w:t>
      </w:r>
    </w:p>
    <w:p>
      <w:pPr>
        <w:widowControl w:val="0"/>
        <w:suppressAutoHyphens/>
        <w:ind w:firstLine="567"/>
        <w:jc w:val="both"/>
        <w:rPr>
          <w:color w:val="000000"/>
        </w:rPr>
      </w:pPr>
      <w:r>
        <w:rPr>
          <w:color w:val="000000"/>
        </w:rPr>
        <w:t>19.1</w:t>
      </w:r>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3" w:tgtFrame="_blank" w:history="1">
        <w:r>
          <w:rPr>
            <w:color w:val="0000FF" w:themeColor="hyperlink"/>
            <w:u w:val="single"/>
          </w:rPr>
          <w:t>13-502</w:t>
        </w:r>
      </w:hyperlink>
      <w:r>
        <w:rPr>
          <w:color w:val="000000"/>
        </w:rPr>
        <w:t>);</w:t>
      </w:r>
    </w:p>
    <w:p>
      <w:pPr>
        <w:widowControl w:val="0"/>
        <w:suppressAutoHyphens/>
        <w:ind w:firstLine="567"/>
        <w:jc w:val="both"/>
        <w:rPr>
          <w:color w:val="000000"/>
        </w:rPr>
      </w:pPr>
      <w:r>
        <w:rPr>
          <w:color w:val="000000"/>
        </w:rPr>
        <w:t>19.2</w:t>
      </w:r>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84" w:tgtFrame="_blank" w:history="1">
        <w:r>
          <w:rPr>
            <w:color w:val="0000FF" w:themeColor="hyperlink"/>
            <w:u w:val="single"/>
          </w:rPr>
          <w:t>29-1184</w:t>
        </w:r>
      </w:hyperlink>
      <w:r>
        <w:rPr>
          <w:color w:val="000000"/>
        </w:rPr>
        <w:t>);</w:t>
      </w:r>
    </w:p>
    <w:p>
      <w:pPr>
        <w:widowControl w:val="0"/>
        <w:suppressAutoHyphens/>
        <w:ind w:firstLine="567"/>
        <w:jc w:val="both"/>
        <w:rPr>
          <w:color w:val="000000"/>
        </w:rPr>
      </w:pPr>
      <w:r>
        <w:rPr>
          <w:color w:val="000000"/>
        </w:rPr>
        <w:t>19.3</w:t>
      </w:r>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p>
      <w:pPr>
        <w:keepLines/>
        <w:widowControl w:val="0"/>
        <w:suppressAutoHyphens/>
        <w:jc w:val="center"/>
        <w:rPr>
          <w:b/>
          <w:bCs/>
          <w:color w:val="000000"/>
        </w:rPr>
      </w:pPr>
      <w:r>
        <w:rPr>
          <w:b/>
          <w:bCs/>
          <w:caps/>
          <w:color w:val="000000"/>
        </w:rPr>
        <w:t>III</w:t>
      </w:r>
      <w:r>
        <w:rPr>
          <w:b/>
          <w:bCs/>
          <w:caps/>
          <w:color w:val="000000"/>
        </w:rPr>
        <w:t xml:space="preserve">. </w:t>
      </w:r>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p>
    <w:p>
      <w:pPr>
        <w:widowControl w:val="0"/>
        <w:suppressAutoHyphens/>
        <w:ind w:firstLine="567"/>
        <w:jc w:val="both"/>
        <w:rPr>
          <w:color w:val="000000"/>
        </w:rPr>
      </w:pPr>
    </w:p>
    <w:p>
      <w:pPr>
        <w:widowControl w:val="0"/>
        <w:suppressAutoHyphens/>
        <w:ind w:firstLine="567"/>
        <w:jc w:val="both"/>
        <w:rPr>
          <w:color w:val="000000"/>
        </w:rPr>
      </w:pPr>
      <w:r>
        <w:rPr>
          <w:color w:val="000000"/>
        </w:rPr>
        <w:t>20</w:t>
      </w:r>
      <w:r>
        <w:rPr>
          <w:color w:val="000000"/>
        </w:rPr>
        <w:t>.</w:t>
      </w:r>
      <w:r>
        <w:rPr>
          <w:b/>
          <w:bCs/>
          <w:color w:val="000000"/>
        </w:rPr>
        <w:t xml:space="preserve"> </w:t>
      </w:r>
      <w:r>
        <w:rPr>
          <w:color w:val="000000"/>
        </w:rPr>
        <w:t>Ligos ir sveikatos problemos, kurioms esant draudžiama dirbti profesinės rizikos sąlygomis:</w:t>
      </w:r>
    </w:p>
    <w:p>
      <w:pPr>
        <w:widowControl w:val="0"/>
        <w:suppressAutoHyphens/>
        <w:ind w:firstLine="567"/>
        <w:jc w:val="both"/>
        <w:rPr>
          <w:color w:val="000000"/>
        </w:rPr>
      </w:pPr>
      <w:r>
        <w:rPr>
          <w:color w:val="000000"/>
        </w:rPr>
        <w:t>20.1</w:t>
      </w:r>
      <w:r>
        <w:rPr>
          <w:color w:val="000000"/>
        </w:rPr>
        <w:t>. piktybiniai navikai (po gydymo, sprendžiama individualiai);</w:t>
      </w:r>
    </w:p>
    <w:p>
      <w:pPr>
        <w:widowControl w:val="0"/>
        <w:suppressAutoHyphens/>
        <w:ind w:firstLine="567"/>
        <w:jc w:val="both"/>
        <w:rPr>
          <w:color w:val="000000"/>
        </w:rPr>
      </w:pPr>
      <w:r>
        <w:rPr>
          <w:color w:val="000000"/>
        </w:rPr>
        <w:t>20.2</w:t>
      </w:r>
      <w:r>
        <w:rPr>
          <w:color w:val="000000"/>
        </w:rPr>
        <w:t>. bet kurios lokalizacijos tuberkuliozė su mikobakterijų išskyrimu;</w:t>
      </w:r>
    </w:p>
    <w:p>
      <w:pPr>
        <w:widowControl w:val="0"/>
        <w:suppressAutoHyphens/>
        <w:ind w:firstLine="567"/>
        <w:jc w:val="both"/>
        <w:rPr>
          <w:color w:val="000000"/>
        </w:rPr>
      </w:pPr>
      <w:r>
        <w:rPr>
          <w:color w:val="000000"/>
        </w:rPr>
        <w:t>20.3</w:t>
      </w:r>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p>
      <w:pPr>
        <w:widowControl w:val="0"/>
        <w:suppressAutoHyphens/>
        <w:ind w:firstLine="567"/>
        <w:jc w:val="both"/>
        <w:rPr>
          <w:color w:val="000000"/>
        </w:rPr>
      </w:pPr>
      <w:r>
        <w:rPr>
          <w:color w:val="000000"/>
        </w:rPr>
        <w:t>20.4</w:t>
      </w:r>
      <w:r>
        <w:rPr>
          <w:color w:val="000000"/>
        </w:rPr>
        <w:t>. dekompensuota glaukoma.</w:t>
      </w:r>
    </w:p>
    <w:p>
      <w:pPr>
        <w:widowControl w:val="0"/>
        <w:suppressAutoHyphens/>
        <w:ind w:firstLine="567"/>
        <w:jc w:val="both"/>
        <w:rPr>
          <w:color w:val="000000"/>
        </w:rPr>
      </w:pPr>
      <w:r>
        <w:rPr>
          <w:color w:val="000000"/>
        </w:rPr>
        <w:t>21</w:t>
      </w:r>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pPr>
        <w:widowControl w:val="0"/>
        <w:suppressAutoHyphens/>
        <w:ind w:firstLine="567"/>
        <w:jc w:val="both"/>
        <w:rPr>
          <w:color w:val="000000"/>
        </w:rPr>
      </w:pPr>
      <w:r>
        <w:rPr>
          <w:color w:val="000000"/>
        </w:rPr>
        <w:t>21.1</w:t>
      </w:r>
      <w:r>
        <w:rPr>
          <w:color w:val="000000"/>
        </w:rPr>
        <w:t>. organinės centrinės nervų sistemos ligos su nuolatiniais funkcijos sutrikimais;</w:t>
      </w:r>
    </w:p>
    <w:p>
      <w:pPr>
        <w:widowControl w:val="0"/>
        <w:suppressAutoHyphens/>
        <w:ind w:firstLine="567"/>
        <w:jc w:val="both"/>
        <w:rPr>
          <w:color w:val="000000"/>
        </w:rPr>
      </w:pPr>
      <w:r>
        <w:rPr>
          <w:color w:val="000000"/>
        </w:rPr>
        <w:t>21.2</w:t>
      </w:r>
      <w:r>
        <w:rPr>
          <w:color w:val="000000"/>
        </w:rPr>
        <w:t>. lėtiniai ir dažnai pasikartojantys psichikos sutrikimai ir jiems prilygstančios būklės paūmėjimo metu, kai reikalingas aktyvus psichiatro stebėjimas ir gydymas;</w:t>
      </w:r>
    </w:p>
    <w:p>
      <w:pPr>
        <w:widowControl w:val="0"/>
        <w:suppressAutoHyphens/>
        <w:ind w:firstLine="567"/>
        <w:jc w:val="both"/>
        <w:rPr>
          <w:color w:val="000000"/>
        </w:rPr>
      </w:pPr>
      <w:r>
        <w:rPr>
          <w:color w:val="000000"/>
        </w:rPr>
        <w:t>21.3</w:t>
      </w:r>
      <w:r>
        <w:rPr>
          <w:color w:val="000000"/>
        </w:rPr>
        <w:t>. epilepsija G40;</w:t>
      </w:r>
    </w:p>
    <w:p>
      <w:pPr>
        <w:widowControl w:val="0"/>
        <w:suppressAutoHyphens/>
        <w:ind w:firstLine="567"/>
        <w:jc w:val="both"/>
        <w:rPr>
          <w:color w:val="000000"/>
        </w:rPr>
      </w:pPr>
      <w:r>
        <w:rPr>
          <w:color w:val="000000"/>
        </w:rPr>
        <w:t>21.4</w:t>
      </w:r>
      <w:r>
        <w:rPr>
          <w:color w:val="000000"/>
        </w:rPr>
        <w:t>. lėtinės kraujotakos sistemos ligos:</w:t>
      </w:r>
    </w:p>
    <w:p>
      <w:pPr>
        <w:widowControl w:val="0"/>
        <w:suppressAutoHyphens/>
        <w:ind w:firstLine="567"/>
        <w:jc w:val="both"/>
        <w:rPr>
          <w:color w:val="000000"/>
        </w:rPr>
      </w:pPr>
      <w:r>
        <w:rPr>
          <w:color w:val="000000"/>
        </w:rPr>
        <w:t>21.4.1</w:t>
      </w:r>
      <w:r>
        <w:rPr>
          <w:color w:val="000000"/>
        </w:rPr>
        <w:t>. nekoreguoti ir pasikartojantys paroksizminės skilvelinės tachikardijos epizodai su hemodinamikos sutrikimais I47.2;</w:t>
      </w:r>
    </w:p>
    <w:p>
      <w:pPr>
        <w:widowControl w:val="0"/>
        <w:suppressAutoHyphens/>
        <w:ind w:firstLine="567"/>
        <w:jc w:val="both"/>
        <w:rPr>
          <w:color w:val="000000"/>
        </w:rPr>
      </w:pPr>
      <w:r>
        <w:rPr>
          <w:color w:val="000000"/>
        </w:rPr>
        <w:t>21.4.2</w:t>
      </w:r>
      <w:r>
        <w:rPr>
          <w:color w:val="000000"/>
        </w:rPr>
        <w:t>. nekoreguota atrioventrikulinė blokada su hemodinamikos sutrikimais I44.2;</w:t>
      </w:r>
    </w:p>
    <w:p>
      <w:pPr>
        <w:widowControl w:val="0"/>
        <w:suppressAutoHyphens/>
        <w:ind w:firstLine="567"/>
        <w:jc w:val="both"/>
        <w:rPr>
          <w:color w:val="000000"/>
        </w:rPr>
      </w:pPr>
      <w:r>
        <w:rPr>
          <w:color w:val="000000"/>
        </w:rPr>
        <w:t>21.4.3</w:t>
      </w:r>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p>
      <w:pPr>
        <w:widowControl w:val="0"/>
        <w:suppressAutoHyphens/>
        <w:ind w:firstLine="567"/>
        <w:jc w:val="both"/>
        <w:rPr>
          <w:color w:val="000000"/>
        </w:rPr>
      </w:pPr>
      <w:r>
        <w:rPr>
          <w:color w:val="000000"/>
        </w:rPr>
        <w:t>21.5</w:t>
      </w:r>
      <w:r>
        <w:rPr>
          <w:color w:val="000000"/>
        </w:rPr>
        <w:t>. lėtinės kvėpavimo takų ligos J41–J47, kai yra indikacijų gydyti ilgalaike oksigenoterapija;</w:t>
      </w:r>
    </w:p>
    <w:p>
      <w:pPr>
        <w:widowControl w:val="0"/>
        <w:suppressAutoHyphens/>
        <w:ind w:firstLine="567"/>
        <w:jc w:val="both"/>
        <w:rPr>
          <w:color w:val="000000"/>
        </w:rPr>
      </w:pPr>
      <w:r>
        <w:rPr>
          <w:color w:val="000000"/>
        </w:rPr>
        <w:t>21.6</w:t>
      </w:r>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p>
      <w:pPr>
        <w:keepLines/>
        <w:widowControl w:val="0"/>
        <w:suppressAutoHyphens/>
        <w:jc w:val="center"/>
        <w:rPr>
          <w:b/>
          <w:bCs/>
          <w:caps/>
          <w:color w:val="000000"/>
        </w:rPr>
      </w:pPr>
      <w:r>
        <w:rPr>
          <w:b/>
          <w:bCs/>
          <w:caps/>
          <w:color w:val="000000"/>
        </w:rPr>
        <w:t>IV</w:t>
      </w:r>
      <w:r>
        <w:rPr>
          <w:b/>
          <w:bCs/>
          <w:caps/>
          <w:color w:val="000000"/>
        </w:rPr>
        <w:t xml:space="preserve">. </w:t>
      </w:r>
      <w:r>
        <w:rPr>
          <w:b/>
          <w:bCs/>
          <w:caps/>
          <w:color w:val="000000"/>
        </w:rPr>
        <w:t>baigiamosios nuostatos</w:t>
      </w:r>
    </w:p>
    <w:p>
      <w:pPr>
        <w:widowControl w:val="0"/>
        <w:suppressAutoHyphens/>
        <w:ind w:firstLine="567"/>
        <w:jc w:val="both"/>
        <w:rPr>
          <w:color w:val="000000"/>
        </w:rPr>
      </w:pPr>
    </w:p>
    <w:p>
      <w:pPr>
        <w:widowControl w:val="0"/>
        <w:suppressAutoHyphens/>
        <w:ind w:firstLine="567"/>
        <w:jc w:val="both"/>
        <w:rPr>
          <w:color w:val="000000"/>
        </w:rPr>
      </w:pPr>
      <w:r>
        <w:rPr>
          <w:color w:val="000000"/>
        </w:rPr>
        <w:t>22</w:t>
      </w:r>
      <w:r>
        <w:rPr>
          <w:color w:val="000000"/>
        </w:rPr>
        <w:t>. Kiekvienas sveikatą tikrinantis gydytojas atsako už sveikatos tikrinimo kokybę ir įrašo tikrinimo rezultatus į F Nr. 025/a, jei reikia – ir į F Nr. 027/a.</w:t>
      </w:r>
    </w:p>
    <w:p>
      <w:pPr>
        <w:widowControl w:val="0"/>
        <w:suppressAutoHyphens/>
        <w:ind w:firstLine="567"/>
        <w:jc w:val="both"/>
        <w:rPr>
          <w:color w:val="000000"/>
        </w:rPr>
      </w:pPr>
      <w:r>
        <w:rPr>
          <w:color w:val="000000"/>
        </w:rPr>
        <w:t>23</w:t>
      </w:r>
      <w:r>
        <w:rPr>
          <w:color w:val="000000"/>
        </w:rPr>
        <w:t>. Privalomai profilaktiškai patikrinus asmens sveikatą, darbdaviui atstovaujančio ar jo įgalioto asmens prašymu ASPĮ gali būti apibendrinami rezultatai, pateikiamos rekomendacijos dėl įdarbinimo.</w:t>
      </w:r>
    </w:p>
    <w:p>
      <w:pPr>
        <w:widowControl w:val="0"/>
        <w:suppressAutoHyphens/>
        <w:ind w:firstLine="567"/>
        <w:jc w:val="both"/>
        <w:rPr>
          <w:color w:val="000000"/>
        </w:rPr>
      </w:pPr>
      <w:r>
        <w:rPr>
          <w:color w:val="000000"/>
        </w:rPr>
        <w:t>24</w:t>
      </w:r>
      <w:r>
        <w:rPr>
          <w:color w:val="000000"/>
        </w:rPr>
        <w:t>. Po privalomo profilaktinio periodinio darbuotojų sveikatos tikrinimo darbdaviui atstovaujančio ar jo įgalioto asmens prašymu gali būti surašomas šio priedo 3 lentelėje nurodytus reikalavimus atitinkantis protokolas.</w:t>
      </w:r>
    </w:p>
    <w:p>
      <w:pPr>
        <w:widowControl w:val="0"/>
        <w:suppressAutoHyphens/>
        <w:ind w:firstLine="567"/>
        <w:jc w:val="both"/>
        <w:rPr>
          <w:color w:val="000000"/>
        </w:rPr>
      </w:pPr>
      <w:r>
        <w:rPr>
          <w:color w:val="000000"/>
        </w:rPr>
        <w:t>25</w:t>
      </w:r>
      <w:r>
        <w:rPr>
          <w:color w:val="000000"/>
        </w:rPr>
        <w:t>. Atlikus privalomą profilaktinį sveikatos patikrinimą F Nr. 086/a, F Nr. 047/a, arba F Nr.048/a išduodama asmeniui, kuris pats ją pateikia mokymo įstaigai arba darbdaviui atstovaujančiam ar jo įgaliotam asmeniui.</w:t>
      </w:r>
    </w:p>
    <w:p>
      <w:pPr>
        <w:widowControl w:val="0"/>
        <w:suppressAutoHyphens/>
        <w:ind w:firstLine="567"/>
        <w:jc w:val="both"/>
        <w:rPr>
          <w:color w:val="000000"/>
        </w:rPr>
      </w:pPr>
      <w:r>
        <w:rPr>
          <w:color w:val="000000"/>
        </w:rPr>
        <w:t>26</w:t>
      </w:r>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p>
      <w:pPr>
        <w:widowControl w:val="0"/>
        <w:suppressAutoHyphens/>
        <w:ind w:firstLine="567"/>
        <w:jc w:val="both"/>
        <w:rPr>
          <w:color w:val="000000"/>
        </w:rPr>
      </w:pPr>
      <w:r>
        <w:rPr>
          <w:color w:val="000000"/>
        </w:rPr>
        <w:t>27</w:t>
      </w:r>
      <w:r>
        <w:rPr>
          <w:color w:val="000000"/>
        </w:rPr>
        <w:t>. Kiekvienas to paprašęs darbuotojas gali susipažinti su savo asmenine medicinine dokumentacija.</w:t>
      </w:r>
    </w:p>
    <w:p>
      <w:pPr>
        <w:widowControl w:val="0"/>
        <w:suppressAutoHyphens/>
        <w:ind w:firstLine="567"/>
        <w:jc w:val="both"/>
        <w:rPr>
          <w:color w:val="000000"/>
        </w:rPr>
      </w:pPr>
      <w:r>
        <w:rPr>
          <w:color w:val="000000"/>
        </w:rPr>
        <w:t>28</w:t>
      </w:r>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p>
      <w:pPr>
        <w:widowControl w:val="0"/>
        <w:suppressAutoHyphens/>
        <w:ind w:firstLine="567"/>
        <w:jc w:val="both"/>
        <w:rPr>
          <w:color w:val="000000"/>
        </w:rPr>
      </w:pPr>
      <w:r>
        <w:rPr>
          <w:color w:val="000000"/>
        </w:rPr>
        <w:t>29</w:t>
      </w:r>
      <w:r>
        <w:rPr>
          <w:color w:val="000000"/>
        </w:rPr>
        <w:t>. Gydytojo įrašytos išvados yra privalomos darbdaviui atstovaujančiam ar jo įgaliotam asmeniui ir darbuotojui.</w:t>
      </w:r>
    </w:p>
    <w:p>
      <w:pPr>
        <w:widowControl w:val="0"/>
        <w:suppressAutoHyphens/>
        <w:ind w:firstLine="567"/>
        <w:jc w:val="both"/>
        <w:rPr>
          <w:color w:val="000000"/>
        </w:rPr>
      </w:pPr>
      <w:r>
        <w:rPr>
          <w:color w:val="000000"/>
        </w:rPr>
        <w:t>30</w:t>
      </w:r>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p>
      <w:pPr>
        <w:widowControl w:val="0"/>
        <w:suppressAutoHyphens/>
        <w:ind w:firstLine="567"/>
        <w:jc w:val="both"/>
        <w:rPr>
          <w:color w:val="000000"/>
        </w:rPr>
      </w:pPr>
      <w:r>
        <w:rPr>
          <w:color w:val="000000"/>
        </w:rPr>
        <w:t>31</w:t>
      </w:r>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p>
      <w:pPr>
        <w:widowControl w:val="0"/>
        <w:suppressAutoHyphens/>
        <w:ind w:firstLine="567"/>
        <w:jc w:val="both"/>
        <w:rPr>
          <w:color w:val="000000"/>
        </w:rPr>
      </w:pPr>
      <w:r>
        <w:rPr>
          <w:color w:val="000000"/>
        </w:rPr>
        <w:t>32</w:t>
      </w:r>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5" w:tgtFrame="_blank" w:history="1">
        <w:r>
          <w:rPr>
            <w:color w:val="0000FF" w:themeColor="hyperlink"/>
            <w:u w:val="single"/>
          </w:rPr>
          <w:t>69-2398</w:t>
        </w:r>
      </w:hyperlink>
      <w:r>
        <w:rPr>
          <w:color w:val="000000"/>
        </w:rPr>
        <w:t>).</w:t>
      </w:r>
    </w:p>
    <w:p>
      <w:pPr>
        <w:widowControl w:val="0"/>
        <w:suppressAutoHyphens/>
        <w:ind w:firstLine="567"/>
        <w:jc w:val="both"/>
        <w:rPr>
          <w:color w:val="000000"/>
        </w:rPr>
      </w:pPr>
      <w:r>
        <w:rPr>
          <w:color w:val="000000"/>
        </w:rPr>
        <w:t>33</w:t>
      </w:r>
      <w:r>
        <w:rPr>
          <w:color w:val="000000"/>
        </w:rPr>
        <w:t xml:space="preserve">. Asmuo, kuris nesutinka su privalomo sveikatos tikrinimo išvadomis, gali jas apskųsti Lietuvos Respublikos pacientų teisių ir žalos sveikatai atlyginimo įstatyme (Žin., 1996, Nr. </w:t>
      </w:r>
      <w:hyperlink r:id="rId86" w:tgtFrame="_blank" w:history="1">
        <w:r>
          <w:rPr>
            <w:color w:val="0000FF" w:themeColor="hyperlink"/>
            <w:u w:val="single"/>
          </w:rPr>
          <w:t>102-2317</w:t>
        </w:r>
      </w:hyperlink>
      <w:r>
        <w:rPr>
          <w:color w:val="000000"/>
        </w:rPr>
        <w:t>; 2004,Nr. 115-4284) numatyta tvarka.</w:t>
      </w:r>
    </w:p>
    <w:p/>
    <w:p>
      <w:pPr>
        <w:jc w:val="center"/>
      </w:pPr>
      <w:r>
        <w:t>_________________</w:t>
      </w:r>
    </w:p>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87"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88" w:tgtFrame="_blank" w:history="1">
              <w:r>
                <w:rPr>
                  <w:color w:val="0000FF" w:themeColor="hyperlink"/>
                  <w:sz w:val="18"/>
                  <w:szCs w:val="18"/>
                  <w:u w:val="single"/>
                </w:rPr>
                <w:t>47-1365</w:t>
              </w:r>
            </w:hyperlink>
            <w:r>
              <w:rPr>
                <w:sz w:val="18"/>
                <w:szCs w:val="18"/>
              </w:rPr>
              <w:t xml:space="preserve">; 2005, Nr. </w:t>
            </w:r>
            <w:hyperlink r:id="rId89" w:tgtFrame="_blank" w:history="1">
              <w:r>
                <w:rPr>
                  <w:color w:val="0000FF" w:themeColor="hyperlink"/>
                  <w:sz w:val="18"/>
                  <w:szCs w:val="18"/>
                  <w:u w:val="single"/>
                </w:rPr>
                <w:t>128-4637</w:t>
              </w:r>
            </w:hyperlink>
            <w:r>
              <w:rPr>
                <w:sz w:val="18"/>
                <w:szCs w:val="18"/>
              </w:rPr>
              <w:t xml:space="preserve">; 2008, Nr. </w:t>
            </w:r>
            <w:hyperlink r:id="rId90"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1" w:tgtFrame="_blank" w:history="1">
              <w:r>
                <w:rPr>
                  <w:color w:val="0000FF" w:themeColor="hyperlink"/>
                  <w:sz w:val="18"/>
                  <w:szCs w:val="18"/>
                  <w:u w:val="single"/>
                </w:rPr>
                <w:t>47-1365</w:t>
              </w:r>
            </w:hyperlink>
            <w:r>
              <w:rPr>
                <w:sz w:val="18"/>
                <w:szCs w:val="18"/>
              </w:rPr>
              <w:t xml:space="preserve">; 2005, Nr. </w:t>
            </w:r>
            <w:hyperlink r:id="rId92" w:tgtFrame="_blank" w:history="1">
              <w:r>
                <w:rPr>
                  <w:color w:val="0000FF" w:themeColor="hyperlink"/>
                  <w:sz w:val="18"/>
                  <w:szCs w:val="18"/>
                  <w:u w:val="single"/>
                </w:rPr>
                <w:t>128-4637</w:t>
              </w:r>
            </w:hyperlink>
            <w:r>
              <w:rPr>
                <w:sz w:val="18"/>
                <w:szCs w:val="18"/>
              </w:rPr>
              <w:t xml:space="preserve">; 2008, Nr. </w:t>
            </w:r>
            <w:hyperlink r:id="rId93"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rPr>
                <w:sz w:val="18"/>
                <w:szCs w:val="18"/>
              </w:rPr>
            </w:pPr>
            <w:r>
              <w:rPr>
                <w:rFonts w:ascii="TimesLT" w:hAnsi="TimesLT"/>
                <w:sz w:val="18"/>
                <w:szCs w:val="18"/>
              </w:rPr>
              <w:t>22. Inkasatorių, apsaugos darbuotojų ar budėtojų, saugančių pastatus, patalpas ar kitus objektus, darbas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neurologas,</w:t>
            </w:r>
          </w:p>
          <w:p>
            <w:pPr>
              <w:rPr>
                <w:sz w:val="18"/>
                <w:szCs w:val="18"/>
              </w:rPr>
            </w:pPr>
            <w:r>
              <w:rPr>
                <w:sz w:val="18"/>
                <w:szCs w:val="18"/>
              </w:rPr>
              <w:t>otorinolaringologas,</w:t>
            </w:r>
          </w:p>
          <w:p>
            <w:pPr>
              <w:rPr>
                <w:sz w:val="18"/>
                <w:szCs w:val="18"/>
              </w:rPr>
            </w:pPr>
            <w:r>
              <w:rPr>
                <w:sz w:val="18"/>
                <w:szCs w:val="18"/>
              </w:rPr>
              <w:t>psichiatras,</w:t>
            </w:r>
          </w:p>
          <w:p>
            <w:pPr>
              <w:keepNext/>
              <w:outlineLvl w:val="1"/>
              <w:rPr>
                <w:sz w:val="18"/>
                <w:szCs w:val="18"/>
              </w:rPr>
            </w:pPr>
            <w:r>
              <w:rPr>
                <w:sz w:val="18"/>
                <w:szCs w:val="18"/>
              </w:rPr>
              <w:t>esant indikacijų – kitų profesinių kvalifikacijų gydytojai</w:t>
            </w:r>
          </w:p>
        </w:tc>
        <w:tc>
          <w:tcPr>
            <w:tcW w:w="1587" w:type="dxa"/>
            <w:gridSpan w:val="2"/>
          </w:tcPr>
          <w:p>
            <w:pPr>
              <w:rPr>
                <w:sz w:val="18"/>
                <w:szCs w:val="18"/>
              </w:rPr>
            </w:pPr>
            <w:r>
              <w:rPr>
                <w:sz w:val="18"/>
                <w:szCs w:val="18"/>
              </w:rPr>
              <w:t>Regėjimo aštrumo, refrakcijos,</w:t>
            </w:r>
          </w:p>
          <w:p>
            <w:pPr>
              <w:rPr>
                <w:sz w:val="18"/>
                <w:szCs w:val="18"/>
              </w:rPr>
            </w:pPr>
            <w:r>
              <w:rPr>
                <w:sz w:val="18"/>
                <w:szCs w:val="18"/>
              </w:rPr>
              <w:t>vestibulinės funkcijos ištyrimas, esant indikacijų – audiograma</w:t>
            </w:r>
          </w:p>
        </w:tc>
        <w:tc>
          <w:tcPr>
            <w:tcW w:w="6548" w:type="dxa"/>
          </w:tcPr>
          <w:p>
            <w:pPr>
              <w:rPr>
                <w:sz w:val="18"/>
                <w:szCs w:val="18"/>
              </w:rPr>
            </w:pPr>
            <w:r>
              <w:rPr>
                <w:sz w:val="18"/>
                <w:szCs w:val="18"/>
              </w:rPr>
              <w:t>1. Regėjimas su korekcija silpnesnis nei 0,8 viena ir 0,5 – kita akimi</w:t>
            </w:r>
          </w:p>
          <w:p>
            <w:pPr>
              <w:rPr>
                <w:sz w:val="18"/>
                <w:szCs w:val="18"/>
              </w:rPr>
            </w:pPr>
            <w:r>
              <w:rPr>
                <w:sz w:val="18"/>
                <w:szCs w:val="18"/>
              </w:rPr>
              <w:t>2. Refrakcijos anomalijos: trumparegiškumas</w:t>
            </w:r>
          </w:p>
          <w:p>
            <w:pPr>
              <w:rPr>
                <w:sz w:val="18"/>
                <w:szCs w:val="18"/>
              </w:rPr>
            </w:pPr>
            <w:r>
              <w:rPr>
                <w:sz w:val="18"/>
                <w:szCs w:val="18"/>
              </w:rPr>
              <w:t>(daugiau kaip 4,0D), progresuojantis trumparegiškumas su pakitimais akių dugne, hipermetropija – daugiau kaip 4,0D, hipermetropinis astigmatizmas – daugiau kaip 1,0D, miopinis astigmatizmas – daugiau kaip 1D</w:t>
            </w:r>
          </w:p>
          <w:p>
            <w:pPr>
              <w:rPr>
                <w:sz w:val="18"/>
                <w:szCs w:val="18"/>
              </w:rPr>
            </w:pPr>
            <w:r>
              <w:rPr>
                <w:sz w:val="18"/>
                <w:szCs w:val="18"/>
              </w:rPr>
              <w:t>3. Vestibulinės funkcijos sutrikimai: H81; H82</w:t>
            </w:r>
          </w:p>
          <w:p>
            <w:pPr>
              <w:tabs>
                <w:tab w:val="center" w:pos="33"/>
              </w:tabs>
              <w:ind w:left="33" w:hanging="33"/>
              <w:rPr>
                <w:sz w:val="18"/>
                <w:szCs w:val="18"/>
              </w:rPr>
            </w:pPr>
            <w:r>
              <w:rPr>
                <w:sz w:val="18"/>
                <w:szCs w:val="18"/>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Galūnės, plaštakos, pėdos trūkumas</w:t>
            </w:r>
          </w:p>
          <w:p>
            <w:pPr>
              <w:rPr>
                <w:sz w:val="18"/>
                <w:szCs w:val="18"/>
              </w:rPr>
            </w:pPr>
            <w:r>
              <w:rPr>
                <w:sz w:val="18"/>
                <w:szCs w:val="18"/>
              </w:rPr>
              <w:t>6. Periferinių kraujagyslių ligos: obliteruojantis endarteritas, Raynaud sindromas, varikozinis venų išsiplėtimas ir kitos I70-I73.0, I77.6, I83.0, I83.1, I83.2.</w:t>
            </w:r>
          </w:p>
          <w:p>
            <w:pPr>
              <w:tabs>
                <w:tab w:val="center" w:pos="33"/>
              </w:tabs>
              <w:ind w:left="33" w:hanging="33"/>
              <w:rPr>
                <w:sz w:val="18"/>
                <w:szCs w:val="18"/>
              </w:rPr>
            </w:pPr>
            <w:r>
              <w:rPr>
                <w:sz w:val="18"/>
                <w:szCs w:val="18"/>
              </w:rPr>
              <w:t>7. Lėtinės, dažnai paūmėjančios, odos ligos L23-L24, L50, L53. Individualiu atveju dėl galimybės dirbti sprendžia gydytojas dermatovenerologas.</w:t>
            </w:r>
          </w:p>
          <w:p>
            <w:pPr>
              <w:rPr>
                <w:sz w:val="18"/>
                <w:szCs w:val="18"/>
              </w:rPr>
            </w:pPr>
            <w:r>
              <w:rPr>
                <w:sz w:val="18"/>
                <w:szCs w:val="18"/>
              </w:rPr>
              <w:t>7. Epilepsija G40</w:t>
            </w:r>
          </w:p>
          <w:p>
            <w:pPr>
              <w:rPr>
                <w:sz w:val="18"/>
                <w:szCs w:val="18"/>
              </w:rPr>
            </w:pPr>
            <w:r>
              <w:rPr>
                <w:sz w:val="18"/>
                <w:szCs w:val="18"/>
              </w:rPr>
              <w:t>8.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p>
      <w:pPr>
        <w:jc w:val="center"/>
        <w:rPr>
          <w:b/>
          <w:caps/>
        </w:rPr>
      </w:pPr>
      <w:r>
        <w:rPr>
          <w:b/>
          <w:caps/>
        </w:rPr>
        <w:t>Pavyzdinis PROTOKOLAS</w:t>
      </w:r>
    </w:p>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p>
      <w:pPr>
        <w:jc w:val="center"/>
      </w:pPr>
      <w:r>
        <w:t>PROTOKOLAS</w:t>
      </w:r>
    </w:p>
    <w:p>
      <w:pPr>
        <w:jc w:val="center"/>
      </w:pPr>
      <w:r>
        <w:t>200.................</w:t>
      </w:r>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4"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p>
      <w:pPr>
        <w:jc w:val="both"/>
        <w:rPr>
          <w:b/>
        </w:rPr>
      </w:pPr>
      <w:r>
        <w:rPr>
          <w:b/>
        </w:rPr>
        <w:t>Dėl asmenų, dirbančių galimos profesinės rizikos sąlygomis, sveikatos tikrinimo</w:t>
      </w:r>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p>
      <w:pPr>
        <w:jc w:val="both"/>
      </w:pPr>
      <w:r>
        <w:t>1</w:t>
      </w:r>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p>
      <w:r>
        <w:t>2</w:t>
      </w:r>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p>
      <w:r>
        <w:t>3</w:t>
      </w:r>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p>
      <w:r>
        <w:t>4</w:t>
      </w:r>
      <w:r>
        <w:t>. Pateiktos išvados:</w:t>
      </w:r>
    </w:p>
    <w:p>
      <w:r>
        <w:t>4.1</w:t>
      </w:r>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p>
      <w:r>
        <w:t>4.2</w:t>
      </w:r>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p>
      <w:r>
        <w:t>4.3</w:t>
      </w:r>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p>
      <w:pPr>
        <w:jc w:val="center"/>
      </w:pPr>
      <w:r>
        <w:t>_________________</w:t>
      </w:r>
    </w:p>
    <w:p/>
    <w:p>
      <w:pPr>
        <w:rPr>
          <w:color w:val="000000"/>
        </w:rPr>
      </w:pP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r>
        <w:rPr>
          <w:color w:val="000000"/>
        </w:rPr>
        <w:t>17</w:t>
      </w:r>
      <w:r>
        <w:rPr>
          <w:color w:val="000000"/>
        </w:rPr>
        <w:t xml:space="preserve"> priedas</w:t>
      </w:r>
    </w:p>
    <w:p>
      <w:pPr>
        <w:widowControl w:val="0"/>
        <w:ind w:left="5462"/>
        <w:rPr>
          <w:color w:val="000000"/>
        </w:rPr>
      </w:pPr>
    </w:p>
    <w:p>
      <w:pPr>
        <w:jc w:val="center"/>
        <w:rPr>
          <w:b/>
          <w:caps/>
          <w:color w:val="000000"/>
        </w:rPr>
      </w:pPr>
      <w:r>
        <w:rPr>
          <w:b/>
          <w:caps/>
          <w:color w:val="000000"/>
        </w:rPr>
        <w:t>ASMENŲ, NORINČIŲ SUSITUOKTI, SVEIKATOS TIKRINIMO TVARKA</w:t>
      </w:r>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p>
      <w:pPr>
        <w:widowControl w:val="0"/>
        <w:ind w:firstLine="720"/>
        <w:jc w:val="both"/>
        <w:rPr>
          <w:color w:val="000000"/>
        </w:rPr>
      </w:pPr>
      <w:r>
        <w:rPr>
          <w:color w:val="000000"/>
        </w:rPr>
        <w:t>1</w:t>
      </w:r>
      <w:r>
        <w:rPr>
          <w:color w:val="000000"/>
        </w:rPr>
        <w:t>. Informacija apie tyrimų rezultatus yra konfidenciali, pateikiama tik sveikatą pasitikrinusiam asmeniui.</w:t>
      </w:r>
    </w:p>
    <w:p>
      <w:pPr>
        <w:widowControl w:val="0"/>
        <w:ind w:firstLine="720"/>
        <w:jc w:val="both"/>
        <w:rPr>
          <w:color w:val="000000"/>
        </w:rPr>
      </w:pPr>
      <w:r>
        <w:rPr>
          <w:color w:val="000000"/>
        </w:rPr>
        <w:t>2</w:t>
      </w:r>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r>
        <w:rPr>
          <w:szCs w:val="24"/>
          <w:lang w:eastAsia="lt-LT"/>
        </w:rPr>
        <w:t>18</w:t>
      </w:r>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r>
        <w:rPr>
          <w:b/>
          <w:szCs w:val="24"/>
          <w:lang w:eastAsia="lt-LT"/>
        </w:rPr>
        <w:t>PROFILAKTINIŲ SVEIKATOS TIKRINIMŲ KAINOS IR GYDYTOJŲ SPECIALISTŲ, TEIKIANČIŲ PROFILAKTINIŲ SVEIKATOS TIKRINIMŲ PASLAUGAS, APMOKAMAS IŠ PRIVALOMOJO SVEIKATOS DRAUDIMO FONDO BIUDŽETO, PASLAUGŲ KAINOS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r>
        <w:rPr>
          <w:b/>
          <w:szCs w:val="24"/>
          <w:lang w:eastAsia="lt-LT"/>
        </w:rPr>
        <w:t>I</w:t>
      </w:r>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b/>
          <w:szCs w:val="24"/>
          <w:lang w:eastAsia="lt-LT"/>
        </w:rPr>
        <w:t>PROFILAKTINIŲ SVEIKATOS TIKRINIMŲ, UŽ KURIUOS MOKA PATS DARBUOTOJAS, DARBDAVYS AR KITI ASMENYS, KAINOS</w:t>
      </w:r>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p>
      <w:pPr>
        <w:jc w:val="center"/>
        <w:rPr>
          <w:b/>
          <w:szCs w:val="24"/>
        </w:rPr>
      </w:pPr>
      <w:r>
        <w:rPr>
          <w:b/>
          <w:szCs w:val="24"/>
        </w:rPr>
        <w:t>II</w:t>
      </w:r>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r>
        <w:rPr>
          <w:b/>
          <w:szCs w:val="24"/>
        </w:rPr>
        <w:t>GYDYTOJŲ SPECIALISTŲ, TEIKIANČIŲ PROFILAKTINIŲ SVEIKATOS TIKRINIMŲ PASLAUGAS, APMOKAMAS IŠ PRIVALOMOJO SVEIKATOS DRAUDIMO FONDO BIUDŽETO, PASLAUGŲ KAINOS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8"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2</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3</w:t>
            </w:r>
          </w:p>
        </w:tc>
      </w:tr>
      <w:tr>
        <w:trPr>
          <w:trHeight w:val="428"/>
        </w:trP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rPr>
                <w:szCs w:val="24"/>
              </w:rPr>
            </w:pPr>
            <w:r>
              <w:rPr>
                <w:szCs w:val="24"/>
              </w:rPr>
              <w:t>Gydytojo specialisto</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8,30</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427960447e11e8ad2f97b2a095557a">
        <w:r w:rsidRPr="00532B9F">
          <w:rPr>
            <w:rFonts w:ascii="Times New Roman" w:eastAsia="MS Mincho" w:hAnsi="Times New Roman"/>
            <w:sz w:val="20"/>
            <w:i/>
            <w:iCs/>
            <w:color w:val="0000FF" w:themeColor="hyperlink"/>
            <w:u w:val="single"/>
          </w:rPr>
          <w:t>V-458</w:t>
        </w:r>
      </w:fldSimple>
      <w:r>
        <w:rPr>
          <w:rFonts w:ascii="Times New Roman" w:eastAsia="MS Mincho" w:hAnsi="Times New Roman"/>
          <w:sz w:val="20"/>
          <w:i/>
          <w:iCs/>
        </w:rPr>
        <w:t>,
2018-04-19,
paskelbta TAR 2018-04-20, i. k. 2018-06362            </w:t>
      </w:r>
    </w:p>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45be9f0398911e881f2ba995b003ed2">
        <w:r w:rsidRPr="00532B9F">
          <w:rPr>
            <w:rFonts w:ascii="Times New Roman" w:eastAsia="MS Mincho" w:hAnsi="Times New Roman"/>
            <w:sz w:val="20"/>
            <w:iCs/>
            <w:color w:val="0000FF" w:themeColor="hyperlink"/>
            <w:u w:val="single"/>
          </w:rPr>
          <w:t>V-381</w:t>
        </w:r>
      </w:fldSimple>
      <w:r>
        <w:rPr>
          <w:rFonts w:ascii="Times New Roman" w:eastAsia="MS Mincho" w:hAnsi="Times New Roman"/>
          <w:sz w:val="20"/>
          <w:iCs/>
        </w:rPr>
        <w:t>,
2018-04-06,
paskelbta TAR 2018-04-09, i. k. 2018-05598                </w:t>
      </w:r>
    </w:p>
    <w:p>
      <w:pPr>
        <w:jc w:val="both"/>
        <w:rPr>
          <w:rFonts w:ascii="Times New Roman" w:hAnsi="Times New Roman"/>
        </w:rPr>
      </w:pPr>
      <w:r>
        <w:rPr>
          <w:rFonts w:ascii="Times New Roman" w:hAnsi="Times New Roman"/>
          <w:sz w:val="20"/>
        </w:rPr>
        <w:t>Dėl Lietuvos Respublikos sveikatos apsaugos ministro 2000 m. gegužės 31 d. įsakymu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427960447e11e8ad2f97b2a095557a">
        <w:r w:rsidRPr="00532B9F">
          <w:rPr>
            <w:rFonts w:ascii="Times New Roman" w:eastAsia="MS Mincho" w:hAnsi="Times New Roman"/>
            <w:sz w:val="20"/>
            <w:iCs/>
            <w:color w:val="0000FF" w:themeColor="hyperlink"/>
            <w:u w:val="single"/>
          </w:rPr>
          <w:t>V-458</w:t>
        </w:r>
      </w:fldSimple>
      <w:r>
        <w:rPr>
          <w:rFonts w:ascii="Times New Roman" w:eastAsia="MS Mincho" w:hAnsi="Times New Roman"/>
          <w:sz w:val="20"/>
          <w:iCs/>
        </w:rPr>
        <w:t>,
2018-04-19,
paskelbta TAR 2018-04-20, i. k. 2018-06362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3834b0b03d11e88f64a5ecc703f89b">
        <w:r w:rsidRPr="00532B9F">
          <w:rPr>
            <w:rFonts w:ascii="Times New Roman" w:eastAsia="MS Mincho" w:hAnsi="Times New Roman"/>
            <w:sz w:val="20"/>
            <w:iCs/>
            <w:color w:val="0000FF" w:themeColor="hyperlink"/>
            <w:u w:val="single"/>
          </w:rPr>
          <w:t>V-976</w:t>
        </w:r>
      </w:fldSimple>
      <w:r>
        <w:rPr>
          <w:rFonts w:ascii="Times New Roman" w:eastAsia="MS Mincho" w:hAnsi="Times New Roman"/>
          <w:sz w:val="20"/>
          <w:iCs/>
        </w:rPr>
        <w:t>,
2018-09-04,
paskelbta TAR 2018-09-04, i. k. 2018-13962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eastAsia="lt-LT"/>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eastAsia="lt-LT"/>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5297"/>
    <o:shapelayout v:ext="edit">
      <o:idmap v:ext="edit" data="1"/>
    </o:shapelayout>
  </w:shapeDefaults>
  <w:decimalSymbol w:val=","/>
  <w:listSeparator w:val=";"/>
  <w14:docId w14:val="1D77E63F"/>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webSettings" Target="webSettings.xml"/>
  <Relationship Id="rId100" Type="http://schemas.openxmlformats.org/officeDocument/2006/relationships/header" Target="header188.xml"/>
  <Relationship Id="rId101" Type="http://schemas.openxmlformats.org/officeDocument/2006/relationships/header" Target="header197.xml"/>
  <Relationship Id="rId102" Type="http://schemas.openxmlformats.org/officeDocument/2006/relationships/header" Target="header198.xml"/>
  <Relationship Id="rId103" Type="http://schemas.openxmlformats.org/officeDocument/2006/relationships/header" Target="header199.xml"/>
  <Relationship Id="rId104" Type="http://schemas.openxmlformats.org/officeDocument/2006/relationships/image" Target="media/image65.png"/>
  <Relationship Id="rId105" Type="http://schemas.openxmlformats.org/officeDocument/2006/relationships/image" Target="media/image66.png"/>
  <Relationship Id="rId106" Type="http://schemas.openxmlformats.org/officeDocument/2006/relationships/image" Target="media/image67.png"/>
  <Relationship Id="rId107" Type="http://schemas.openxmlformats.org/officeDocument/2006/relationships/image" Target="media/image68.png"/>
  <Relationship Id="rId108" Type="http://schemas.openxmlformats.org/officeDocument/2006/relationships/image" Target="media/image69.png"/>
  <Relationship Id="rId109" Type="http://schemas.openxmlformats.org/officeDocument/2006/relationships/image" Target="media/image70.png"/>
  <Relationship Id="rId11" Type="http://schemas.openxmlformats.org/officeDocument/2006/relationships/image" Target="media/image3.wmf"/>
  <Relationship Id="rId110" Type="http://schemas.openxmlformats.org/officeDocument/2006/relationships/image" Target="media/image71.png"/>
  <Relationship Id="rId111" Type="http://schemas.openxmlformats.org/officeDocument/2006/relationships/image" Target="media/image72.png"/>
  <Relationship Id="rId112" Type="http://schemas.openxmlformats.org/officeDocument/2006/relationships/image" Target="media/image73.png"/>
  <Relationship Id="rId113" Type="http://schemas.openxmlformats.org/officeDocument/2006/relationships/image" Target="media/image74.png"/>
  <Relationship Id="rId114" Type="http://schemas.openxmlformats.org/officeDocument/2006/relationships/image" Target="media/image75.png"/>
  <Relationship Id="rId115" Type="http://schemas.openxmlformats.org/officeDocument/2006/relationships/image" Target="media/image76.png"/>
  <Relationship Id="rId116" Type="http://schemas.openxmlformats.org/officeDocument/2006/relationships/image" Target="media/image77.png"/>
  <Relationship Id="rId117" Type="http://schemas.openxmlformats.org/officeDocument/2006/relationships/image" Target="media/image78.png"/>
  <Relationship Id="rId118" Type="http://schemas.openxmlformats.org/officeDocument/2006/relationships/image" Target="media/image79.png"/>
  <Relationship Id="rId119" Type="http://schemas.openxmlformats.org/officeDocument/2006/relationships/image" Target="media/image80.png"/>
  <Relationship Id="rId12" Type="http://schemas.openxmlformats.org/officeDocument/2006/relationships/hyperlink" TargetMode="External" Target="https://www.e-tar.lt/portal/lt/legalAct/TAR.31185A622C9F"/>
  <Relationship Id="rId120" Type="http://schemas.openxmlformats.org/officeDocument/2006/relationships/image" Target="media/image81.png"/>
  <Relationship Id="rId121" Type="http://schemas.openxmlformats.org/officeDocument/2006/relationships/image" Target="media/image82.png"/>
  <Relationship Id="rId122" Type="http://schemas.openxmlformats.org/officeDocument/2006/relationships/image" Target="media/image83.png"/>
  <Relationship Id="rId123" Type="http://schemas.openxmlformats.org/officeDocument/2006/relationships/image" Target="media/image84.png"/>
  <Relationship Id="rId124" Type="http://schemas.openxmlformats.org/officeDocument/2006/relationships/image" Target="media/image85.png"/>
  <Relationship Id="rId125" Type="http://schemas.openxmlformats.org/officeDocument/2006/relationships/image" Target="media/image86.png"/>
  <Relationship Id="rId126" Type="http://schemas.openxmlformats.org/officeDocument/2006/relationships/image" Target="media/image87.png"/>
  <Relationship Id="rId127" Type="http://schemas.openxmlformats.org/officeDocument/2006/relationships/image" Target="media/image88.png"/>
  <Relationship Id="rId128" Type="http://schemas.openxmlformats.org/officeDocument/2006/relationships/image" Target="media/image89.png"/>
  <Relationship Id="rId129" Type="http://schemas.openxmlformats.org/officeDocument/2006/relationships/image" Target="media/image90.png"/>
  <Relationship Id="rId13" Type="http://schemas.openxmlformats.org/officeDocument/2006/relationships/hyperlink" TargetMode="External" Target="https://www.e-tar.lt/portal/lt/legalAct/TAR.95C79D036AA4"/>
  <Relationship Id="rId130" Type="http://schemas.openxmlformats.org/officeDocument/2006/relationships/image" Target="media/image91.png"/>
  <Relationship Id="rId131" Type="http://schemas.openxmlformats.org/officeDocument/2006/relationships/image" Target="media/image92.png"/>
  <Relationship Id="rId132" Type="http://schemas.openxmlformats.org/officeDocument/2006/relationships/image" Target="media/image93.png"/>
  <Relationship Id="rId133" Type="http://schemas.openxmlformats.org/officeDocument/2006/relationships/image" Target="media/image94.png"/>
  <Relationship Id="rId134" Type="http://schemas.openxmlformats.org/officeDocument/2006/relationships/image" Target="media/image95.png"/>
  <Relationship Id="rId135" Type="http://schemas.openxmlformats.org/officeDocument/2006/relationships/image" Target="media/image96.png"/>
  <Relationship Id="rId14" Type="http://schemas.openxmlformats.org/officeDocument/2006/relationships/hyperlink" TargetMode="External" Target="https://www.e-tar.lt/portal/lt/legalAct/TAR.E2B2957B9182"/>
  <Relationship Id="rId15" Type="http://schemas.openxmlformats.org/officeDocument/2006/relationships/hyperlink" TargetMode="External" Target="https://www.e-tar.lt/portal/lt/legalAct/TAR.E964CE7A637A"/>
  <Relationship Id="rId16" Type="http://schemas.openxmlformats.org/officeDocument/2006/relationships/hyperlink" TargetMode="External" Target="https://www.e-tar.lt/portal/lt/legalAct/TAR.7083DB116A2E"/>
  <Relationship Id="rId17" Type="http://schemas.openxmlformats.org/officeDocument/2006/relationships/hyperlink" TargetMode="External" Target="https://www.e-tar.lt/portal/lt/legalAct/TAR.6A8A7A3BBCDC"/>
  <Relationship Id="rId18" Type="http://schemas.openxmlformats.org/officeDocument/2006/relationships/hyperlink" TargetMode="External" Target="https://www.e-tar.lt/portal/lt/legalAct/TAR.C337D779A343"/>
  <Relationship Id="rId19" Type="http://schemas.openxmlformats.org/officeDocument/2006/relationships/hyperlink" TargetMode="External" Target="https://www.e-tar.lt/portal/lt/legalAct/TAR.A92EEEEF018C"/>
  <Relationship Id="rId2" Type="http://schemas.openxmlformats.org/officeDocument/2006/relationships/fontTable" Target="fontTable.xml"/>
  <Relationship Id="rId20" Type="http://schemas.openxmlformats.org/officeDocument/2006/relationships/hyperlink" TargetMode="External" Target="https://www.e-tar.lt/portal/lt/legalAct/TAR.0BBFE299C915"/>
  <Relationship Id="rId21" Type="http://schemas.openxmlformats.org/officeDocument/2006/relationships/hyperlink" TargetMode="External" Target="https://www.e-tar.lt/portal/lt/legalAct/TAR.C925EFE595C1"/>
  <Relationship Id="rId22" Type="http://schemas.openxmlformats.org/officeDocument/2006/relationships/hyperlink" TargetMode="External" Target="https://www.e-tar.lt/portal/lt/legalAct/TAR.E572CC3872E1"/>
  <Relationship Id="rId23" Type="http://schemas.openxmlformats.org/officeDocument/2006/relationships/hyperlink" TargetMode="External" Target="https://www.e-tar.lt/portal/lt/legalAct/TAR.AB76E5928C64"/>
  <Relationship Id="rId24" Type="http://schemas.openxmlformats.org/officeDocument/2006/relationships/header" Target="header69.xml"/>
  <Relationship Id="rId25" Type="http://schemas.openxmlformats.org/officeDocument/2006/relationships/header" Target="header70.xml"/>
  <Relationship Id="rId26" Type="http://schemas.openxmlformats.org/officeDocument/2006/relationships/footer" Target="footer67.xml"/>
  <Relationship Id="rId27" Type="http://schemas.openxmlformats.org/officeDocument/2006/relationships/footer" Target="footer68.xml"/>
  <Relationship Id="rId28" Type="http://schemas.openxmlformats.org/officeDocument/2006/relationships/header" Target="header71.xml"/>
  <Relationship Id="rId29" Type="http://schemas.openxmlformats.org/officeDocument/2006/relationships/footer" Target="footer69.xml"/>
  <Relationship Id="rId3" Type="http://schemas.openxmlformats.org/officeDocument/2006/relationships/footnotes" Target="footnotes.xml"/>
  <Relationship Id="rId30" Type="http://schemas.openxmlformats.org/officeDocument/2006/relationships/hyperlink" TargetMode="External" Target="https://www.e-tar.lt/portal/lt/legalAct/TAR.5098571C779B"/>
  <Relationship Id="rId31" Type="http://schemas.openxmlformats.org/officeDocument/2006/relationships/hyperlink" TargetMode="External" Target="https://www.e-tar.lt/portal/lt/legalAct/TAR.21897F4DD271"/>
  <Relationship Id="rId32" Type="http://schemas.openxmlformats.org/officeDocument/2006/relationships/hyperlink" TargetMode="External" Target="https://www.e-tar.lt/portal/lt/legalAct/TAR.22504E4941B4"/>
  <Relationship Id="rId33" Type="http://schemas.openxmlformats.org/officeDocument/2006/relationships/hyperlink" TargetMode="External" Target="http://www3.lrs.lt/cgi-bin/preps2?a=92894&amp;b="/>
  <Relationship Id="rId34" Type="http://schemas.openxmlformats.org/officeDocument/2006/relationships/hyperlink" TargetMode="External" Target="http://www3.lrs.lt/cgi-bin/preps2?a=76692&amp;b="/>
  <Relationship Id="rId35" Type="http://schemas.openxmlformats.org/officeDocument/2006/relationships/hyperlink" TargetMode="External" Target="http://www3.lrs.lt/cgi-bin/preps2?a=76692&amp;b="/>
  <Relationship Id="rId36" Type="http://schemas.openxmlformats.org/officeDocument/2006/relationships/header" Target="header81.xml"/>
  <Relationship Id="rId37" Type="http://schemas.openxmlformats.org/officeDocument/2006/relationships/header" Target="header82.xml"/>
  <Relationship Id="rId38" Type="http://schemas.openxmlformats.org/officeDocument/2006/relationships/footer" Target="footer79.xml"/>
  <Relationship Id="rId39" Type="http://schemas.openxmlformats.org/officeDocument/2006/relationships/footer" Target="footer80.xml"/>
  <Relationship Id="rId4" Type="http://schemas.openxmlformats.org/officeDocument/2006/relationships/header" Target="header15.xml"/>
  <Relationship Id="rId40" Type="http://schemas.openxmlformats.org/officeDocument/2006/relationships/header" Target="header83.xml"/>
  <Relationship Id="rId41" Type="http://schemas.openxmlformats.org/officeDocument/2006/relationships/footer" Target="footer81.xml"/>
  <Relationship Id="rId42" Type="http://schemas.openxmlformats.org/officeDocument/2006/relationships/hyperlink" TargetMode="External" Target="https://www.e-tar.lt/portal/lt/legalAct/TAR.FC348F73C47A"/>
  <Relationship Id="rId43" Type="http://schemas.openxmlformats.org/officeDocument/2006/relationships/hyperlink" TargetMode="External" Target="https://www.e-tar.lt/portal/lt/legalAct/TAR.FC348F73C47A"/>
  <Relationship Id="rId44" Type="http://schemas.openxmlformats.org/officeDocument/2006/relationships/header" Target="header141.xml"/>
  <Relationship Id="rId45" Type="http://schemas.openxmlformats.org/officeDocument/2006/relationships/header" Target="header142.xml"/>
  <Relationship Id="rId46" Type="http://schemas.openxmlformats.org/officeDocument/2006/relationships/footer" Target="footer139.xml"/>
  <Relationship Id="rId47" Type="http://schemas.openxmlformats.org/officeDocument/2006/relationships/footer" Target="footer140.xml"/>
  <Relationship Id="rId48" Type="http://schemas.openxmlformats.org/officeDocument/2006/relationships/header" Target="header143.xml"/>
  <Relationship Id="rId49" Type="http://schemas.openxmlformats.org/officeDocument/2006/relationships/footer" Target="footer141.xml"/>
  <Relationship Id="rId5" Type="http://schemas.openxmlformats.org/officeDocument/2006/relationships/header" Target="header16.xml"/>
  <Relationship Id="rId50" Type="http://schemas.openxmlformats.org/officeDocument/2006/relationships/hyperlink" TargetMode="External" Target="https://www.e-tar.lt/portal/lt/legalAct/TAR.3394CBFC359C"/>
  <Relationship Id="rId51" Type="http://schemas.openxmlformats.org/officeDocument/2006/relationships/hyperlink" TargetMode="External" Target="http://www3.lrs.lt/cgi-bin/preps2?a=51605&amp;b="/>
  <Relationship Id="rId52" Type="http://schemas.openxmlformats.org/officeDocument/2006/relationships/hyperlink" TargetMode="External" Target="https://www.e-tar.lt/portal/lt/legalAct/TAR.B7D7BAACDE6B"/>
  <Relationship Id="rId53" Type="http://schemas.openxmlformats.org/officeDocument/2006/relationships/hyperlink" TargetMode="External" Target="http://www3.lrs.lt/cgi-bin/preps2?a=69596&amp;b="/>
  <Relationship Id="rId54" Type="http://schemas.openxmlformats.org/officeDocument/2006/relationships/hyperlink" TargetMode="External" Target="https://www.e-tar.lt/portal/lt/legalAct/TAR.501193BA5D7C"/>
  <Relationship Id="rId55" Type="http://schemas.openxmlformats.org/officeDocument/2006/relationships/hyperlink" TargetMode="External" Target="https://www.e-tar.lt/portal/lt/legalAct/TAR.5DC1759E42CB"/>
  <Relationship Id="rId56" Type="http://schemas.openxmlformats.org/officeDocument/2006/relationships/hyperlink" TargetMode="External" Target="https://www.e-tar.lt/portal/lt/legalAct/TAR.8D97CD7E1857"/>
  <Relationship Id="rId57" Type="http://schemas.openxmlformats.org/officeDocument/2006/relationships/hyperlink" TargetMode="External" Target="https://www.e-tar.lt/portal/lt/legalAct/TAR.DC61D74561C5"/>
  <Relationship Id="rId58" Type="http://schemas.openxmlformats.org/officeDocument/2006/relationships/hyperlink" TargetMode="External" Target="https://www.e-tar.lt/portal/lt/legalAct/TAR.67B5099C5848"/>
  <Relationship Id="rId59" Type="http://schemas.openxmlformats.org/officeDocument/2006/relationships/hyperlink" TargetMode="External" Target="https://www.e-tar.lt/portal/lt/legalAct/TAR.78FAC7B20AD8"/>
  <Relationship Id="rId6" Type="http://schemas.openxmlformats.org/officeDocument/2006/relationships/settings" Target="settings.xml"/>
  <Relationship Id="rId60" Type="http://schemas.openxmlformats.org/officeDocument/2006/relationships/hyperlink" TargetMode="External" Target="https://www.e-tar.lt/portal/lt/legalAct/TAR.C7A984833333"/>
  <Relationship Id="rId61" Type="http://schemas.openxmlformats.org/officeDocument/2006/relationships/hyperlink" TargetMode="External" Target="https://www.e-tar.lt/portal/lt/legalAct/TAR.33907EA7C2DC"/>
  <Relationship Id="rId62" Type="http://schemas.openxmlformats.org/officeDocument/2006/relationships/hyperlink" TargetMode="External" Target="https://www.e-tar.lt/portal/lt/legalAct/TAR.DC61D74561C5"/>
  <Relationship Id="rId63" Type="http://schemas.openxmlformats.org/officeDocument/2006/relationships/hyperlink" TargetMode="External" Target="https://www.e-tar.lt/portal/lt/legalAct/TAR.723F49D02CD8"/>
  <Relationship Id="rId64" Type="http://schemas.openxmlformats.org/officeDocument/2006/relationships/hyperlink" TargetMode="External" Target="https://www.e-tar.lt/portal/lt/legalAct/TAR.6A8A7A3BBCDC"/>
  <Relationship Id="rId65" Type="http://schemas.openxmlformats.org/officeDocument/2006/relationships/hyperlink" TargetMode="External" Target="https://www.e-tar.lt/portal/lt/legalAct/TAR.F1D86F455636"/>
  <Relationship Id="rId66" Type="http://schemas.openxmlformats.org/officeDocument/2006/relationships/hyperlink" TargetMode="External" Target="https://www.e-tar.lt/portal/lt/legalAct/TAR.5E3842DF67F8"/>
  <Relationship Id="rId67" Type="http://schemas.openxmlformats.org/officeDocument/2006/relationships/hyperlink" TargetMode="External" Target="https://www.e-tar.lt/portal/lt/legalAct/TAR.668CEF058FF8"/>
  <Relationship Id="rId68" Type="http://schemas.openxmlformats.org/officeDocument/2006/relationships/hyperlink" TargetMode="External" Target="https://www.e-tar.lt/portal/lt/legalAct/TAR.DC61D74561C5"/>
  <Relationship Id="rId69" Type="http://schemas.openxmlformats.org/officeDocument/2006/relationships/hyperlink" TargetMode="External" Target="https://www.e-tar.lt/portal/lt/legalAct/TAR.C6E4170DB704"/>
  <Relationship Id="rId7" Type="http://schemas.openxmlformats.org/officeDocument/2006/relationships/styles" Target="styles.xml"/>
  <Relationship Id="rId70" Type="http://schemas.openxmlformats.org/officeDocument/2006/relationships/hyperlink" TargetMode="External" Target="https://www.e-tar.lt/portal/lt/legalAct/TAR.668CEF058FF8"/>
  <Relationship Id="rId71" Type="http://schemas.openxmlformats.org/officeDocument/2006/relationships/header" Target="header171.xml"/>
  <Relationship Id="rId72" Type="http://schemas.openxmlformats.org/officeDocument/2006/relationships/footer" Target="footer169.xml"/>
  <Relationship Id="rId73" Type="http://schemas.openxmlformats.org/officeDocument/2006/relationships/hyperlink" TargetMode="External" Target="https://www.e-tar.lt/portal/lt/legalAct/TAR.1B50A305B56B"/>
  <Relationship Id="rId74" Type="http://schemas.openxmlformats.org/officeDocument/2006/relationships/hyperlink" TargetMode="External" Target="https://www.e-tar.lt/portal/lt/legalAct/TAR.A36A799DD928"/>
  <Relationship Id="rId75" Type="http://schemas.openxmlformats.org/officeDocument/2006/relationships/hyperlink" TargetMode="External" Target="https://www.e-tar.lt/portal/lt/legalAct/TAR.7083DB116A2E"/>
  <Relationship Id="rId76" Type="http://schemas.openxmlformats.org/officeDocument/2006/relationships/hyperlink" TargetMode="External" Target="https://www.e-tar.lt/portal/lt/legalAct/TAR.6A8A7A3BBCDC"/>
  <Relationship Id="rId77" Type="http://schemas.openxmlformats.org/officeDocument/2006/relationships/hyperlink" TargetMode="External" Target="https://www.e-tar.lt/portal/lt/legalAct/TAR.F1D86F455636"/>
  <Relationship Id="rId78" Type="http://schemas.openxmlformats.org/officeDocument/2006/relationships/hyperlink" TargetMode="External" Target="https://www.e-tar.lt/portal/lt/legalAct/TAR.751B6F8BF451"/>
  <Relationship Id="rId79" Type="http://schemas.openxmlformats.org/officeDocument/2006/relationships/hyperlink" TargetMode="External" Target="https://www.e-tar.lt/portal/lt/legalAct/TAR.313208361D5D"/>
  <Relationship Id="rId8" Type="http://schemas.microsoft.com/office/2007/relationships/stylesWithEffects" Target="stylesWithEffects.xml"/>
  <Relationship Id="rId80" Type="http://schemas.openxmlformats.org/officeDocument/2006/relationships/hyperlink" TargetMode="External" Target="https://www.e-tar.lt/portal/lt/legalAct/TAR.64EB889A3B24"/>
  <Relationship Id="rId81" Type="http://schemas.openxmlformats.org/officeDocument/2006/relationships/hyperlink" TargetMode="External" Target="https://www.e-tar.lt/portal/lt/legalAct/TAR.5ED52629C3C4"/>
  <Relationship Id="rId82" Type="http://schemas.openxmlformats.org/officeDocument/2006/relationships/hyperlink" TargetMode="External" Target="https://www.e-tar.lt/portal/lt/legalAct/TAR.0630DF325F2F"/>
  <Relationship Id="rId83" Type="http://schemas.openxmlformats.org/officeDocument/2006/relationships/hyperlink" TargetMode="External" Target="https://www.e-tar.lt/portal/lt/legalAct/TAR.A57CA999DD08"/>
  <Relationship Id="rId84" Type="http://schemas.openxmlformats.org/officeDocument/2006/relationships/hyperlink" TargetMode="External" Target="https://www.e-tar.lt/portal/lt/legalAct/TAR.668CEF058FF8"/>
  <Relationship Id="rId85" Type="http://schemas.openxmlformats.org/officeDocument/2006/relationships/hyperlink" TargetMode="External" Target="https://www.e-tar.lt/portal/lt/legalAct/TAR.04551A50A76D"/>
  <Relationship Id="rId86" Type="http://schemas.openxmlformats.org/officeDocument/2006/relationships/hyperlink" TargetMode="External" Target="https://www.e-tar.lt/portal/lt/legalAct/TAR.C6E4170DB704"/>
  <Relationship Id="rId87" Type="http://schemas.openxmlformats.org/officeDocument/2006/relationships/hyperlink" TargetMode="External" Target="https://www.e-tar.lt/portal/lt/legalAct/TAR.DC61D74561C5"/>
  <Relationship Id="rId88" Type="http://schemas.openxmlformats.org/officeDocument/2006/relationships/hyperlink" TargetMode="External" Target="https://www.e-tar.lt/portal/lt/legalAct/TAR.DC61D74561C5"/>
  <Relationship Id="rId89" Type="http://schemas.openxmlformats.org/officeDocument/2006/relationships/hyperlink" TargetMode="External" Target="https://www.e-tar.lt/portal/lt/legalAct/TAR.9A2A80746DED"/>
  <Relationship Id="rId9" Type="http://schemas.openxmlformats.org/officeDocument/2006/relationships/theme" Target="theme/theme1.xml"/>
  <Relationship Id="rId90" Type="http://schemas.openxmlformats.org/officeDocument/2006/relationships/hyperlink" TargetMode="External" Target="https://www.e-tar.lt/portal/lt/legalAct/TAR.F7E759DF5DFE"/>
  <Relationship Id="rId91" Type="http://schemas.openxmlformats.org/officeDocument/2006/relationships/hyperlink" TargetMode="External" Target="https://www.e-tar.lt/portal/lt/legalAct/TAR.DC61D74561C5"/>
  <Relationship Id="rId92" Type="http://schemas.openxmlformats.org/officeDocument/2006/relationships/hyperlink" TargetMode="External" Target="https://www.e-tar.lt/portal/lt/legalAct/TAR.9A2A80746DED"/>
  <Relationship Id="rId93" Type="http://schemas.openxmlformats.org/officeDocument/2006/relationships/hyperlink" TargetMode="External" Target="https://www.e-tar.lt/portal/lt/legalAct/TAR.F7E759DF5DFE"/>
  <Relationship Id="rId94" Type="http://schemas.openxmlformats.org/officeDocument/2006/relationships/hyperlink" TargetMode="External" Target="https://www.e-tar.lt/portal/lt/legalAct/TAR.C6E4170DB704"/>
  <Relationship Id="rId95" Type="http://schemas.openxmlformats.org/officeDocument/2006/relationships/hyperlink" TargetMode="External" Target="https://www.e-tar.lt/portal/lt/legalAct/TAR.6CFC2AC8617C"/>
  <Relationship Id="rId96" Type="http://schemas.openxmlformats.org/officeDocument/2006/relationships/hyperlink" TargetMode="External" Target="https://www.e-tar.lt/portal/lt/legalAct/TAR.9BB254501DB8"/>
  <Relationship Id="rId97" Type="http://schemas.openxmlformats.org/officeDocument/2006/relationships/header" Target="header177.xml"/>
  <Relationship Id="rId98" Type="http://schemas.openxmlformats.org/officeDocument/2006/relationships/header" Target="header178.xml"/>
  <Relationship Id="rId99" Type="http://schemas.openxmlformats.org/officeDocument/2006/relationships/header" Target="header187.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133</TotalTime>
  <Pages>237</Pages>
  <Words>301622</Words>
  <Characters>171925</Characters>
  <Application>Microsoft Office Word</Application>
  <DocSecurity>0</DocSecurity>
  <Lines>1432</Lines>
  <Paragraphs>945</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472602</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PETRAUSKAITĖ Girmantė</lastModifiedBy>
  <dcterms:modified xsi:type="dcterms:W3CDTF">2018-09-10T07:25:00Z</dcterms:modified>
  <revision>98</revision>
</coreProperties>
</file>