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2015-07-04 iki 2016-02-29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E356C85AC1C6">
        <w:r w:rsidRPr="00532B9F">
          <w:rPr>
            <w:rFonts w:ascii="Times New Roman" w:eastAsia="MS Mincho" w:hAnsi="Times New Roman"/>
            <w:sz w:val="20"/>
            <w:i/>
            <w:iCs/>
            <w:color w:val="0000FF" w:themeColor="hyperlink"/>
            <w:u w:val="single"/>
          </w:rPr>
          <w:t>74-2555</w:t>
        </w:r>
      </w:fldSimple>
      <w:r>
        <w:rPr>
          <w:rFonts w:ascii="Times New Roman" w:eastAsia="MS Mincho" w:hAnsi="Times New Roman"/>
          <w:sz w:val="20"/>
          <w:i/>
          <w:iCs/>
        </w:rPr>
        <w:t>, i. k. 1041100NUTA00000526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2015-01-01:</w:t>
      </w:r>
    </w:p>
    <w:p>
      <w:pPr>
        <w:rPr>
          <w:rFonts w:ascii="Times New Roman" w:hAnsi="Times New Roman"/>
          <w:sz w:val="20"/>
          <w:i/>
        </w:rPr>
      </w:pPr>
      <w:r>
        <w:rPr>
          <w:rFonts w:ascii="Times New Roman" w:hAnsi="Times New Roman"/>
          <w:sz w:val="20"/>
          <w:i/>
        </w:rPr>
        <w:t xml:space="preserve">Nr. </w:t>
      </w:r>
      <w:fldSimple w:instr="HYPERLINK https://www.e-tar.lt/portal/legalAct.html?documentId=4192270086d911e481c9c95e73113964">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2014-12-15,
paskelbta TAR 2014-12-19, i. k. 2014-20067                </w:t>
      </w:r>
    </w:p>
    <w:p>
      <w:pPr>
        <w:rPr>
          <w:rFonts w:ascii="Times New Roman" w:hAnsi="Times New Roman"/>
          <w:sz w:val="22"/>
        </w:rPr>
      </w:pPr>
    </w:p>
    <w:p>
      <w:pPr>
        <w:suppressAutoHyphens/>
        <w:ind w:right="-1"/>
        <w:jc w:val="center"/>
        <w:rPr>
          <w:b/>
          <w:caps/>
          <w:szCs w:val="24"/>
          <w:lang w:eastAsia="lt-LT"/>
        </w:rPr>
      </w:pPr>
      <w:r>
        <w:rPr>
          <w:b/>
          <w:caps/>
          <w:szCs w:val="24"/>
          <w:lang w:eastAsia="lt-LT"/>
        </w:rPr>
        <w:t>lietuvos respublikos vyriausybė</w:t>
      </w:r>
    </w:p>
    <w:p>
      <w:pPr>
        <w:suppressAutoHyphens/>
        <w:ind w:right="-1"/>
        <w:jc w:val="center"/>
        <w:rPr>
          <w:b/>
          <w:caps/>
          <w:szCs w:val="24"/>
          <w:lang w:eastAsia="lt-LT"/>
        </w:rPr>
      </w:pPr>
    </w:p>
    <w:p>
      <w:pPr>
        <w:suppressAutoHyphens/>
        <w:ind w:right="-1"/>
        <w:jc w:val="center"/>
        <w:rPr>
          <w:b/>
          <w:caps/>
          <w:szCs w:val="24"/>
          <w:lang w:eastAsia="lt-LT"/>
        </w:rPr>
      </w:pPr>
      <w:r>
        <w:rPr>
          <w:b/>
          <w:caps/>
          <w:szCs w:val="24"/>
          <w:lang w:eastAsia="lt-LT"/>
        </w:rPr>
        <w:t>Nutarimas</w:t>
      </w:r>
    </w:p>
    <w:p>
      <w:pPr>
        <w:suppressAutoHyphens/>
        <w:ind w:right="-1"/>
        <w:jc w:val="center"/>
        <w:rPr>
          <w:b/>
          <w:caps/>
          <w:szCs w:val="24"/>
          <w:lang w:eastAsia="lt-LT"/>
        </w:rPr>
      </w:pPr>
      <w:r>
        <w:rPr>
          <w:b/>
          <w:caps/>
          <w:szCs w:val="24"/>
          <w:lang w:eastAsia="lt-LT"/>
        </w:rPr>
        <w:t>Dėl TARNYBINIŲ KOMANDIRUOČIŲ IŠLAIDŲ APMOKĖJIMO BIUDŽETINĖSE ĮSTAIGOSE taisyklių patvirtinimo</w:t>
      </w:r>
    </w:p>
    <w:p>
      <w:pPr>
        <w:suppressAutoHyphens/>
        <w:ind w:right="-1"/>
        <w:jc w:val="center"/>
        <w:rPr>
          <w:b/>
          <w:caps/>
          <w:szCs w:val="24"/>
          <w:lang w:eastAsia="lt-LT"/>
        </w:rPr>
      </w:pPr>
    </w:p>
    <w:p>
      <w:pPr>
        <w:suppressAutoHyphens/>
        <w:ind w:right="-1"/>
        <w:jc w:val="center"/>
        <w:rPr>
          <w:b/>
          <w:caps/>
          <w:szCs w:val="24"/>
          <w:lang w:eastAsia="lt-LT"/>
        </w:rPr>
      </w:pPr>
      <w:r>
        <w:rPr>
          <w:color w:val="000000"/>
        </w:rPr>
        <w:t>2004 m. balandžio 29 d. Nr. 526</w:t>
      </w:r>
    </w:p>
    <w:p>
      <w:pPr>
        <w:suppressAutoHyphens/>
        <w:ind w:right="-1"/>
        <w:jc w:val="center"/>
        <w:rPr>
          <w:caps/>
          <w:szCs w:val="24"/>
          <w:lang w:eastAsia="lt-LT"/>
        </w:rPr>
      </w:pPr>
      <w:r>
        <w:rPr>
          <w:szCs w:val="24"/>
          <w:lang w:eastAsia="lt-LT"/>
        </w:rPr>
        <w:t>Vilnius</w:t>
      </w:r>
    </w:p>
    <w:p>
      <w:pPr>
        <w:suppressAutoHyphens/>
        <w:ind w:firstLine="720"/>
        <w:jc w:val="center"/>
        <w:rPr>
          <w:b/>
          <w:caps/>
          <w:szCs w:val="24"/>
          <w:lang w:eastAsia="lt-LT"/>
        </w:rPr>
      </w:pPr>
    </w:p>
    <w:p>
      <w:pPr>
        <w:spacing w:line="360" w:lineRule="atLeast"/>
        <w:ind w:firstLine="720"/>
        <w:jc w:val="both"/>
        <w:rPr>
          <w:szCs w:val="24"/>
          <w:lang w:eastAsia="lt-LT"/>
        </w:rPr>
      </w:pPr>
      <w:r>
        <w:rPr>
          <w:lang w:eastAsia="lt-LT"/>
        </w:rPr>
        <w:t>Vadovaudamasi Lietuvos Respublikos darbo kodekso 220 straipsnio 1 ir 2 dalimis, Lietuvos Respublikos valstybės tarnybos įstatymo 43 straipsnio 9 dalimi, Lietuvos Respublikos vietos savivaldos įstatymo 26 straipsnio 3 dalimi, Lietuvos Respublikos prokuratūros įstatymo 52 straipsnio 9 dalimi, Tarnybos Lietuvos Respublikos muitinėje statuto, patvirtinto Lietuvos Respublikos tarnybos Lietuvos Respublikos muitinėje statuto patvirtinimo ir įgyvendinimo įstatymu, 54 straipsnio 3 dalimi ir Lietuvos Respublikos saugios laivybos įstatymo 4 straipsnio 5 dalimi, Lietuvos Respublikos Vyriausybė</w:t>
      </w:r>
      <w:r>
        <w:rPr>
          <w:spacing w:val="100"/>
          <w:lang w:eastAsia="lt-LT"/>
        </w:rPr>
        <w:t xml:space="preserve"> nutari</w:t>
      </w:r>
      <w:r>
        <w:rPr>
          <w:lang w:eastAsia="lt-LT"/>
        </w:rPr>
        <w: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57a61001efd11e586708c6593c243ce">
        <w:r w:rsidRPr="00532B9F">
          <w:rPr>
            <w:rFonts w:ascii="Times New Roman" w:eastAsia="MS Mincho" w:hAnsi="Times New Roman"/>
            <w:sz w:val="20"/>
            <w:i/>
            <w:iCs/>
            <w:color w:val="0000FF" w:themeColor="hyperlink"/>
            <w:u w:val="single"/>
          </w:rPr>
          <w:t>653</w:t>
        </w:r>
      </w:fldSimple>
      <w:r>
        <w:rPr>
          <w:rFonts w:ascii="Times New Roman" w:eastAsia="MS Mincho" w:hAnsi="Times New Roman"/>
          <w:sz w:val="20"/>
          <w:i/>
          <w:iCs/>
        </w:rPr>
        <w:t>,
2015-06-26,
paskelbta TAR 2015-06-30, i. k. 2015-10415            </w:t>
      </w:r>
    </w:p>
    <w:p/>
    <w:p>
      <w:pPr>
        <w:spacing w:line="360" w:lineRule="atLeast"/>
        <w:ind w:firstLine="720"/>
        <w:jc w:val="both"/>
        <w:rPr>
          <w:szCs w:val="24"/>
          <w:lang w:eastAsia="lt-LT"/>
        </w:rPr>
      </w:pPr>
      <w:r>
        <w:rPr>
          <w:szCs w:val="24"/>
          <w:lang w:eastAsia="lt-LT"/>
        </w:rPr>
        <w:t>1</w:t>
      </w:r>
      <w:r>
        <w:rPr>
          <w:szCs w:val="24"/>
          <w:lang w:eastAsia="lt-LT"/>
        </w:rPr>
        <w:t>. Patvirtinti Tarnybinių komandiruočių išlaidų apmokėjimo biudžetinėse įstaigose taisykles (pridedama).</w:t>
      </w:r>
    </w:p>
    <w:p>
      <w:pPr>
        <w:spacing w:line="360" w:lineRule="atLeast"/>
        <w:ind w:firstLine="720"/>
        <w:jc w:val="both"/>
        <w:rPr>
          <w:szCs w:val="24"/>
          <w:lang w:eastAsia="lt-LT"/>
        </w:rPr>
      </w:pPr>
      <w:r>
        <w:rPr>
          <w:szCs w:val="24"/>
          <w:lang w:eastAsia="lt-LT"/>
        </w:rPr>
        <w:t>2</w:t>
      </w:r>
      <w:r>
        <w:rPr>
          <w:szCs w:val="24"/>
          <w:lang w:eastAsia="lt-LT"/>
        </w:rPr>
        <w:t>. Nustatyti, kad:</w:t>
      </w:r>
    </w:p>
    <w:p>
      <w:pPr>
        <w:spacing w:line="360" w:lineRule="atLeast"/>
        <w:ind w:firstLine="720"/>
        <w:jc w:val="both"/>
        <w:rPr>
          <w:szCs w:val="24"/>
          <w:lang w:eastAsia="lt-LT"/>
        </w:rPr>
      </w:pPr>
      <w:r>
        <w:rPr>
          <w:szCs w:val="24"/>
          <w:lang w:eastAsia="lt-LT"/>
        </w:rPr>
        <w:t>2.1</w:t>
      </w:r>
      <w:r>
        <w:rPr>
          <w:szCs w:val="24"/>
          <w:lang w:eastAsia="lt-LT"/>
        </w:rPr>
        <w:t>. Šiuo nutarimu patvirtintos Tarnybinių komandiruočių išlaidų apmokėjimo biudžetinėse įstaigose taisyklės (toliau – Taisyklės) taikomos ir valstybės tarnautojams bei darbuotojams, perkeltiems į kitas pareigas Lietuvos Respublikos diplomatinėse atstovybėse, konsulinėse įstaigose ir atstovybėse prie tarptautinių organizacijų. Taisyklės taip pat taikomos laikinai perkeltiems į pareigas tarptautinėje organizacijoje ar institucijoje, Europos Sąjungos institucijoje ar įstaigoje, jeigu darbo užmokestį jiems moka Lietuvos Respublikos institucijos ar įstaigos.</w:t>
      </w:r>
    </w:p>
    <w:p>
      <w:pPr>
        <w:spacing w:line="360" w:lineRule="atLeast"/>
        <w:ind w:firstLine="720"/>
        <w:jc w:val="both"/>
        <w:rPr>
          <w:szCs w:val="24"/>
          <w:lang w:eastAsia="lt-LT"/>
        </w:rPr>
      </w:pPr>
      <w:r>
        <w:rPr>
          <w:szCs w:val="24"/>
          <w:lang w:eastAsia="lt-LT"/>
        </w:rPr>
        <w:t>2.2</w:t>
      </w:r>
      <w:r>
        <w:rPr>
          <w:szCs w:val="24"/>
          <w:lang w:eastAsia="lt-LT"/>
        </w:rPr>
        <w:t xml:space="preserve">. Taisyklės </w:t>
      </w:r>
      <w:r>
        <w:rPr>
          <w:i/>
          <w:szCs w:val="24"/>
          <w:lang w:eastAsia="lt-LT"/>
        </w:rPr>
        <w:t>mutatis mutandis</w:t>
      </w:r>
      <w:r>
        <w:rPr>
          <w:szCs w:val="24"/>
          <w:lang w:eastAsia="lt-LT"/>
        </w:rPr>
        <w:t xml:space="preserve"> taikomos ir kariams, jeigu Lietuvos Respublikos krašto apsaugos sistemos organizavimo ir karo tarnybos įstatymas nenustato kitaip.</w:t>
      </w:r>
    </w:p>
    <w:p>
      <w:pPr>
        <w:spacing w:line="360" w:lineRule="atLeast"/>
        <w:ind w:firstLine="720"/>
        <w:jc w:val="both"/>
      </w:pPr>
      <w:r>
        <w:rPr>
          <w:szCs w:val="24"/>
          <w:lang w:eastAsia="lt-LT"/>
        </w:rPr>
        <w:t>2.3</w:t>
      </w:r>
      <w:r>
        <w:rPr>
          <w:szCs w:val="24"/>
          <w:lang w:eastAsia="lt-LT"/>
        </w:rPr>
        <w:t>. Pagal Taisykles apmokėtos tarnybinių komandiruočių išlaidos laikomos komandiruočių kompensacijomis, jeigu Taisyklėse nenustatyta kitaip.</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 xml:space="preserve">Ministrą Pirmininką </w:t>
      </w:r>
    </w:p>
    <w:p>
      <w:pPr>
        <w:tabs>
          <w:tab w:val="right" w:pos="9639"/>
        </w:tabs>
        <w:rPr>
          <w:color w:val="000000"/>
        </w:rPr>
      </w:pPr>
      <w:r>
        <w:rPr>
          <w:caps/>
        </w:rPr>
        <w:t xml:space="preserve">pavaduojanti finansų ministrė </w:t>
        <w:tab/>
        <w:t>Dalia Grybauskaitė</w:t>
      </w:r>
    </w:p>
    <w:p/>
    <w:p>
      <w:pPr>
        <w:ind w:left="4820"/>
      </w:pPr>
      <w:r>
        <w:br w:type="page"/>
      </w:r>
    </w:p>
    <w:p>
      <w:pPr>
        <w:ind w:left="4820"/>
        <w:rPr>
          <w:lang w:eastAsia="lt-LT"/>
        </w:rPr>
      </w:pPr>
      <w:r>
        <w:rPr>
          <w:lang w:eastAsia="ar-SA"/>
        </w:rPr>
        <w:t>PATVIRTINTA</w:t>
        <w:br/>
        <w:t>Lietuvos Respublikos Vyriausybės</w:t>
        <w:br/>
        <w:t>2004 m. balandžio 29 d. nutarimu Nr. 526</w:t>
        <w:br/>
        <w:t>(Lietuvos Respublikos Vyriausybės</w:t>
        <w:br/>
      </w:r>
      <w:r>
        <w:rPr>
          <w:lang w:eastAsia="lt-LT"/>
        </w:rPr>
        <w:t>2014 m. gruodžio 15 d.</w:t>
      </w:r>
      <w:r>
        <w:rPr>
          <w:lang w:eastAsia="ar-SA"/>
        </w:rPr>
        <w:t xml:space="preserve"> nutarimo Nr. </w:t>
      </w:r>
      <w:r>
        <w:rPr>
          <w:lang w:eastAsia="lt-LT"/>
        </w:rPr>
        <w:t>1433</w:t>
        <w:br/>
        <w:t>redakcija)</w:t>
      </w:r>
    </w:p>
    <w:p>
      <w:pPr>
        <w:tabs>
          <w:tab w:val="left" w:pos="-426"/>
        </w:tabs>
        <w:rPr>
          <w:lang w:eastAsia="lt-LT"/>
        </w:rPr>
      </w:pPr>
    </w:p>
    <w:p>
      <w:pPr>
        <w:tabs>
          <w:tab w:val="left" w:pos="6237"/>
        </w:tabs>
        <w:rPr>
          <w:color w:val="000000"/>
          <w:lang w:eastAsia="lt-LT"/>
        </w:rPr>
      </w:pPr>
    </w:p>
    <w:p>
      <w:pPr>
        <w:tabs>
          <w:tab w:val="left" w:pos="6237"/>
        </w:tabs>
        <w:rPr>
          <w:color w:val="000000"/>
          <w:lang w:eastAsia="lt-LT"/>
        </w:rPr>
      </w:pPr>
    </w:p>
    <w:p>
      <w:pPr>
        <w:suppressAutoHyphens/>
        <w:ind w:right="-1"/>
        <w:jc w:val="center"/>
        <w:rPr>
          <w:b/>
          <w:szCs w:val="24"/>
          <w:lang w:eastAsia="lt-LT"/>
        </w:rPr>
      </w:pPr>
      <w:r>
        <w:rPr>
          <w:b/>
          <w:szCs w:val="24"/>
          <w:lang w:eastAsia="lt-LT"/>
        </w:rPr>
        <w:t>TARNYBINIŲ KOMANDIRUOČIŲ IŠLAIDŲ APMOKĖJIMO BIUDŽETINĖSE ĮSTAIGOSE TAISYKLĖS</w:t>
      </w:r>
    </w:p>
    <w:p>
      <w:pPr>
        <w:suppressAutoHyphens/>
        <w:ind w:right="-1"/>
        <w:rPr>
          <w:szCs w:val="24"/>
          <w:lang w:eastAsia="lt-LT"/>
        </w:rPr>
      </w:pPr>
    </w:p>
    <w:p>
      <w:pPr>
        <w:suppressAutoHyphens/>
        <w:ind w:right="-1"/>
        <w:rPr>
          <w:szCs w:val="24"/>
          <w:lang w:eastAsia="lt-LT"/>
        </w:rPr>
      </w:pPr>
    </w:p>
    <w:p>
      <w:pPr>
        <w:suppressAutoHyphens/>
        <w:ind w:right="-1"/>
        <w:rPr>
          <w:szCs w:val="24"/>
          <w:lang w:eastAsia="lt-LT"/>
        </w:rPr>
      </w:pPr>
    </w:p>
    <w:p>
      <w:pPr>
        <w:keepNext/>
        <w:keepLines/>
        <w:tabs>
          <w:tab w:val="left" w:pos="227"/>
          <w:tab w:val="num" w:pos="397"/>
        </w:tabs>
        <w:suppressAutoHyphens/>
        <w:jc w:val="center"/>
        <w:rPr>
          <w:b/>
          <w:szCs w:val="24"/>
          <w:lang w:eastAsia="lt-LT"/>
        </w:rPr>
      </w:pPr>
      <w:r>
        <w:rPr>
          <w:b/>
          <w:szCs w:val="24"/>
          <w:lang w:eastAsia="lt-LT"/>
        </w:rPr>
        <w:t>I</w:t>
      </w:r>
      <w:r>
        <w:rPr>
          <w:b/>
          <w:szCs w:val="24"/>
          <w:lang w:eastAsia="lt-LT"/>
        </w:rPr>
        <w:t xml:space="preserve"> SKYRIUS</w:t>
      </w:r>
    </w:p>
    <w:p>
      <w:pPr>
        <w:keepNext/>
        <w:keepLines/>
        <w:tabs>
          <w:tab w:val="left" w:pos="227"/>
        </w:tabs>
        <w:suppressAutoHyphens/>
        <w:jc w:val="center"/>
        <w:rPr>
          <w:b/>
          <w:szCs w:val="24"/>
          <w:lang w:eastAsia="lt-LT"/>
        </w:rPr>
      </w:pPr>
      <w:r>
        <w:rPr>
          <w:b/>
          <w:szCs w:val="24"/>
          <w:lang w:eastAsia="lt-LT"/>
        </w:rPr>
        <w:t>BENDROSIOS NUOSTATOS</w:t>
      </w:r>
    </w:p>
    <w:p>
      <w:pPr>
        <w:suppressAutoHyphens/>
        <w:jc w:val="both"/>
        <w:rPr>
          <w:szCs w:val="24"/>
          <w:lang w:eastAsia="lt-LT"/>
        </w:rPr>
      </w:pPr>
    </w:p>
    <w:p>
      <w:pPr>
        <w:tabs>
          <w:tab w:val="left" w:pos="993"/>
          <w:tab w:val="num" w:pos="2880"/>
        </w:tabs>
        <w:spacing w:line="360" w:lineRule="atLeast"/>
        <w:ind w:firstLine="720"/>
        <w:jc w:val="both"/>
        <w:rPr>
          <w:szCs w:val="24"/>
          <w:lang w:eastAsia="lt-LT"/>
        </w:rPr>
      </w:pPr>
      <w:r>
        <w:rPr>
          <w:szCs w:val="24"/>
          <w:lang w:eastAsia="lt-LT"/>
        </w:rPr>
        <w:t>1</w:t>
      </w:r>
      <w:r>
        <w:rPr>
          <w:szCs w:val="24"/>
          <w:lang w:eastAsia="lt-LT"/>
        </w:rPr>
        <w:t xml:space="preserve">. </w:t>
      </w:r>
      <w:r>
        <w:rPr>
          <w:spacing w:val="-2"/>
          <w:szCs w:val="24"/>
          <w:lang w:eastAsia="lt-LT"/>
        </w:rPr>
        <w:t>Tarnybinių komandiruočių išlaidų apmokėjimo biudžetinėse įstaigose taisyklės (toliau –</w:t>
      </w:r>
      <w:r>
        <w:rPr>
          <w:szCs w:val="24"/>
          <w:lang w:eastAsia="lt-LT"/>
        </w:rPr>
        <w:t xml:space="preserve"> Taisyklės) nustato tarnybinių komandiruočių išlaidų apmokėjimo biudžetinėse įstaigose (toliau – įstaiga) tvarką.</w:t>
      </w:r>
    </w:p>
    <w:p>
      <w:pPr>
        <w:tabs>
          <w:tab w:val="left" w:pos="993"/>
          <w:tab w:val="num" w:pos="2880"/>
        </w:tabs>
        <w:spacing w:line="360" w:lineRule="atLeast"/>
        <w:ind w:firstLine="720"/>
        <w:jc w:val="both"/>
        <w:rPr>
          <w:szCs w:val="24"/>
          <w:lang w:eastAsia="lt-LT"/>
        </w:rPr>
      </w:pPr>
      <w:r>
        <w:rPr>
          <w:szCs w:val="24"/>
          <w:lang w:eastAsia="lt-LT"/>
        </w:rPr>
        <w:t>2</w:t>
      </w:r>
      <w:r>
        <w:rPr>
          <w:szCs w:val="24"/>
          <w:lang w:eastAsia="lt-LT"/>
        </w:rPr>
        <w:t>. Tarnybine komandiruote (toliau – komandiruotė) laikomas:</w:t>
      </w:r>
    </w:p>
    <w:p>
      <w:pPr>
        <w:tabs>
          <w:tab w:val="left" w:pos="1134"/>
        </w:tabs>
        <w:spacing w:line="360" w:lineRule="atLeast"/>
        <w:ind w:firstLine="720"/>
        <w:jc w:val="both"/>
        <w:rPr>
          <w:szCs w:val="24"/>
          <w:lang w:eastAsia="lt-LT"/>
        </w:rPr>
      </w:pPr>
      <w:r>
        <w:rPr>
          <w:szCs w:val="24"/>
          <w:lang w:eastAsia="lt-LT"/>
        </w:rPr>
        <w:t>2.1</w:t>
      </w:r>
      <w:r>
        <w:rPr>
          <w:szCs w:val="24"/>
          <w:lang w:eastAsia="lt-LT"/>
        </w:rPr>
        <w:t>.</w:t>
        <w:tab/>
        <w:t>valstybės politiko arba valstybės pareigūno, arba teisėjo, arba valstybės tarnautojo, arba darbuotojo, dirbančio pagal darbo sutartį (toliau – darbuotojas), išvykimas ne trumpiau kaip vienai darbo dienai (išskyrus atvejus, kai dėl objektyvių aplinkybių komandiruotė turi vykti poilsio ir (arba) švenčių dienomis) (toliau – viena darbo diena) iš nuolatinės darbo vietos įstaigos vadovo arba jo įgalioto asmens siuntimu atlikti darbo funkcijų, vykdyti</w:t>
      </w:r>
      <w:r>
        <w:rPr>
          <w:b/>
          <w:szCs w:val="24"/>
          <w:lang w:eastAsia="lt-LT"/>
        </w:rPr>
        <w:t xml:space="preserve"> </w:t>
      </w:r>
      <w:r>
        <w:rPr>
          <w:szCs w:val="24"/>
          <w:lang w:eastAsia="lt-LT"/>
        </w:rPr>
        <w:t>tarnybinio pavedimo ar tobulinti kvalifikacijos;</w:t>
      </w:r>
    </w:p>
    <w:p>
      <w:pPr>
        <w:tabs>
          <w:tab w:val="left" w:pos="1134"/>
        </w:tabs>
        <w:spacing w:line="360" w:lineRule="atLeast"/>
        <w:ind w:firstLine="720"/>
        <w:jc w:val="both"/>
        <w:rPr>
          <w:szCs w:val="24"/>
          <w:lang w:eastAsia="lt-LT"/>
        </w:rPr>
      </w:pPr>
      <w:r>
        <w:rPr>
          <w:szCs w:val="24"/>
          <w:lang w:eastAsia="lt-LT"/>
        </w:rPr>
        <w:t>2.2</w:t>
      </w:r>
      <w:r>
        <w:rPr>
          <w:szCs w:val="24"/>
          <w:lang w:eastAsia="lt-LT"/>
        </w:rPr>
        <w:t>.</w:t>
        <w:tab/>
        <w:t xml:space="preserve">kario, civilinę krašto apsaugos tarnybą atliekančio statutinio valstybės tarnautojo (toliau – statutinis tarnautojas) ar darbuotojo išvykimas už Lietuvos Respublikos teritorijos ribų laikotarpiui iki 90 dienų (įskaitytinai), kai karys, statutinis tarnautojas ar darbuotojas krašto apsaugos ministro ar jo įgalioto asmens įsakymu siunčiamas atlikti tarnybos tarptautinių operacijų kariniame vienete (įskaitant dalyvavimą tarptautinėse karinėse pratybose ar kituose karinio bendradarbiavimo renginiuose), taip pat tarptautinių operacijų vietovėje atlikti tarnybinių užduočių, tiesiogiai nesusijusių su tarptautinių operacijų karinio vieneto vykdomomis užduotimis. </w:t>
      </w:r>
    </w:p>
    <w:p>
      <w:pPr>
        <w:spacing w:line="360" w:lineRule="atLeast"/>
        <w:ind w:firstLine="720"/>
        <w:jc w:val="both"/>
        <w:rPr>
          <w:szCs w:val="24"/>
          <w:lang w:eastAsia="lt-LT"/>
        </w:rPr>
      </w:pPr>
      <w:r>
        <w:rPr>
          <w:szCs w:val="24"/>
          <w:lang w:eastAsia="lt-LT"/>
        </w:rPr>
        <w:t>Komandiruotės metu darbuotojui, kai jis siunčiamas tarptautinių operacijų vietovėje atlikti tarnybinių užduočių, tiesiogiai nesusijusių su tarptautinių operacijų karinio vieneto vykdomomis užduotimis, taikomi šiuo nutarimu nustatyti dienpinigiai, taip pat papildomos apmokėjimo ir aprūpinimo sąlygos, kurias statutiniam tarnautojui už tarnybą tarptautinių operacijų metu nustato Lietuvos Respublikos Vyriausybės 2004 m. kovo 17 d. nutarimas Nr. 287 „Dėl Lietuvos karių ir civilių krašto apsaugos sistemos tarnautojų tarnybos tarptautinių operacijų kariniuose vienetuose, tarptautinėse operacijose ir rengimosi joms sąlygų patvirtinimo“;</w:t>
      </w:r>
    </w:p>
    <w:p>
      <w:pPr>
        <w:tabs>
          <w:tab w:val="left" w:pos="1134"/>
        </w:tabs>
        <w:spacing w:line="360" w:lineRule="atLeast"/>
        <w:ind w:firstLine="720"/>
        <w:jc w:val="both"/>
        <w:rPr>
          <w:szCs w:val="24"/>
          <w:lang w:eastAsia="lt-LT"/>
        </w:rPr>
      </w:pPr>
      <w:r>
        <w:rPr>
          <w:szCs w:val="24"/>
          <w:lang w:eastAsia="lt-LT"/>
        </w:rPr>
        <w:t>2.3</w:t>
      </w:r>
      <w:r>
        <w:rPr>
          <w:szCs w:val="24"/>
          <w:lang w:eastAsia="lt-LT"/>
        </w:rPr>
        <w:t>.</w:t>
        <w:tab/>
        <w:t>darbuotojo išvykimas už Lietuvos Respublikos teritorijos ribų, kai darbuotojui apmokamos su komandiruote susijusios išlaidos (toliau – komandiruotės išlaidos), nurodytos Taisyklių 7.1–7.11 papunkčiuose, iš Europos Sąjungos ir (arba) kitos tarptautinės finansinės paramos, kitų tarptautinių organizacijų ir institucijų skiriamų lėšų (išskyrus iš Europos Sąjungos ir (arba) kitos tarptautinės finansinės paramos lėšų, kurios suplanuotos Lietuvos Respublikos valstybės biudžete) pagal Europos Sąjungos ir (arba) kitos tarptautinės finansinės paramos, kitų tarptautinių organizacijų ir institucijų skiriamų lėšų naudojimą reglamentuojančiuose teisės aktuose nustatytą tvarką ir kai Europos Sąjungos ir (arba) kita tarptautinė organizacija ir institucija komandiruotam darbuotojui atlygina komandiruotės išlaidas. Šiuo atveju netaikomos Taisyklių II skyriuje nustatytos komandiruočių į užsienio valstybes išlaidų apmokėjimo sąlygos.</w:t>
      </w:r>
    </w:p>
    <w:p>
      <w:pPr>
        <w:tabs>
          <w:tab w:val="num" w:pos="993"/>
          <w:tab w:val="num" w:pos="2880"/>
        </w:tabs>
        <w:spacing w:line="360" w:lineRule="atLeast"/>
        <w:ind w:firstLine="720"/>
        <w:jc w:val="both"/>
        <w:rPr>
          <w:szCs w:val="24"/>
          <w:lang w:eastAsia="lt-LT"/>
        </w:rPr>
      </w:pPr>
      <w:r>
        <w:rPr>
          <w:szCs w:val="24"/>
          <w:lang w:eastAsia="lt-LT"/>
        </w:rPr>
        <w:t>3</w:t>
      </w:r>
      <w:r>
        <w:rPr>
          <w:szCs w:val="24"/>
          <w:lang w:eastAsia="lt-LT"/>
        </w:rPr>
        <w:t>. Pasiųstam į komandiruotę darbuotojui per visą komandiruotės laiką paliekama darbo vieta (pareigos) ir darbo užmokestis.</w:t>
      </w:r>
    </w:p>
    <w:p>
      <w:pPr>
        <w:tabs>
          <w:tab w:val="num" w:pos="993"/>
          <w:tab w:val="num" w:pos="2880"/>
        </w:tabs>
        <w:spacing w:line="360" w:lineRule="atLeast"/>
        <w:ind w:firstLine="720"/>
        <w:jc w:val="both"/>
        <w:rPr>
          <w:szCs w:val="24"/>
          <w:lang w:eastAsia="lt-LT"/>
        </w:rPr>
      </w:pPr>
      <w:r>
        <w:rPr>
          <w:szCs w:val="24"/>
          <w:lang w:eastAsia="lt-LT"/>
        </w:rPr>
        <w:t>4</w:t>
      </w:r>
      <w:r>
        <w:rPr>
          <w:szCs w:val="24"/>
          <w:lang w:eastAsia="lt-LT"/>
        </w:rPr>
        <w:t>. Įstaigų vadovai arba jų įgalioti asmenys gali siųsti savo darbuotojus į komandiruotę į užsienio valstybę ne ilgiau kaip 30 kalendorinių dienų (neįskaitant kelionės laiko). Jeigu yra atskiras Lietuvos Respublikos Ministro Pirmininko sprendimas dėl atstovavimo Lietuvos Respublikai tarptautiniuose renginiuose arba kai darbuotojo komandiruotės išlaidos apmokamos iš Europos Sąjungos ir (arba) kitos tarptautinės finansinės paramos, kitų tarptautinių organizacijų ir institucijų skiriamų lėšų (išskyrus iš Europos Sąjungos ir (arba) kitos tarptautinės finansinės paramos lėšų, kurios suplanuotos Lietuvos Respublikos valstybės biudžete) pagal Europos Sąjungos ir (arba) kitos tarptautinės finansinės paramos, kitų tarptautinių organizacijų ir institucijų skiriamų lėšų naudojimą reglamentuojančiuose teisės aktuose nustatytą tvarką ir kai Europos Sąjungos ir (arba) kita tarptautinė organizacija ir institucija komandiruotam darbuotojui atlygina komandiruotės išlaidas, siunčiamo į užsienį darbuotojo komandiruotės trukmė gali būti ilgesnė kaip 30 kalendorinių dienų.</w:t>
      </w:r>
    </w:p>
    <w:p>
      <w:pPr>
        <w:tabs>
          <w:tab w:val="num" w:pos="0"/>
          <w:tab w:val="left" w:pos="993"/>
        </w:tabs>
        <w:spacing w:line="360" w:lineRule="atLeast"/>
        <w:ind w:firstLine="720"/>
        <w:jc w:val="both"/>
        <w:rPr>
          <w:szCs w:val="24"/>
          <w:lang w:eastAsia="lt-LT"/>
        </w:rPr>
      </w:pPr>
      <w:r>
        <w:rPr>
          <w:szCs w:val="24"/>
          <w:lang w:eastAsia="lt-LT"/>
        </w:rPr>
        <w:t>5</w:t>
      </w:r>
      <w:r>
        <w:rPr>
          <w:szCs w:val="24"/>
          <w:lang w:eastAsia="lt-LT"/>
        </w:rPr>
        <w:t>. Siuntimas į komandiruotę, išskyrus siuntimą į komandiruotę vienai darbo dienai Lietuvos Respublikos teritorijoje ir reziduojamos valstybės teritorijoje, įforminamas įstaigos vadovo arba jo įgalioto asmens įsakymu arba potvarkiu, kuriame turi būti nurodyta siunčiamo į komandiruotę darbuotojo vardas, pavardė, pareigos, komandiruotės tikslas, vietovė (vietovės), komandiruotės trukmė ir komandiruotės išlaidos, kurias apmokės įstaiga. Siunčiamam į komandiruotę darbuotojui gali būti išmokamas avansas. Įsakyme arba potvarkyje nurodytas avanso dydis neturi viršyti numatomų komandiruotės išlaidų.</w:t>
      </w:r>
    </w:p>
    <w:p>
      <w:pPr>
        <w:spacing w:line="360" w:lineRule="atLeast"/>
        <w:ind w:firstLine="720"/>
        <w:jc w:val="both"/>
        <w:rPr>
          <w:szCs w:val="24"/>
          <w:lang w:eastAsia="lt-LT"/>
        </w:rPr>
      </w:pPr>
      <w:r>
        <w:rPr>
          <w:szCs w:val="24"/>
          <w:lang w:eastAsia="lt-LT"/>
        </w:rPr>
        <w:t>Siuntimas į komandiruotę vienai darbo dienai Lietuvos Respublikos teritorijoje ir reziduojamos valstybės teritorijoje įforminamas įstaigos vadovo arba jo įgalioto asmens rezoliucija, patvirtinančia, kad tarnybinis pranešimas ar darbuotojo prašymas išvykti iš nuolatinės darbo vietos suderintas.</w:t>
      </w:r>
    </w:p>
    <w:p>
      <w:pPr>
        <w:tabs>
          <w:tab w:val="num" w:pos="709"/>
          <w:tab w:val="left" w:pos="993"/>
          <w:tab w:val="num" w:pos="2880"/>
        </w:tabs>
        <w:spacing w:line="360" w:lineRule="atLeast"/>
        <w:ind w:firstLine="720"/>
        <w:jc w:val="both"/>
        <w:rPr>
          <w:szCs w:val="24"/>
          <w:lang w:eastAsia="lt-LT"/>
        </w:rPr>
      </w:pPr>
      <w:r>
        <w:rPr>
          <w:szCs w:val="24"/>
          <w:lang w:eastAsia="lt-LT"/>
        </w:rPr>
        <w:t>6</w:t>
      </w:r>
      <w:r>
        <w:rPr>
          <w:szCs w:val="24"/>
          <w:lang w:eastAsia="lt-LT"/>
        </w:rPr>
        <w:t>. Grįžęs iš komandiruotės darbuotojas privalo per 3 darbo dienas pateikti jį komandiravusiai įstaigai ataskaitą ir atitinkamus dokumentus apie komandiruotės metu patirtas faktines išlaidas. Jeigu buvo išmokėtas avansas, – grąžinti nepanaudotą avanso likutį.</w:t>
      </w:r>
    </w:p>
    <w:p>
      <w:pPr>
        <w:ind w:firstLine="720"/>
        <w:jc w:val="both"/>
        <w:rPr>
          <w:szCs w:val="24"/>
          <w:lang w:eastAsia="lt-LT"/>
        </w:rPr>
      </w:pPr>
    </w:p>
    <w:p>
      <w:pPr>
        <w:keepNext/>
        <w:keepLines/>
        <w:tabs>
          <w:tab w:val="left" w:pos="284"/>
          <w:tab w:val="num" w:pos="397"/>
        </w:tabs>
        <w:jc w:val="center"/>
        <w:rPr>
          <w:b/>
          <w:szCs w:val="24"/>
          <w:lang w:eastAsia="lt-LT"/>
        </w:rPr>
      </w:pPr>
      <w:r>
        <w:rPr>
          <w:b/>
          <w:szCs w:val="24"/>
          <w:lang w:eastAsia="lt-LT"/>
        </w:rPr>
        <w:t>II</w:t>
      </w:r>
      <w:r>
        <w:rPr>
          <w:b/>
          <w:szCs w:val="24"/>
          <w:lang w:eastAsia="lt-LT"/>
        </w:rPr>
        <w:t xml:space="preserve"> SKYRIUS</w:t>
      </w:r>
    </w:p>
    <w:p>
      <w:pPr>
        <w:keepNext/>
        <w:keepLines/>
        <w:tabs>
          <w:tab w:val="left" w:pos="284"/>
        </w:tabs>
        <w:jc w:val="center"/>
        <w:rPr>
          <w:b/>
          <w:szCs w:val="24"/>
          <w:lang w:eastAsia="lt-LT"/>
        </w:rPr>
      </w:pPr>
      <w:r>
        <w:rPr>
          <w:b/>
          <w:szCs w:val="24"/>
          <w:lang w:eastAsia="lt-LT"/>
        </w:rPr>
        <w:t>KOMANDIRUOČIŲ Į UŽSIENIO VALSTYBES IŠLAIDŲ APMOKĖJIMAS</w:t>
      </w:r>
    </w:p>
    <w:p>
      <w:pPr>
        <w:keepNext/>
        <w:ind w:firstLine="720"/>
        <w:jc w:val="both"/>
        <w:rPr>
          <w:szCs w:val="24"/>
          <w:lang w:eastAsia="lt-LT"/>
        </w:rPr>
      </w:pPr>
    </w:p>
    <w:p>
      <w:pPr>
        <w:tabs>
          <w:tab w:val="left" w:pos="993"/>
        </w:tabs>
        <w:spacing w:line="360" w:lineRule="atLeast"/>
        <w:ind w:firstLine="720"/>
        <w:jc w:val="both"/>
        <w:rPr>
          <w:szCs w:val="24"/>
          <w:lang w:eastAsia="lt-LT"/>
        </w:rPr>
      </w:pPr>
      <w:r>
        <w:rPr>
          <w:szCs w:val="24"/>
          <w:lang w:eastAsia="lt-LT"/>
        </w:rPr>
        <w:t>7</w:t>
      </w:r>
      <w:r>
        <w:rPr>
          <w:szCs w:val="24"/>
          <w:lang w:eastAsia="lt-LT"/>
        </w:rPr>
        <w:t>.</w:t>
        <w:tab/>
        <w:t>Kai darbuotojas siunčiamas į komandiruotę į užsienio valstybę (valstybes), jam apmokamos šios komandiruotės išlaidos:</w:t>
      </w:r>
    </w:p>
    <w:p>
      <w:pPr>
        <w:tabs>
          <w:tab w:val="left" w:pos="1134"/>
        </w:tabs>
        <w:spacing w:line="360" w:lineRule="atLeast"/>
        <w:ind w:firstLine="720"/>
        <w:jc w:val="both"/>
        <w:rPr>
          <w:szCs w:val="24"/>
          <w:lang w:eastAsia="lt-LT"/>
        </w:rPr>
      </w:pPr>
      <w:r>
        <w:rPr>
          <w:szCs w:val="24"/>
          <w:lang w:eastAsia="lt-LT"/>
        </w:rPr>
        <w:t>7.1</w:t>
      </w:r>
      <w:r>
        <w:rPr>
          <w:szCs w:val="24"/>
          <w:lang w:eastAsia="lt-LT"/>
        </w:rPr>
        <w:t>.</w:t>
        <w:tab/>
        <w:t>dienpinigiai;</w:t>
      </w:r>
    </w:p>
    <w:p>
      <w:pPr>
        <w:tabs>
          <w:tab w:val="left" w:pos="1134"/>
        </w:tabs>
        <w:spacing w:line="360" w:lineRule="atLeast"/>
        <w:ind w:firstLine="720"/>
        <w:jc w:val="both"/>
        <w:rPr>
          <w:szCs w:val="24"/>
          <w:lang w:eastAsia="lt-LT"/>
        </w:rPr>
      </w:pPr>
      <w:r>
        <w:rPr>
          <w:szCs w:val="24"/>
          <w:lang w:eastAsia="lt-LT"/>
        </w:rPr>
        <w:t>7.2</w:t>
      </w:r>
      <w:r>
        <w:rPr>
          <w:szCs w:val="24"/>
          <w:lang w:eastAsia="lt-LT"/>
        </w:rPr>
        <w:t>.</w:t>
        <w:tab/>
        <w:t>gyvenamojo ploto nuomos išlaidos;</w:t>
      </w:r>
    </w:p>
    <w:p>
      <w:pPr>
        <w:tabs>
          <w:tab w:val="left" w:pos="1134"/>
        </w:tabs>
        <w:spacing w:line="360" w:lineRule="atLeast"/>
        <w:ind w:firstLine="720"/>
        <w:jc w:val="both"/>
        <w:rPr>
          <w:szCs w:val="24"/>
          <w:lang w:eastAsia="lt-LT"/>
        </w:rPr>
      </w:pPr>
      <w:r>
        <w:rPr>
          <w:szCs w:val="24"/>
          <w:lang w:eastAsia="lt-LT"/>
        </w:rPr>
        <w:t>7.3</w:t>
      </w:r>
      <w:r>
        <w:rPr>
          <w:szCs w:val="24"/>
          <w:lang w:eastAsia="lt-LT"/>
        </w:rPr>
        <w:t>.</w:t>
        <w:tab/>
        <w:t>transporto išlaidos, susijusios su komandiruotės tikslais:</w:t>
      </w:r>
    </w:p>
    <w:p>
      <w:pPr>
        <w:spacing w:line="360" w:lineRule="atLeast"/>
        <w:ind w:firstLine="720"/>
        <w:jc w:val="both"/>
        <w:rPr>
          <w:szCs w:val="24"/>
          <w:lang w:eastAsia="lt-LT"/>
        </w:rPr>
      </w:pPr>
      <w:r>
        <w:rPr>
          <w:szCs w:val="24"/>
          <w:lang w:eastAsia="lt-LT"/>
        </w:rPr>
        <w:t>7.3.1</w:t>
      </w:r>
      <w:r>
        <w:rPr>
          <w:szCs w:val="24"/>
          <w:lang w:eastAsia="lt-LT"/>
        </w:rPr>
        <w:t>.</w:t>
        <w:tab/>
        <w:t>kelionės į užsienio valstybę (valstybes) ir iš jos (jų) komandiruotės dienomis, taip pat dienomis, kai kelionė dėl objektyvių priežasčių negalėjo pasibaigti komandiruotės dienomis, įskaitant atvejus, kai iš komandiruotės grįžtama po vidurnakčio, visų rūšių transporto priemonėmis, išskyrus lengvuosius automobilius taksi;</w:t>
      </w:r>
    </w:p>
    <w:p>
      <w:pPr>
        <w:spacing w:line="360" w:lineRule="atLeast"/>
        <w:ind w:firstLine="720"/>
        <w:jc w:val="both"/>
        <w:rPr>
          <w:szCs w:val="24"/>
          <w:lang w:eastAsia="lt-LT"/>
        </w:rPr>
      </w:pPr>
      <w:r>
        <w:rPr>
          <w:szCs w:val="24"/>
          <w:lang w:eastAsia="lt-LT"/>
        </w:rPr>
        <w:t>7.3.2</w:t>
      </w:r>
      <w:r>
        <w:rPr>
          <w:szCs w:val="24"/>
          <w:lang w:eastAsia="lt-LT"/>
        </w:rPr>
        <w:t>.</w:t>
        <w:tab/>
        <w:t xml:space="preserve">užsienio valstybės teritorijoje visų rūšių transporto priemonėmis; </w:t>
      </w:r>
    </w:p>
    <w:p>
      <w:pPr>
        <w:spacing w:line="360" w:lineRule="atLeast"/>
        <w:ind w:firstLine="720"/>
        <w:jc w:val="both"/>
        <w:rPr>
          <w:szCs w:val="24"/>
          <w:lang w:eastAsia="lt-LT"/>
        </w:rPr>
      </w:pPr>
      <w:r>
        <w:rPr>
          <w:lang w:eastAsia="lt-LT"/>
        </w:rPr>
        <w:t>7.3.3</w:t>
      </w:r>
      <w:r>
        <w:rPr>
          <w:lang w:eastAsia="lt-LT"/>
        </w:rPr>
        <w:t>. nuvykimo visų rūšių transporto priemonėmis Lietuvos Respublikos teritorijoje, o darbuotojams, perkeltiems į kitas pareigas Lietuvos Respublikos diplomatinėse atstovybėse, konsulinėse įstaigose ir atstovybėse prie tarptautinių organizacijų, taip pat laikinai perkeltiems į pareigas tarptautinėje organizacijoje ar institucijoje, Europos Sąjungos institucijoje ar įstaigoje, jeigu darbo užmokestį jiems moka Lietuvos Respublikos institucijos ar įstaigos, reziduojamos valstybės teritorijoje, į oro ar jūrų uostą, geležinkelio ar autobusų stotį ir parvykimo iš jų komandiruotės dienomis, taip pat dienomis, kai kelionė dėl objektyvių priežasčių negalėjo pasibaigti komandiruotės dienomis (lengvuoju automobiliu taksi – tik kiek tai susiję su nuvykimu (išvykimu) į oro ar jūrų uostą, geležinkelio ar autobusų stotį miesto, kuriame jie yra, teritorijoje ir parvykimu iš jų), įskaitant atvejus, kai iš komandiruotės grįžtama po vidurnakčio. Apmokant Lietuvos Respublikos saugios laivybos įstatymo 4 straipsnio 5 dalyje nurodytas darbuotojo išlaidas, netaikomas šiame papunktyje nustatytas apribojimas dėl naudojimosi lengvaisiais automobiliais taksi;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57a61001efd11e586708c6593c243ce">
        <w:r w:rsidRPr="00532B9F">
          <w:rPr>
            <w:rFonts w:ascii="Times New Roman" w:eastAsia="MS Mincho" w:hAnsi="Times New Roman"/>
            <w:sz w:val="20"/>
            <w:i/>
            <w:iCs/>
            <w:color w:val="0000FF" w:themeColor="hyperlink"/>
            <w:u w:val="single"/>
          </w:rPr>
          <w:t>653</w:t>
        </w:r>
      </w:fldSimple>
      <w:r>
        <w:rPr>
          <w:rFonts w:ascii="Times New Roman" w:eastAsia="MS Mincho" w:hAnsi="Times New Roman"/>
          <w:sz w:val="20"/>
          <w:i/>
          <w:iCs/>
        </w:rPr>
        <w:t>,
2015-06-26,
paskelbta TAR 2015-06-30, i. k. 2015-10415            </w:t>
      </w:r>
    </w:p>
    <w:p/>
    <w:p>
      <w:pPr>
        <w:tabs>
          <w:tab w:val="left" w:pos="1134"/>
        </w:tabs>
        <w:spacing w:line="360" w:lineRule="atLeast"/>
        <w:ind w:firstLine="720"/>
        <w:jc w:val="both"/>
        <w:rPr>
          <w:szCs w:val="24"/>
          <w:lang w:eastAsia="lt-LT"/>
        </w:rPr>
      </w:pPr>
      <w:r>
        <w:rPr>
          <w:szCs w:val="24"/>
          <w:lang w:eastAsia="lt-LT"/>
        </w:rPr>
        <w:t>7.4</w:t>
      </w:r>
      <w:r>
        <w:rPr>
          <w:szCs w:val="24"/>
          <w:lang w:eastAsia="lt-LT"/>
        </w:rPr>
        <w:t>.</w:t>
        <w:tab/>
        <w:t>dokumentų, susijusių su išvykimu, tvarkymo išlaidos, įskaitant vykstančiųjų į užsienį kelionių draudimą, kurį gali sudaryti sveikatos draudimas, draudimas nuo nelaimingų atsitikimų, kelionės bagažo draudimas, civilinės atsakomybės draudimas;</w:t>
      </w:r>
    </w:p>
    <w:p>
      <w:pPr>
        <w:tabs>
          <w:tab w:val="left" w:pos="1134"/>
        </w:tabs>
        <w:spacing w:line="360" w:lineRule="atLeast"/>
        <w:ind w:firstLine="720"/>
        <w:jc w:val="both"/>
        <w:rPr>
          <w:szCs w:val="24"/>
          <w:lang w:eastAsia="lt-LT"/>
        </w:rPr>
      </w:pPr>
      <w:r>
        <w:rPr>
          <w:szCs w:val="24"/>
          <w:lang w:eastAsia="lt-LT"/>
        </w:rPr>
        <w:t>7.5</w:t>
      </w:r>
      <w:r>
        <w:rPr>
          <w:szCs w:val="24"/>
          <w:lang w:eastAsia="lt-LT"/>
        </w:rPr>
        <w:t>.</w:t>
        <w:tab/>
        <w:t>mokėjimo už kelius, taip pat transporto priemonės draudimo ir transporto priemonių savininkų ir valdytojų civilinės atsakomybės draudimo išlaidos;</w:t>
      </w:r>
    </w:p>
    <w:p>
      <w:pPr>
        <w:tabs>
          <w:tab w:val="left" w:pos="1134"/>
        </w:tabs>
        <w:spacing w:line="360" w:lineRule="atLeast"/>
        <w:ind w:firstLine="720"/>
        <w:jc w:val="both"/>
        <w:rPr>
          <w:szCs w:val="24"/>
          <w:lang w:eastAsia="lt-LT"/>
        </w:rPr>
      </w:pPr>
      <w:r>
        <w:rPr>
          <w:szCs w:val="24"/>
          <w:lang w:eastAsia="lt-LT"/>
        </w:rPr>
        <w:t>7.6</w:t>
      </w:r>
      <w:r>
        <w:rPr>
          <w:szCs w:val="24"/>
          <w:lang w:eastAsia="lt-LT"/>
        </w:rPr>
        <w:t>.</w:t>
        <w:tab/>
        <w:t>komandiruotės metu sunaudotų degalų įsigijimo išlaidos, atsižvelgiant į komandiruotės metu nuvažiuotų kilometrų skaičių ir įstaigos patvirtintas degalų sunaudojimo normas atitinkamai transporto priemonei pagal atitinkamos transporto priemonės gamintojo nurodytus transporto priemonės techninius duomenis (degalų sunaudojimo normas 100 kilometrų), jeigu į komandiruotę buvo važiuojama įstaigos transporto priemone, išsinuomota ar pagal panaudos sutartį perduota transporto priemone arba komandiruoto darbuotojo transporto priemone. Įsakyme ar potvarkyje būtina nurodyti transporto priemonės markę, modelį ir valstybinį numerį. Komandiruoto darbuotojo automobilio naudojimo komandiruotės tikslams tvarką nustato valstybės institucijų ir įstaigų vadovai;</w:t>
      </w:r>
    </w:p>
    <w:p>
      <w:pPr>
        <w:tabs>
          <w:tab w:val="left" w:pos="1134"/>
        </w:tabs>
        <w:spacing w:line="360" w:lineRule="atLeast"/>
        <w:ind w:firstLine="720"/>
        <w:jc w:val="both"/>
        <w:rPr>
          <w:szCs w:val="24"/>
          <w:lang w:eastAsia="lt-LT"/>
        </w:rPr>
      </w:pPr>
      <w:r>
        <w:rPr>
          <w:szCs w:val="24"/>
          <w:lang w:eastAsia="lt-LT"/>
        </w:rPr>
        <w:t>7.7</w:t>
      </w:r>
      <w:r>
        <w:rPr>
          <w:szCs w:val="24"/>
          <w:lang w:eastAsia="lt-LT"/>
        </w:rPr>
        <w:t>.</w:t>
        <w:tab/>
        <w:t>ryšių (pašto ir telekomunikacijų) išlaidos;</w:t>
      </w:r>
    </w:p>
    <w:p>
      <w:pPr>
        <w:tabs>
          <w:tab w:val="left" w:pos="1134"/>
        </w:tabs>
        <w:spacing w:line="360" w:lineRule="atLeast"/>
        <w:ind w:firstLine="720"/>
        <w:jc w:val="both"/>
        <w:rPr>
          <w:szCs w:val="24"/>
          <w:lang w:eastAsia="lt-LT"/>
        </w:rPr>
      </w:pPr>
      <w:r>
        <w:rPr>
          <w:szCs w:val="24"/>
          <w:lang w:eastAsia="lt-LT"/>
        </w:rPr>
        <w:t>7.8</w:t>
      </w:r>
      <w:r>
        <w:rPr>
          <w:szCs w:val="24"/>
          <w:lang w:eastAsia="lt-LT"/>
        </w:rPr>
        <w:t>.</w:t>
        <w:tab/>
        <w:t>automobilių saugojimo aikštelėse užsienio valstybėje (valstybėse) išlaidos;</w:t>
      </w:r>
    </w:p>
    <w:p>
      <w:pPr>
        <w:tabs>
          <w:tab w:val="left" w:pos="1134"/>
        </w:tabs>
        <w:spacing w:line="360" w:lineRule="atLeast"/>
        <w:ind w:firstLine="720"/>
        <w:jc w:val="both"/>
        <w:rPr>
          <w:szCs w:val="24"/>
          <w:lang w:eastAsia="lt-LT"/>
        </w:rPr>
      </w:pPr>
      <w:r>
        <w:rPr>
          <w:szCs w:val="24"/>
          <w:lang w:eastAsia="lt-LT"/>
        </w:rPr>
        <w:t>7.9</w:t>
      </w:r>
      <w:r>
        <w:rPr>
          <w:szCs w:val="24"/>
          <w:lang w:eastAsia="lt-LT"/>
        </w:rPr>
        <w:t>.</w:t>
        <w:tab/>
        <w:t>vykstant į konferenciją, simpoziumą, parodą ar kitą renginį, – registravimosi renginyje mokesčio ar bilietų į renginį pirkimo išlaidos;</w:t>
      </w:r>
    </w:p>
    <w:p>
      <w:pPr>
        <w:spacing w:line="360" w:lineRule="atLeast"/>
        <w:ind w:firstLine="720"/>
        <w:jc w:val="both"/>
        <w:rPr>
          <w:szCs w:val="24"/>
          <w:lang w:eastAsia="lt-LT"/>
        </w:rPr>
      </w:pPr>
      <w:r>
        <w:rPr>
          <w:szCs w:val="24"/>
          <w:lang w:eastAsia="lt-LT"/>
        </w:rPr>
        <w:t>7.10</w:t>
      </w:r>
      <w:r>
        <w:rPr>
          <w:szCs w:val="24"/>
          <w:lang w:eastAsia="lt-LT"/>
        </w:rPr>
        <w:t>.</w:t>
        <w:tab/>
        <w:t>valiutos keitimo kredito įstaigoje išlaidos, kai ši valiuta skirta Taisyklių 7.1–7.9 ir 7.11 papunkčiuose nurodytoms komandiruotės išlaidoms apmokėti;</w:t>
      </w:r>
    </w:p>
    <w:p>
      <w:pPr>
        <w:spacing w:line="360" w:lineRule="atLeast"/>
        <w:ind w:firstLine="720"/>
        <w:jc w:val="both"/>
        <w:rPr>
          <w:szCs w:val="24"/>
          <w:lang w:eastAsia="lt-LT"/>
        </w:rPr>
      </w:pPr>
      <w:r>
        <w:rPr>
          <w:lang w:eastAsia="lt-LT"/>
        </w:rPr>
        <w:t>7.11</w:t>
      </w:r>
      <w:r>
        <w:rPr>
          <w:lang w:eastAsia="lt-LT"/>
        </w:rPr>
        <w:t>. kitos su komandiruote susijusios būtinos išlaidos (su Taisyklių 7.2–7.9 papunkčiuose nurodytomis komandiruotės išlaidomis susijęs komisinis atlyginimas, apibrėžtas Lietuvos Respublikos mokėjimų įstatymo 2 straipsnyje, miesto (ekologinis), registracijos į reisą, registruoto bagažo mokesčiai, bagažo saugojimo, būtinų skiepų ir vaistų nuo užkrečiamųjų ligų išlaidos, naudojimosi labai svarbių asmenų salėmis oro uostuose asmenims, nurodytiems Skrydžių, kuriais vežami labai svarbūs asmenys, vykdymo tvarkos aprašo, patvirtinto Lietuvos Respublikos Vyriausybės 2004 m. gruodžio 6 d. nutarimu Nr. 1592 „Dėl Skrydžių, kuriais vežami labai svarbūs asmenys, vykdymo tvarkos aprašo patvirtinimo“, 1 priede, bei šiuos asmenis lydinčių delegacijų atstovams išlaidos).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cae5b0219311e5b336e9064144f02a">
        <w:r w:rsidRPr="00532B9F">
          <w:rPr>
            <w:rFonts w:ascii="Times New Roman" w:eastAsia="MS Mincho" w:hAnsi="Times New Roman"/>
            <w:sz w:val="20"/>
            <w:i/>
            <w:iCs/>
            <w:color w:val="0000FF" w:themeColor="hyperlink"/>
            <w:u w:val="single"/>
          </w:rPr>
          <w:t>706</w:t>
        </w:r>
      </w:fldSimple>
      <w:r>
        <w:rPr>
          <w:rFonts w:ascii="Times New Roman" w:eastAsia="MS Mincho" w:hAnsi="Times New Roman"/>
          <w:sz w:val="20"/>
          <w:i/>
          <w:iCs/>
        </w:rPr>
        <w:t>,
2015-07-01,
paskelbta TAR 2015-07-03, i. k. 2015-10840            </w:t>
      </w:r>
    </w:p>
    <w:p/>
    <w:p>
      <w:pPr>
        <w:tabs>
          <w:tab w:val="left" w:pos="993"/>
        </w:tabs>
        <w:spacing w:line="360" w:lineRule="atLeast"/>
        <w:ind w:firstLine="720"/>
        <w:jc w:val="both"/>
        <w:rPr>
          <w:szCs w:val="24"/>
          <w:lang w:eastAsia="lt-LT"/>
        </w:rPr>
      </w:pPr>
      <w:r>
        <w:rPr>
          <w:szCs w:val="24"/>
          <w:lang w:eastAsia="lt-LT"/>
        </w:rPr>
        <w:t>8</w:t>
      </w:r>
      <w:r>
        <w:rPr>
          <w:szCs w:val="24"/>
          <w:lang w:eastAsia="lt-LT"/>
        </w:rPr>
        <w:t>.</w:t>
        <w:tab/>
        <w:t>Išlaidos, tiesiogiai nesusijusios su gyvenamojo ploto nuoma, tačiau įtrauktos į apgyvendinimo paslaugas teikiančių vienetų ar asmenų išrašytus apskaitos dokumentus (papildomas maitinimas, įvairios asmeninės paslaugos), neapmokamos.</w:t>
      </w:r>
    </w:p>
    <w:p>
      <w:pPr>
        <w:tabs>
          <w:tab w:val="left" w:pos="993"/>
        </w:tabs>
        <w:spacing w:line="360" w:lineRule="atLeast"/>
        <w:ind w:firstLine="720"/>
        <w:jc w:val="both"/>
        <w:rPr>
          <w:szCs w:val="24"/>
          <w:lang w:eastAsia="lt-LT"/>
        </w:rPr>
      </w:pPr>
      <w:r>
        <w:rPr>
          <w:szCs w:val="24"/>
          <w:lang w:eastAsia="lt-LT"/>
        </w:rPr>
        <w:t>9</w:t>
      </w:r>
      <w:r>
        <w:rPr>
          <w:szCs w:val="24"/>
          <w:lang w:eastAsia="lt-LT"/>
        </w:rPr>
        <w:t>.</w:t>
        <w:tab/>
        <w:t>Dienpinigiai mokami:</w:t>
      </w:r>
    </w:p>
    <w:p>
      <w:pPr>
        <w:tabs>
          <w:tab w:val="left" w:pos="1134"/>
        </w:tabs>
        <w:spacing w:line="360" w:lineRule="atLeast"/>
        <w:ind w:firstLine="720"/>
        <w:jc w:val="both"/>
        <w:rPr>
          <w:szCs w:val="24"/>
          <w:lang w:eastAsia="lt-LT"/>
        </w:rPr>
      </w:pPr>
      <w:r>
        <w:rPr>
          <w:szCs w:val="24"/>
          <w:lang w:eastAsia="lt-LT"/>
        </w:rPr>
        <w:t>9.1</w:t>
      </w:r>
      <w:r>
        <w:rPr>
          <w:szCs w:val="24"/>
          <w:lang w:eastAsia="lt-LT"/>
        </w:rPr>
        <w:t>.</w:t>
        <w:tab/>
        <w:t>pagal finansų ministro patvirtintas dienpinigių užsienio valstybėse normas;</w:t>
      </w:r>
    </w:p>
    <w:p>
      <w:pPr>
        <w:tabs>
          <w:tab w:val="left" w:pos="1134"/>
        </w:tabs>
        <w:spacing w:line="360" w:lineRule="atLeast"/>
        <w:ind w:firstLine="720"/>
        <w:jc w:val="both"/>
        <w:rPr>
          <w:szCs w:val="24"/>
          <w:lang w:eastAsia="lt-LT"/>
        </w:rPr>
      </w:pPr>
      <w:r>
        <w:rPr>
          <w:szCs w:val="24"/>
          <w:lang w:eastAsia="lt-LT"/>
        </w:rPr>
        <w:t>9.2</w:t>
      </w:r>
      <w:r>
        <w:rPr>
          <w:szCs w:val="24"/>
          <w:lang w:eastAsia="lt-LT"/>
        </w:rPr>
        <w:t>.</w:t>
        <w:tab/>
        <w:t>už įsakyme ar potvarkyje nurodytą laiką. Vykstant į užsienio valstybę, už dieną, kurią pervažiuojama Lietuvos Respublikos valstybės siena, dienpinigiai mokami pagal finansų ministro patvirtintas dienpinigių užsienio valstybėse normas, o grįžtant iš užsienio valstybės, už dieną, kurią pervažiuojama Lietuvos Respublikos valstybės siena, mokama 50 procentų finansų ministro patvirtintos dienpinigių užsienio valstybėje normos. Jeigu komandiruotės metu vykstama į keletą užsienio valstybių, finansų ministro patvirtintos dienpinigių užsienio valstybėse normos taikomos atsižvelgiant į kiekvienoje užsienio valstybėje faktiškai išbūtas dienas, o pervažiavimo į užsienio valstybę diena laikoma atvykimo į tą užsienio valstybę diena.</w:t>
      </w:r>
    </w:p>
    <w:p>
      <w:pPr>
        <w:spacing w:line="360" w:lineRule="atLeast"/>
        <w:ind w:firstLine="720"/>
        <w:jc w:val="both"/>
        <w:rPr>
          <w:szCs w:val="24"/>
          <w:lang w:eastAsia="lt-LT"/>
        </w:rPr>
      </w:pPr>
      <w:r>
        <w:rPr>
          <w:szCs w:val="24"/>
          <w:lang w:eastAsia="lt-LT"/>
        </w:rPr>
        <w:t>Kai darbuotojas, vykdamas į komandiruotę, tą pačią dieną atvyksta į kelias užsienio valstybes, už šią dieną mokamas finansų ministro patvirtintų dienpinigių tose užsienio valstybėse normų vidurkis.</w:t>
      </w:r>
    </w:p>
    <w:p>
      <w:pPr>
        <w:tabs>
          <w:tab w:val="left" w:pos="1134"/>
        </w:tabs>
        <w:spacing w:line="360" w:lineRule="atLeast"/>
        <w:ind w:firstLine="720"/>
        <w:jc w:val="both"/>
        <w:rPr>
          <w:szCs w:val="24"/>
          <w:lang w:eastAsia="lt-LT"/>
        </w:rPr>
      </w:pPr>
      <w:r>
        <w:rPr>
          <w:szCs w:val="24"/>
          <w:lang w:eastAsia="lt-LT"/>
        </w:rPr>
        <w:t xml:space="preserve">Darbuotojams, perkeltiems į kitas pareigas Lietuvos Respublikos diplomatinėse atstovybėse, konsulinėse įstaigose ir atstovybėse prie tarptautinių organizacijų, taip pat laikinai perkeltiems į pareigas tarptautinėje organizacijoje ar institucijoje, Europos Sąjungos institucijoje ar įstaigoje, jeigu darbo užmokestį jiems moka Lietuvos Respublikos institucijos ar įstaigos, grįžtant iš kitos užsienio valstybės į rezidavimo vietą, už dieną, kurią pervažiuojama reziduojamos valstybės siena, 50 procentų dienpinigių mokama pagal finansų ministro patvirtintas dienpinigių užsienio valstybėse normas, o grįžtant iš Lietuvos Respublikos į rezidavimo vietą, už dieną, kurią pervažiuojama reziduojamos valstybės siena, mokama 50 procentų reziduojamos valstybės dienpinigių normos pagal finansų ministro patvirtintas dienpinigių užsienio valstybėse normas. </w:t>
      </w:r>
    </w:p>
    <w:p>
      <w:pPr>
        <w:spacing w:line="360" w:lineRule="atLeast"/>
        <w:ind w:firstLine="720"/>
        <w:jc w:val="both"/>
        <w:rPr>
          <w:szCs w:val="24"/>
          <w:lang w:eastAsia="lt-LT"/>
        </w:rPr>
      </w:pPr>
      <w:r>
        <w:rPr>
          <w:szCs w:val="24"/>
          <w:lang w:eastAsia="lt-LT"/>
        </w:rPr>
        <w:t>Kai darbuotojas siunčiamas į komandiruotę reziduojamos valstybės teritorijoje, jam mokama 100 procentų reziduojamos valstybės dienpinigių normos pagal finansų ministro patvirtintas dienpinigių užsienio valstybėse normas, jeigu komandiruotė trunka ilgiau nei vieną darbo dieną, už įsakyme ar potvarkyje nurodytą komandiruotės laiką;</w:t>
      </w:r>
    </w:p>
    <w:p>
      <w:pPr>
        <w:tabs>
          <w:tab w:val="left" w:pos="1134"/>
        </w:tabs>
        <w:spacing w:line="360" w:lineRule="atLeast"/>
        <w:ind w:firstLine="720"/>
        <w:jc w:val="both"/>
        <w:rPr>
          <w:szCs w:val="24"/>
          <w:lang w:eastAsia="lt-LT"/>
        </w:rPr>
      </w:pPr>
      <w:r>
        <w:rPr>
          <w:szCs w:val="24"/>
          <w:lang w:eastAsia="lt-LT"/>
        </w:rPr>
        <w:t>9.3</w:t>
      </w:r>
      <w:r>
        <w:rPr>
          <w:szCs w:val="24"/>
          <w:lang w:eastAsia="lt-LT"/>
        </w:rPr>
        <w:t>.</w:t>
        <w:tab/>
        <w:t>50 procentų finansų ministro patvirtintų dienpinigių užsienio valstybėje normos, o jeigu darbuotojas apsilanko keliose užsienio valstybėse, – 100 procentų finansų ministro patvirtintų dienpinigių tose užsienio valstybėse normų vidurkio, kai komandiruotė trunka vieną darbo dieną;</w:t>
      </w:r>
    </w:p>
    <w:p>
      <w:pPr>
        <w:tabs>
          <w:tab w:val="left" w:pos="1134"/>
        </w:tabs>
        <w:spacing w:line="360" w:lineRule="atLeast"/>
        <w:ind w:firstLine="720"/>
        <w:jc w:val="both"/>
        <w:rPr>
          <w:szCs w:val="24"/>
          <w:lang w:eastAsia="lt-LT"/>
        </w:rPr>
      </w:pPr>
      <w:r>
        <w:rPr>
          <w:szCs w:val="24"/>
          <w:lang w:eastAsia="lt-LT"/>
        </w:rPr>
        <w:t>9.4</w:t>
      </w:r>
      <w:r>
        <w:rPr>
          <w:szCs w:val="24"/>
          <w:lang w:eastAsia="lt-LT"/>
        </w:rPr>
        <w:t>.</w:t>
        <w:tab/>
        <w:t>darbuotojui, vykstančiam į komandiruotę į užsienio valstybę (valstybes) ir užsienio valstybėje aprūpinamam dienpinigiais, įstaigos vadovo ar jo įgalioto asmens sprendimu gali būti išmokėti dienpinigiai neviršijant 30 procentų finansų ministro patvirtintos dienpinigių užsienio valstybėje normos, o aprūpinamam maitinimu, įstaigos vadovo ar jo įgalioto asmens sprendimu, atsižvelgiant į renginio organizatoriaus nustatytas aprūpinimo sąlygas, gali būti išmokėti dienpinigiai iki 100 procentų finansų ministro patvirtintos dienpinigių užsienio valstybėje normos (išskyrus Taisyklių 16 punktą).</w:t>
      </w:r>
    </w:p>
    <w:p>
      <w:pPr>
        <w:tabs>
          <w:tab w:val="left" w:pos="1134"/>
        </w:tabs>
        <w:spacing w:line="360" w:lineRule="atLeast"/>
        <w:ind w:firstLine="720"/>
        <w:jc w:val="both"/>
        <w:rPr>
          <w:szCs w:val="24"/>
          <w:lang w:eastAsia="lt-LT"/>
        </w:rPr>
      </w:pPr>
      <w:r>
        <w:rPr>
          <w:szCs w:val="24"/>
          <w:lang w:eastAsia="lt-LT"/>
        </w:rPr>
        <w:t>10</w:t>
      </w:r>
      <w:r>
        <w:rPr>
          <w:szCs w:val="24"/>
          <w:lang w:eastAsia="lt-LT"/>
        </w:rPr>
        <w:t>.</w:t>
        <w:tab/>
        <w:t>Dienpinigiai, kurių bendra suma per mėnesį viršija 50 procentų darbuotojui nustatyto darbo užmokesčio tuo atveju, kai darbuotojui nustatytas darbo užmokestis neviršija minimaliosios mėnesinės algos, padaugintos iš koeficiento 1,3, arba kai darbo užmokestis yra apskaičiuotas taikant valandinį tarifinį atlygį, neviršijantį minimaliojo valandinio atlygio, padauginto iš koeficiento 1,3, nelaikomi komandiruočių kompensacijomis.</w:t>
      </w:r>
    </w:p>
    <w:p>
      <w:pPr>
        <w:tabs>
          <w:tab w:val="left" w:pos="1134"/>
        </w:tabs>
        <w:spacing w:line="360" w:lineRule="atLeast"/>
        <w:ind w:firstLine="720"/>
        <w:jc w:val="both"/>
        <w:rPr>
          <w:szCs w:val="24"/>
          <w:lang w:eastAsia="lt-LT"/>
        </w:rPr>
      </w:pPr>
      <w:r>
        <w:rPr>
          <w:szCs w:val="24"/>
          <w:lang w:eastAsia="lt-LT"/>
        </w:rPr>
        <w:t>11</w:t>
      </w:r>
      <w:r>
        <w:rPr>
          <w:szCs w:val="24"/>
          <w:lang w:eastAsia="lt-LT"/>
        </w:rPr>
        <w:t>.</w:t>
        <w:tab/>
        <w:t>Gyvenamojo ploto nuomos išlaidos apmokamos:</w:t>
      </w:r>
    </w:p>
    <w:p>
      <w:pPr>
        <w:spacing w:line="360" w:lineRule="atLeast"/>
        <w:ind w:firstLine="720"/>
        <w:jc w:val="both"/>
        <w:rPr>
          <w:szCs w:val="24"/>
          <w:lang w:eastAsia="lt-LT"/>
        </w:rPr>
      </w:pPr>
      <w:r>
        <w:rPr>
          <w:szCs w:val="24"/>
          <w:lang w:eastAsia="lt-LT"/>
        </w:rPr>
        <w:t>11.1</w:t>
      </w:r>
      <w:r>
        <w:rPr>
          <w:szCs w:val="24"/>
          <w:lang w:eastAsia="lt-LT"/>
        </w:rPr>
        <w:t>.</w:t>
        <w:tab/>
        <w:t>pagal finansų ministro patvirtintas gyvenamojo ploto nuomos užsienio valstybėse normas, išskyrus Taisyklių 11.2 ir 11.3 papunkčiuose nurodytus atvejus;</w:t>
      </w:r>
    </w:p>
    <w:p>
      <w:pPr>
        <w:spacing w:line="360" w:lineRule="atLeast"/>
        <w:ind w:firstLine="720"/>
        <w:jc w:val="both"/>
        <w:rPr>
          <w:szCs w:val="24"/>
          <w:lang w:eastAsia="lt-LT"/>
        </w:rPr>
      </w:pPr>
      <w:r>
        <w:rPr>
          <w:szCs w:val="24"/>
          <w:lang w:eastAsia="lt-LT"/>
        </w:rPr>
        <w:t>11.2</w:t>
      </w:r>
      <w:r>
        <w:rPr>
          <w:szCs w:val="24"/>
          <w:lang w:eastAsia="lt-LT"/>
        </w:rPr>
        <w:t>.</w:t>
        <w:tab/>
        <w:t>pagal faktines išlaidas:</w:t>
      </w:r>
    </w:p>
    <w:p>
      <w:pPr>
        <w:tabs>
          <w:tab w:val="left" w:pos="1418"/>
        </w:tabs>
        <w:spacing w:line="360" w:lineRule="atLeast"/>
        <w:ind w:firstLine="720"/>
        <w:jc w:val="both"/>
        <w:rPr>
          <w:szCs w:val="24"/>
          <w:lang w:eastAsia="lt-LT"/>
        </w:rPr>
      </w:pPr>
      <w:r>
        <w:rPr>
          <w:szCs w:val="24"/>
          <w:lang w:eastAsia="lt-LT"/>
        </w:rPr>
        <w:t>11.2.1</w:t>
      </w:r>
      <w:r>
        <w:rPr>
          <w:szCs w:val="24"/>
          <w:lang w:eastAsia="lt-LT"/>
        </w:rPr>
        <w:t>.</w:t>
        <w:tab/>
        <w:t>oficialių valstybinių delegacijų nariams ir jų šeimos nariams, vykstantiems į užsienį teisės aktų nustatyta tvarka sudarytos oficialios valstybinės delegacijos sudėtyje, Lietuvos Respublikos Seimo nariams, Lietuvos Respublikos Vyriausybės nariams, Lietuvos Respublikos Konstitucinio Teismo teisėjams, valstybės kontrolieriui ir jo pavaduotojams, vykstantiems į užsienio komandiruotes (Tarpparlamentinės Sąjungos, Šiaurės Atlanto Asamblėjos, Vakarų Europos Sąjungos Asamblėjos, Europos Tarybos, Europos Parlamento, Europos Vadovų Tarybos, Europos Sąjungos Tarybos, Europos Komisijos, Europos Konstitucinių Teismų Konferencijos ir konstitucinę kontrolę atliekančių institucijų, Tarptautinės aukščiausiųjų audito institucijų organizacijos (INTOSAI), Europos aukščiausiųjų audito institucijų organizacijos (EUROSAI), Europos audito rūmų, NATO auditorių tarybos, Pasaulio banko, Europos rekonstrukcijos ir plėtros banko, Europos Tarybos vystymo banko ir Tarptautinio valiutos fondo metinius susitikimus, sesijas, seminarus, posėdžius ir konferencijas), ir juos lydintiems asmenims;</w:t>
      </w:r>
    </w:p>
    <w:p>
      <w:pPr>
        <w:tabs>
          <w:tab w:val="left" w:pos="1418"/>
        </w:tabs>
        <w:spacing w:line="360" w:lineRule="atLeast"/>
        <w:ind w:firstLine="720"/>
        <w:jc w:val="both"/>
        <w:rPr>
          <w:szCs w:val="24"/>
          <w:lang w:eastAsia="lt-LT"/>
        </w:rPr>
      </w:pPr>
      <w:r>
        <w:rPr>
          <w:szCs w:val="24"/>
          <w:lang w:eastAsia="lt-LT"/>
        </w:rPr>
        <w:t>11.2.2</w:t>
      </w:r>
      <w:r>
        <w:rPr>
          <w:szCs w:val="24"/>
          <w:lang w:eastAsia="lt-LT"/>
        </w:rPr>
        <w:t>.</w:t>
        <w:tab/>
        <w:t>kai gyvenamąjį plotą užsako renginio organizatoriai;</w:t>
      </w:r>
    </w:p>
    <w:p>
      <w:pPr>
        <w:spacing w:line="360" w:lineRule="atLeast"/>
        <w:ind w:firstLine="720"/>
        <w:jc w:val="both"/>
        <w:rPr>
          <w:szCs w:val="24"/>
          <w:lang w:eastAsia="lt-LT"/>
        </w:rPr>
      </w:pPr>
      <w:r>
        <w:rPr>
          <w:szCs w:val="24"/>
          <w:lang w:eastAsia="lt-LT"/>
        </w:rPr>
        <w:t>11.3</w:t>
      </w:r>
      <w:r>
        <w:rPr>
          <w:szCs w:val="24"/>
          <w:lang w:eastAsia="lt-LT"/>
        </w:rPr>
        <w:t>.</w:t>
        <w:tab/>
        <w:t>darbuotojui (išskyrus Taisyklių 11.2 papunktyje nurodytus atvejus), vykstančiam į komandiruotę į užsienio valstybę (valstybes), gali būti apmokamos didesnės gyvenamojo ploto nuomos išlaidos, negu finansų ministro patvirtinta gyvenamojo ploto nuomos išlaidų norma, jeigu su tuo sutinka įstaigos vadovas arba jo įgaliotas asmuo, tačiau ši suma negali viršyti 30 procentų finansų ministro patvirtintos gyvenamojo ploto nuomos išlaidų normos. Suma, viršijanti finansų ministro patvirtintą gyvenamojo ploto nuomos išlaidų normą, nelaikoma komandiruočių kompensacija.</w:t>
      </w:r>
    </w:p>
    <w:p>
      <w:pPr>
        <w:tabs>
          <w:tab w:val="left" w:pos="1134"/>
        </w:tabs>
        <w:spacing w:line="360" w:lineRule="atLeast"/>
        <w:ind w:firstLine="720"/>
        <w:jc w:val="both"/>
        <w:rPr>
          <w:szCs w:val="24"/>
          <w:lang w:eastAsia="lt-LT"/>
        </w:rPr>
      </w:pPr>
      <w:r>
        <w:rPr>
          <w:szCs w:val="24"/>
          <w:lang w:eastAsia="lt-LT"/>
        </w:rPr>
        <w:t>12</w:t>
      </w:r>
      <w:r>
        <w:rPr>
          <w:szCs w:val="24"/>
          <w:lang w:eastAsia="lt-LT"/>
        </w:rPr>
        <w:t>.</w:t>
        <w:tab/>
        <w:t>Komandiruotės išlaidos, nurodytos Taisyklių 7.2–7.11 papunkčiuose, apmokamos tik tais atvejais, kai pateikiami jas įrodantys dokumentai.</w:t>
      </w:r>
    </w:p>
    <w:p>
      <w:pPr>
        <w:spacing w:line="360" w:lineRule="atLeast"/>
        <w:ind w:firstLine="720"/>
        <w:jc w:val="both"/>
        <w:rPr>
          <w:szCs w:val="24"/>
          <w:lang w:eastAsia="lt-LT"/>
        </w:rPr>
      </w:pPr>
      <w:r>
        <w:rPr>
          <w:lang w:eastAsia="lt-LT"/>
        </w:rPr>
        <w:t>13</w:t>
      </w:r>
      <w:r>
        <w:rPr>
          <w:lang w:eastAsia="lt-LT"/>
        </w:rPr>
        <w:t>. Komandiruojamam į užsienio valstybę (valstybes) darbuotojui gali būti išmokamas komandiruotės išlaidų avansas eurais arba užsienio valiuta pagal Europos centrinio banko paskelbtus orientacinius euro ir užsienio valiutų santykius, o tais atvejais, kai orientacinių užsienio valiutų ir euro santykių Europos centrinis bankas neskelbia, – pagal Lietuvos banko nustatomus ir skelbiamus orientacinius euro ir užsienio valiutų santykius, galiojusius avanso išmokėjimo dieną. Avansas gali būti išmokamas ir tais atvejais, kai komandiruotės išlaidas įstaigai kompensuoja užsienio institucijos arba laivybos bendrovė.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57a61001efd11e586708c6593c243ce">
        <w:r w:rsidRPr="00532B9F">
          <w:rPr>
            <w:rFonts w:ascii="Times New Roman" w:eastAsia="MS Mincho" w:hAnsi="Times New Roman"/>
            <w:sz w:val="20"/>
            <w:i/>
            <w:iCs/>
            <w:color w:val="0000FF" w:themeColor="hyperlink"/>
            <w:u w:val="single"/>
          </w:rPr>
          <w:t>653</w:t>
        </w:r>
      </w:fldSimple>
      <w:r>
        <w:rPr>
          <w:rFonts w:ascii="Times New Roman" w:eastAsia="MS Mincho" w:hAnsi="Times New Roman"/>
          <w:sz w:val="20"/>
          <w:i/>
          <w:iCs/>
        </w:rPr>
        <w:t>,
2015-06-26,
paskelbta TAR 2015-06-30, i. k. 2015-10415            </w:t>
      </w:r>
    </w:p>
    <w:p/>
    <w:p>
      <w:pPr>
        <w:tabs>
          <w:tab w:val="left" w:pos="1134"/>
        </w:tabs>
        <w:spacing w:line="360" w:lineRule="atLeast"/>
        <w:ind w:firstLine="720"/>
        <w:jc w:val="both"/>
        <w:rPr>
          <w:szCs w:val="24"/>
          <w:lang w:eastAsia="lt-LT"/>
        </w:rPr>
      </w:pPr>
      <w:r>
        <w:rPr>
          <w:szCs w:val="24"/>
          <w:lang w:eastAsia="lt-LT"/>
        </w:rPr>
        <w:t>14</w:t>
      </w:r>
      <w:r>
        <w:rPr>
          <w:szCs w:val="24"/>
          <w:lang w:eastAsia="lt-LT"/>
        </w:rPr>
        <w:t>.</w:t>
        <w:tab/>
        <w:t>Jeigu avansas darbuotojui nebuvo išmokėtas, komandiruotės išlaidos atlyginamos (pateikus šias išlaidas įrodančius dokumentus) tik eurais, o išlaidos užsienio valiuta apskaičiuojamos pagal išvykimo į komandiruotę į užsienio valstybę (valstybes) dieną galiojusius Europos centrinio banko paskelbtus orientacinius euro ir užsienio valiutų santykius, o tais atvejais, kai orientacinių užsienio valiutų ir euro santykių Europos centrinis bankas neskelbia, – pagal Lietuvos banko nustatomus ir skelbiamus orientacinius euro ir užsienio valiutų santykius.</w:t>
      </w:r>
    </w:p>
    <w:p>
      <w:pPr>
        <w:tabs>
          <w:tab w:val="left" w:pos="1134"/>
        </w:tabs>
        <w:spacing w:line="360" w:lineRule="atLeast"/>
        <w:ind w:firstLine="720"/>
        <w:jc w:val="both"/>
        <w:rPr>
          <w:szCs w:val="24"/>
          <w:lang w:eastAsia="lt-LT"/>
        </w:rPr>
      </w:pPr>
      <w:r>
        <w:rPr>
          <w:szCs w:val="24"/>
          <w:lang w:eastAsia="lt-LT"/>
        </w:rPr>
        <w:t>15</w:t>
      </w:r>
      <w:r>
        <w:rPr>
          <w:szCs w:val="24"/>
          <w:lang w:eastAsia="lt-LT"/>
        </w:rPr>
        <w:t>.</w:t>
        <w:tab/>
        <w:t>Jeigu avansas į komandiruotę į užsienio valstybę (valstybes) vykstančiam darbuotojui buvo išmokėtas užsienio valiuta ne tos valstybės, į kurią vykstama, darbuotojas turi pateikti gautos užsienio valiutos keitimo į kitą užsienio valiutą dokumentą, išduotą Lietuvos Respublikos ar užsienio valstybės kredito įstaigos. Nepateikus šio dokumento, išlaidos užsienio valiuta apskaičiuojamos pagal avanso išmokėjimo dieną (jeigu avansas nebuvo išmokėtas, – išvykimo į komandiruotę į užsienio valstybę dieną) galiojusius Europos centrinio banko paskelbtus orientacinius euro ir užsienio valiutų santykius, o tais atvejais, kai orientacinių užsienio valiutų ir euro santykių Europos centrinis bankas neskelbia, – pagal Lietuvos banko nustatomus ir skelbiamus orientacinius euro ir užsienio valiutų santykius.</w:t>
      </w:r>
    </w:p>
    <w:p>
      <w:pPr>
        <w:tabs>
          <w:tab w:val="left" w:pos="1134"/>
        </w:tabs>
        <w:spacing w:line="360" w:lineRule="atLeast"/>
        <w:ind w:firstLine="720"/>
        <w:jc w:val="both"/>
      </w:pPr>
      <w:r>
        <w:rPr>
          <w:szCs w:val="24"/>
          <w:lang w:eastAsia="lt-LT"/>
        </w:rPr>
        <w:t>16</w:t>
      </w:r>
      <w:r>
        <w:rPr>
          <w:szCs w:val="24"/>
          <w:lang w:eastAsia="lt-LT"/>
        </w:rPr>
        <w:t>.</w:t>
        <w:tab/>
        <w:t>Siunčiant darbuotoją į komandiruotę į užsienio valstybę (valstybes) ekvivalentinių nevaliutinių pasikeitimų sąlygomis, viena valstybė moka kitos valstybės specialistų išlaikymo išlaidas vidaus valiuta pagal susitarimą.</w:t>
      </w:r>
    </w:p>
    <w:p>
      <w:pPr>
        <w:spacing w:line="360" w:lineRule="atLeast"/>
        <w:ind w:firstLine="720"/>
        <w:jc w:val="both"/>
        <w:rPr>
          <w:bCs/>
          <w:caps/>
          <w:szCs w:val="24"/>
          <w:lang w:eastAsia="lt-LT"/>
        </w:rPr>
      </w:pPr>
      <w:r>
        <w:rPr>
          <w:lang w:eastAsia="lt-LT"/>
        </w:rPr>
        <w:t>16</w:t>
      </w:r>
      <w:r>
        <w:rPr>
          <w:vertAlign w:val="superscript"/>
          <w:lang w:eastAsia="lt-LT"/>
        </w:rPr>
        <w:t>1</w:t>
      </w:r>
      <w:r>
        <w:rPr>
          <w:lang w:eastAsia="lt-LT"/>
        </w:rPr>
        <w:t>. Taisyklių 2.1 papunktyje nurodytų darbuotojų patirtos komandiruočių, susijusių su ne Lietuvos Respublikos teritorijoje esančių laivų tinkamumo plaukioti priežiūra, laivo apžiūromis, patikrinimais ir vertinimais, išlaidos apmokamos vadovaujantis Taisyklėmis, ir šias išlaidas Lietuvos saugios laivybos administracijai atlygina laivybos bendrovė ne vėliau kaip per 20 darbo dienų nuo išlaidas patvirtinančių dokumentų gavimo. Lietuvos saugios laivybos administracija turi pateikti laivybos bendrovei išlaidas patvirtinančius dokumentus ne vėliau kaip per 10 darbo dienų nuo darbuotojo grįžimo iš komandiruotės.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57a61001efd11e586708c6593c243ce">
        <w:r w:rsidRPr="00532B9F">
          <w:rPr>
            <w:rFonts w:ascii="Times New Roman" w:eastAsia="MS Mincho" w:hAnsi="Times New Roman"/>
            <w:sz w:val="20"/>
            <w:i/>
            <w:iCs/>
            <w:color w:val="0000FF" w:themeColor="hyperlink"/>
            <w:u w:val="single"/>
          </w:rPr>
          <w:t>653</w:t>
        </w:r>
      </w:fldSimple>
      <w:r>
        <w:rPr>
          <w:rFonts w:ascii="Times New Roman" w:eastAsia="MS Mincho" w:hAnsi="Times New Roman"/>
          <w:sz w:val="20"/>
          <w:i/>
          <w:iCs/>
        </w:rPr>
        <w:t>,
2015-06-26,
paskelbta TAR 2015-06-30, i. k. 2015-10415        </w:t>
      </w:r>
    </w:p>
    <w:p/>
    <w:p>
      <w:pPr>
        <w:keepNext/>
        <w:keepLines/>
        <w:tabs>
          <w:tab w:val="num" w:pos="397"/>
        </w:tabs>
        <w:jc w:val="center"/>
        <w:rPr>
          <w:b/>
          <w:bCs/>
          <w:caps/>
          <w:szCs w:val="24"/>
          <w:lang w:eastAsia="lt-LT"/>
        </w:rPr>
      </w:pPr>
      <w:r>
        <w:rPr>
          <w:b/>
          <w:bCs/>
          <w:caps/>
          <w:szCs w:val="24"/>
          <w:lang w:eastAsia="lt-LT"/>
        </w:rPr>
        <w:t>III</w:t>
      </w:r>
      <w:r>
        <w:rPr>
          <w:b/>
          <w:bCs/>
          <w:caps/>
          <w:szCs w:val="24"/>
          <w:lang w:eastAsia="lt-LT"/>
        </w:rPr>
        <w:t xml:space="preserve"> SKYRIUS</w:t>
      </w:r>
    </w:p>
    <w:p>
      <w:pPr>
        <w:keepNext/>
        <w:keepLines/>
        <w:jc w:val="center"/>
        <w:rPr>
          <w:b/>
          <w:bCs/>
          <w:caps/>
          <w:szCs w:val="24"/>
          <w:lang w:eastAsia="lt-LT"/>
        </w:rPr>
      </w:pPr>
      <w:r>
        <w:rPr>
          <w:b/>
          <w:szCs w:val="24"/>
          <w:lang w:eastAsia="lt-LT"/>
        </w:rPr>
        <w:t>KOMANDIRUOČIŲ LIETUVOS RESPUBLIKOS TERITORIJOJE IŠLAIDŲ APMOKĖJIMAS</w:t>
      </w:r>
    </w:p>
    <w:p>
      <w:pPr>
        <w:ind w:firstLine="720"/>
        <w:jc w:val="both"/>
        <w:rPr>
          <w:szCs w:val="24"/>
          <w:lang w:eastAsia="lt-LT"/>
        </w:rPr>
      </w:pPr>
    </w:p>
    <w:p>
      <w:pPr>
        <w:tabs>
          <w:tab w:val="left" w:pos="1134"/>
        </w:tabs>
        <w:spacing w:line="360" w:lineRule="atLeast"/>
        <w:ind w:firstLine="720"/>
        <w:jc w:val="both"/>
        <w:rPr>
          <w:szCs w:val="24"/>
          <w:lang w:eastAsia="lt-LT"/>
        </w:rPr>
      </w:pPr>
      <w:r>
        <w:rPr>
          <w:szCs w:val="24"/>
          <w:lang w:eastAsia="lt-LT"/>
        </w:rPr>
        <w:t>17</w:t>
      </w:r>
      <w:r>
        <w:rPr>
          <w:szCs w:val="24"/>
          <w:lang w:eastAsia="lt-LT"/>
        </w:rPr>
        <w:t>.</w:t>
        <w:tab/>
        <w:t>Kai darbuotojas siunčiamas į komandiruotę Lietuvos Respublikos teritorijoje, jam apmokamos šios komandiruotės išlaidos:</w:t>
      </w:r>
    </w:p>
    <w:p>
      <w:pPr>
        <w:spacing w:line="360" w:lineRule="atLeast"/>
        <w:ind w:firstLine="720"/>
        <w:jc w:val="both"/>
        <w:rPr>
          <w:szCs w:val="24"/>
          <w:lang w:eastAsia="lt-LT"/>
        </w:rPr>
      </w:pPr>
      <w:r>
        <w:rPr>
          <w:szCs w:val="24"/>
          <w:lang w:eastAsia="lt-LT"/>
        </w:rPr>
        <w:t>17.1</w:t>
      </w:r>
      <w:r>
        <w:rPr>
          <w:szCs w:val="24"/>
          <w:lang w:eastAsia="lt-LT"/>
        </w:rPr>
        <w:t>.</w:t>
        <w:tab/>
        <w:t>dienpinigiai – 15 procentų patvirtinto bazinės socialinės išmokos dydžio, jeigu komandiruotė trunka ilgiau nei vieną darbo dieną, už įsakyme ar potvarkyje nurodytą komandiruotės laiką;</w:t>
      </w:r>
    </w:p>
    <w:p>
      <w:pPr>
        <w:spacing w:line="360" w:lineRule="atLeast"/>
        <w:ind w:firstLine="720"/>
        <w:jc w:val="both"/>
        <w:rPr>
          <w:szCs w:val="24"/>
          <w:lang w:eastAsia="lt-LT"/>
        </w:rPr>
      </w:pPr>
      <w:r>
        <w:rPr>
          <w:szCs w:val="24"/>
          <w:lang w:eastAsia="lt-LT"/>
        </w:rPr>
        <w:t>17.2</w:t>
      </w:r>
      <w:r>
        <w:rPr>
          <w:szCs w:val="24"/>
          <w:lang w:eastAsia="lt-LT"/>
        </w:rPr>
        <w:t>.</w:t>
        <w:tab/>
        <w:t>gyvenamojo ploto nuomos išlaidos;</w:t>
      </w:r>
    </w:p>
    <w:p>
      <w:pPr>
        <w:spacing w:line="360" w:lineRule="atLeast"/>
        <w:ind w:firstLine="720"/>
        <w:jc w:val="both"/>
        <w:rPr>
          <w:szCs w:val="24"/>
          <w:lang w:eastAsia="lt-LT"/>
        </w:rPr>
      </w:pPr>
      <w:r>
        <w:rPr>
          <w:szCs w:val="24"/>
          <w:lang w:eastAsia="lt-LT"/>
        </w:rPr>
        <w:t>17.3</w:t>
      </w:r>
      <w:r>
        <w:rPr>
          <w:szCs w:val="24"/>
          <w:lang w:eastAsia="lt-LT"/>
        </w:rPr>
        <w:t>.</w:t>
        <w:tab/>
        <w:t>transporto išlaidos, susijusios su komandiruotės tikslais:</w:t>
      </w:r>
    </w:p>
    <w:p>
      <w:pPr>
        <w:tabs>
          <w:tab w:val="left" w:pos="1418"/>
        </w:tabs>
        <w:spacing w:line="360" w:lineRule="atLeast"/>
        <w:ind w:firstLine="720"/>
        <w:jc w:val="both"/>
        <w:rPr>
          <w:szCs w:val="24"/>
          <w:lang w:eastAsia="lt-LT"/>
        </w:rPr>
      </w:pPr>
      <w:r>
        <w:rPr>
          <w:szCs w:val="24"/>
          <w:lang w:eastAsia="lt-LT"/>
        </w:rPr>
        <w:t>17.3.1</w:t>
      </w:r>
      <w:r>
        <w:rPr>
          <w:szCs w:val="24"/>
          <w:lang w:eastAsia="lt-LT"/>
        </w:rPr>
        <w:t>.</w:t>
        <w:tab/>
        <w:t xml:space="preserve">kelionės į komandiruotės vietą (vietas) ir grįžimo iš jos į nuolatinę darbo vietą visų rūšių transporto priemonėmis, išskyrus lengvuosius automobilius taksi; </w:t>
      </w:r>
    </w:p>
    <w:p>
      <w:pPr>
        <w:tabs>
          <w:tab w:val="left" w:pos="1418"/>
        </w:tabs>
        <w:spacing w:line="360" w:lineRule="atLeast"/>
        <w:ind w:firstLine="720"/>
        <w:jc w:val="both"/>
        <w:rPr>
          <w:szCs w:val="24"/>
          <w:lang w:eastAsia="lt-LT"/>
        </w:rPr>
      </w:pPr>
      <w:r>
        <w:rPr>
          <w:szCs w:val="24"/>
          <w:lang w:eastAsia="lt-LT"/>
        </w:rPr>
        <w:t>17.3.2</w:t>
      </w:r>
      <w:r>
        <w:rPr>
          <w:szCs w:val="24"/>
          <w:lang w:eastAsia="lt-LT"/>
        </w:rPr>
        <w:t>.</w:t>
        <w:tab/>
        <w:t>komandiruotės vietovėje (vietovėse) visų rūšių transporto priemonėmis;</w:t>
      </w:r>
    </w:p>
    <w:p>
      <w:pPr>
        <w:spacing w:line="360" w:lineRule="atLeast"/>
        <w:ind w:firstLine="720"/>
        <w:jc w:val="both"/>
        <w:rPr>
          <w:szCs w:val="24"/>
          <w:lang w:eastAsia="lt-LT"/>
        </w:rPr>
      </w:pPr>
      <w:r>
        <w:rPr>
          <w:szCs w:val="24"/>
          <w:lang w:eastAsia="lt-LT"/>
        </w:rPr>
        <w:t>17.4</w:t>
      </w:r>
      <w:r>
        <w:rPr>
          <w:szCs w:val="24"/>
          <w:lang w:eastAsia="lt-LT"/>
        </w:rPr>
        <w:t>.</w:t>
        <w:tab/>
        <w:t>komandiruotės metu sunaudotų degalų įsigijimo išlaidos, atsižvelgiant į komandiruotės metu nuvažiuotų kilometrų skaičių ir įstaigos patvirtintas degalų sunaudojimo normas atitinkamai transporto priemonei pagal atitinkamos transporto priemonės gamintojo nurodytus transporto priemonės techninius duomenis (degalų sunaudojimo normas 100 kilometrų), jeigu į komandiruotę buvo važiuojama įstaigos transporto priemone, išsinuomota ar pagal panaudos sutartį perduota transporto priemone arba komandiruoto darbuotojo transporto priemone. Įsakyme ar potvarkyje būtina nurodyti transporto priemonės markę, modelį ir valstybinį numerį. Komandiruoto darbuotojo automobilio naudojimo komandiruotės tikslams tvarką nustato valstybės institucijų ir įstaigų vadovai;</w:t>
      </w:r>
    </w:p>
    <w:p>
      <w:pPr>
        <w:spacing w:line="360" w:lineRule="atLeast"/>
        <w:ind w:firstLine="720"/>
        <w:jc w:val="both"/>
        <w:rPr>
          <w:szCs w:val="24"/>
          <w:lang w:eastAsia="lt-LT"/>
        </w:rPr>
      </w:pPr>
      <w:r>
        <w:rPr>
          <w:szCs w:val="24"/>
          <w:lang w:eastAsia="lt-LT"/>
        </w:rPr>
        <w:t>17.5</w:t>
      </w:r>
      <w:r>
        <w:rPr>
          <w:szCs w:val="24"/>
          <w:lang w:eastAsia="lt-LT"/>
        </w:rPr>
        <w:t>.</w:t>
        <w:tab/>
        <w:t>ryšių (pašto ir telekomunikacijų) išlaidos;</w:t>
      </w:r>
    </w:p>
    <w:p>
      <w:pPr>
        <w:spacing w:line="360" w:lineRule="atLeast"/>
        <w:ind w:firstLine="720"/>
        <w:jc w:val="both"/>
        <w:rPr>
          <w:szCs w:val="24"/>
          <w:lang w:eastAsia="lt-LT"/>
        </w:rPr>
      </w:pPr>
      <w:r>
        <w:rPr>
          <w:szCs w:val="24"/>
          <w:lang w:eastAsia="lt-LT"/>
        </w:rPr>
        <w:t>17.6</w:t>
      </w:r>
      <w:r>
        <w:rPr>
          <w:szCs w:val="24"/>
          <w:lang w:eastAsia="lt-LT"/>
        </w:rPr>
        <w:t>.</w:t>
        <w:tab/>
        <w:t>vykstant į konferenciją, simpoziumą, parodą ar kitą renginį, – registravimosi renginyje mokesčio ar bilietų į renginį pirkimo išlaidos;</w:t>
      </w:r>
    </w:p>
    <w:p>
      <w:pPr>
        <w:spacing w:line="360" w:lineRule="atLeast"/>
        <w:ind w:firstLine="720"/>
        <w:jc w:val="both"/>
        <w:rPr>
          <w:szCs w:val="24"/>
          <w:lang w:eastAsia="lt-LT"/>
        </w:rPr>
      </w:pPr>
      <w:r>
        <w:rPr>
          <w:szCs w:val="24"/>
          <w:lang w:eastAsia="lt-LT"/>
        </w:rPr>
        <w:t>17.7</w:t>
      </w:r>
      <w:r>
        <w:rPr>
          <w:szCs w:val="24"/>
          <w:lang w:eastAsia="lt-LT"/>
        </w:rPr>
        <w:t>.</w:t>
        <w:tab/>
        <w:t>vietinės rinkliavos išlaidos;</w:t>
      </w:r>
    </w:p>
    <w:p>
      <w:pPr>
        <w:spacing w:line="360" w:lineRule="atLeast"/>
        <w:ind w:firstLine="720"/>
        <w:jc w:val="both"/>
        <w:rPr>
          <w:szCs w:val="24"/>
          <w:lang w:eastAsia="lt-LT"/>
        </w:rPr>
      </w:pPr>
      <w:r>
        <w:rPr>
          <w:szCs w:val="24"/>
          <w:lang w:eastAsia="lt-LT"/>
        </w:rPr>
        <w:t>17.8</w:t>
      </w:r>
      <w:r>
        <w:rPr>
          <w:szCs w:val="24"/>
          <w:lang w:eastAsia="lt-LT"/>
        </w:rPr>
        <w:t>.</w:t>
        <w:tab/>
        <w:t>automobilių stovėjimo ir saugojimo aikštelėse komandiruotės vietovės teritorijoje išlaidos.</w:t>
      </w:r>
    </w:p>
    <w:p>
      <w:pPr>
        <w:tabs>
          <w:tab w:val="left" w:pos="1134"/>
        </w:tabs>
        <w:spacing w:line="360" w:lineRule="atLeast"/>
        <w:ind w:firstLine="720"/>
        <w:jc w:val="both"/>
        <w:rPr>
          <w:szCs w:val="24"/>
          <w:u w:val="single"/>
          <w:lang w:eastAsia="lt-LT"/>
        </w:rPr>
      </w:pPr>
      <w:r>
        <w:rPr>
          <w:szCs w:val="24"/>
          <w:lang w:eastAsia="lt-LT"/>
        </w:rPr>
        <w:t>18</w:t>
      </w:r>
      <w:r>
        <w:rPr>
          <w:szCs w:val="24"/>
          <w:lang w:eastAsia="lt-LT"/>
        </w:rPr>
        <w:t>.</w:t>
        <w:tab/>
        <w:t>Visos Taisyklių 17.2–17.8 papunkčiuose</w:t>
      </w:r>
      <w:r>
        <w:rPr>
          <w:b/>
          <w:szCs w:val="24"/>
          <w:lang w:eastAsia="lt-LT"/>
        </w:rPr>
        <w:t xml:space="preserve"> </w:t>
      </w:r>
      <w:r>
        <w:rPr>
          <w:szCs w:val="24"/>
          <w:lang w:eastAsia="lt-LT"/>
        </w:rPr>
        <w:t>nurodytos komandiruočių išlaidos atlyginamos tik tais atvejais, kai pateikiami jas įrodantys dokumentai.</w:t>
      </w:r>
    </w:p>
    <w:p>
      <w:pPr>
        <w:tabs>
          <w:tab w:val="left" w:pos="1134"/>
        </w:tabs>
        <w:spacing w:line="360" w:lineRule="atLeast"/>
        <w:ind w:firstLine="720"/>
        <w:jc w:val="both"/>
        <w:rPr>
          <w:szCs w:val="24"/>
          <w:lang w:eastAsia="lt-LT"/>
        </w:rPr>
      </w:pPr>
      <w:r>
        <w:rPr>
          <w:szCs w:val="24"/>
          <w:lang w:eastAsia="lt-LT"/>
        </w:rPr>
        <w:t>19</w:t>
      </w:r>
      <w:r>
        <w:rPr>
          <w:szCs w:val="24"/>
          <w:lang w:eastAsia="lt-LT"/>
        </w:rPr>
        <w:t>.</w:t>
        <w:tab/>
        <w:t>Tais atvejais, kai komandiruojama į įvairius renginius (konferencijas, pasitarimus, simpoziumus, meno festivalius ir panašiai), kurių organizatoriai apmoka komandiruotų darbuotojų išlaikymo (maitinimo, nakvynės) išlaidas, įstaigos vadovo ar jo įgalioto asmens sprendimu gali būti mokami dienpinigiai neviršijant 30 procentų Taisyklių 17.1 papunktyje nurodytos dienpinigių normos.</w:t>
      </w:r>
    </w:p>
    <w:p>
      <w:pPr>
        <w:tabs>
          <w:tab w:val="left" w:pos="1134"/>
        </w:tabs>
        <w:spacing w:line="360" w:lineRule="atLeast"/>
        <w:ind w:firstLine="720"/>
        <w:jc w:val="both"/>
        <w:rPr>
          <w:color w:val="000000"/>
          <w:lang w:eastAsia="lt-LT"/>
        </w:rPr>
      </w:pPr>
      <w:r>
        <w:rPr>
          <w:szCs w:val="24"/>
          <w:lang w:eastAsia="lt-LT"/>
        </w:rPr>
        <w:t>20</w:t>
      </w:r>
      <w:r>
        <w:rPr>
          <w:szCs w:val="24"/>
          <w:lang w:eastAsia="lt-LT"/>
        </w:rPr>
        <w:t>.</w:t>
        <w:tab/>
        <w:t>Dienpinigiai, kurių bendra suma per mėnesį viršija 50 procentų darbuotojui nustatyto darbo užmokesčio arba darbo užmokesčio, apskaičiuoto taikant valandinį</w:t>
      </w:r>
      <w:r>
        <w:rPr>
          <w:b/>
          <w:szCs w:val="24"/>
          <w:lang w:eastAsia="lt-LT"/>
        </w:rPr>
        <w:t xml:space="preserve"> </w:t>
      </w:r>
      <w:r>
        <w:rPr>
          <w:szCs w:val="24"/>
          <w:lang w:eastAsia="lt-LT"/>
        </w:rPr>
        <w:t>tarifinį atlygį, nelaikomi komandiruočių kompensacijomis.</w:t>
      </w:r>
    </w:p>
    <w:p>
      <w:pPr>
        <w:tabs>
          <w:tab w:val="left" w:pos="6237"/>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92270086d911e481c9c95e73113964">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2014-12-15,
paskelbta TAR 2014-12-19, i. k. 2014-20067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D6CD591158A">
        <w:r w:rsidRPr="00532B9F">
          <w:rPr>
            <w:rFonts w:ascii="Times New Roman" w:eastAsia="MS Mincho" w:hAnsi="Times New Roman"/>
            <w:sz w:val="20"/>
            <w:iCs/>
            <w:color w:val="0000FF" w:themeColor="hyperlink"/>
            <w:u w:val="single"/>
          </w:rPr>
          <w:t>298</w:t>
        </w:r>
      </w:fldSimple>
      <w:r>
        <w:rPr>
          <w:rFonts w:ascii="Times New Roman" w:eastAsia="MS Mincho" w:hAnsi="Times New Roman"/>
          <w:sz w:val="20"/>
          <w:iCs/>
        </w:rPr>
        <w:t>,
2007-03-28,
Žin., 2007, Nr.
37-1371 (2007-03-31), i. k. 1071100NUTA00000298                </w:t>
      </w:r>
    </w:p>
    <w:p>
      <w:pPr>
        <w:jc w:val="both"/>
        <w:rPr>
          <w:rFonts w:ascii="Times New Roman" w:hAnsi="Times New Roman"/>
        </w:rPr>
      </w:pPr>
      <w:r>
        <w:rPr>
          <w:rFonts w:ascii="Times New Roman" w:hAnsi="Times New Roman"/>
          <w:sz w:val="20"/>
        </w:rPr>
        <w:t>Dėl Lietuvos Respublikos Vyriausybės 2004 m. balandžio 29 d. nutarimo Nr. 526 "Dėl Tarnybinių komandiruočių išlaidų apmokėjimo biudžetinėse įstaigose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DEA836B04C2">
        <w:r w:rsidRPr="00532B9F">
          <w:rPr>
            <w:rFonts w:ascii="Times New Roman" w:eastAsia="MS Mincho" w:hAnsi="Times New Roman"/>
            <w:sz w:val="20"/>
            <w:iCs/>
            <w:color w:val="0000FF" w:themeColor="hyperlink"/>
            <w:u w:val="single"/>
          </w:rPr>
          <w:t>541</w:t>
        </w:r>
      </w:fldSimple>
      <w:r>
        <w:rPr>
          <w:rFonts w:ascii="Times New Roman" w:eastAsia="MS Mincho" w:hAnsi="Times New Roman"/>
          <w:sz w:val="20"/>
          <w:iCs/>
        </w:rPr>
        <w:t>,
2008-06-05,
Žin., 2008, Nr.
67-2534 (2008-06-12), i. k. 1081100NUTA00000541                </w:t>
      </w:r>
    </w:p>
    <w:p>
      <w:pPr>
        <w:jc w:val="both"/>
        <w:rPr>
          <w:rFonts w:ascii="Times New Roman" w:hAnsi="Times New Roman"/>
        </w:rPr>
      </w:pPr>
      <w:r>
        <w:rPr>
          <w:rFonts w:ascii="Times New Roman" w:hAnsi="Times New Roman"/>
          <w:sz w:val="20"/>
        </w:rPr>
        <w:t>Dėl Lietuvos Respublikos Vyriausybės 2004 m. balandžio 29 d. nutarimo Nr. 526 "Dėl Tarnybinių komandiruočių išlaidų apmokėjimo biudžetinėse įstaigose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34E45930202">
        <w:r w:rsidRPr="00532B9F">
          <w:rPr>
            <w:rFonts w:ascii="Times New Roman" w:eastAsia="MS Mincho" w:hAnsi="Times New Roman"/>
            <w:sz w:val="20"/>
            <w:iCs/>
            <w:color w:val="0000FF" w:themeColor="hyperlink"/>
            <w:u w:val="single"/>
          </w:rPr>
          <w:t>1150</w:t>
        </w:r>
      </w:fldSimple>
      <w:r>
        <w:rPr>
          <w:rFonts w:ascii="Times New Roman" w:eastAsia="MS Mincho" w:hAnsi="Times New Roman"/>
          <w:sz w:val="20"/>
          <w:iCs/>
        </w:rPr>
        <w:t>,
2009-09-23,
Žin., 2009, Nr.
116-4939 (2009-09-29), i. k. 1091100NUTA00001150                </w:t>
      </w:r>
    </w:p>
    <w:p>
      <w:pPr>
        <w:jc w:val="both"/>
        <w:rPr>
          <w:rFonts w:ascii="Times New Roman" w:hAnsi="Times New Roman"/>
        </w:rPr>
      </w:pPr>
      <w:r>
        <w:rPr>
          <w:rFonts w:ascii="Times New Roman" w:hAnsi="Times New Roman"/>
          <w:sz w:val="20"/>
        </w:rPr>
        <w:t>Dėl Lietuvos Respublikos Vyriausybės 2004 m. balandžio 29 d. nutarimo Nr. 526 "Dėl Tarnybinių komandiruočių išlaidų apmokėjimo biudžetinėse įstaigose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48A3688E393">
        <w:r w:rsidRPr="00532B9F">
          <w:rPr>
            <w:rFonts w:ascii="Times New Roman" w:eastAsia="MS Mincho" w:hAnsi="Times New Roman"/>
            <w:sz w:val="20"/>
            <w:iCs/>
            <w:color w:val="0000FF" w:themeColor="hyperlink"/>
            <w:u w:val="single"/>
          </w:rPr>
          <w:t>535</w:t>
        </w:r>
      </w:fldSimple>
      <w:r>
        <w:rPr>
          <w:rFonts w:ascii="Times New Roman" w:eastAsia="MS Mincho" w:hAnsi="Times New Roman"/>
          <w:sz w:val="20"/>
          <w:iCs/>
        </w:rPr>
        <w:t>,
2012-05-16,
Žin., 2012, Nr.
58-2903 (2012-05-22), i. k. 1121100NUTA00000535                </w:t>
      </w:r>
    </w:p>
    <w:p>
      <w:pPr>
        <w:jc w:val="both"/>
        <w:rPr>
          <w:rFonts w:ascii="Times New Roman" w:hAnsi="Times New Roman"/>
        </w:rPr>
      </w:pPr>
      <w:r>
        <w:rPr>
          <w:rFonts w:ascii="Times New Roman" w:hAnsi="Times New Roman"/>
          <w:sz w:val="20"/>
        </w:rPr>
        <w:t>Dėl Lietuvos Respublikos Vyriausybės 2004 m. balandžio 29 d. nutarimo Nr. 526 ,,Dėl Tarnybinių komandiruočių išlaidų apmokėjimo biudžetinėse įstaigose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7146AAA6B8B">
        <w:r w:rsidRPr="00532B9F">
          <w:rPr>
            <w:rFonts w:ascii="Times New Roman" w:eastAsia="MS Mincho" w:hAnsi="Times New Roman"/>
            <w:sz w:val="20"/>
            <w:iCs/>
            <w:color w:val="0000FF" w:themeColor="hyperlink"/>
            <w:u w:val="single"/>
          </w:rPr>
          <w:t>347</w:t>
        </w:r>
      </w:fldSimple>
      <w:r>
        <w:rPr>
          <w:rFonts w:ascii="Times New Roman" w:eastAsia="MS Mincho" w:hAnsi="Times New Roman"/>
          <w:sz w:val="20"/>
          <w:iCs/>
        </w:rPr>
        <w:t>,
2013-04-23,
Žin., 2013, Nr.
43-2122 (2013-04-27), i. k. 1131100NUTA00000347                </w:t>
      </w:r>
    </w:p>
    <w:p>
      <w:pPr>
        <w:jc w:val="both"/>
        <w:rPr>
          <w:rFonts w:ascii="Times New Roman" w:hAnsi="Times New Roman"/>
        </w:rPr>
      </w:pPr>
      <w:r>
        <w:rPr>
          <w:rFonts w:ascii="Times New Roman" w:hAnsi="Times New Roman"/>
          <w:sz w:val="20"/>
        </w:rPr>
        <w:t>Dėl Lietuvos Respublikos Vyriausybės 2004 m. balandžio 29 d. nutarimo Nr. 526 "Dėl Tarnybinių komandiruočių išlaidų apmokėjimo biudžetinėse įstaigose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192270086d911e481c9c95e73113964">
        <w:r w:rsidRPr="00532B9F">
          <w:rPr>
            <w:rFonts w:ascii="Times New Roman" w:eastAsia="MS Mincho" w:hAnsi="Times New Roman"/>
            <w:sz w:val="20"/>
            <w:iCs/>
            <w:color w:val="0000FF" w:themeColor="hyperlink"/>
            <w:u w:val="single"/>
          </w:rPr>
          <w:t>1433</w:t>
        </w:r>
      </w:fldSimple>
      <w:r>
        <w:rPr>
          <w:rFonts w:ascii="Times New Roman" w:eastAsia="MS Mincho" w:hAnsi="Times New Roman"/>
          <w:sz w:val="20"/>
          <w:iCs/>
        </w:rPr>
        <w:t>,
2014-12-15,
paskelbta TAR 2014-12-19, i. k. 2014-20067                </w:t>
      </w:r>
    </w:p>
    <w:p>
      <w:pPr>
        <w:jc w:val="both"/>
        <w:rPr>
          <w:rFonts w:ascii="Times New Roman" w:hAnsi="Times New Roman"/>
        </w:rPr>
      </w:pPr>
      <w:r>
        <w:rPr>
          <w:rFonts w:ascii="Times New Roman" w:hAnsi="Times New Roman"/>
          <w:sz w:val="20"/>
        </w:rPr>
        <w:t>Dėl Lietuvos Respublikos Vyriausybės 2004 m. balandžio 29 d. nutarimo Nr. 526 „Dėl Tarnybinių komandiruočių išlaidų apmokėjimo biudžetinėse įstaigose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57a61001efd11e586708c6593c243ce">
        <w:r w:rsidRPr="00532B9F">
          <w:rPr>
            <w:rFonts w:ascii="Times New Roman" w:eastAsia="MS Mincho" w:hAnsi="Times New Roman"/>
            <w:sz w:val="20"/>
            <w:iCs/>
            <w:color w:val="0000FF" w:themeColor="hyperlink"/>
            <w:u w:val="single"/>
          </w:rPr>
          <w:t>653</w:t>
        </w:r>
      </w:fldSimple>
      <w:r>
        <w:rPr>
          <w:rFonts w:ascii="Times New Roman" w:eastAsia="MS Mincho" w:hAnsi="Times New Roman"/>
          <w:sz w:val="20"/>
          <w:iCs/>
        </w:rPr>
        <w:t>,
2015-06-26,
paskelbta TAR 2015-06-30, i. k. 2015-10415                </w:t>
      </w:r>
    </w:p>
    <w:p>
      <w:pPr>
        <w:jc w:val="both"/>
        <w:rPr>
          <w:rFonts w:ascii="Times New Roman" w:hAnsi="Times New Roman"/>
        </w:rPr>
      </w:pPr>
      <w:r>
        <w:rPr>
          <w:rFonts w:ascii="Times New Roman" w:hAnsi="Times New Roman"/>
          <w:sz w:val="20"/>
        </w:rPr>
        <w:t>Dėl Lietuvos Respublikos Vyriausybės 2004 m. balandžio 29 d. nutarimo Nr. 526 „Dėl Tarnybinių komandiruočių išlaidų apmokėjimo biudžetinėse įstaigose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dcae5b0219311e5b336e9064144f02a">
        <w:r w:rsidRPr="00532B9F">
          <w:rPr>
            <w:rFonts w:ascii="Times New Roman" w:eastAsia="MS Mincho" w:hAnsi="Times New Roman"/>
            <w:sz w:val="20"/>
            <w:iCs/>
            <w:color w:val="0000FF" w:themeColor="hyperlink"/>
            <w:u w:val="single"/>
          </w:rPr>
          <w:t>706</w:t>
        </w:r>
      </w:fldSimple>
      <w:r>
        <w:rPr>
          <w:rFonts w:ascii="Times New Roman" w:eastAsia="MS Mincho" w:hAnsi="Times New Roman"/>
          <w:sz w:val="20"/>
          <w:iCs/>
        </w:rPr>
        <w:t>,
2015-07-01,
paskelbta TAR 2015-07-03, i. k. 2015-10840                </w:t>
      </w:r>
    </w:p>
    <w:p>
      <w:pPr>
        <w:jc w:val="both"/>
        <w:rPr>
          <w:rFonts w:ascii="Times New Roman" w:hAnsi="Times New Roman"/>
        </w:rPr>
      </w:pPr>
      <w:r>
        <w:rPr>
          <w:rFonts w:ascii="Times New Roman" w:hAnsi="Times New Roman"/>
          <w:sz w:val="20"/>
        </w:rPr>
        <w:t>Dėl Lietuvos Respublikos Vyriausybės 2004 m. balandžio 29 d. nutarimo Nr. 526 „Dėl Tarnybinių komandiruočių išlaidų apmokėjimo biudžetinėse įstaigose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D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EF5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9450388">
      <w:bodyDiv w:val="1"/>
      <w:marLeft w:val="0"/>
      <w:marRight w:val="0"/>
      <w:marTop w:val="0"/>
      <w:marBottom w:val="0"/>
      <w:divBdr>
        <w:top w:val="none" w:sz="0" w:space="0" w:color="auto"/>
        <w:left w:val="none" w:sz="0" w:space="0" w:color="auto"/>
        <w:bottom w:val="none" w:sz="0" w:space="0" w:color="auto"/>
        <w:right w:val="none" w:sz="0" w:space="0" w:color="auto"/>
      </w:divBdr>
    </w:div>
    <w:div w:id="185680839">
      <w:bodyDiv w:val="1"/>
      <w:marLeft w:val="0"/>
      <w:marRight w:val="0"/>
      <w:marTop w:val="0"/>
      <w:marBottom w:val="0"/>
      <w:divBdr>
        <w:top w:val="none" w:sz="0" w:space="0" w:color="auto"/>
        <w:left w:val="none" w:sz="0" w:space="0" w:color="auto"/>
        <w:bottom w:val="none" w:sz="0" w:space="0" w:color="auto"/>
        <w:right w:val="none" w:sz="0" w:space="0" w:color="auto"/>
      </w:divBdr>
    </w:div>
    <w:div w:id="217015650">
      <w:bodyDiv w:val="1"/>
      <w:marLeft w:val="0"/>
      <w:marRight w:val="0"/>
      <w:marTop w:val="0"/>
      <w:marBottom w:val="0"/>
      <w:divBdr>
        <w:top w:val="none" w:sz="0" w:space="0" w:color="auto"/>
        <w:left w:val="none" w:sz="0" w:space="0" w:color="auto"/>
        <w:bottom w:val="none" w:sz="0" w:space="0" w:color="auto"/>
        <w:right w:val="none" w:sz="0" w:space="0" w:color="auto"/>
      </w:divBdr>
    </w:div>
    <w:div w:id="290594986">
      <w:bodyDiv w:val="1"/>
      <w:marLeft w:val="0"/>
      <w:marRight w:val="0"/>
      <w:marTop w:val="0"/>
      <w:marBottom w:val="0"/>
      <w:divBdr>
        <w:top w:val="none" w:sz="0" w:space="0" w:color="auto"/>
        <w:left w:val="none" w:sz="0" w:space="0" w:color="auto"/>
        <w:bottom w:val="none" w:sz="0" w:space="0" w:color="auto"/>
        <w:right w:val="none" w:sz="0" w:space="0" w:color="auto"/>
      </w:divBdr>
    </w:div>
    <w:div w:id="337928200">
      <w:bodyDiv w:val="1"/>
      <w:marLeft w:val="0"/>
      <w:marRight w:val="0"/>
      <w:marTop w:val="0"/>
      <w:marBottom w:val="0"/>
      <w:divBdr>
        <w:top w:val="none" w:sz="0" w:space="0" w:color="auto"/>
        <w:left w:val="none" w:sz="0" w:space="0" w:color="auto"/>
        <w:bottom w:val="none" w:sz="0" w:space="0" w:color="auto"/>
        <w:right w:val="none" w:sz="0" w:space="0" w:color="auto"/>
      </w:divBdr>
    </w:div>
    <w:div w:id="362943281">
      <w:bodyDiv w:val="1"/>
      <w:marLeft w:val="0"/>
      <w:marRight w:val="0"/>
      <w:marTop w:val="0"/>
      <w:marBottom w:val="0"/>
      <w:divBdr>
        <w:top w:val="none" w:sz="0" w:space="0" w:color="auto"/>
        <w:left w:val="none" w:sz="0" w:space="0" w:color="auto"/>
        <w:bottom w:val="none" w:sz="0" w:space="0" w:color="auto"/>
        <w:right w:val="none" w:sz="0" w:space="0" w:color="auto"/>
      </w:divBdr>
    </w:div>
    <w:div w:id="364061610">
      <w:bodyDiv w:val="1"/>
      <w:marLeft w:val="0"/>
      <w:marRight w:val="0"/>
      <w:marTop w:val="0"/>
      <w:marBottom w:val="0"/>
      <w:divBdr>
        <w:top w:val="none" w:sz="0" w:space="0" w:color="auto"/>
        <w:left w:val="none" w:sz="0" w:space="0" w:color="auto"/>
        <w:bottom w:val="none" w:sz="0" w:space="0" w:color="auto"/>
        <w:right w:val="none" w:sz="0" w:space="0" w:color="auto"/>
      </w:divBdr>
    </w:div>
    <w:div w:id="384522202">
      <w:bodyDiv w:val="1"/>
      <w:marLeft w:val="0"/>
      <w:marRight w:val="0"/>
      <w:marTop w:val="0"/>
      <w:marBottom w:val="0"/>
      <w:divBdr>
        <w:top w:val="none" w:sz="0" w:space="0" w:color="auto"/>
        <w:left w:val="none" w:sz="0" w:space="0" w:color="auto"/>
        <w:bottom w:val="none" w:sz="0" w:space="0" w:color="auto"/>
        <w:right w:val="none" w:sz="0" w:space="0" w:color="auto"/>
      </w:divBdr>
    </w:div>
    <w:div w:id="653292409">
      <w:bodyDiv w:val="1"/>
      <w:marLeft w:val="0"/>
      <w:marRight w:val="0"/>
      <w:marTop w:val="0"/>
      <w:marBottom w:val="0"/>
      <w:divBdr>
        <w:top w:val="none" w:sz="0" w:space="0" w:color="auto"/>
        <w:left w:val="none" w:sz="0" w:space="0" w:color="auto"/>
        <w:bottom w:val="none" w:sz="0" w:space="0" w:color="auto"/>
        <w:right w:val="none" w:sz="0" w:space="0" w:color="auto"/>
      </w:divBdr>
    </w:div>
    <w:div w:id="710350339">
      <w:bodyDiv w:val="1"/>
      <w:marLeft w:val="0"/>
      <w:marRight w:val="0"/>
      <w:marTop w:val="0"/>
      <w:marBottom w:val="0"/>
      <w:divBdr>
        <w:top w:val="none" w:sz="0" w:space="0" w:color="auto"/>
        <w:left w:val="none" w:sz="0" w:space="0" w:color="auto"/>
        <w:bottom w:val="none" w:sz="0" w:space="0" w:color="auto"/>
        <w:right w:val="none" w:sz="0" w:space="0" w:color="auto"/>
      </w:divBdr>
    </w:div>
    <w:div w:id="852888577">
      <w:bodyDiv w:val="1"/>
      <w:marLeft w:val="0"/>
      <w:marRight w:val="0"/>
      <w:marTop w:val="0"/>
      <w:marBottom w:val="0"/>
      <w:divBdr>
        <w:top w:val="none" w:sz="0" w:space="0" w:color="auto"/>
        <w:left w:val="none" w:sz="0" w:space="0" w:color="auto"/>
        <w:bottom w:val="none" w:sz="0" w:space="0" w:color="auto"/>
        <w:right w:val="none" w:sz="0" w:space="0" w:color="auto"/>
      </w:divBdr>
    </w:div>
    <w:div w:id="892886784">
      <w:bodyDiv w:val="1"/>
      <w:marLeft w:val="0"/>
      <w:marRight w:val="0"/>
      <w:marTop w:val="0"/>
      <w:marBottom w:val="0"/>
      <w:divBdr>
        <w:top w:val="none" w:sz="0" w:space="0" w:color="auto"/>
        <w:left w:val="none" w:sz="0" w:space="0" w:color="auto"/>
        <w:bottom w:val="none" w:sz="0" w:space="0" w:color="auto"/>
        <w:right w:val="none" w:sz="0" w:space="0" w:color="auto"/>
      </w:divBdr>
    </w:div>
    <w:div w:id="924269147">
      <w:bodyDiv w:val="1"/>
      <w:marLeft w:val="0"/>
      <w:marRight w:val="0"/>
      <w:marTop w:val="0"/>
      <w:marBottom w:val="0"/>
      <w:divBdr>
        <w:top w:val="none" w:sz="0" w:space="0" w:color="auto"/>
        <w:left w:val="none" w:sz="0" w:space="0" w:color="auto"/>
        <w:bottom w:val="none" w:sz="0" w:space="0" w:color="auto"/>
        <w:right w:val="none" w:sz="0" w:space="0" w:color="auto"/>
      </w:divBdr>
    </w:div>
    <w:div w:id="1206454695">
      <w:bodyDiv w:val="1"/>
      <w:marLeft w:val="0"/>
      <w:marRight w:val="0"/>
      <w:marTop w:val="0"/>
      <w:marBottom w:val="0"/>
      <w:divBdr>
        <w:top w:val="none" w:sz="0" w:space="0" w:color="auto"/>
        <w:left w:val="none" w:sz="0" w:space="0" w:color="auto"/>
        <w:bottom w:val="none" w:sz="0" w:space="0" w:color="auto"/>
        <w:right w:val="none" w:sz="0" w:space="0" w:color="auto"/>
      </w:divBdr>
    </w:div>
    <w:div w:id="1280407100">
      <w:bodyDiv w:val="1"/>
      <w:marLeft w:val="0"/>
      <w:marRight w:val="0"/>
      <w:marTop w:val="0"/>
      <w:marBottom w:val="0"/>
      <w:divBdr>
        <w:top w:val="none" w:sz="0" w:space="0" w:color="auto"/>
        <w:left w:val="none" w:sz="0" w:space="0" w:color="auto"/>
        <w:bottom w:val="none" w:sz="0" w:space="0" w:color="auto"/>
        <w:right w:val="none" w:sz="0" w:space="0" w:color="auto"/>
      </w:divBdr>
    </w:div>
    <w:div w:id="1308045095">
      <w:bodyDiv w:val="1"/>
      <w:marLeft w:val="0"/>
      <w:marRight w:val="0"/>
      <w:marTop w:val="0"/>
      <w:marBottom w:val="0"/>
      <w:divBdr>
        <w:top w:val="none" w:sz="0" w:space="0" w:color="auto"/>
        <w:left w:val="none" w:sz="0" w:space="0" w:color="auto"/>
        <w:bottom w:val="none" w:sz="0" w:space="0" w:color="auto"/>
        <w:right w:val="none" w:sz="0" w:space="0" w:color="auto"/>
      </w:divBdr>
    </w:div>
    <w:div w:id="1418091838">
      <w:bodyDiv w:val="1"/>
      <w:marLeft w:val="0"/>
      <w:marRight w:val="0"/>
      <w:marTop w:val="0"/>
      <w:marBottom w:val="0"/>
      <w:divBdr>
        <w:top w:val="none" w:sz="0" w:space="0" w:color="auto"/>
        <w:left w:val="none" w:sz="0" w:space="0" w:color="auto"/>
        <w:bottom w:val="none" w:sz="0" w:space="0" w:color="auto"/>
        <w:right w:val="none" w:sz="0" w:space="0" w:color="auto"/>
      </w:divBdr>
    </w:div>
    <w:div w:id="1431974186">
      <w:bodyDiv w:val="1"/>
      <w:marLeft w:val="0"/>
      <w:marRight w:val="0"/>
      <w:marTop w:val="0"/>
      <w:marBottom w:val="0"/>
      <w:divBdr>
        <w:top w:val="none" w:sz="0" w:space="0" w:color="auto"/>
        <w:left w:val="none" w:sz="0" w:space="0" w:color="auto"/>
        <w:bottom w:val="none" w:sz="0" w:space="0" w:color="auto"/>
        <w:right w:val="none" w:sz="0" w:space="0" w:color="auto"/>
      </w:divBdr>
    </w:div>
    <w:div w:id="1436631563">
      <w:bodyDiv w:val="1"/>
      <w:marLeft w:val="0"/>
      <w:marRight w:val="0"/>
      <w:marTop w:val="0"/>
      <w:marBottom w:val="0"/>
      <w:divBdr>
        <w:top w:val="none" w:sz="0" w:space="0" w:color="auto"/>
        <w:left w:val="none" w:sz="0" w:space="0" w:color="auto"/>
        <w:bottom w:val="none" w:sz="0" w:space="0" w:color="auto"/>
        <w:right w:val="none" w:sz="0" w:space="0" w:color="auto"/>
      </w:divBdr>
    </w:div>
    <w:div w:id="1601063923">
      <w:bodyDiv w:val="1"/>
      <w:marLeft w:val="0"/>
      <w:marRight w:val="0"/>
      <w:marTop w:val="0"/>
      <w:marBottom w:val="0"/>
      <w:divBdr>
        <w:top w:val="none" w:sz="0" w:space="0" w:color="auto"/>
        <w:left w:val="none" w:sz="0" w:space="0" w:color="auto"/>
        <w:bottom w:val="none" w:sz="0" w:space="0" w:color="auto"/>
        <w:right w:val="none" w:sz="0" w:space="0" w:color="auto"/>
      </w:divBdr>
    </w:div>
    <w:div w:id="1658418315">
      <w:bodyDiv w:val="1"/>
      <w:marLeft w:val="0"/>
      <w:marRight w:val="0"/>
      <w:marTop w:val="0"/>
      <w:marBottom w:val="0"/>
      <w:divBdr>
        <w:top w:val="none" w:sz="0" w:space="0" w:color="auto"/>
        <w:left w:val="none" w:sz="0" w:space="0" w:color="auto"/>
        <w:bottom w:val="none" w:sz="0" w:space="0" w:color="auto"/>
        <w:right w:val="none" w:sz="0" w:space="0" w:color="auto"/>
      </w:divBdr>
    </w:div>
    <w:div w:id="1729959508">
      <w:bodyDiv w:val="1"/>
      <w:marLeft w:val="0"/>
      <w:marRight w:val="0"/>
      <w:marTop w:val="0"/>
      <w:marBottom w:val="0"/>
      <w:divBdr>
        <w:top w:val="none" w:sz="0" w:space="0" w:color="auto"/>
        <w:left w:val="none" w:sz="0" w:space="0" w:color="auto"/>
        <w:bottom w:val="none" w:sz="0" w:space="0" w:color="auto"/>
        <w:right w:val="none" w:sz="0" w:space="0" w:color="auto"/>
      </w:divBdr>
    </w:div>
    <w:div w:id="1761488172">
      <w:bodyDiv w:val="1"/>
      <w:marLeft w:val="0"/>
      <w:marRight w:val="0"/>
      <w:marTop w:val="0"/>
      <w:marBottom w:val="0"/>
      <w:divBdr>
        <w:top w:val="none" w:sz="0" w:space="0" w:color="auto"/>
        <w:left w:val="none" w:sz="0" w:space="0" w:color="auto"/>
        <w:bottom w:val="none" w:sz="0" w:space="0" w:color="auto"/>
        <w:right w:val="none" w:sz="0" w:space="0" w:color="auto"/>
      </w:divBdr>
    </w:div>
    <w:div w:id="1820728817">
      <w:bodyDiv w:val="1"/>
      <w:marLeft w:val="0"/>
      <w:marRight w:val="0"/>
      <w:marTop w:val="0"/>
      <w:marBottom w:val="0"/>
      <w:divBdr>
        <w:top w:val="none" w:sz="0" w:space="0" w:color="auto"/>
        <w:left w:val="none" w:sz="0" w:space="0" w:color="auto"/>
        <w:bottom w:val="none" w:sz="0" w:space="0" w:color="auto"/>
        <w:right w:val="none" w:sz="0" w:space="0" w:color="auto"/>
      </w:divBdr>
    </w:div>
    <w:div w:id="1868328718">
      <w:bodyDiv w:val="1"/>
      <w:marLeft w:val="0"/>
      <w:marRight w:val="0"/>
      <w:marTop w:val="0"/>
      <w:marBottom w:val="0"/>
      <w:divBdr>
        <w:top w:val="none" w:sz="0" w:space="0" w:color="auto"/>
        <w:left w:val="none" w:sz="0" w:space="0" w:color="auto"/>
        <w:bottom w:val="none" w:sz="0" w:space="0" w:color="auto"/>
        <w:right w:val="none" w:sz="0" w:space="0" w:color="auto"/>
      </w:divBdr>
    </w:div>
    <w:div w:id="1890263507">
      <w:bodyDiv w:val="1"/>
      <w:marLeft w:val="0"/>
      <w:marRight w:val="0"/>
      <w:marTop w:val="0"/>
      <w:marBottom w:val="0"/>
      <w:divBdr>
        <w:top w:val="none" w:sz="0" w:space="0" w:color="auto"/>
        <w:left w:val="none" w:sz="0" w:space="0" w:color="auto"/>
        <w:bottom w:val="none" w:sz="0" w:space="0" w:color="auto"/>
        <w:right w:val="none" w:sz="0" w:space="0" w:color="auto"/>
      </w:divBdr>
    </w:div>
    <w:div w:id="1928885229">
      <w:bodyDiv w:val="1"/>
      <w:marLeft w:val="0"/>
      <w:marRight w:val="0"/>
      <w:marTop w:val="0"/>
      <w:marBottom w:val="0"/>
      <w:divBdr>
        <w:top w:val="none" w:sz="0" w:space="0" w:color="auto"/>
        <w:left w:val="none" w:sz="0" w:space="0" w:color="auto"/>
        <w:bottom w:val="none" w:sz="0" w:space="0" w:color="auto"/>
        <w:right w:val="none" w:sz="0" w:space="0" w:color="auto"/>
      </w:divBdr>
    </w:div>
    <w:div w:id="20736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26</TotalTime>
  <Pages>8</Pages>
  <Words>15045</Words>
  <Characters>8577</Characters>
  <Application>Microsoft Office Word</Application>
  <DocSecurity>0</DocSecurity>
  <Lines>71</Lines>
  <Paragraphs>47</Paragraphs>
  <ScaleCrop>false</ScaleCrop>
  <Company/>
  <LinksUpToDate>false</LinksUpToDate>
  <CharactersWithSpaces>23575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2015-01-12T12:40:00Z</dcterms:created>
  <dc:creator>marina.buivid@gmail.com</dc:creator>
  <lastModifiedBy>BODIN Aušra</lastModifiedBy>
  <dcterms:modified xsi:type="dcterms:W3CDTF">2015-08-07T07:06:00Z</dcterms:modified>
  <revision>15</revision>
</coreProperties>
</file>