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2015-01-27 iki 2016-02-01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E47C6F8FD9E7">
        <w:r w:rsidRPr="00532B9F">
          <w:rPr>
            <w:rFonts w:ascii="Times New Roman" w:eastAsia="MS Mincho" w:hAnsi="Times New Roman"/>
            <w:sz w:val="20"/>
            <w:i/>
            <w:iCs/>
            <w:color w:val="0000FF" w:themeColor="hyperlink"/>
            <w:u w:val="single"/>
          </w:rPr>
          <w:t>79-3140</w:t>
        </w:r>
      </w:fldSimple>
      <w:r>
        <w:rPr>
          <w:rFonts w:ascii="Times New Roman" w:eastAsia="MS Mincho" w:hAnsi="Times New Roman"/>
          <w:sz w:val="20"/>
          <w:i/>
          <w:iCs/>
        </w:rPr>
        <w:t>, i. k. 108301MISAK0/1K-230</w:t>
      </w:r>
    </w:p>
    <w:p>
      <w:pPr>
        <w:jc w:val="both"/>
        <w:rPr>
          <w:rFonts w:ascii="Times New Roman" w:hAnsi="Times New Roman"/>
          <w:sz w:val="20"/>
        </w:rPr>
      </w:pPr>
    </w:p>
    <w:p>
      <w:pPr>
        <w:jc w:val="center"/>
      </w:pPr>
      <w:r>
        <w:pict w14:anchorId="65396C9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6" o:title=""/>
          </v:shape>
          <w:control r:id="rId27" w:name="Control 2" w:shapeid="_x0000_s1026"/>
        </w:pict>
        <w:t xml:space="preserve">LIETUVOS RESPUBLIKOS APLINKOS MINISTRO IR </w:t>
      </w:r>
    </w:p>
    <w:p>
      <w:pPr>
        <w:jc w:val="center"/>
      </w:pPr>
      <w:r>
        <w:t xml:space="preserve">LIETUVOS RESPUBLIKOS FINANSŲ MINISTRO </w:t>
      </w:r>
    </w:p>
    <w:p>
      <w:pPr>
        <w:jc w:val="center"/>
        <w:rPr>
          <w:spacing w:val="60"/>
        </w:rPr>
      </w:pPr>
      <w:r>
        <w:rPr>
          <w:spacing w:val="60"/>
        </w:rPr>
        <w:t>ĮSAKYMAS</w:t>
      </w:r>
    </w:p>
    <w:p>
      <w:pPr>
        <w:jc w:val="center"/>
      </w:pPr>
    </w:p>
    <w:p>
      <w:pPr>
        <w:jc w:val="center"/>
        <w:rPr>
          <w:b/>
          <w:bCs/>
        </w:rPr>
      </w:pPr>
      <w:r>
        <w:rPr>
          <w:b/>
          <w:bCs/>
        </w:rPr>
        <w:t>DĖL MOKESČIO UŽ APLINKOS TERŠIMĄ APSKAIČIAVIMO IR MOKĖJIMO TVARKOS APRAŠŲ PATVIRTINIMO</w:t>
      </w:r>
    </w:p>
    <w:p>
      <w:pPr>
        <w:jc w:val="center"/>
      </w:pPr>
    </w:p>
    <w:p>
      <w:pPr>
        <w:jc w:val="center"/>
      </w:pPr>
      <w:r>
        <w:t xml:space="preserve">2008 m. liepos 9 d. Nr. D1-370/1K-230 </w:t>
      </w:r>
    </w:p>
    <w:p>
      <w:pPr>
        <w:jc w:val="center"/>
      </w:pPr>
      <w:r>
        <w:t>Vilnius</w:t>
      </w:r>
    </w:p>
    <w:p>
      <w:pPr>
        <w:jc w:val="both"/>
      </w:pPr>
    </w:p>
    <w:p>
      <w:pPr>
        <w:ind w:firstLine="567"/>
        <w:jc w:val="both"/>
      </w:pPr>
      <w:r>
        <w:t xml:space="preserve">Vadovaudamiesi Lietuvos Respublikos mokesčio už aplinkos teršimą įstatymo (Žin., 1999, Nr. </w:t>
      </w:r>
      <w:hyperlink r:id="rId28" w:tgtFrame="_blank" w:history="1">
        <w:r>
          <w:rPr>
            <w:color w:val="0000FF" w:themeColor="hyperlink"/>
            <w:u w:val="single"/>
          </w:rPr>
          <w:t>47-1469</w:t>
        </w:r>
      </w:hyperlink>
      <w:r>
        <w:t xml:space="preserve">; 2002, Nr. </w:t>
      </w:r>
      <w:hyperlink r:id="rId29" w:tgtFrame="_blank" w:history="1">
        <w:r>
          <w:rPr>
            <w:color w:val="0000FF" w:themeColor="hyperlink"/>
            <w:u w:val="single"/>
          </w:rPr>
          <w:t>13-474</w:t>
        </w:r>
      </w:hyperlink>
      <w:r>
        <w:t>) 8 straipsnio 2 dalimi ir Lietuvos Respublikos Vyriausybės 2002 m. gegužės 6 d. nutarimu Nr. 613 „Dėl įgaliojimų suteikimo įgyvendinant Lietuvos Respublikos mokesčio už aplinkos teršimą įstatymą“ (Žin, 2002, Nr. 47-1799, Nr. 104-4650) 1 punktu:</w:t>
      </w:r>
    </w:p>
    <w:p>
      <w:pPr>
        <w:ind w:firstLine="567"/>
        <w:jc w:val="both"/>
      </w:pPr>
      <w:r>
        <w:t>1</w:t>
      </w:r>
      <w:r>
        <w:t xml:space="preserve">. </w:t>
      </w:r>
      <w:r>
        <w:rPr>
          <w:spacing w:val="60"/>
        </w:rPr>
        <w:t>Tvirtiname</w:t>
      </w:r>
      <w:r>
        <w:t xml:space="preserve"> pridedamus:</w:t>
      </w:r>
    </w:p>
    <w:p>
      <w:pPr>
        <w:ind w:firstLine="567"/>
        <w:jc w:val="both"/>
      </w:pPr>
      <w:r>
        <w:t>1.1</w:t>
      </w:r>
      <w:r>
        <w:t>. Mokesčio už aplinkos teršimą iš mobilių taršos šaltinių apskaičiavimo ir mokėjimo tvarkos aprašą;</w:t>
      </w:r>
    </w:p>
    <w:p>
      <w:pPr>
        <w:ind w:firstLine="567"/>
        <w:jc w:val="both"/>
      </w:pPr>
      <w:r>
        <w:t>1.2</w:t>
      </w:r>
      <w:r>
        <w:t xml:space="preserve">. Mokesčio už aplinkos </w:t>
      </w:r>
      <w:r>
        <w:rPr>
          <w:bCs/>
        </w:rPr>
        <w:t>teršimą iš</w:t>
      </w:r>
      <w:r>
        <w:rPr>
          <w:b/>
          <w:bCs/>
        </w:rPr>
        <w:t xml:space="preserve"> </w:t>
      </w:r>
      <w:r>
        <w:t>stacionarių taršos šaltinių apskaičiavimo ir mokėjimo tvarkos aprašą;</w:t>
      </w:r>
    </w:p>
    <w:p>
      <w:pPr>
        <w:ind w:firstLine="567"/>
        <w:jc w:val="both"/>
      </w:pPr>
      <w:r>
        <w:t>1.3</w:t>
      </w:r>
      <w:r>
        <w:t>. Mokesčio už aplinkos teršimą apmokestinamųjų gaminių atliekomis apskaičiavimo ir mokėjimo tvarkos aprašą;</w:t>
      </w:r>
    </w:p>
    <w:p>
      <w:pPr>
        <w:ind w:firstLine="567"/>
        <w:jc w:val="both"/>
      </w:pPr>
      <w:r>
        <w:t>1.4</w:t>
      </w:r>
      <w:r>
        <w:t>. Mokesčio už aplinkos teršimą pakuotės atliekomis apskaičiavimo ir mokėjimo tvarkos aprašą.</w:t>
      </w:r>
    </w:p>
    <w:p>
      <w:pPr>
        <w:ind w:firstLine="567"/>
        <w:jc w:val="both"/>
      </w:pPr>
      <w:r>
        <w:t>2</w:t>
      </w:r>
      <w:r>
        <w:t xml:space="preserve">. </w:t>
      </w:r>
      <w:r>
        <w:rPr>
          <w:spacing w:val="60"/>
        </w:rPr>
        <w:t>Pripažįstame</w:t>
      </w:r>
      <w:r>
        <w:t xml:space="preserve"> netekusiais galios:</w:t>
      </w:r>
    </w:p>
    <w:p>
      <w:pPr>
        <w:ind w:firstLine="567"/>
        <w:jc w:val="both"/>
      </w:pPr>
      <w:r>
        <w:t>2.1</w:t>
      </w:r>
      <w:r>
        <w:t xml:space="preserve">. Lietuvos Respublikos aplinkos ministro ir finansų ministro 2002 m. gruodžio 21 d. įsakymą Nr. 663/409A „Dėl mokesčio už aplinkos teršimą apskaičiavimo ir mokėjimo tvarkos“ (Žin., 2003, Nr. </w:t>
      </w:r>
      <w:hyperlink r:id="rId30" w:tgtFrame="_blank" w:history="1">
        <w:r>
          <w:rPr>
            <w:color w:val="0000FF" w:themeColor="hyperlink"/>
            <w:u w:val="single"/>
          </w:rPr>
          <w:t>4-152</w:t>
        </w:r>
      </w:hyperlink>
      <w:r>
        <w:t>, Nr. 8 (atitaisymas);</w:t>
      </w:r>
    </w:p>
    <w:p>
      <w:pPr>
        <w:ind w:firstLine="567"/>
        <w:jc w:val="both"/>
      </w:pPr>
      <w:r>
        <w:t>2.2</w:t>
      </w:r>
      <w:r>
        <w:t xml:space="preserve">. Lietuvos Respublikos aplinkos ministro ir finansų ministro 2003 m. liepos 21 d. įsakymą Nr. 388/1K-205 „Dėl aplinkos ministro ir finansų ministro 2002 m. gruodžio 21 d. įsakymo Nr. 663/409A „Dėl mokesčio už aplinkos teršimą apskaičiavimo ir mokėjimo tvarkos“ pakeitimo“ (Žin., 2003, Nr. </w:t>
      </w:r>
      <w:hyperlink r:id="rId31" w:tgtFrame="_blank" w:history="1">
        <w:r>
          <w:rPr>
            <w:color w:val="0000FF" w:themeColor="hyperlink"/>
            <w:u w:val="single"/>
          </w:rPr>
          <w:t>75-3492</w:t>
        </w:r>
      </w:hyperlink>
      <w:r>
        <w:t>);</w:t>
      </w:r>
    </w:p>
    <w:p>
      <w:pPr>
        <w:ind w:firstLine="567"/>
        <w:jc w:val="both"/>
      </w:pPr>
      <w:r>
        <w:t>2.3</w:t>
      </w:r>
      <w:r>
        <w:t xml:space="preserve">. Lietuvos Respublikos aplinkos ministro ir finansų ministro 2003 m. gruodžio 24 d. įsakymą Nr. 686/1K-308 „Dėl aplinkos ir finansų ministrų 2002 m. gruodžio 21 d. įsakymo Nr. 663/409A „Dėl mokesčio už aplinkos teršimą apskaičiavimo ir mokėjimo tvarkos“ pakeitimo“ (Žin., 2004, Nr. </w:t>
      </w:r>
      <w:hyperlink r:id="rId32" w:tgtFrame="_blank" w:history="1">
        <w:r>
          <w:rPr>
            <w:color w:val="0000FF" w:themeColor="hyperlink"/>
            <w:u w:val="single"/>
          </w:rPr>
          <w:t>10-288</w:t>
        </w:r>
      </w:hyperlink>
      <w:r>
        <w:t>);</w:t>
      </w:r>
    </w:p>
    <w:p>
      <w:pPr>
        <w:ind w:firstLine="567"/>
        <w:jc w:val="both"/>
      </w:pPr>
      <w:r>
        <w:t>2.4</w:t>
      </w:r>
      <w:r>
        <w:t xml:space="preserve">. Lietuvos Respublikos aplinkos ministro ir finansų ministro 2004 m. rugsėjo 2 d. įsakymą Nr. D1-470/1K-306 „Dėl aplinkos ministro ir finansų ministro 2002 m. gruodžio 21 d. įsakymo Nr. 663/409A „Dėl mokesčio už aplinkos teršimą apskaičiavimo ir mokėjimo tvarkos“ pakeitimo“ (Žin., 2004, Nr. </w:t>
      </w:r>
      <w:hyperlink r:id="rId33" w:tgtFrame="_blank" w:history="1">
        <w:r>
          <w:rPr>
            <w:color w:val="0000FF" w:themeColor="hyperlink"/>
            <w:u w:val="single"/>
          </w:rPr>
          <w:t>136-4977</w:t>
        </w:r>
      </w:hyperlink>
      <w:r>
        <w:t>);</w:t>
      </w:r>
    </w:p>
    <w:p>
      <w:pPr>
        <w:ind w:firstLine="567"/>
        <w:jc w:val="both"/>
      </w:pPr>
      <w:r>
        <w:t>2.5</w:t>
      </w:r>
      <w:r>
        <w:t xml:space="preserve">. Lietuvos Respublikos aplinkos ministro ir finansų ministro 2004 m. spalio 15 d. įsakymą Nr. D1-537/1K-334 „Dėl aplinkos ministro ir finansų ministro 2002 m. gruodžio 21 d. įsakymo Nr. 663/409A „Dėl mokesčio už aplinkos teršimą apskaičiavimo ir mokėjimo tvarkos“ pakeitimo“ (Žin., 2004, Nr. </w:t>
      </w:r>
      <w:hyperlink r:id="rId34" w:tgtFrame="_blank" w:history="1">
        <w:r>
          <w:rPr>
            <w:color w:val="0000FF" w:themeColor="hyperlink"/>
            <w:u w:val="single"/>
          </w:rPr>
          <w:t>154-5623</w:t>
        </w:r>
      </w:hyperlink>
      <w:r>
        <w:t>, Nr. 35 (atitaisymas);</w:t>
      </w:r>
    </w:p>
    <w:p>
      <w:pPr>
        <w:ind w:firstLine="567"/>
        <w:jc w:val="both"/>
      </w:pPr>
      <w:r>
        <w:t>2.6</w:t>
      </w:r>
      <w:r>
        <w:t xml:space="preserve">. Lietuvos Respublikos aplinkos ministro ir finansų ministro 2004 m. gruodžio 14 d. įsakymą Nr. D1-643/1K-394 „Dėl aplinkos ministro ir finansų ministro 2002 m. gruodžio 21 d. įsakymo Nr. 663/409A „Dėl mokesčio už aplinkos teršimą apskaičiavimo ir mokėjimo tvarkos“ pakeitimo“ (Žin., 2004, Nr. </w:t>
      </w:r>
      <w:hyperlink r:id="rId35" w:tgtFrame="_blank" w:history="1">
        <w:r>
          <w:rPr>
            <w:color w:val="0000FF" w:themeColor="hyperlink"/>
            <w:u w:val="single"/>
          </w:rPr>
          <w:t>184-6805</w:t>
        </w:r>
      </w:hyperlink>
      <w:r>
        <w:t>; 2005, Nr. 3 (atitaisymas);</w:t>
      </w:r>
    </w:p>
    <w:p>
      <w:pPr>
        <w:ind w:firstLine="567"/>
        <w:jc w:val="both"/>
      </w:pPr>
      <w:r>
        <w:t>2.7</w:t>
      </w:r>
      <w:r>
        <w:t xml:space="preserve">. Lietuvos Respublikos aplinkos ministro ir finansų ministro 2005 m. spalio 3 d. įsakymą Nr. D1-477/1K-292 „Dėl aplinkos ministro ir finansų ministro 2002 m. gruodžio 21 d. įsakymo Nr. 663/409A „Dėl mokesčio už aplinkos teršimą apskaičiavimo ir mokėjimo tvarkos“ pakeitimo“ (Žin., 2005, Nr. </w:t>
      </w:r>
      <w:hyperlink r:id="rId36" w:tgtFrame="_blank" w:history="1">
        <w:r>
          <w:rPr>
            <w:color w:val="0000FF" w:themeColor="hyperlink"/>
            <w:u w:val="single"/>
          </w:rPr>
          <w:t>121-4349</w:t>
        </w:r>
      </w:hyperlink>
      <w:r>
        <w:t>);</w:t>
      </w:r>
    </w:p>
    <w:p>
      <w:pPr>
        <w:ind w:firstLine="567"/>
        <w:jc w:val="both"/>
      </w:pPr>
      <w:r>
        <w:t>2.8</w:t>
      </w:r>
      <w:r>
        <w:t xml:space="preserve">. Lietuvos Respublikos aplinkos ministro ir finansų ministro 2006 m. liepos 21 d. įsakymą Nr. D1-366/1K-272 „Dėl aplinkos ministro ir finansų ministro 2002 m. gruodžio 21 d. įsakymo Nr. 663/409A „Dėl mokesčio už aplinkos teršimą apskaičiavimo ir mokėjimo tvarkos“ pakeitimo“ (Žin., 2006, Nr. </w:t>
      </w:r>
      <w:hyperlink r:id="rId37" w:tgtFrame="_blank" w:history="1">
        <w:r>
          <w:rPr>
            <w:color w:val="0000FF" w:themeColor="hyperlink"/>
            <w:u w:val="single"/>
          </w:rPr>
          <w:t>85-3335</w:t>
        </w:r>
      </w:hyperlink>
      <w:r>
        <w:t>; 2007, Nr. 49 (atitaisymas);</w:t>
      </w:r>
    </w:p>
    <w:p>
      <w:pPr>
        <w:ind w:firstLine="567"/>
        <w:jc w:val="both"/>
      </w:pPr>
      <w:r>
        <w:t>2.9</w:t>
      </w:r>
      <w:r>
        <w:t xml:space="preserve">. Lietuvos Respublikos aplinkos ministro ir finansų ministro 2006 m. gruodžio 29 d. įsakymą Nr. D1-628/1K-430 „Dėl aplinkos ministro ir finansų ministro 2002 m. gruodžio 21 d. įsakymo Nr. 663/409A „Dėl mokesčio už aplinkos teršimą apskaičiavimo ir mokėjimo tvarkos“ pakeitimo“ (Žin., 2007, Nr. </w:t>
      </w:r>
      <w:hyperlink r:id="rId38" w:tgtFrame="_blank" w:history="1">
        <w:r>
          <w:rPr>
            <w:color w:val="0000FF" w:themeColor="hyperlink"/>
            <w:u w:val="single"/>
          </w:rPr>
          <w:t>2-87</w:t>
        </w:r>
      </w:hyperlink>
      <w:r>
        <w:t>, Nr. 32 (atitaisymas).</w:t>
      </w:r>
    </w:p>
    <w:p>
      <w:pPr>
        <w:ind w:firstLine="567"/>
        <w:jc w:val="both"/>
      </w:pPr>
      <w:r>
        <w:t>3</w:t>
      </w:r>
      <w:r>
        <w:t>. Šis įsakymas įsigalioja 2009 m. sausio 1 d.</w:t>
      </w:r>
    </w:p>
    <w:p>
      <w:pPr>
        <w:tabs>
          <w:tab w:val="right" w:pos="9071"/>
        </w:tabs>
        <w:jc w:val="both"/>
      </w:pPr>
    </w:p>
    <w:p>
      <w:pPr>
        <w:tabs>
          <w:tab w:val="right" w:pos="9071"/>
        </w:tabs>
        <w:jc w:val="both"/>
      </w:pPr>
    </w:p>
    <w:p>
      <w:pPr>
        <w:tabs>
          <w:tab w:val="right" w:pos="9071"/>
        </w:tabs>
        <w:jc w:val="both"/>
      </w:pPr>
    </w:p>
    <w:p>
      <w:pPr>
        <w:tabs>
          <w:tab w:val="right" w:pos="9071"/>
        </w:tabs>
        <w:jc w:val="both"/>
      </w:pPr>
      <w:r>
        <w:t>APLINKOS MINISTRAS</w:t>
        <w:tab/>
        <w:t>ARTŪRAS PAULAUSKAS</w:t>
      </w:r>
    </w:p>
    <w:p>
      <w:pPr>
        <w:tabs>
          <w:tab w:val="right" w:pos="9071"/>
        </w:tabs>
      </w:pPr>
    </w:p>
    <w:p>
      <w:pPr>
        <w:tabs>
          <w:tab w:val="right" w:pos="9071"/>
        </w:tabs>
        <w:jc w:val="both"/>
      </w:pPr>
      <w:r>
        <w:t>FINANSŲ MINISTRAS</w:t>
        <w:tab/>
        <w:t>RIMANTAS ŠADŽIUS</w:t>
      </w:r>
    </w:p>
    <w:p>
      <w:pPr>
        <w:widowControl w:val="0"/>
        <w:suppressAutoHyphens/>
        <w:ind w:left="4535"/>
        <w:sectPr>
          <w:pgSz w:w="11907" w:h="16840" w:code="9"/>
          <w:pgMar w:top="1134" w:right="1134" w:bottom="1134" w:left="1701" w:header="709" w:footer="709" w:gutter="0"/>
          <w:cols w:space="708"/>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Lietuvos Respublikos finansų ministro </w:t>
      </w:r>
    </w:p>
    <w:p>
      <w:pPr>
        <w:widowControl w:val="0"/>
        <w:suppressAutoHyphens/>
        <w:ind w:left="4535"/>
        <w:rPr>
          <w:color w:val="000000"/>
        </w:rPr>
      </w:pPr>
      <w:r>
        <w:rPr>
          <w:color w:val="000000"/>
        </w:rPr>
        <w:t xml:space="preserve">2008 m. liepos 9 d. </w:t>
      </w:r>
    </w:p>
    <w:p>
      <w:pPr>
        <w:widowControl w:val="0"/>
        <w:suppressAutoHyphens/>
        <w:ind w:left="4535"/>
        <w:rPr>
          <w:color w:val="000000"/>
        </w:rPr>
      </w:pPr>
      <w:r>
        <w:rPr>
          <w:color w:val="000000"/>
        </w:rPr>
        <w:t>įsakymu Nr. D1-370/1K-230</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Lietuvos Respublikos finansų ministro </w:t>
      </w:r>
    </w:p>
    <w:p>
      <w:pPr>
        <w:widowControl w:val="0"/>
        <w:suppressAutoHyphens/>
        <w:ind w:left="4535"/>
        <w:rPr>
          <w:color w:val="000000"/>
        </w:rPr>
      </w:pPr>
      <w:r>
        <w:rPr>
          <w:color w:val="000000"/>
        </w:rPr>
        <w:t xml:space="preserve">2010 m. balandžio 22 d. </w:t>
      </w:r>
    </w:p>
    <w:p>
      <w:pPr>
        <w:widowControl w:val="0"/>
        <w:suppressAutoHyphens/>
        <w:ind w:left="4535"/>
        <w:rPr>
          <w:color w:val="000000"/>
        </w:rPr>
      </w:pPr>
      <w:r>
        <w:rPr>
          <w:color w:val="000000"/>
        </w:rPr>
        <w:t>įsakymo Nr. D1-326/1K-117 redakcija)</w:t>
      </w:r>
    </w:p>
    <w:p>
      <w:pPr>
        <w:widowControl w:val="0"/>
        <w:suppressAutoHyphens/>
        <w:jc w:val="both"/>
        <w:rPr>
          <w:color w:val="000000"/>
        </w:rPr>
      </w:pPr>
    </w:p>
    <w:p>
      <w:pPr>
        <w:widowControl w:val="0"/>
        <w:suppressAutoHyphens/>
        <w:jc w:val="center"/>
        <w:rPr>
          <w:b/>
          <w:bCs/>
          <w:caps/>
          <w:color w:val="000000"/>
        </w:rPr>
      </w:pPr>
      <w:r>
        <w:rPr>
          <w:b/>
          <w:bCs/>
          <w:caps/>
          <w:color w:val="000000"/>
        </w:rPr>
        <w:t>MOKESČIO UŽ APLINKOS TERŠIMĄ IŠ MOBILIŲ TARŠOS ŠALTINIŲ APSKAIČIAVIMO IR MOKĖJIMO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Šis Mokesčio už aplinkos teršimą iš mobilių taršos šaltinių apskaičiavimo ir mokėjimo tvarkos aprašas (toliau – Tvarkos aprašas) nustato mokesčio už aplinkos teršimą iš mobilių taršos šaltinių apskaičiavimo, mokėjimo ir lengvatų suteikimo tvarką.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MOKESČIO APSKAIČIAVIMAS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Mokestis už aplinkos teršimą iš mobilių taršos šaltinių yra apskaičiuojamas ir mokamas už mokesčio mokėtojo mobiliuose taršos šaltiniuose Lietuvos Respublikoje per mokestinį laikotarpį sunaudotą degalų kiekį tonomis (toliau – t), o oro transportui – pakilimo ir nusileidimo ciklų skaičių.</w:t>
      </w:r>
    </w:p>
    <w:p>
      <w:pPr>
        <w:suppressAutoHyphens/>
        <w:ind w:firstLine="567"/>
        <w:jc w:val="both"/>
        <w:textAlignment w:val="center"/>
        <w:rPr>
          <w:color w:val="000000"/>
          <w:szCs w:val="24"/>
        </w:rPr>
      </w:pPr>
      <w:r>
        <w:rPr>
          <w:color w:val="000000"/>
          <w:szCs w:val="24"/>
        </w:rPr>
        <w:t>3</w:t>
      </w:r>
      <w:r>
        <w:rPr>
          <w:color w:val="000000"/>
          <w:szCs w:val="24"/>
        </w:rPr>
        <w:t>. Mokėtinas mokestis už aplinkos teršimą iš mobilių taršos šaltinių, išskyrus oro transporto</w:t>
      </w:r>
      <w:r>
        <w:rPr>
          <w:b/>
          <w:bCs/>
          <w:color w:val="000000"/>
          <w:szCs w:val="24"/>
        </w:rPr>
        <w:t xml:space="preserve"> </w:t>
      </w:r>
      <w:r>
        <w:rPr>
          <w:color w:val="000000"/>
          <w:szCs w:val="24"/>
        </w:rPr>
        <w:t>priemones (lėktuvus, orlaivius ir pan.), apskaičiuojamas:</w:t>
      </w:r>
    </w:p>
    <w:p>
      <w:pPr>
        <w:suppressAutoHyphens/>
        <w:ind w:firstLine="567"/>
        <w:jc w:val="both"/>
        <w:textAlignment w:val="center"/>
        <w:rPr>
          <w:color w:val="000000"/>
          <w:szCs w:val="24"/>
        </w:rPr>
      </w:pPr>
    </w:p>
    <w:p>
      <w:pPr>
        <w:tabs>
          <w:tab w:val="left" w:pos="5620"/>
        </w:tabs>
        <w:suppressAutoHyphens/>
        <w:ind w:firstLine="567"/>
        <w:jc w:val="both"/>
        <w:textAlignment w:val="center"/>
        <w:rPr>
          <w:color w:val="000000"/>
          <w:szCs w:val="24"/>
        </w:rPr>
      </w:pPr>
      <w:r>
        <w:rPr>
          <w:color w:val="000000"/>
          <w:szCs w:val="24"/>
        </w:rPr>
        <w:t>M = Q × T × I × k,</w:t>
        <w:tab/>
        <w:t>(1)</w:t>
      </w:r>
    </w:p>
    <w:p>
      <w:pPr>
        <w:tabs>
          <w:tab w:val="left" w:pos="5620"/>
        </w:tabs>
        <w:suppressAutoHyphens/>
        <w:ind w:firstLine="567"/>
        <w:jc w:val="both"/>
        <w:textAlignment w:val="center"/>
        <w:rPr>
          <w:color w:val="000000"/>
          <w:szCs w:val="24"/>
        </w:rPr>
      </w:pPr>
      <w:r>
        <w:rPr>
          <w:color w:val="000000"/>
          <w:szCs w:val="24"/>
        </w:rPr>
        <w:t>čia:</w:t>
      </w:r>
    </w:p>
    <w:p>
      <w:pPr>
        <w:tabs>
          <w:tab w:val="left" w:pos="5620"/>
        </w:tabs>
        <w:suppressAutoHyphens/>
        <w:ind w:firstLine="567"/>
        <w:jc w:val="both"/>
        <w:textAlignment w:val="center"/>
        <w:rPr>
          <w:color w:val="000000"/>
          <w:szCs w:val="24"/>
        </w:rPr>
      </w:pPr>
      <w:r>
        <w:rPr>
          <w:color w:val="000000"/>
          <w:szCs w:val="24"/>
        </w:rPr>
        <w:t>M – mokėtinas mokestis už aplinkos teršimą iš mobilių taršos šaltinių (Eur);</w:t>
      </w:r>
    </w:p>
    <w:p>
      <w:pPr>
        <w:tabs>
          <w:tab w:val="left" w:pos="5620"/>
        </w:tabs>
        <w:suppressAutoHyphens/>
        <w:ind w:firstLine="567"/>
        <w:jc w:val="both"/>
        <w:textAlignment w:val="center"/>
        <w:rPr>
          <w:color w:val="000000"/>
          <w:szCs w:val="24"/>
        </w:rPr>
      </w:pPr>
      <w:r>
        <w:rPr>
          <w:color w:val="000000"/>
          <w:szCs w:val="24"/>
        </w:rPr>
        <w:t>Q – mobiliuose taršos šaltiniuose Lietuvos Respublikoje per mokestinį laikotarpį sunaudotas atitinkamos rūšies degalų kiekis (t), įskaitant ir kitose valstybėse įsigytus, bet Lietuvoje sunaudotus degalus. Degalų sunaudojimas nustatomas pagal kelionės maršrutą (km) ir pagal įmonės vykdomą degalų sunaudojimo apskaitą konkrečiai transporto priemonei, atsižvelgus į transporto priemonės eksploatavimo sąlygas. Tuo atveju, kai degalų kiekio apskaita vykdoma tūrio vienetais – litrais, kiekis iš tūrio vienetų į masės vienetus perskaičiuojamas taikant perskaičiavimo koeficientą, kuris yra nustatomas pagal gamintojo kokybės pažymėjime (sertifikate arba pase) nurodytą degalų tankį. Neturint tikslaus degalų perskaičiavimo koeficiento, degalų kiekiui perskaičiuoti iš litrų į tonas naudojami šie perskaičiavimo koeficientai: benzinui – 0,75, dyzelinui – 0,84, suskystintoms naftos dujoms – 0,54, suslėgtoms gamtinėms dujoms – 0,69;</w:t>
      </w:r>
    </w:p>
    <w:p>
      <w:pPr>
        <w:tabs>
          <w:tab w:val="left" w:pos="5620"/>
        </w:tabs>
        <w:suppressAutoHyphens/>
        <w:ind w:firstLine="567"/>
        <w:jc w:val="both"/>
        <w:textAlignment w:val="center"/>
        <w:rPr>
          <w:color w:val="000000"/>
          <w:szCs w:val="24"/>
        </w:rPr>
      </w:pPr>
      <w:r>
        <w:rPr>
          <w:color w:val="000000"/>
          <w:szCs w:val="24"/>
        </w:rPr>
        <w:t>T – mokesčio tarifas (Eur/t), nustatytas Lietuvos Respublikos mokesčio už aplinkos teršimą įstatymo 5 priedėlyje;</w:t>
      </w:r>
    </w:p>
    <w:p>
      <w:pPr>
        <w:tabs>
          <w:tab w:val="left" w:pos="5620"/>
        </w:tabs>
        <w:suppressAutoHyphens/>
        <w:ind w:firstLine="567"/>
        <w:jc w:val="both"/>
        <w:textAlignment w:val="center"/>
        <w:rPr>
          <w:color w:val="000000"/>
          <w:szCs w:val="24"/>
        </w:rPr>
      </w:pPr>
      <w:r>
        <w:rPr>
          <w:color w:val="000000"/>
          <w:szCs w:val="24"/>
        </w:rPr>
        <w:t>I – mokestinio laikotarpio indeksavimo koeficientas, nustatomas pagal Lietuvos statistikos departamento vartotojų kainų indeksą, apskaičiuotą pagal Mokesčio už aplinkos teršimą tarifų indeksavimo tvarkos aprašą, nustatytą Lietuvos Respublikos Vyriausybės 2000 m. sausio 18 d. nutarimu Nr. 53 „Dėl Lietuvos Respublikos mokesčio už aplinkos teršimą įstatymo įgyvendinimo“, padalijus iš 100. Vartotojų kainų indeksas pasibaigus mokestiniam laikotarpiui skelbiamas Oficialiame statistikos portale.</w:t>
      </w:r>
      <w:r>
        <w:rPr>
          <w:bCs/>
          <w:color w:val="000000"/>
          <w:szCs w:val="24"/>
        </w:rPr>
        <w:t xml:space="preserve"> </w:t>
      </w:r>
      <w:r>
        <w:rPr>
          <w:color w:val="000000"/>
          <w:szCs w:val="24"/>
        </w:rPr>
        <w:t>Bankroto ar restruktūrizavimo atveju, kada mokesčio už aplinkos teršimą iš mobilių taršos šaltinių deklaracija teikiama nepasibaigus mokestiniam laikotarpiui, taikomas prieš tai buvusio mokestinio laikotarpio indeksavimo koeficientas;</w:t>
      </w:r>
    </w:p>
    <w:p>
      <w:pPr>
        <w:ind w:firstLine="567"/>
        <w:jc w:val="both"/>
        <w:rPr>
          <w:color w:val="000000"/>
        </w:rPr>
      </w:pPr>
      <w:r>
        <w:rPr>
          <w:szCs w:val="24"/>
          <w:lang w:eastAsia="lt-LT"/>
        </w:rPr>
        <w:t>k – mokesčio už aplinkos teršimą iš mobilių taršos šaltinių tarifų koregavimo koeficientas, nustatytas Lietuvos Respublikos Vyriausybės 2000 m. sausio 18 d. nutarimu Nr. 53. Šiuo nutarimu patvirtintų Mokesčio už aplinkos teršimą iš mobilių taršos šaltinių tarifų koregavimo koeficientų 1 punktas taikomas motorinėms M2, M3, N2 ir N3 kategorijų kelių transporto priemonėms, kurių sąvokos apibrėžtos Motorinių transporto priemonių ir jų priekabų kategorijų ir klasių pagal konstrukciją reikalavimuose, patvirtintuose Valstybinės kelių transporto inspekcijos prie Susisiekimo ministerijos viršininko 2008 m. gruodžio 2 d. įsakymu Nr. 2B-479 „Motorinių transporto priemonių ir jų priekabų kategorijų ir klasių pagal konstrukciją 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ind w:firstLine="567"/>
        <w:jc w:val="both"/>
        <w:rPr>
          <w:color w:val="000000"/>
          <w:szCs w:val="24"/>
        </w:rPr>
      </w:pPr>
      <w:r>
        <w:rPr>
          <w:color w:val="000000"/>
          <w:szCs w:val="24"/>
        </w:rPr>
        <w:t>4. Mokėtinas mokestis už aplinkos teršimą iš oro transporto priemonių (orlaivių, lėktuvų ir pan.) pakilimo ir nusileidimo ciklo metu apskaičiuojamas:</w:t>
      </w:r>
    </w:p>
    <w:p>
      <w:pPr>
        <w:tabs>
          <w:tab w:val="left" w:pos="5620"/>
        </w:tabs>
        <w:suppressAutoHyphens/>
        <w:ind w:firstLine="567"/>
        <w:jc w:val="both"/>
        <w:textAlignment w:val="center"/>
        <w:rPr>
          <w:color w:val="000000"/>
          <w:szCs w:val="24"/>
        </w:rPr>
      </w:pPr>
    </w:p>
    <w:p>
      <w:pPr>
        <w:tabs>
          <w:tab w:val="left" w:pos="5620"/>
        </w:tabs>
        <w:suppressAutoHyphens/>
        <w:ind w:firstLine="567"/>
        <w:jc w:val="both"/>
        <w:textAlignment w:val="center"/>
        <w:rPr>
          <w:color w:val="000000"/>
          <w:szCs w:val="24"/>
        </w:rPr>
      </w:pPr>
      <w:r>
        <w:rPr>
          <w:color w:val="000000"/>
          <w:szCs w:val="24"/>
        </w:rPr>
        <w:t>M</w:t>
      </w:r>
      <w:r>
        <w:rPr>
          <w:color w:val="000000"/>
          <w:szCs w:val="24"/>
          <w:vertAlign w:val="subscript"/>
        </w:rPr>
        <w:t xml:space="preserve">c </w:t>
      </w:r>
      <w:r>
        <w:rPr>
          <w:color w:val="000000"/>
          <w:szCs w:val="24"/>
        </w:rPr>
        <w:t>= T × I × k × s,</w:t>
        <w:tab/>
        <w:t>(2)</w:t>
      </w:r>
    </w:p>
    <w:p>
      <w:pPr>
        <w:tabs>
          <w:tab w:val="left" w:pos="5620"/>
        </w:tabs>
        <w:suppressAutoHyphens/>
        <w:ind w:firstLine="567"/>
        <w:jc w:val="both"/>
        <w:textAlignment w:val="center"/>
        <w:rPr>
          <w:color w:val="000000"/>
          <w:szCs w:val="24"/>
        </w:rPr>
      </w:pPr>
      <w:r>
        <w:rPr>
          <w:color w:val="000000"/>
          <w:szCs w:val="24"/>
        </w:rPr>
        <w:t>čia:</w:t>
      </w:r>
    </w:p>
    <w:p>
      <w:pPr>
        <w:tabs>
          <w:tab w:val="left" w:pos="5620"/>
        </w:tabs>
        <w:suppressAutoHyphens/>
        <w:ind w:firstLine="567"/>
        <w:jc w:val="both"/>
        <w:textAlignment w:val="center"/>
        <w:rPr>
          <w:color w:val="000000"/>
          <w:szCs w:val="24"/>
        </w:rPr>
      </w:pPr>
      <w:r>
        <w:rPr>
          <w:color w:val="000000"/>
          <w:szCs w:val="24"/>
        </w:rPr>
        <w:t>M</w:t>
      </w:r>
      <w:r>
        <w:rPr>
          <w:color w:val="000000"/>
          <w:szCs w:val="24"/>
          <w:vertAlign w:val="subscript"/>
        </w:rPr>
        <w:t>c</w:t>
      </w:r>
      <w:r>
        <w:rPr>
          <w:color w:val="000000"/>
          <w:szCs w:val="24"/>
        </w:rPr>
        <w:t xml:space="preserve"> – mokėtinas mokestis už aplinkos teršimą iš oro transporto (orlaivių, lėktuvų ir pan.</w:t>
      </w:r>
      <w:r>
        <w:rPr>
          <w:b/>
          <w:bCs/>
          <w:color w:val="000000"/>
          <w:szCs w:val="24"/>
        </w:rPr>
        <w:t>)</w:t>
      </w:r>
      <w:r>
        <w:rPr>
          <w:color w:val="000000"/>
          <w:szCs w:val="24"/>
        </w:rPr>
        <w:t xml:space="preserve"> pakilimo ir nusileidimo ciklo metu (Eur);</w:t>
      </w:r>
    </w:p>
    <w:p>
      <w:pPr>
        <w:ind w:firstLine="567"/>
        <w:jc w:val="both"/>
        <w:rPr>
          <w:color w:val="000000"/>
        </w:rPr>
      </w:pPr>
      <w:r>
        <w:rPr>
          <w:szCs w:val="24"/>
          <w:lang w:eastAsia="lt-LT"/>
        </w:rPr>
        <w:t>s – oro transporto (orlaivių, lėktuvų ir pan.) pakilimo ir nusileidimo ciklų skaičius.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tabs>
          <w:tab w:val="left" w:pos="5620"/>
        </w:tabs>
        <w:suppressAutoHyphens/>
        <w:ind w:firstLine="567"/>
        <w:jc w:val="both"/>
        <w:textAlignment w:val="center"/>
        <w:rPr>
          <w:color w:val="000000"/>
          <w:szCs w:val="24"/>
        </w:rPr>
      </w:pPr>
      <w:r>
        <w:rPr>
          <w:color w:val="000000"/>
          <w:szCs w:val="24"/>
        </w:rPr>
        <w:t>5</w:t>
      </w:r>
      <w:r>
        <w:rPr>
          <w:color w:val="000000"/>
          <w:szCs w:val="24"/>
        </w:rPr>
        <w:t>. Mokėtinas mokestis taikant didesnį tarifą už nuslėptą taršą iš mobilių taršos šaltinių (išskyrus oro transporto priemones, t. y. lėktuvus, orlaivius), kai mokesčio mokėtojas nedeklaravo ar deklaravo mažesnį nei buvo sunaudotas degalų kiekį, apskaičiuojamas:</w:t>
      </w:r>
    </w:p>
    <w:p>
      <w:pPr>
        <w:tabs>
          <w:tab w:val="left" w:pos="5620"/>
        </w:tabs>
        <w:suppressAutoHyphens/>
        <w:ind w:firstLine="567"/>
        <w:jc w:val="both"/>
        <w:textAlignment w:val="center"/>
        <w:rPr>
          <w:color w:val="000000"/>
          <w:szCs w:val="24"/>
        </w:rPr>
      </w:pPr>
    </w:p>
    <w:p>
      <w:pPr>
        <w:tabs>
          <w:tab w:val="left" w:pos="5620"/>
        </w:tabs>
        <w:suppressAutoHyphens/>
        <w:ind w:firstLine="567"/>
        <w:jc w:val="both"/>
        <w:textAlignment w:val="center"/>
        <w:rPr>
          <w:color w:val="000000"/>
          <w:szCs w:val="24"/>
        </w:rPr>
      </w:pPr>
      <w:r>
        <w:rPr>
          <w:color w:val="000000"/>
          <w:szCs w:val="24"/>
        </w:rPr>
        <w:t>M</w:t>
      </w:r>
      <w:r>
        <w:rPr>
          <w:color w:val="000000"/>
          <w:szCs w:val="24"/>
          <w:vertAlign w:val="subscript"/>
        </w:rPr>
        <w:t>p</w:t>
      </w:r>
      <w:r>
        <w:rPr>
          <w:color w:val="000000"/>
          <w:szCs w:val="24"/>
        </w:rPr>
        <w:t xml:space="preserve"> = Q</w:t>
      </w:r>
      <w:r>
        <w:rPr>
          <w:color w:val="000000"/>
          <w:szCs w:val="24"/>
          <w:vertAlign w:val="subscript"/>
        </w:rPr>
        <w:t xml:space="preserve">p </w:t>
      </w:r>
      <w:r>
        <w:rPr>
          <w:color w:val="000000"/>
          <w:szCs w:val="24"/>
        </w:rPr>
        <w:t>× T × k × I × K,</w:t>
        <w:tab/>
        <w:t>(3)</w:t>
      </w:r>
    </w:p>
    <w:p>
      <w:pPr>
        <w:tabs>
          <w:tab w:val="left" w:pos="5620"/>
        </w:tabs>
        <w:suppressAutoHyphens/>
        <w:ind w:firstLine="567"/>
        <w:jc w:val="both"/>
        <w:textAlignment w:val="center"/>
        <w:rPr>
          <w:color w:val="000000"/>
          <w:szCs w:val="24"/>
        </w:rPr>
      </w:pPr>
      <w:r>
        <w:rPr>
          <w:color w:val="000000"/>
          <w:szCs w:val="24"/>
        </w:rPr>
        <w:t>čia:</w:t>
      </w:r>
    </w:p>
    <w:p>
      <w:pPr>
        <w:tabs>
          <w:tab w:val="left" w:pos="5620"/>
        </w:tabs>
        <w:suppressAutoHyphens/>
        <w:ind w:firstLine="567"/>
        <w:jc w:val="both"/>
        <w:textAlignment w:val="center"/>
        <w:rPr>
          <w:color w:val="000000"/>
          <w:szCs w:val="24"/>
        </w:rPr>
      </w:pPr>
      <w:r>
        <w:rPr>
          <w:color w:val="000000"/>
          <w:szCs w:val="24"/>
        </w:rPr>
        <w:t>M</w:t>
      </w:r>
      <w:r>
        <w:rPr>
          <w:color w:val="000000"/>
          <w:szCs w:val="24"/>
          <w:vertAlign w:val="subscript"/>
        </w:rPr>
        <w:t>p</w:t>
      </w:r>
      <w:r>
        <w:rPr>
          <w:color w:val="000000"/>
          <w:szCs w:val="24"/>
        </w:rPr>
        <w:t xml:space="preserve"> – mokėtinas mokestis taikant didesnį tarifą už nuslėptą taršą iš mobilių taršos šaltinių (Eur);</w:t>
      </w:r>
    </w:p>
    <w:p>
      <w:pPr>
        <w:tabs>
          <w:tab w:val="left" w:pos="5620"/>
        </w:tabs>
        <w:suppressAutoHyphens/>
        <w:ind w:firstLine="567"/>
        <w:jc w:val="both"/>
        <w:textAlignment w:val="center"/>
        <w:rPr>
          <w:color w:val="000000"/>
          <w:szCs w:val="24"/>
        </w:rPr>
      </w:pPr>
      <w:r>
        <w:rPr>
          <w:color w:val="000000"/>
          <w:szCs w:val="24"/>
        </w:rPr>
        <w:t>Q</w:t>
      </w:r>
      <w:r>
        <w:rPr>
          <w:color w:val="000000"/>
          <w:szCs w:val="24"/>
          <w:vertAlign w:val="subscript"/>
        </w:rPr>
        <w:t>p</w:t>
      </w:r>
      <w:r>
        <w:rPr>
          <w:color w:val="000000"/>
          <w:szCs w:val="24"/>
        </w:rPr>
        <w:t xml:space="preserve"> – nuslėptas ir (ar) nedeklaruotas atitinkamos rūšies degalų kiekis (t);</w:t>
      </w:r>
    </w:p>
    <w:p>
      <w:pPr>
        <w:ind w:firstLine="567"/>
        <w:jc w:val="both"/>
        <w:rPr>
          <w:color w:val="000000"/>
        </w:rPr>
      </w:pPr>
      <w:r>
        <w:rPr>
          <w:szCs w:val="24"/>
          <w:lang w:eastAsia="lt-LT"/>
        </w:rPr>
        <w:t>K – mokesčio už aplinkos teršimą iš mobilių taršos šaltinių tarifo koeficientas, nustatytas Lietuvos Respublikos mokesčio už aplinkos teršimą įstatymo 6 priedėlyje.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widowControl w:val="0"/>
        <w:suppressAutoHyphens/>
        <w:ind w:firstLine="567"/>
        <w:jc w:val="both"/>
        <w:rPr>
          <w:color w:val="000000"/>
        </w:rPr>
      </w:pPr>
      <w:r>
        <w:rPr>
          <w:color w:val="000000"/>
        </w:rPr>
        <w:t>6</w:t>
      </w:r>
      <w:r>
        <w:rPr>
          <w:color w:val="000000"/>
        </w:rPr>
        <w:t>. Mokėtinas mokestis taikant didesnį tarifą už nuslėptą taršą iš mobilių taršos šaltinių (išskyrus oro transporto priemones, t. y. lėktuvus, orlaivius ir pan.), kai apskaičiuodamas mokestį už mobiliuose taršos šaltiniuose sunaudotą degalų kiekį (t) mokesčio mokėtojas neteisingai taikė mokesčio už aplinkos teršimą tarifus, nustatytus Mokesčio už aplinkos teršimą įstatyme ir (ar) neteisingai taikė ar visai netaikė privalomų taikyti Mokesčio už aplinkos teršimą iš mobilių taršos šaltinių tarifų koregavimo koeficientų, nustatytų Lietuvos Respublikos Vyriausybės 2000 m. sausio 18 d. nutarimu Nr. 53, dėl ko buvo sumokėtas mažesnis mokestis,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 xml:space="preserve">p </w:t>
      </w:r>
      <w:r>
        <w:rPr>
          <w:color w:val="000000"/>
        </w:rPr>
        <w:t>= (Q</w:t>
      </w:r>
      <w:r>
        <w:rPr>
          <w:color w:val="000000"/>
          <w:vertAlign w:val="subscript"/>
        </w:rPr>
        <w:t>s</w:t>
      </w:r>
      <w:r>
        <w:rPr>
          <w:color w:val="000000"/>
        </w:rPr>
        <w:t xml:space="preserve"> x T x k xI - M</w:t>
      </w:r>
      <w:r>
        <w:rPr>
          <w:color w:val="000000"/>
          <w:vertAlign w:val="subscript"/>
        </w:rPr>
        <w:t>(sumokėtas)</w:t>
      </w:r>
      <w:r>
        <w:rPr>
          <w:color w:val="000000"/>
        </w:rPr>
        <w:t>) x K,</w:t>
        <w:tab/>
        <w:t>(4)</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Q</w:t>
      </w:r>
      <w:r>
        <w:rPr>
          <w:color w:val="000000"/>
          <w:vertAlign w:val="subscript"/>
        </w:rPr>
        <w:t>s</w:t>
      </w:r>
      <w:r>
        <w:rPr>
          <w:color w:val="000000"/>
        </w:rPr>
        <w:t xml:space="preserve"> – sunaudotas atitinkamos rūšies degalų kiekis (t);</w:t>
      </w:r>
    </w:p>
    <w:p>
      <w:pPr>
        <w:widowControl w:val="0"/>
        <w:suppressAutoHyphens/>
        <w:ind w:firstLine="567"/>
        <w:jc w:val="both"/>
        <w:rPr>
          <w:color w:val="000000"/>
        </w:rPr>
      </w:pPr>
      <w:r>
        <w:rPr>
          <w:color w:val="000000"/>
        </w:rPr>
        <w:t>M</w:t>
      </w:r>
      <w:r>
        <w:rPr>
          <w:color w:val="000000"/>
          <w:vertAlign w:val="subscript"/>
        </w:rPr>
        <w:t>(sumokėtas)</w:t>
      </w:r>
      <w:r>
        <w:rPr>
          <w:color w:val="000000"/>
        </w:rPr>
        <w:t xml:space="preserve"> – sumokėtas mokestis už aplinkos teršimą iš mobilaus taršos šaltinio, kuriam apskaičiuoti buvo neteisingai taikytas mokesčio už aplinkos teršimą tarifas, nustatytas Mokesčio už aplinkos teršimą įstatyme ir (ar) neteisingai taikytas ar iš viso netaikytas privalomas taikyti Mokesčio už aplinkos teršimą iš mobilių taršos šaltinių tarifų koregavimo koeficientas, nustatytas Lietuvos Respublikos Vyriausybės 2000 m. sausio 18 d. nutarimu Nr. 53.</w:t>
      </w:r>
    </w:p>
    <w:p>
      <w:pPr>
        <w:widowControl w:val="0"/>
        <w:suppressAutoHyphens/>
        <w:ind w:firstLine="567"/>
        <w:jc w:val="both"/>
        <w:rPr>
          <w:color w:val="000000"/>
        </w:rPr>
      </w:pPr>
      <w:r>
        <w:rPr>
          <w:color w:val="000000"/>
        </w:rPr>
        <w:t>7</w:t>
      </w:r>
      <w:r>
        <w:rPr>
          <w:color w:val="000000"/>
        </w:rPr>
        <w:t>. Mokėtinas mokestis taikant didesnį tarifą už nuslėptą oro transporto priemonių (orlaivių, lėktuvų ir pan.) taršą pakilimo ir nusileidimo ciklų metu,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p</w:t>
      </w:r>
      <w:r>
        <w:rPr>
          <w:color w:val="000000"/>
        </w:rPr>
        <w:t xml:space="preserve"> = S x T x k x I x K, </w:t>
        <w:tab/>
        <w:t>(5)</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S – nuslėptas oro transporto priemonių (orlaivių, lėktuvų ir pan.) pakilimo ir nusileidimo ciklų skaičius.</w:t>
      </w:r>
    </w:p>
    <w:p>
      <w:pPr>
        <w:widowControl w:val="0"/>
        <w:suppressAutoHyphens/>
        <w:ind w:firstLine="567"/>
        <w:jc w:val="both"/>
        <w:rPr>
          <w:color w:val="000000"/>
        </w:rPr>
      </w:pPr>
      <w:r>
        <w:rPr>
          <w:color w:val="000000"/>
        </w:rPr>
        <w:t>8</w:t>
      </w:r>
      <w:r>
        <w:rPr>
          <w:color w:val="000000"/>
        </w:rPr>
        <w:t>. Mokėtinas mokestis taikant didesnį tarifą už nuslėptą oro transporto priemonių (orlaivių, lėktuvų ir pan.) taršą pakilimo ir nusileidimo ciklų metu, kai apskaičiuodamas mokestį už oro transporto priemonių (orlaivių, lėktuvų ir pan.)</w:t>
      </w:r>
      <w:r>
        <w:rPr>
          <w:b/>
          <w:bCs/>
          <w:color w:val="000000"/>
        </w:rPr>
        <w:t xml:space="preserve"> </w:t>
      </w:r>
      <w:r>
        <w:rPr>
          <w:color w:val="000000"/>
        </w:rPr>
        <w:t>pakilimo ir nusileidimo ciklų skaičių mokesčio mokėtojas neteisingai taikė mokesčio už aplinkos teršimą tarifą, nustatytą Mokesčio už aplinkos teršimą įstatyme ir (ar) Mokesčio už aplinkos teršimą iš mobilių taršos šaltinių tarifų koregavimo koeficientus, nustatytus Lietuvos Respublikos Vyriausybės 2000 m. sausio 18 d. nutarimu Nr. 53, dėl ko buvo sumokėtas mažesnis mokestis,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M</w:t>
      </w:r>
      <w:r>
        <w:rPr>
          <w:color w:val="000000"/>
          <w:vertAlign w:val="subscript"/>
        </w:rPr>
        <w:t>p</w:t>
      </w:r>
      <w:r>
        <w:rPr>
          <w:color w:val="000000"/>
        </w:rPr>
        <w:t xml:space="preserve"> = (s x T x k x I – M</w:t>
      </w:r>
      <w:r>
        <w:rPr>
          <w:color w:val="000000"/>
          <w:vertAlign w:val="subscript"/>
        </w:rPr>
        <w:t>(sumokėtas)</w:t>
      </w:r>
      <w:r>
        <w:rPr>
          <w:color w:val="000000"/>
        </w:rPr>
        <w:t xml:space="preserve"> ) x K </w:t>
        <w:tab/>
        <w:t>(6)</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MOKESČIO LENGVATAS PATVIRTINANTYS DOKUMENTAI</w:t>
      </w:r>
    </w:p>
    <w:p>
      <w:pPr>
        <w:widowControl w:val="0"/>
        <w:suppressAutoHyphens/>
        <w:ind w:firstLine="567"/>
        <w:jc w:val="both"/>
        <w:rPr>
          <w:color w:val="000000"/>
        </w:rPr>
      </w:pPr>
    </w:p>
    <w:p>
      <w:pPr>
        <w:ind w:firstLine="567"/>
        <w:jc w:val="both"/>
        <w:rPr>
          <w:szCs w:val="24"/>
          <w:lang w:eastAsia="lt-LT"/>
        </w:rPr>
      </w:pPr>
      <w:r>
        <w:rPr>
          <w:szCs w:val="24"/>
          <w:lang w:eastAsia="lt-LT"/>
        </w:rPr>
        <w:t>9</w:t>
      </w:r>
      <w:r>
        <w:rPr>
          <w:szCs w:val="24"/>
          <w:lang w:eastAsia="lt-LT"/>
        </w:rPr>
        <w:t xml:space="preserve">. Išmetamųjų dujų neutralizavimo sistemos kelių transporto priemonėse su vidaus degimo varikliu, buvimą ir jos veikimą patvirtina šie dokumentai: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9.1</w:t>
      </w:r>
      <w:r>
        <w:rPr>
          <w:szCs w:val="24"/>
          <w:lang w:eastAsia="lt-LT"/>
        </w:rPr>
        <w:t>. transporto priemonei, turinčiai vidaus degimo variklį, varomą benzinu ir (ar) dujomis, išskyrus 9.3 papunktyje nurodytą,</w:t>
      </w:r>
      <w:r>
        <w:rPr>
          <w:b/>
          <w:szCs w:val="24"/>
          <w:lang w:eastAsia="lt-LT"/>
        </w:rPr>
        <w:t xml:space="preserve"> –</w:t>
      </w:r>
      <w:r>
        <w:rPr>
          <w:szCs w:val="24"/>
          <w:lang w:eastAsia="lt-LT"/>
        </w:rPr>
        <w:t xml:space="preserve"> transporto priemonės gamintojo, jo oficialiai įgalioto atstovo ar platintojo Lietuvoje išduotas dokumentas (pažyma, tipo atitikties sertifikatas, atitikties liudijimas ir pan.), patvirtinantis, kad transporto priemonėje yra įrengta veikianti išmetamųjų dujų neutralizavimo sistema, pateiktas su galiojančiu privalomos techninės apžiūros dokumentu (techninės apžiūros rezultatų kortele (ataskaita). Pakeitus arba sumontavus transporto priemonėje naują išmetamųjų dujų neutralizavimo sistemą, pateikiamas dokumentas (detalės sertifikatas, detalės pirkimo sąskaita faktūra ir pan.), patvirtinantis, kad detalė sertifikuota. Pažymoje turi būti ši informacija: pažymą išdavusio gamintojo ar jo įgalioto atstovo Lietuvoje identifikavimo rekvizitai, transporto priemonės identifikavimo rekvizitai, pažymint, kad pažymoje nurodytoje (- ose) transporto priemonėje (-se) yra įrengta ir veikianti išmetamųjų dujų neutralizavimo sistema, pažymos išdavimo data ir pažymos registracijos numeris. Pažyma turi būti patvirtinta ją išdavusio asmens parašu ir antspaudu, jeigu jis antspaudą privalo turėti. Pažyma turi būti pateikiama kartu su galiojančiu privalomos techninės apžiūros dokumentu (techninės apžiūros rezultatų kortele (ataskaita);</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arba privalomos techninės apžiūros įmonės išduota techninės apžiūros rezultatų kortelė (ataskaita), arba jos kopija su nurodyta anglies monoksido CO koncentracija automobiliams su varikliais, varomais benzinu ir (ar) dujomis ir kuri neturi viršyti Valstybinės kelių transporto inspekcijos prie Susisiekimo ministerijos viršininko 2008 m. liepos 29 d. įsakymu Nr. 2B-290 „Dėl Techninių motorinių transporto priemonių ir jų priekabų“ anglies monoksidui CO nustatytų normų. Privalomos techninės apžiūros rezultatų kortelė (arba kopija) su nurodyta teršalo koncentracija galioja, jeigu nurodyta teršalo koncentracija atitinka centralizuotos techninės apžiūros duomenų bazės duomenis;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9.2</w:t>
      </w:r>
      <w:r>
        <w:rPr>
          <w:szCs w:val="24"/>
          <w:lang w:eastAsia="lt-LT"/>
        </w:rPr>
        <w:t xml:space="preserve">. transporto priemonei, turinčiai dyzelinį variklį, išskyrus 9.3 papunktyje nurodytą, – transporto priemonės gamintojo, jo oficialiai įgalioto atstovo ar platintojo Lietuvoje išduotas dokumentas (pažyma, tipo atitikties sertifikatas, atitikties liudijimas ir pan.), patvirtinantis, kad transporto priemonėje yra įrengta veikianti išmetamųjų dujų neutralizavimo sistema, pateiktas su galiojančiu privalomos techninės apžiūros dokumentu (techninės apžiūros rezultatų kortele (ataskaita).  Pakeitus arba sumontavus transporto priemonėje naują išmetamųjų dujų neutralizavimo sistemą, pateikiamas dokumentas (detalės sertifikatas, detalės pirkimo sąskaita faktūra ir pan.), patvirtinantis, kad detalė sertifikuota. Pažymoje turi būti ši informacija: pažymą išdavusio gamintojo ar jo įgalioto atstovo Lietuvoje identifikavimo rekvizitai, transporto priemonės identifikavimo rekvizitai, pažymint, kad pažymoje nurodytoje (-ose) transporto priemonėje (-ėse) yra įrengta ir veikianti išmetamųjų dujų neutralizavimo sistema, pažymos išdavimo data ir pažymos registracijos numeris. Pažyma turi būti patvirtinta ją išdavusio asmens parašu ir antspaudu, jeigu jis antspaudą privalo turėti. Pažyma turi būti pateikiama kartu su galiojančiu privalomos techninės apžiūros dokumentu (techninės apžiūros rezultatų kortele (ataskaita);</w:t>
      </w:r>
    </w:p>
    <w:p>
      <w:pPr>
        <w:ind w:firstLine="567"/>
        <w:jc w:val="both"/>
        <w:rPr>
          <w:color w:val="000000"/>
        </w:rPr>
      </w:pPr>
      <w:r>
        <w:rPr>
          <w:szCs w:val="24"/>
          <w:lang w:eastAsia="lt-LT"/>
        </w:rPr>
        <w:t>9.3</w:t>
      </w:r>
      <w:r>
        <w:rPr>
          <w:szCs w:val="24"/>
          <w:lang w:eastAsia="lt-LT"/>
        </w:rPr>
        <w:t>. M1 ir N1 kategorijų transporto priemonėms (su dyzeliniu varikliu ar su Otto tipo varikliu), pirmą kartą registruotoms Europos Sąjungos ir Europos ekonominės erdvės šalyse 2005 metais ir vėliau, kurios atitinka 1998 m. spalio 13 d. Europos Parlamento ir Tarybos direktyvoje 98/69/EEB dėl priemonių, kurių turi būti imamasi prieš oro taršą motorinių transporto priemonių išmetamosiomis dujomis, iš dalies pakeičiančioje Tarybos direktyvą 70/220/EEB (OL 1998 L 350, p.l), nustatytus reikalavimus automobiliams su išmetamųjų teršalų norma „Euro IV“ su vėlesniais jos pakeitimais, kuri perkelta į nacionalinę teisę Lietuvos Respublikos susisiekimo ministro 2008 m. balandžio 28 d. įsakymu Nr. 3-169 „Dėl Motorinių transporto priemonių, priekabų ir šių transporto priemonių sudedamųjų dalių atitikties įvertinimo atlikimo taisyklių patvirtinimo“ – automobilio galiojančią techninę apžiūrą patvirtinantis dokumentas, t. y. techninės apžiūros rezultatų kortelė (ataskaita).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widowControl w:val="0"/>
        <w:ind w:firstLine="567"/>
        <w:jc w:val="both"/>
        <w:rPr>
          <w:color w:val="000000"/>
        </w:rPr>
      </w:pPr>
      <w:r>
        <w:rPr>
          <w:color w:val="000000"/>
          <w:spacing w:val="-2"/>
          <w:szCs w:val="24"/>
          <w:lang w:eastAsia="lt-LT"/>
        </w:rPr>
        <w:t>10</w:t>
      </w:r>
      <w:r>
        <w:rPr>
          <w:color w:val="000000"/>
          <w:spacing w:val="-2"/>
          <w:szCs w:val="24"/>
          <w:lang w:eastAsia="lt-LT"/>
        </w:rPr>
        <w:t>. Motorinių M2, M3, N2 ir N3 kategorijų kelių transporto priemonių atitiktį EURO I, EURO II, EURO III, EURO IV,</w:t>
      </w:r>
      <w:r>
        <w:rPr>
          <w:color w:val="000000"/>
          <w:szCs w:val="24"/>
          <w:lang w:eastAsia="lt-LT"/>
        </w:rPr>
        <w:t xml:space="preserve"> EURO V ir (ar) aukštesnio standarto reikalavimams patvirtina transporto priemonės gamintojo arba jo oficialiai įgalioto atstovo ar platintojo Lietuvoje išduotas dokumentas (pažyma, tipo atitikties sertifikatas ir pan.), patvirtinantis, kad transporto priemonė pagaminta ir atitinka vieną iš nurodytų reikalavimų. Pažymoje turi būti ši informacija: pažymą išdavusio gamintojo ar jo įgalioto atstovo Lietuvoje identifikavimo rekvizitai, transporto priemonės identifikavimo rekvizitai, pažymint, kad pažymoje nurodyta (-os) transporto priemonė (-ės) atitinka konkretų EURO standartą, pažymos išdavimo data ir pažymos registracijos numeris. Pažyma turi būti patvirtinta ją išdavusio juridinio asmens vadovo parašu ir antspaudu.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
      <w:pPr>
        <w:widowControl w:val="0"/>
        <w:suppressAutoHyphens/>
        <w:ind w:firstLine="567"/>
        <w:jc w:val="both"/>
        <w:rPr>
          <w:color w:val="000000"/>
        </w:rPr>
      </w:pPr>
      <w:r>
        <w:rPr>
          <w:color w:val="000000"/>
        </w:rPr>
        <w:t>11</w:t>
      </w:r>
      <w:r>
        <w:rPr>
          <w:color w:val="000000"/>
        </w:rPr>
        <w:t>. Biodegalų naudojimą mobiliuose taršos šaltiniuose ir pajamas, gaunamas iš žemės ūkio veiklos, patvirtina buhalterinės apskaitos dokumentai.</w:t>
      </w:r>
    </w:p>
    <w:p>
      <w:pPr>
        <w:widowControl w:val="0"/>
        <w:suppressAutoHyphens/>
        <w:ind w:firstLine="567"/>
        <w:jc w:val="both"/>
        <w:rPr>
          <w:color w:val="000000"/>
        </w:rPr>
      </w:pPr>
      <w:r>
        <w:rPr>
          <w:color w:val="000000"/>
        </w:rPr>
        <w:t>12</w:t>
      </w:r>
      <w:r>
        <w:rPr>
          <w:color w:val="000000"/>
        </w:rPr>
        <w:t>. Geležinkelių transporto priemonėse recirkuliavimo sistemos ir suodžių filtro buvimą ir veikimą patvirtina gamintojo išduotas įrenginio techninis pasas (jei toks yra) ar įmonės, atlikusios variklio konstrukcinius patobulinimus, pažyma, pateikta su galiojančiu privalomos techninės apžiūros dokumentu.</w:t>
      </w:r>
    </w:p>
    <w:p>
      <w:pPr>
        <w:widowControl w:val="0"/>
        <w:suppressAutoHyphens/>
        <w:ind w:firstLine="567"/>
        <w:jc w:val="both"/>
        <w:rPr>
          <w:color w:val="000000"/>
        </w:rPr>
      </w:pPr>
      <w:r>
        <w:rPr>
          <w:color w:val="000000"/>
        </w:rPr>
        <w:t>13</w:t>
      </w:r>
      <w:r>
        <w:rPr>
          <w:color w:val="000000"/>
        </w:rPr>
        <w:t>. Vandenų transporto priemonėse recirkuliavimo sistemos ir suodžių filtro buvimą ir veikimą patvirtina:</w:t>
      </w:r>
    </w:p>
    <w:p>
      <w:pPr>
        <w:widowControl w:val="0"/>
        <w:suppressAutoHyphens/>
        <w:ind w:firstLine="567"/>
        <w:jc w:val="both"/>
        <w:rPr>
          <w:color w:val="000000"/>
        </w:rPr>
      </w:pPr>
      <w:r>
        <w:rPr>
          <w:color w:val="000000"/>
        </w:rPr>
        <w:t>13.1</w:t>
      </w:r>
      <w:r>
        <w:rPr>
          <w:color w:val="000000"/>
        </w:rPr>
        <w:t>. vidaus vandenų laivų registre įregistruotiems laivams – Laivybos inspekcijos ar Lietuvos saugios laivybos administracijos išduota pažyma, pateikta su galiojančiu privalomos techninės apžiūros dokumentu;</w:t>
      </w:r>
    </w:p>
    <w:p>
      <w:pPr>
        <w:widowControl w:val="0"/>
        <w:suppressAutoHyphens/>
        <w:ind w:firstLine="567"/>
        <w:jc w:val="both"/>
        <w:rPr>
          <w:color w:val="000000"/>
        </w:rPr>
      </w:pPr>
      <w:r>
        <w:rPr>
          <w:color w:val="000000"/>
        </w:rPr>
        <w:t>13.2</w:t>
      </w:r>
      <w:r>
        <w:rPr>
          <w:color w:val="000000"/>
        </w:rPr>
        <w:t>. jūrų laivų registre įregistruotiems laivams – klasifikacinių bendrovių, turinčių teisę atlikti laivų techninę priežiūrą ir apžiūrą, išduotas sertifikatas arba Lietuvos saugios laivybos administracijos išduota pažyma, pateikta su galiojančiu privalomos techninės apžiūros dokumentu.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MOKESČIO SUMOKĖJIMAS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Mokesčio mokėtojas ne vėliau kaip per 60 kalendorinių dienų nuo mokestinio laikotarpio pabaigos sumoka mokestį ir pateikia teritorinei valstybinei mokesčių inspekcijai, kurios veiklos teritorijoje mokesčio mokėtojas yra įregistruotas mokesčių mokėtojų registre, Mokesčio už aplinkos teršimą iš mobilių taršos šaltinių deklaraciją, kurios formą, pildymo ir pateikimo taisykles nustato Valstybinė mokesčių inspekcija prie Lietuvos Respublikos finansų ministerijos kartu su Aplinkos ministerija.</w:t>
      </w:r>
    </w:p>
    <w:p>
      <w:pPr>
        <w:widowControl w:val="0"/>
        <w:suppressAutoHyphens/>
        <w:ind w:firstLine="567"/>
        <w:jc w:val="both"/>
        <w:rPr>
          <w:color w:val="000000"/>
        </w:rPr>
      </w:pPr>
      <w:r>
        <w:rPr>
          <w:color w:val="000000"/>
        </w:rPr>
        <w:t>15</w:t>
      </w:r>
      <w:r>
        <w:rPr>
          <w:color w:val="000000"/>
        </w:rPr>
        <w:t>. Patikrinimo metu papildomai apskaičiuotas mokestis sumokamas Lietuvos Respublikos mokesčių administravimo įstatyme (Žin. 2004, Nr. 63-2243) nustatyta tvarka.</w:t>
      </w:r>
    </w:p>
    <w:p>
      <w:pPr>
        <w:widowControl w:val="0"/>
        <w:suppressAutoHyphens/>
        <w:ind w:firstLine="567"/>
        <w:jc w:val="both"/>
        <w:rPr>
          <w:color w:val="000000"/>
        </w:rPr>
      </w:pPr>
      <w:r>
        <w:rPr>
          <w:color w:val="000000"/>
        </w:rPr>
        <w:t>16</w:t>
      </w:r>
      <w:r>
        <w:rPr>
          <w:color w:val="000000"/>
        </w:rPr>
        <w:t>. Mokesčio mokėtojas, kurio veiklos pradžia nesutampa su mokestinio laikotarpio pradžia, mokestį už aplinkos teršimą iš mobilių taršos šaltinių pirmaisiais veiklos metais moka pasibaigus mokestiniam laikotarpiui, kada ši veikla buvo pradėta.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E95FA75557">
        <w:r w:rsidRPr="00532B9F">
          <w:rPr>
            <w:rFonts w:ascii="Times New Roman" w:eastAsia="MS Mincho" w:hAnsi="Times New Roman"/>
            <w:sz w:val="20"/>
            <w:i/>
            <w:iCs/>
            <w:color w:val="0000FF" w:themeColor="hyperlink"/>
            <w:u w:val="single"/>
          </w:rPr>
          <w:t>D1-326/1K-117</w:t>
        </w:r>
      </w:fldSimple>
      <w:r>
        <w:rPr>
          <w:rFonts w:ascii="Times New Roman" w:eastAsia="MS Mincho" w:hAnsi="Times New Roman"/>
          <w:sz w:val="20"/>
          <w:i/>
          <w:iCs/>
        </w:rPr>
        <w:t>,
2010-04-22,
Žin., 2010, Nr.
49-2411 (2010-04-29), i. k. 110301MISAK6/1K-117            </w:t>
      </w:r>
    </w:p>
    <w:p/>
    <w:p>
      <w:pPr>
        <w:widowControl w:val="0"/>
        <w:suppressAutoHyphens/>
        <w:ind w:left="4535"/>
        <w:sectPr>
          <w:pgSz w:w="11907" w:h="16840" w:code="9"/>
          <w:pgMar w:top="1134" w:right="1134" w:bottom="1134" w:left="1701" w:header="709" w:footer="709" w:gutter="0"/>
          <w:cols w:space="708"/>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Lietuvos Respublikos finansų ministro </w:t>
      </w:r>
    </w:p>
    <w:p>
      <w:pPr>
        <w:widowControl w:val="0"/>
        <w:suppressAutoHyphens/>
        <w:ind w:left="4535"/>
        <w:rPr>
          <w:color w:val="000000"/>
        </w:rPr>
      </w:pPr>
      <w:r>
        <w:rPr>
          <w:color w:val="000000"/>
        </w:rPr>
        <w:t xml:space="preserve">2008 m. liepos 9 d. </w:t>
      </w:r>
    </w:p>
    <w:p>
      <w:pPr>
        <w:widowControl w:val="0"/>
        <w:suppressAutoHyphens/>
        <w:ind w:left="4535"/>
        <w:rPr>
          <w:color w:val="000000"/>
        </w:rPr>
      </w:pPr>
      <w:r>
        <w:rPr>
          <w:color w:val="000000"/>
        </w:rPr>
        <w:t>įsakymu Nr. D1-370/1K-230</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Lietuvos Respublikos finansų ministro </w:t>
      </w:r>
    </w:p>
    <w:p>
      <w:pPr>
        <w:widowControl w:val="0"/>
        <w:suppressAutoHyphens/>
        <w:ind w:left="4535"/>
        <w:rPr>
          <w:color w:val="000000"/>
        </w:rPr>
      </w:pPr>
      <w:r>
        <w:rPr>
          <w:color w:val="000000"/>
        </w:rPr>
        <w:t xml:space="preserve">2010 m. balandžio 22 d. </w:t>
      </w:r>
    </w:p>
    <w:p>
      <w:pPr>
        <w:widowControl w:val="0"/>
        <w:suppressAutoHyphens/>
        <w:ind w:left="4535"/>
        <w:rPr>
          <w:color w:val="000000"/>
        </w:rPr>
      </w:pPr>
      <w:r>
        <w:rPr>
          <w:color w:val="000000"/>
        </w:rPr>
        <w:t>įsakymo Nr. D1-326/1K-117 redakcija)</w:t>
      </w:r>
    </w:p>
    <w:p>
      <w:pPr>
        <w:widowControl w:val="0"/>
        <w:suppressAutoHyphens/>
        <w:jc w:val="both"/>
        <w:rPr>
          <w:color w:val="000000"/>
        </w:rPr>
      </w:pPr>
    </w:p>
    <w:p>
      <w:pPr>
        <w:widowControl w:val="0"/>
        <w:suppressAutoHyphens/>
        <w:jc w:val="center"/>
        <w:rPr>
          <w:b/>
          <w:bCs/>
          <w:caps/>
          <w:color w:val="000000"/>
        </w:rPr>
      </w:pPr>
      <w:r>
        <w:rPr>
          <w:b/>
          <w:bCs/>
          <w:caps/>
          <w:color w:val="000000"/>
        </w:rPr>
        <w:t>MOKESČIO UŽ APLINKOS TERŠIMĄ IŠ STACIONARIŲ TARŠOS ŠALTINIŲ APSKAIČIAVIMO IR MOKĖJIMO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Šis Mokesčio už aplinkos teršimą iš stacionarių taršos šaltinių apskaičiavimo ir mokėjimo tvarkos aprašas (toliau – Tvarkos aprašas) nustato mokesčio už aplinkos teršimą iš stacionarių taršos šaltinių apskaičiavimo, mokėjimo ir lengvatų suteikimo tvarką.</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1</w:t>
      </w:r>
      <w:r>
        <w:rPr>
          <w:color w:val="000000"/>
          <w:szCs w:val="24"/>
          <w:vertAlign w:val="superscript"/>
          <w:lang w:eastAsia="lt-LT"/>
        </w:rPr>
        <w:t>1</w:t>
      </w:r>
      <w:r>
        <w:rPr>
          <w:color w:val="000000"/>
          <w:szCs w:val="24"/>
          <w:lang w:eastAsia="lt-LT"/>
        </w:rPr>
        <w:t>. Šiame Tvarkos apraše vartojamos sąvokos suprantamos taip, kaip jos apibrėžtos Lietuvos Respublikos mokesčio už aplinkos teršimą įstatyme (Žin., 1999, Nr. </w:t>
      </w:r>
      <w:hyperlink r:id="rId80" w:tgtFrame="_blank" w:history="1">
        <w:r>
          <w:rPr>
            <w:color w:val="0000FF" w:themeColor="hyperlink"/>
            <w:szCs w:val="24"/>
            <w:u w:val="single"/>
            <w:lang w:eastAsia="lt-LT"/>
          </w:rPr>
          <w:t>47-1469</w:t>
        </w:r>
      </w:hyperlink>
      <w:r>
        <w:rPr>
          <w:color w:val="000000"/>
          <w:szCs w:val="24"/>
          <w:lang w:eastAsia="lt-LT"/>
        </w:rPr>
        <w:t>; 2002, Nr. </w:t>
      </w:r>
      <w:hyperlink r:id="rId81" w:tgtFrame="_blank" w:history="1">
        <w:r>
          <w:rPr>
            <w:color w:val="0000FF" w:themeColor="hyperlink"/>
            <w:szCs w:val="24"/>
            <w:u w:val="single"/>
            <w:lang w:eastAsia="lt-LT"/>
          </w:rPr>
          <w:t>13-474</w:t>
        </w:r>
      </w:hyperlink>
      <w:r>
        <w:rPr>
          <w:color w:val="000000"/>
          <w:szCs w:val="24"/>
          <w:lang w:eastAsia="lt-LT"/>
        </w:rPr>
        <w:t>) ir Lietuvos Respublikos atsinaujinančių išteklių energetikos įstatyme (Žin., 2011, Nr. </w:t>
      </w:r>
      <w:hyperlink r:id="rId82" w:tgtFrame="_blank" w:history="1">
        <w:r>
          <w:rPr>
            <w:color w:val="0000FF" w:themeColor="hyperlink"/>
            <w:szCs w:val="24"/>
            <w:u w:val="single"/>
            <w:lang w:eastAsia="lt-LT"/>
          </w:rPr>
          <w:t>62-2936</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MOKESČIO APSKAIČIAVIMAS</w:t>
      </w:r>
    </w:p>
    <w:p>
      <w:pPr>
        <w:widowControl w:val="0"/>
        <w:suppressAutoHyphens/>
        <w:ind w:firstLine="567"/>
        <w:jc w:val="both"/>
        <w:rPr>
          <w:color w:val="000000"/>
        </w:rPr>
      </w:pPr>
    </w:p>
    <w:p>
      <w:pPr>
        <w:suppressAutoHyphens/>
        <w:ind w:firstLine="567"/>
        <w:jc w:val="both"/>
        <w:textAlignment w:val="center"/>
        <w:rPr>
          <w:color w:val="000000"/>
          <w:szCs w:val="24"/>
        </w:rPr>
      </w:pPr>
      <w:r>
        <w:rPr>
          <w:color w:val="000000"/>
          <w:szCs w:val="24"/>
        </w:rPr>
        <w:t>2</w:t>
      </w:r>
      <w:r>
        <w:rPr>
          <w:color w:val="000000"/>
          <w:szCs w:val="24"/>
        </w:rPr>
        <w:t>. Mokėtinas mokestis už faktinį iš stacionarių taršos šaltinių išmestą į atmosferą (aplinkos orą) arba išleistą į vandens telkinius, žemės paviršių ir gilesnius jos sluoksnius (toliau – Aplinka) teršalų kiekį tonomis (toliau – t) susideda iš mokesčio už išmestą ar išleistą į Aplinką leistiną teršalo kiekį, neviršijusį Taršos integruotos prevencijos ir kontrolės (toliau – TIPK) ir (ar) taršos leidime teršalui nustatyto leistinos taršos normatyvo, ir mokesčio, apskaičiuojamo taikant didesnį tarifą už išmestą ar išleistą į Aplinką teršalo kiekį, viršijusį TIPK ir (ar) taršos leidime teršalui nustatytą leistiną taršos normatyvą, ir yra lygus:</w:t>
      </w:r>
    </w:p>
    <w:p>
      <w:pPr>
        <w:tabs>
          <w:tab w:val="left" w:pos="6140"/>
        </w:tabs>
        <w:suppressAutoHyphens/>
        <w:ind w:firstLine="567"/>
        <w:jc w:val="both"/>
        <w:textAlignment w:val="center"/>
        <w:rPr>
          <w:color w:val="000000"/>
          <w:szCs w:val="24"/>
        </w:rPr>
      </w:pPr>
    </w:p>
    <w:p>
      <w:pPr>
        <w:tabs>
          <w:tab w:val="left" w:pos="5670"/>
        </w:tabs>
        <w:suppressAutoHyphens/>
        <w:ind w:firstLine="567"/>
        <w:jc w:val="both"/>
        <w:textAlignment w:val="center"/>
        <w:rPr>
          <w:color w:val="000000"/>
          <w:szCs w:val="24"/>
        </w:rPr>
      </w:pPr>
      <w:r>
        <w:rPr>
          <w:color w:val="000000"/>
          <w:szCs w:val="24"/>
        </w:rPr>
        <w:t>M = M</w:t>
      </w:r>
      <w:r>
        <w:rPr>
          <w:color w:val="000000"/>
          <w:szCs w:val="24"/>
          <w:vertAlign w:val="subscript"/>
        </w:rPr>
        <w:t xml:space="preserve">n </w:t>
      </w:r>
      <w:r>
        <w:rPr>
          <w:color w:val="000000"/>
          <w:szCs w:val="24"/>
        </w:rPr>
        <w:t>+ M</w:t>
      </w:r>
      <w:r>
        <w:rPr>
          <w:color w:val="000000"/>
          <w:szCs w:val="24"/>
          <w:vertAlign w:val="subscript"/>
        </w:rPr>
        <w:t>v</w:t>
      </w:r>
      <w:r>
        <w:rPr>
          <w:color w:val="000000"/>
          <w:szCs w:val="24"/>
        </w:rPr>
        <w:t>,</w:t>
        <w:tab/>
        <w:t>(1)</w:t>
      </w:r>
    </w:p>
    <w:p>
      <w:pPr>
        <w:tabs>
          <w:tab w:val="left" w:pos="6140"/>
        </w:tabs>
        <w:suppressAutoHyphens/>
        <w:ind w:firstLine="567"/>
        <w:jc w:val="both"/>
        <w:textAlignment w:val="center"/>
        <w:rPr>
          <w:color w:val="000000"/>
          <w:szCs w:val="24"/>
        </w:rPr>
      </w:pPr>
      <w:r>
        <w:rPr>
          <w:color w:val="000000"/>
          <w:szCs w:val="24"/>
        </w:rPr>
        <w:t>čia:</w:t>
      </w:r>
    </w:p>
    <w:p>
      <w:pPr>
        <w:tabs>
          <w:tab w:val="left" w:pos="6140"/>
        </w:tabs>
        <w:suppressAutoHyphens/>
        <w:ind w:firstLine="567"/>
        <w:jc w:val="both"/>
        <w:textAlignment w:val="center"/>
        <w:rPr>
          <w:color w:val="000000"/>
          <w:szCs w:val="24"/>
        </w:rPr>
      </w:pPr>
      <w:r>
        <w:rPr>
          <w:color w:val="000000"/>
          <w:szCs w:val="24"/>
        </w:rPr>
        <w:t>M – mokėtinas mokestis (Eur) už išmestą ar išleistą į Aplinką teršalo kiekį (t) per mokestinį laikotarpį;</w:t>
      </w:r>
    </w:p>
    <w:p>
      <w:pPr>
        <w:tabs>
          <w:tab w:val="left" w:pos="6140"/>
        </w:tabs>
        <w:suppressAutoHyphens/>
        <w:ind w:firstLine="567"/>
        <w:jc w:val="both"/>
        <w:textAlignment w:val="center"/>
        <w:rPr>
          <w:color w:val="000000"/>
          <w:szCs w:val="24"/>
        </w:rPr>
      </w:pPr>
      <w:r>
        <w:rPr>
          <w:color w:val="000000"/>
          <w:szCs w:val="24"/>
        </w:rPr>
        <w:t>M</w:t>
      </w:r>
      <w:r>
        <w:rPr>
          <w:color w:val="000000"/>
          <w:szCs w:val="24"/>
          <w:vertAlign w:val="subscript"/>
        </w:rPr>
        <w:t>n</w:t>
      </w:r>
      <w:r>
        <w:rPr>
          <w:color w:val="000000"/>
          <w:szCs w:val="24"/>
        </w:rPr>
        <w:t xml:space="preserve"> – mokėtinas mokestis (Eur) už išmestą ar išleistą į Aplinką teršalo kiekį (t) per mokestinį laikotarpį, neviršijusį TIPK ir (ar) taršos leidime teršalui nustatyto leistinos taršos normatyvo;</w:t>
      </w:r>
    </w:p>
    <w:p>
      <w:pPr>
        <w:tabs>
          <w:tab w:val="left" w:pos="6140"/>
        </w:tabs>
        <w:suppressAutoHyphens/>
        <w:ind w:firstLine="567"/>
        <w:jc w:val="both"/>
        <w:textAlignment w:val="center"/>
        <w:rPr>
          <w:color w:val="000000"/>
          <w:szCs w:val="24"/>
        </w:rPr>
      </w:pPr>
      <w:r>
        <w:rPr>
          <w:color w:val="000000"/>
          <w:szCs w:val="24"/>
        </w:rPr>
        <w:t>M</w:t>
      </w:r>
      <w:r>
        <w:rPr>
          <w:color w:val="000000"/>
          <w:szCs w:val="24"/>
          <w:vertAlign w:val="subscript"/>
        </w:rPr>
        <w:t>v</w:t>
      </w:r>
      <w:r>
        <w:rPr>
          <w:color w:val="000000"/>
          <w:szCs w:val="24"/>
        </w:rPr>
        <w:t xml:space="preserve"> – mokėtinas mokestis (Eur) už išleistą ar išmestą į Aplinką teršalo kiekį (t) per mokestinį laikotarpį, viršijusį TIPK ir (ar) taršos leidime teršalui nustatytą leistinos taršos normatyvą.</w:t>
      </w:r>
    </w:p>
    <w:p>
      <w:pPr>
        <w:ind w:firstLine="567"/>
        <w:jc w:val="both"/>
        <w:rPr>
          <w:color w:val="000000"/>
        </w:rPr>
      </w:pPr>
      <w:r>
        <w:rPr>
          <w:szCs w:val="24"/>
          <w:lang w:eastAsia="lt-LT"/>
        </w:rPr>
        <w:t>Kai neviršijami TIPK ir (ar) taršos leidime teršalams nustatyti leistinos taršos normatyvai, M</w:t>
      </w:r>
      <w:r>
        <w:rPr>
          <w:szCs w:val="24"/>
          <w:vertAlign w:val="subscript"/>
          <w:lang w:eastAsia="lt-LT"/>
        </w:rPr>
        <w:t>v</w:t>
      </w:r>
      <w:r>
        <w:rPr>
          <w:szCs w:val="24"/>
          <w:lang w:eastAsia="lt-LT"/>
        </w:rPr>
        <w:t xml:space="preserve"> = 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suppressAutoHyphens/>
        <w:ind w:firstLine="567"/>
        <w:jc w:val="both"/>
        <w:textAlignment w:val="center"/>
        <w:rPr>
          <w:color w:val="000000"/>
          <w:szCs w:val="24"/>
        </w:rPr>
      </w:pPr>
      <w:r>
        <w:rPr>
          <w:color w:val="000000"/>
          <w:szCs w:val="24"/>
        </w:rPr>
        <w:t>3</w:t>
      </w:r>
      <w:r>
        <w:rPr>
          <w:color w:val="000000"/>
          <w:szCs w:val="24"/>
        </w:rPr>
        <w:t>. Mokestis už TIPK ir (ar) taršos leidime nustatytą leistiną išmesti ar išleisti į Aplinką teršalo kiekį per mokestinį laikotarpį apskaičiuojamas:</w:t>
      </w:r>
    </w:p>
    <w:p>
      <w:pPr>
        <w:suppressAutoHyphens/>
        <w:ind w:firstLine="567"/>
        <w:jc w:val="both"/>
        <w:textAlignment w:val="center"/>
        <w:rPr>
          <w:color w:val="000000"/>
          <w:szCs w:val="24"/>
        </w:rPr>
      </w:pPr>
    </w:p>
    <w:p>
      <w:pPr>
        <w:suppressAutoHyphens/>
        <w:ind w:firstLine="567"/>
        <w:jc w:val="both"/>
        <w:textAlignment w:val="center"/>
        <w:rPr>
          <w:color w:val="000000"/>
          <w:szCs w:val="24"/>
        </w:rPr>
      </w:pPr>
      <w:r>
        <w:rPr>
          <w:color w:val="000000"/>
          <w:szCs w:val="24"/>
        </w:rPr>
        <w:t>M</w:t>
      </w:r>
      <w:r>
        <w:rPr>
          <w:color w:val="000000"/>
          <w:szCs w:val="24"/>
          <w:vertAlign w:val="subscript"/>
        </w:rPr>
        <w:t>n</w:t>
      </w:r>
      <w:r>
        <w:rPr>
          <w:color w:val="000000"/>
          <w:szCs w:val="24"/>
        </w:rPr>
        <w:t xml:space="preserve"> = Q × T × I × [k], </w:t>
        <w:tab/>
        <w:tab/>
        <w:t xml:space="preserve">kai </w:t>
        <w:tab/>
        <w:t>Q ≤ N</w:t>
      </w:r>
    </w:p>
    <w:p>
      <w:pPr>
        <w:suppressAutoHyphens/>
        <w:ind w:firstLine="567"/>
        <w:jc w:val="both"/>
        <w:textAlignment w:val="center"/>
        <w:rPr>
          <w:color w:val="000000"/>
          <w:szCs w:val="24"/>
        </w:rPr>
      </w:pPr>
      <w:r>
        <w:rPr>
          <w:color w:val="000000"/>
          <w:szCs w:val="24"/>
        </w:rPr>
        <w:t>M</w:t>
      </w:r>
      <w:r>
        <w:rPr>
          <w:color w:val="000000"/>
          <w:szCs w:val="24"/>
          <w:vertAlign w:val="subscript"/>
        </w:rPr>
        <w:t>n</w:t>
      </w:r>
      <w:r>
        <w:rPr>
          <w:color w:val="000000"/>
          <w:szCs w:val="24"/>
        </w:rPr>
        <w:t xml:space="preserve"> = (Q – ∑ Q</w:t>
      </w:r>
      <w:r>
        <w:rPr>
          <w:color w:val="000000"/>
          <w:szCs w:val="24"/>
          <w:vertAlign w:val="subscript"/>
        </w:rPr>
        <w:t>nt</w:t>
      </w:r>
      <w:r>
        <w:rPr>
          <w:color w:val="000000"/>
          <w:szCs w:val="24"/>
        </w:rPr>
        <w:t xml:space="preserve">) × T × I × [k], </w:t>
        <w:tab/>
        <w:tab/>
        <w:t xml:space="preserve">kai </w:t>
        <w:tab/>
        <w:t>Q</w:t>
      </w:r>
      <w:r>
        <w:rPr>
          <w:color w:val="000000"/>
          <w:szCs w:val="24"/>
          <w:vertAlign w:val="subscript"/>
        </w:rPr>
        <w:t>t</w:t>
      </w:r>
      <w:r>
        <w:rPr>
          <w:color w:val="000000"/>
          <w:szCs w:val="24"/>
        </w:rPr>
        <w:t xml:space="preserve"> &gt; N</w:t>
      </w:r>
      <w:r>
        <w:rPr>
          <w:color w:val="000000"/>
          <w:szCs w:val="24"/>
          <w:vertAlign w:val="subscript"/>
        </w:rPr>
        <w:t>t</w:t>
      </w:r>
      <w:r>
        <w:rPr>
          <w:color w:val="000000"/>
          <w:szCs w:val="24"/>
        </w:rPr>
        <w:t xml:space="preserve">, o Q ≤ N </w:t>
        <w:tab/>
        <w:t>(2)</w:t>
      </w:r>
    </w:p>
    <w:p>
      <w:pPr>
        <w:suppressAutoHyphens/>
        <w:ind w:firstLine="567"/>
        <w:jc w:val="both"/>
        <w:textAlignment w:val="center"/>
        <w:rPr>
          <w:color w:val="000000"/>
          <w:szCs w:val="24"/>
        </w:rPr>
      </w:pPr>
      <w:r>
        <w:rPr>
          <w:color w:val="000000"/>
          <w:szCs w:val="24"/>
        </w:rPr>
        <w:t>M</w:t>
      </w:r>
      <w:r>
        <w:rPr>
          <w:color w:val="000000"/>
          <w:szCs w:val="24"/>
          <w:vertAlign w:val="subscript"/>
        </w:rPr>
        <w:t>n</w:t>
      </w:r>
      <w:r>
        <w:rPr>
          <w:color w:val="000000"/>
          <w:szCs w:val="24"/>
        </w:rPr>
        <w:t xml:space="preserve"> = (N – ( ∑ Q</w:t>
      </w:r>
      <w:r>
        <w:rPr>
          <w:color w:val="000000"/>
          <w:szCs w:val="24"/>
          <w:vertAlign w:val="subscript"/>
        </w:rPr>
        <w:t>nt</w:t>
      </w:r>
      <w:r>
        <w:rPr>
          <w:color w:val="000000"/>
          <w:szCs w:val="24"/>
        </w:rPr>
        <w:t> – Q</w:t>
      </w:r>
      <w:r>
        <w:rPr>
          <w:color w:val="000000"/>
          <w:szCs w:val="24"/>
          <w:vertAlign w:val="subscript"/>
        </w:rPr>
        <w:t>np</w:t>
      </w:r>
      <w:r>
        <w:rPr>
          <w:color w:val="000000"/>
          <w:szCs w:val="24"/>
        </w:rPr>
        <w:t xml:space="preserve">)) × T × I × [k], </w:t>
        <w:tab/>
        <w:t xml:space="preserve">kai </w:t>
        <w:tab/>
        <w:t>Q &gt; N, o ∑ Q</w:t>
      </w:r>
      <w:r>
        <w:rPr>
          <w:color w:val="000000"/>
          <w:szCs w:val="24"/>
          <w:vertAlign w:val="subscript"/>
        </w:rPr>
        <w:t>nt</w:t>
      </w:r>
      <w:r>
        <w:rPr>
          <w:color w:val="000000"/>
          <w:szCs w:val="24"/>
        </w:rPr>
        <w:t xml:space="preserve"> &gt; Q</w:t>
      </w:r>
      <w:r>
        <w:rPr>
          <w:color w:val="000000"/>
          <w:szCs w:val="24"/>
          <w:vertAlign w:val="subscript"/>
        </w:rPr>
        <w:t>np</w:t>
      </w:r>
    </w:p>
    <w:p>
      <w:pPr>
        <w:suppressAutoHyphens/>
        <w:ind w:firstLine="567"/>
        <w:jc w:val="both"/>
        <w:textAlignment w:val="center"/>
        <w:rPr>
          <w:color w:val="000000"/>
          <w:szCs w:val="24"/>
        </w:rPr>
      </w:pPr>
      <w:r>
        <w:rPr>
          <w:color w:val="000000"/>
          <w:szCs w:val="24"/>
        </w:rPr>
        <w:t>M</w:t>
      </w:r>
      <w:r>
        <w:rPr>
          <w:color w:val="000000"/>
          <w:szCs w:val="24"/>
          <w:vertAlign w:val="subscript"/>
        </w:rPr>
        <w:t>n</w:t>
      </w:r>
      <w:r>
        <w:rPr>
          <w:color w:val="000000"/>
          <w:szCs w:val="24"/>
        </w:rPr>
        <w:t xml:space="preserve"> = N × T × I × [k], </w:t>
        <w:tab/>
        <w:tab/>
        <w:t xml:space="preserve">kai </w:t>
        <w:tab/>
        <w:t>Q &gt; N, o ∑Q</w:t>
      </w:r>
      <w:r>
        <w:rPr>
          <w:color w:val="000000"/>
          <w:szCs w:val="24"/>
          <w:vertAlign w:val="subscript"/>
        </w:rPr>
        <w:t>nt</w:t>
      </w:r>
      <w:r>
        <w:rPr>
          <w:color w:val="000000"/>
          <w:szCs w:val="24"/>
        </w:rPr>
        <w:t xml:space="preserve"> ≤ Q</w:t>
      </w:r>
      <w:r>
        <w:rPr>
          <w:color w:val="000000"/>
          <w:szCs w:val="24"/>
          <w:vertAlign w:val="subscript"/>
        </w:rPr>
        <w:t>np</w:t>
      </w:r>
      <w:r>
        <w:rPr>
          <w:color w:val="000000"/>
          <w:szCs w:val="24"/>
        </w:rPr>
        <w:t>;</w:t>
      </w:r>
    </w:p>
    <w:p>
      <w:pPr>
        <w:suppressAutoHyphens/>
        <w:ind w:firstLine="567"/>
        <w:jc w:val="both"/>
        <w:textAlignment w:val="center"/>
        <w:rPr>
          <w:color w:val="000000"/>
          <w:szCs w:val="24"/>
        </w:rPr>
      </w:pPr>
    </w:p>
    <w:p>
      <w:pPr>
        <w:suppressAutoHyphens/>
        <w:ind w:firstLine="567"/>
        <w:jc w:val="both"/>
        <w:textAlignment w:val="center"/>
        <w:rPr>
          <w:color w:val="000000"/>
          <w:szCs w:val="24"/>
        </w:rPr>
      </w:pPr>
      <w:r>
        <w:rPr>
          <w:color w:val="000000"/>
          <w:szCs w:val="24"/>
        </w:rPr>
        <w:t>čia:</w:t>
      </w:r>
    </w:p>
    <w:p>
      <w:pPr>
        <w:suppressAutoHyphens/>
        <w:ind w:firstLine="567"/>
        <w:jc w:val="both"/>
        <w:textAlignment w:val="center"/>
        <w:rPr>
          <w:color w:val="000000"/>
          <w:szCs w:val="24"/>
        </w:rPr>
      </w:pPr>
      <w:r>
        <w:rPr>
          <w:color w:val="000000"/>
          <w:szCs w:val="24"/>
        </w:rPr>
        <w:t>Q – faktinis per mokestinį laikotarpį išmestas ar išleistas į Aplinką atitinkamo teršalo kiekis (t);</w:t>
      </w:r>
    </w:p>
    <w:p>
      <w:pPr>
        <w:suppressAutoHyphens/>
        <w:ind w:firstLine="567"/>
        <w:jc w:val="both"/>
        <w:textAlignment w:val="center"/>
        <w:rPr>
          <w:color w:val="000000"/>
          <w:szCs w:val="24"/>
        </w:rPr>
      </w:pPr>
      <w:r>
        <w:rPr>
          <w:color w:val="000000"/>
          <w:szCs w:val="24"/>
        </w:rPr>
        <w:t>T – teršalo tarifas (Eur/t), nustatytas Lietuvos Respublikos mokesčio už aplinkos teršimą įstatymo 1 priedėlyje;</w:t>
      </w:r>
    </w:p>
    <w:p>
      <w:pPr>
        <w:suppressAutoHyphens/>
        <w:ind w:firstLine="567"/>
        <w:jc w:val="both"/>
        <w:textAlignment w:val="center"/>
        <w:rPr>
          <w:color w:val="000000"/>
          <w:szCs w:val="24"/>
        </w:rPr>
      </w:pPr>
      <w:r>
        <w:rPr>
          <w:color w:val="000000"/>
          <w:szCs w:val="24"/>
        </w:rPr>
        <w:t>I – mokestinio laikotarpio indeksavimo koeficientas, nustatomas pagal Lietuvos statistikos departamento vartotojų kainų indeksą, apskaičiuotą pagal Mokesčio už aplinkos teršimą tarifų indeksavimo tvarkos aprašą, patvirtintą Lietuvos Respublikos Vyriausybės 2000 m. sausio 18 d. nutarimu Nr. 53, padalijus iš 100. Vartotojų kainų indeksas pasibaigus mokestiniam laikotarpiui skelbiamas Oficialiame statistikos portale. Bankroto ar restruktūrizavimo atveju, kada mokesčio už aplinkos teršimą iš stacionarių taršos šaltinių deklaracija teikiama nepasibaigus mokestiniam laikotarpiui, taikomas prieš tai buvusio mokestinio laikotarpio indeksavimo koeficientas;</w:t>
      </w:r>
    </w:p>
    <w:p>
      <w:pPr>
        <w:suppressAutoHyphens/>
        <w:ind w:firstLine="567"/>
        <w:jc w:val="both"/>
        <w:textAlignment w:val="center"/>
        <w:rPr>
          <w:color w:val="000000"/>
          <w:szCs w:val="24"/>
        </w:rPr>
      </w:pPr>
      <w:r>
        <w:rPr>
          <w:color w:val="000000"/>
          <w:szCs w:val="24"/>
        </w:rPr>
        <w:t>[k] – koeficientas (lygus 1,2), kuris, vadovaujantis Lietuvos Respublikos mokesčio už aplinkos teršimą įstatymo 6 straipsnio 3 dalimi, taikomas apskaičiuojant mokestį už aplinkos teršimą iš stacionarių taršos šaltinių už teršalus, kuriems TIPK ir (ar) taršos leidime yra nustatytas laikinai leistinos taršos (toliau – LLT) normatyvas;</w:t>
      </w:r>
    </w:p>
    <w:p>
      <w:pPr>
        <w:suppressAutoHyphens/>
        <w:ind w:firstLine="567"/>
        <w:jc w:val="both"/>
        <w:textAlignment w:val="center"/>
        <w:rPr>
          <w:color w:val="000000"/>
          <w:szCs w:val="24"/>
        </w:rPr>
      </w:pPr>
      <w:r>
        <w:rPr>
          <w:color w:val="000000"/>
          <w:szCs w:val="24"/>
        </w:rPr>
        <w:t>Q</w:t>
      </w:r>
      <w:r>
        <w:rPr>
          <w:color w:val="000000"/>
          <w:szCs w:val="24"/>
          <w:vertAlign w:val="subscript"/>
        </w:rPr>
        <w:t>np</w:t>
      </w:r>
      <w:r>
        <w:rPr>
          <w:color w:val="000000"/>
          <w:szCs w:val="24"/>
        </w:rPr>
        <w:t> – normatyvą viršijantis teršalo kiekis (t), viršijus TIPK ir (ar) taršos leidime nustatytą per mokestinį laikotarpį leistiną išmesti ar išleisti į Aplinką teršalo kiekį (t), kuris yra lygus faktinio ir normatyvinio teršalo kiekio skirtumui (Q – N);</w:t>
      </w:r>
    </w:p>
    <w:p>
      <w:pPr>
        <w:suppressAutoHyphens/>
        <w:ind w:firstLine="567"/>
        <w:jc w:val="both"/>
        <w:textAlignment w:val="center"/>
        <w:rPr>
          <w:color w:val="000000"/>
          <w:szCs w:val="24"/>
        </w:rPr>
      </w:pPr>
      <w:r>
        <w:rPr>
          <w:color w:val="000000"/>
          <w:szCs w:val="24"/>
        </w:rPr>
        <w:t>Q</w:t>
      </w:r>
      <w:r>
        <w:rPr>
          <w:color w:val="000000"/>
          <w:szCs w:val="24"/>
          <w:vertAlign w:val="subscript"/>
        </w:rPr>
        <w:t>nt</w:t>
      </w:r>
      <w:r>
        <w:rPr>
          <w:color w:val="000000"/>
          <w:szCs w:val="24"/>
        </w:rPr>
        <w:t> – normatyvą viršijantis teršalo kiekis (t), viršijus TIPK ir (ar) taršos leidime nustatytą didžiausią leistiną momentinę ar paros vidutinę teršalo koncentraciją ir (ar) vienkartinį leistinos taršos normatyvą per visą mokestinio laikotarpio normatyvo viršijimo laiką. Teršalo kiekis, išleistas į paviršinius vandens telkinius ir žemės paviršių ir gilesnius jos sluoksnius, apskaičiuojamas: nuotekų kiekį, išleistą į paviršinius vandens telkinius ir (ar) žemės paviršių ir gilesnius jos sluoksnius, per visą mokestinio laikotarpio normatyvo viršijimo laikotarpį padauginus iš nustatytos faktinės teršalo koncentracijos ir iš gauto kiekio atėmus leistiną per viršijimo laikotarpį išmesti į paviršinius vandens telkinius arba žemės paviršių ir gilesnius jos sluoksnius teršalo kiekį. Teršalo kiekis, išmestas į atmosferą (aplinkos orą), apskaičiuojamas: per visą normatyvo viršijimo laikotarpį išmestą į atmosferą (aplinkos orą) dujų kiekį (m</w:t>
      </w:r>
      <w:r>
        <w:rPr>
          <w:color w:val="000000"/>
          <w:szCs w:val="24"/>
          <w:vertAlign w:val="superscript"/>
        </w:rPr>
        <w:t>3</w:t>
      </w:r>
      <w:r>
        <w:rPr>
          <w:color w:val="000000"/>
          <w:szCs w:val="24"/>
        </w:rPr>
        <w:t>) padauginus iš nustatytos per viršijimo laikotarpį</w:t>
      </w:r>
      <w:r>
        <w:rPr>
          <w:b/>
          <w:bCs/>
          <w:color w:val="000000"/>
          <w:szCs w:val="24"/>
        </w:rPr>
        <w:t xml:space="preserve"> </w:t>
      </w:r>
      <w:r>
        <w:rPr>
          <w:color w:val="000000"/>
          <w:szCs w:val="24"/>
        </w:rPr>
        <w:t>faktinės teršalo koncentracijos, perskaičiuotos esant normalioms sąlygoms – 101,3 kPa slėgiui ir 0° C temperatūrai, (mg/Nm</w:t>
      </w:r>
      <w:r>
        <w:rPr>
          <w:color w:val="000000"/>
          <w:szCs w:val="24"/>
          <w:vertAlign w:val="superscript"/>
        </w:rPr>
        <w:t>3</w:t>
      </w:r>
      <w:r>
        <w:rPr>
          <w:color w:val="000000"/>
          <w:szCs w:val="24"/>
        </w:rPr>
        <w:t>) arba faktinį per viršijimo laikotarpį išmestą teršalo kiekį per laiko vienetą (g/s) padauginus iš laiko (s), per kurį buvo viršytas teršalo normatyvas,</w:t>
      </w:r>
      <w:r>
        <w:rPr>
          <w:b/>
          <w:bCs/>
          <w:color w:val="000000"/>
          <w:szCs w:val="24"/>
        </w:rPr>
        <w:t xml:space="preserve"> </w:t>
      </w:r>
      <w:r>
        <w:rPr>
          <w:color w:val="000000"/>
          <w:szCs w:val="24"/>
        </w:rPr>
        <w:t>ir iš gauto kiekio atėmus per viršijimo laikotarpį leistiną išmesti į atmosferą (aplinkos orą) teršalo kiekį;</w:t>
      </w:r>
    </w:p>
    <w:p>
      <w:pPr>
        <w:suppressAutoHyphens/>
        <w:ind w:firstLine="567"/>
        <w:jc w:val="both"/>
        <w:textAlignment w:val="center"/>
        <w:rPr>
          <w:color w:val="000000"/>
          <w:szCs w:val="24"/>
        </w:rPr>
      </w:pPr>
      <w:r>
        <w:rPr>
          <w:color w:val="000000"/>
          <w:szCs w:val="24"/>
        </w:rPr>
        <w:t>N – leistinas išmesti arba išleisti į Aplinką per mokestinį laikotarpį normatyvinis teršalo kiekis (t), nustatytas TIPK ir (ar) taršos leidime. Jeigu TIPK ir (ar) taršos leidime nustatyti metiniai teršalų išmetimo į Aplinką normatyvai mokestiniu laikotarpiu buvo tikslinti, apskaičiuojant mokestį už išmestą į aplinką per mokestinį laikotarpį teršalų kiekį, turi būti vadovaujamasi perskaičiuotu (atnaujinant arba tikslinant leidimą) leidžiamo išmesti į aplinką per mokestinį laikotarpį teršalo normatyvu. Šio mokestinio laikotarpio metinis teršalo normatyvas nustatomas sumuojant leidžiamą išmesti į Aplinką teršalo kiekį, kuris išskaičiuojamas atskiriems normatyvo galiojimo (taikymo) laikotarpiams, jei per mokestinį laikotarpį teršalui buvo taikyti keli skirtingi metiniai leidžiamos taršos normatyvai. Metinis teršalo normatyvas apskaičiuojamas: TIPK ir (ar) taršos leidime nustatytą vidutinį per parą leidžiamą išmesti į Aplinką teršalo normatyvą (kiekį) padauginus iš dienų skaičiaus, per kurias šis normatyvas buvo taikytas. Kai TIPK ir (ar) taršos leidime nenustatytas vidutinis per parą leidžiamas išmesti į Aplinką teršalo normatyvas, metinis leidžiamas išmesti į Aplinką teršalo normatyvas apskaičiuojamas: metinį leidžiamą išmesti į Aplinką teršalo normatyvą (kiekį) dalinant iš metinio kalendorinių dienų skaičiaus ir gautą teršalo kiekį dauginant iš dienų skaičiaus, per kurį šis normatyvas buvo taikytas;</w:t>
      </w:r>
    </w:p>
    <w:p>
      <w:pPr>
        <w:suppressAutoHyphens/>
        <w:ind w:firstLine="567"/>
        <w:jc w:val="both"/>
        <w:textAlignment w:val="center"/>
        <w:rPr>
          <w:b/>
          <w:bCs/>
          <w:color w:val="000000"/>
          <w:szCs w:val="24"/>
        </w:rPr>
      </w:pPr>
      <w:r>
        <w:rPr>
          <w:color w:val="000000"/>
          <w:szCs w:val="24"/>
        </w:rPr>
        <w:t>N</w:t>
      </w:r>
      <w:r>
        <w:rPr>
          <w:color w:val="000000"/>
          <w:szCs w:val="24"/>
          <w:vertAlign w:val="subscript"/>
        </w:rPr>
        <w:t>t</w:t>
      </w:r>
      <w:r>
        <w:rPr>
          <w:color w:val="000000"/>
          <w:szCs w:val="24"/>
        </w:rPr>
        <w:t> – didžiausias leistinas išmesti arba išleisti į Aplinką momentinis ir (ar) paros vidutinis ir (ar) vienkartinis leistinos taršos normatyvinis teršalo kiekis (t). Leistinas išmesti arba išleisti į vandens telkinius ar žemės paviršių ir gilesnius jos sluoksnius normatyvinis teršalo kiekis apskaičiuojamas: leistiną per parą išmesti arba išleisti į aplinką teršalo kiekį padauginus iš skaičiaus parų, per kurias buvo viršytas teršalo normatyvas. Leistinas išmesti į atmosferą (aplinkos orą) teršalo kiekis apskaičiuojamas: vienkartinį leistinos taršos normatyvinį teršalo kiekį, nustatytą g/s, padauginus iš laiko (s), per kurį buvo viršytas teršalo normatyvas, arba vienkartinį leistinos taršos normatyvinį teršalo kiekį, nustatytą mg/Nm</w:t>
      </w:r>
      <w:r>
        <w:rPr>
          <w:color w:val="000000"/>
          <w:szCs w:val="24"/>
          <w:vertAlign w:val="superscript"/>
        </w:rPr>
        <w:t>3</w:t>
      </w:r>
      <w:r>
        <w:rPr>
          <w:color w:val="000000"/>
          <w:szCs w:val="24"/>
        </w:rPr>
        <w:t>, padauginus iš debito (Nm</w:t>
      </w:r>
      <w:r>
        <w:rPr>
          <w:color w:val="000000"/>
          <w:szCs w:val="24"/>
          <w:vertAlign w:val="superscript"/>
        </w:rPr>
        <w:t>3</w:t>
      </w:r>
      <w:r>
        <w:rPr>
          <w:color w:val="000000"/>
          <w:szCs w:val="24"/>
        </w:rPr>
        <w:t>/s) ir iš laiko (s), per kurį buvo viršytas teršalo normatyvas;</w:t>
      </w:r>
    </w:p>
    <w:p>
      <w:pPr>
        <w:tabs>
          <w:tab w:val="left" w:pos="6140"/>
        </w:tabs>
        <w:suppressAutoHyphens/>
        <w:ind w:firstLine="567"/>
        <w:jc w:val="both"/>
        <w:textAlignment w:val="center"/>
        <w:rPr>
          <w:color w:val="000000"/>
        </w:rPr>
      </w:pPr>
      <w:r>
        <w:rPr>
          <w:rFonts w:eastAsia="Calibri"/>
          <w:szCs w:val="24"/>
        </w:rPr>
        <w:t>Q</w:t>
      </w:r>
      <w:r>
        <w:rPr>
          <w:rFonts w:eastAsia="Calibri"/>
          <w:szCs w:val="24"/>
          <w:vertAlign w:val="subscript"/>
        </w:rPr>
        <w:t>t</w:t>
      </w:r>
      <w:r>
        <w:rPr>
          <w:rFonts w:eastAsia="Calibri"/>
          <w:szCs w:val="24"/>
        </w:rPr>
        <w:t> – faktinis teršalo kiekis (t), išmestas arba išleistas į Aplinką per didžiausios leistinos momentinės ar paros vidutinės teršalo koncentracijos ir (ar) vienkartinės leistinos taršos normatyvo viršijimo laikotarpį. Teršalo kiekis, išleistas į vandens telkinius ar žemės paviršių ir gilesnius jos sluoksnius, viršijus didžiausią leistiną momentinę ar paros vidutinę teršalo koncentraciją normatyvo viršijimo laikotarpiu, apskaičiuojamas: faktinį per viršijimo laikotarpį išleistą nuotekų kiekį dauginant iš faktinės teršalo koncentracijos. Teršalo kiekis, išmestas į atmosferą (aplinkos orą) viršijus vienkartinį leistinos taršos normatyvą per normatyvo viršijimo laikotarpį, apskaičiuojamas: faktinį per viršijimo laikotarpį išmestą dujų kiekį (Nm</w:t>
      </w:r>
      <w:r>
        <w:rPr>
          <w:rFonts w:eastAsia="Calibri"/>
          <w:szCs w:val="24"/>
          <w:vertAlign w:val="superscript"/>
        </w:rPr>
        <w:t>3</w:t>
      </w:r>
      <w:r>
        <w:rPr>
          <w:rFonts w:eastAsia="Calibri"/>
          <w:szCs w:val="24"/>
        </w:rPr>
        <w:t>) padauginus</w:t>
      </w:r>
      <w:r>
        <w:rPr>
          <w:rFonts w:eastAsia="Calibri"/>
          <w:b/>
          <w:bCs/>
          <w:szCs w:val="24"/>
        </w:rPr>
        <w:t xml:space="preserve"> </w:t>
      </w:r>
      <w:r>
        <w:rPr>
          <w:rFonts w:eastAsia="Calibri"/>
          <w:szCs w:val="24"/>
        </w:rPr>
        <w:t>iš faktinės teršalo koncentracijos (mg/Nm</w:t>
      </w:r>
      <w:r>
        <w:rPr>
          <w:rFonts w:eastAsia="Calibri"/>
          <w:szCs w:val="24"/>
          <w:vertAlign w:val="superscript"/>
        </w:rPr>
        <w:t>3</w:t>
      </w:r>
      <w:r>
        <w:rPr>
          <w:rFonts w:eastAsia="Calibri"/>
          <w:szCs w:val="24"/>
        </w:rPr>
        <w:t>) arba, kai TIPK ir (ar) taršos leidime vienkartinis leistinos taršos normatyvas nustatytas g/s, – faktinį per normatyvo viršijimo laikotarpį išmestą teršalo kiekį g/s padauginus iš laiko (s), per kurį buvo viršytas teršalo normatyvas.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widowControl w:val="0"/>
        <w:ind w:firstLine="567"/>
        <w:jc w:val="both"/>
        <w:rPr>
          <w:color w:val="000000"/>
          <w:szCs w:val="24"/>
          <w:lang w:eastAsia="lt-LT"/>
        </w:rPr>
      </w:pPr>
      <w:r>
        <w:rPr>
          <w:color w:val="000000"/>
          <w:szCs w:val="24"/>
          <w:lang w:eastAsia="lt-LT"/>
        </w:rPr>
        <w:t>4</w:t>
      </w:r>
      <w:r>
        <w:rPr>
          <w:color w:val="000000"/>
          <w:szCs w:val="24"/>
          <w:lang w:eastAsia="lt-LT"/>
        </w:rPr>
        <w:t>. Mokestis taikant didesnį tarifą už išmestą ar išleistą į Aplinką teršalo kiekį per mokestinį laikotarpį, viršijusį TIPK ir (ar) taršos leidime nustatytą leistinos taršos normatyvą, įskaitant ir normatyvą viršijusį teršalo kiekį, išmestą į aplinką, kuris susidaro naudojant biokurą, o neturint TIPK ir (ar) taršos leidimo su jame nustatytais teršalų išmetimo ar išleidimo į aplinką normatyvais, kai toks leidimas įstatymų ar kitų teisės aktų nustatytais atvejais yra privalomas, visas be TIPK ir (ar) taršos leidimo išmestas teršalo kiekis, įskaitant teršalo kiekį išmestą į aplinką, kuris susidaro naudojant biokurą, yra viršnormatyvinis N=0, apskaičiuojamas:</w:t>
      </w:r>
    </w:p>
    <w:tbl>
      <w:tblPr>
        <w:tblW w:w="9070" w:type="dxa"/>
        <w:tblLook w:val="01E0" w:firstRow="1" w:lastRow="1" w:firstColumn="1" w:lastColumn="1" w:noHBand="0" w:noVBand="0"/>
      </w:tblPr>
      <w:tblGrid>
        <w:gridCol w:w="4025"/>
        <w:gridCol w:w="510"/>
        <w:gridCol w:w="3973"/>
        <w:gridCol w:w="562"/>
      </w:tblGrid>
      <w:tr>
        <w:tc>
          <w:tcPr>
            <w:tcW w:w="4025" w:type="dxa"/>
          </w:tcPr>
          <w:p>
            <w:pPr>
              <w:widowControl w:val="0"/>
              <w:rPr>
                <w:color w:val="000000"/>
                <w:szCs w:val="24"/>
                <w:lang w:eastAsia="lt-LT"/>
              </w:rPr>
            </w:pPr>
            <w:r>
              <w:rPr>
                <w:color w:val="000000"/>
                <w:szCs w:val="24"/>
                <w:lang w:eastAsia="lt-LT"/>
              </w:rPr>
              <w:t>M</w:t>
            </w:r>
            <w:r>
              <w:rPr>
                <w:color w:val="000000"/>
                <w:szCs w:val="24"/>
                <w:vertAlign w:val="subscript"/>
                <w:lang w:eastAsia="lt-LT"/>
              </w:rPr>
              <w:t>p</w:t>
            </w:r>
            <w:r>
              <w:rPr>
                <w:color w:val="000000"/>
                <w:szCs w:val="24"/>
                <w:lang w:eastAsia="lt-LT"/>
              </w:rPr>
              <w:t xml:space="preserve"> = Q</w:t>
            </w:r>
            <w:r>
              <w:rPr>
                <w:color w:val="000000"/>
                <w:szCs w:val="24"/>
                <w:vertAlign w:val="subscript"/>
                <w:lang w:eastAsia="lt-LT"/>
              </w:rPr>
              <w:t>np</w:t>
            </w:r>
            <w:r>
              <w:rPr>
                <w:color w:val="000000"/>
                <w:szCs w:val="24"/>
                <w:lang w:eastAsia="lt-LT"/>
              </w:rPr>
              <w:t xml:space="preserve"> x T x b x I x [k], </w:t>
            </w:r>
          </w:p>
        </w:tc>
        <w:tc>
          <w:tcPr>
            <w:tcW w:w="510" w:type="dxa"/>
          </w:tcPr>
          <w:p>
            <w:pPr>
              <w:widowControl w:val="0"/>
              <w:rPr>
                <w:color w:val="000000"/>
                <w:szCs w:val="24"/>
                <w:lang w:eastAsia="lt-LT"/>
              </w:rPr>
            </w:pPr>
            <w:r>
              <w:rPr>
                <w:color w:val="000000"/>
                <w:szCs w:val="24"/>
                <w:lang w:eastAsia="lt-LT"/>
              </w:rPr>
              <w:t xml:space="preserve">kai </w:t>
            </w:r>
          </w:p>
        </w:tc>
        <w:tc>
          <w:tcPr>
            <w:tcW w:w="3973" w:type="dxa"/>
          </w:tcPr>
          <w:p>
            <w:pPr>
              <w:widowControl w:val="0"/>
              <w:rPr>
                <w:color w:val="000000"/>
                <w:szCs w:val="24"/>
                <w:lang w:eastAsia="lt-LT"/>
              </w:rPr>
            </w:pPr>
            <w:r>
              <w:rPr>
                <w:vanish/>
                <w:color w:val="000000"/>
                <w:szCs w:val="24"/>
                <w:lang w:eastAsia="lt-LT"/>
              </w:rPr>
              <w:t>SUMA</w:t>
            </w:r>
            <w:r>
              <w:rPr>
                <w:color w:val="000000"/>
                <w:position w:val="-14"/>
                <w:szCs w:val="24"/>
                <w:lang w:eastAsia="lt-LT"/>
              </w:rPr>
              <w:object w:dxaOrig="465" w:dyaOrig="405" w14:anchorId="0CB0987A">
                <v:shape id="_x0000_i1033" type="#_x0000_t75" style="width:23.1pt;height:20.3pt" o:ole="">
                  <v:imagedata r:id="rId45" o:title=""/>
                </v:shape>
                <o:OLEObject Type="Embed" ProgID="Equation.3" ShapeID="_x0000_i1033" DrawAspect="Content" ObjectID="_1510491056" r:id="rId46"/>
              </w:object>
            </w:r>
            <w:r>
              <w:rPr>
                <w:color w:val="000000"/>
                <w:szCs w:val="24"/>
                <w:lang w:eastAsia="lt-LT"/>
              </w:rPr>
              <w:t>Q</w:t>
            </w:r>
            <w:r>
              <w:rPr>
                <w:color w:val="000000"/>
                <w:szCs w:val="24"/>
                <w:vertAlign w:val="subscript"/>
                <w:lang w:eastAsia="lt-LT"/>
              </w:rPr>
              <w:t>nt</w:t>
            </w:r>
            <w:r>
              <w:rPr>
                <w:color w:val="000000"/>
                <w:szCs w:val="24"/>
                <w:lang w:eastAsia="lt-LT"/>
              </w:rPr>
              <w:t xml:space="preserve"> </w:t>
            </w:r>
            <w:r>
              <w:rPr>
                <w:color w:val="000000"/>
                <w:position w:val="-4"/>
                <w:szCs w:val="24"/>
                <w:lang w:eastAsia="lt-LT"/>
              </w:rPr>
              <w:object w:dxaOrig="195" w:dyaOrig="240" w14:anchorId="6DD6446D">
                <v:shape id="_x0000_i1034" type="#_x0000_t75" style="width:10.15pt;height:12pt" o:ole="">
                  <v:imagedata r:id="rId47" o:title=""/>
                </v:shape>
                <o:OLEObject Type="Embed" ProgID="Equation.3" ShapeID="_x0000_i1034" DrawAspect="Content" ObjectID="_1510491057" r:id="rId48"/>
              </w:object>
            </w:r>
            <w:r>
              <w:rPr>
                <w:vanish/>
                <w:color w:val="000000"/>
                <w:szCs w:val="24"/>
                <w:lang w:eastAsia="lt-LT"/>
              </w:rPr>
              <w:t>&lt;=</w:t>
            </w:r>
            <w:r>
              <w:rPr>
                <w:color w:val="000000"/>
                <w:szCs w:val="24"/>
                <w:lang w:eastAsia="lt-LT"/>
              </w:rPr>
              <w:t xml:space="preserve"> Q</w:t>
            </w:r>
            <w:r>
              <w:rPr>
                <w:color w:val="000000"/>
                <w:szCs w:val="24"/>
                <w:vertAlign w:val="subscript"/>
                <w:lang w:eastAsia="lt-LT"/>
              </w:rPr>
              <w:t>np</w:t>
            </w:r>
            <w:r>
              <w:rPr>
                <w:color w:val="000000"/>
                <w:szCs w:val="24"/>
                <w:lang w:eastAsia="lt-LT"/>
              </w:rPr>
              <w:t xml:space="preserve"> arba N = 0 </w:t>
            </w:r>
          </w:p>
        </w:tc>
        <w:tc>
          <w:tcPr>
            <w:tcW w:w="562" w:type="dxa"/>
          </w:tcPr>
          <w:p>
            <w:pPr>
              <w:widowControl w:val="0"/>
              <w:jc w:val="right"/>
              <w:rPr>
                <w:color w:val="000000"/>
                <w:szCs w:val="24"/>
                <w:lang w:eastAsia="lt-LT"/>
              </w:rPr>
            </w:pPr>
            <w:r>
              <w:rPr>
                <w:color w:val="000000"/>
                <w:szCs w:val="24"/>
                <w:lang w:eastAsia="lt-LT"/>
              </w:rPr>
              <w:t>(3)</w:t>
            </w:r>
          </w:p>
        </w:tc>
      </w:tr>
      <w:tr>
        <w:tc>
          <w:tcPr>
            <w:tcW w:w="4025" w:type="dxa"/>
          </w:tcPr>
          <w:p>
            <w:pPr>
              <w:widowControl w:val="0"/>
              <w:rPr>
                <w:color w:val="000000"/>
                <w:szCs w:val="24"/>
                <w:lang w:eastAsia="lt-LT"/>
              </w:rPr>
            </w:pPr>
            <w:r>
              <w:rPr>
                <w:color w:val="000000"/>
                <w:szCs w:val="24"/>
                <w:lang w:eastAsia="lt-LT"/>
              </w:rPr>
              <w:t>M</w:t>
            </w:r>
            <w:r>
              <w:rPr>
                <w:color w:val="000000"/>
                <w:szCs w:val="24"/>
                <w:vertAlign w:val="subscript"/>
                <w:lang w:eastAsia="lt-LT"/>
              </w:rPr>
              <w:t>p</w:t>
            </w:r>
            <w:r>
              <w:rPr>
                <w:color w:val="000000"/>
                <w:szCs w:val="24"/>
                <w:lang w:eastAsia="lt-LT"/>
              </w:rPr>
              <w:t xml:space="preserve"> = </w:t>
            </w:r>
            <w:r>
              <w:rPr>
                <w:vanish/>
                <w:color w:val="000000"/>
                <w:szCs w:val="24"/>
                <w:lang w:eastAsia="lt-LT"/>
              </w:rPr>
              <w:t>SUMA</w:t>
            </w:r>
            <w:r>
              <w:rPr>
                <w:color w:val="000000"/>
                <w:position w:val="-14"/>
                <w:szCs w:val="24"/>
                <w:lang w:eastAsia="lt-LT"/>
              </w:rPr>
              <w:object w:dxaOrig="465" w:dyaOrig="405" w14:anchorId="500C0E12">
                <v:shape id="_x0000_i1035" type="#_x0000_t75" style="width:23.1pt;height:20.3pt" o:ole="">
                  <v:imagedata r:id="rId49" o:title=""/>
                </v:shape>
                <o:OLEObject Type="Embed" ProgID="Equation.3" ShapeID="_x0000_i1035" DrawAspect="Content" ObjectID="_1510491058" r:id="rId50"/>
              </w:object>
            </w:r>
            <w:r>
              <w:rPr>
                <w:color w:val="000000"/>
                <w:szCs w:val="24"/>
                <w:lang w:eastAsia="lt-LT"/>
              </w:rPr>
              <w:t>Q</w:t>
            </w:r>
            <w:r>
              <w:rPr>
                <w:color w:val="000000"/>
                <w:szCs w:val="24"/>
                <w:vertAlign w:val="subscript"/>
                <w:lang w:eastAsia="lt-LT"/>
              </w:rPr>
              <w:t>nt</w:t>
            </w:r>
            <w:r>
              <w:rPr>
                <w:color w:val="000000"/>
                <w:szCs w:val="24"/>
                <w:lang w:eastAsia="lt-LT"/>
              </w:rPr>
              <w:t xml:space="preserve"> x T x b x I x [k], </w:t>
            </w:r>
          </w:p>
        </w:tc>
        <w:tc>
          <w:tcPr>
            <w:tcW w:w="510" w:type="dxa"/>
          </w:tcPr>
          <w:p>
            <w:pPr>
              <w:widowControl w:val="0"/>
              <w:rPr>
                <w:color w:val="000000"/>
                <w:szCs w:val="24"/>
                <w:lang w:eastAsia="lt-LT"/>
              </w:rPr>
            </w:pPr>
            <w:r>
              <w:rPr>
                <w:color w:val="000000"/>
                <w:szCs w:val="24"/>
                <w:lang w:eastAsia="lt-LT"/>
              </w:rPr>
              <w:t xml:space="preserve">kai </w:t>
            </w:r>
          </w:p>
        </w:tc>
        <w:tc>
          <w:tcPr>
            <w:tcW w:w="3973" w:type="dxa"/>
          </w:tcPr>
          <w:p>
            <w:pPr>
              <w:widowControl w:val="0"/>
              <w:rPr>
                <w:color w:val="000000"/>
                <w:szCs w:val="24"/>
                <w:lang w:eastAsia="lt-LT"/>
              </w:rPr>
            </w:pPr>
            <w:r>
              <w:rPr>
                <w:vanish/>
                <w:color w:val="000000"/>
                <w:szCs w:val="24"/>
                <w:lang w:eastAsia="lt-LT"/>
              </w:rPr>
              <w:t>SUMA</w:t>
            </w:r>
            <w:r>
              <w:rPr>
                <w:color w:val="000000"/>
                <w:position w:val="-14"/>
                <w:szCs w:val="24"/>
                <w:lang w:eastAsia="lt-LT"/>
              </w:rPr>
              <w:object w:dxaOrig="465" w:dyaOrig="405" w14:anchorId="7984A7C5">
                <v:shape id="_x0000_i1036" type="#_x0000_t75" style="width:23.1pt;height:20.3pt" o:ole="">
                  <v:imagedata r:id="rId51" o:title=""/>
                </v:shape>
                <o:OLEObject Type="Embed" ProgID="Equation.3" ShapeID="_x0000_i1036" DrawAspect="Content" ObjectID="_1510491059" r:id="rId52"/>
              </w:object>
            </w:r>
            <w:r>
              <w:rPr>
                <w:color w:val="000000"/>
                <w:szCs w:val="24"/>
                <w:lang w:eastAsia="lt-LT"/>
              </w:rPr>
              <w:t>Q</w:t>
            </w:r>
            <w:r>
              <w:rPr>
                <w:color w:val="000000"/>
                <w:szCs w:val="24"/>
                <w:vertAlign w:val="subscript"/>
                <w:lang w:eastAsia="lt-LT"/>
              </w:rPr>
              <w:t>nt</w:t>
            </w:r>
            <w:r>
              <w:rPr>
                <w:color w:val="000000"/>
                <w:szCs w:val="24"/>
                <w:lang w:eastAsia="lt-LT"/>
              </w:rPr>
              <w:t xml:space="preserve"> &gt; Q</w:t>
            </w:r>
            <w:r>
              <w:rPr>
                <w:color w:val="000000"/>
                <w:szCs w:val="24"/>
                <w:vertAlign w:val="subscript"/>
                <w:lang w:eastAsia="lt-LT"/>
              </w:rPr>
              <w:t>np</w:t>
            </w:r>
            <w:r>
              <w:rPr>
                <w:color w:val="000000"/>
                <w:szCs w:val="24"/>
                <w:lang w:eastAsia="lt-LT"/>
              </w:rPr>
              <w:t>;</w:t>
            </w:r>
          </w:p>
        </w:tc>
        <w:tc>
          <w:tcPr>
            <w:tcW w:w="562" w:type="dxa"/>
          </w:tcPr>
          <w:p>
            <w:pPr>
              <w:widowControl w:val="0"/>
              <w:rPr>
                <w:color w:val="000000"/>
                <w:szCs w:val="24"/>
                <w:lang w:eastAsia="lt-LT"/>
              </w:rPr>
            </w:pPr>
          </w:p>
        </w:tc>
      </w:tr>
    </w:tbl>
    <w:p>
      <w:pPr>
        <w:widowControl w:val="0"/>
        <w:ind w:firstLine="567"/>
        <w:jc w:val="both"/>
        <w:rPr>
          <w:color w:val="000000"/>
          <w:szCs w:val="24"/>
          <w:lang w:eastAsia="lt-LT"/>
        </w:rPr>
      </w:pPr>
    </w:p>
    <w:p>
      <w:pPr>
        <w:widowControl w:val="0"/>
        <w:ind w:firstLine="567"/>
        <w:jc w:val="both"/>
        <w:rPr>
          <w:color w:val="000000"/>
        </w:rPr>
      </w:pPr>
      <w:r>
        <w:rPr>
          <w:color w:val="000000"/>
          <w:szCs w:val="24"/>
          <w:lang w:eastAsia="lt-LT"/>
        </w:rPr>
        <w:t>b – tarifo koeficientas, nustatytas Lietuvos Respublikos mokesčio už aplinkos teršimą įstatymo 2 priedėlyje.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
      <w:pPr>
        <w:widowControl w:val="0"/>
        <w:suppressAutoHyphens/>
        <w:ind w:firstLine="567"/>
        <w:jc w:val="both"/>
        <w:rPr>
          <w:color w:val="000000"/>
        </w:rPr>
      </w:pPr>
      <w:r>
        <w:rPr>
          <w:color w:val="000000"/>
        </w:rPr>
        <w:t>5</w:t>
      </w:r>
      <w:r>
        <w:rPr>
          <w:color w:val="000000"/>
        </w:rPr>
        <w:t xml:space="preserve">. Stichinių ir katastrofinių hidrometeorologinių reiškinių atvejais, kurie atitinka LR Vyriausybės nustatytus stichinių ir katastrofinių hidrometeorologinių reiškinių kriterijus, avarinio išleistuvo savininkui (naudotojui), turinčiam TIPK </w:t>
      </w:r>
      <w:r>
        <w:rPr>
          <w:color w:val="000000"/>
          <w:szCs w:val="24"/>
          <w:lang w:eastAsia="lt-LT"/>
        </w:rPr>
        <w:t>ir (ar) taršos</w:t>
      </w:r>
      <w:r>
        <w:rPr>
          <w:color w:val="000000"/>
        </w:rPr>
        <w:t xml:space="preserve"> leidimą, išleidus teršalus į paviršinius vandens telkinius ar žemės paviršių ir gilesnius jos sluoksnius per nuotekų avarinį išleistuvą ir prieš tai informavus atitinkamo Aplinkos ministerijos regiono aplinkos apsaugos departamentą (toliau – AM RAAD), mokestis mokamas už visą į paviršinius vandens telkinius ar žemės paviršių ir gilesnius jos sluoksnius išleistą teršalo kiekį, kuris apskaičiuojamas pagal Tvarkos aprašo 3 ir 4 punktus.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
      <w:pPr>
        <w:widowControl w:val="0"/>
        <w:suppressAutoHyphens/>
        <w:ind w:firstLine="567"/>
        <w:jc w:val="both"/>
        <w:rPr>
          <w:color w:val="000000"/>
        </w:rPr>
      </w:pPr>
      <w:r>
        <w:rPr>
          <w:color w:val="000000"/>
        </w:rPr>
        <w:t>6</w:t>
      </w:r>
      <w:r>
        <w:rPr>
          <w:color w:val="000000"/>
        </w:rPr>
        <w:t xml:space="preserve">. Esant TIPK </w:t>
      </w:r>
      <w:r>
        <w:rPr>
          <w:color w:val="000000"/>
          <w:szCs w:val="24"/>
          <w:lang w:eastAsia="lt-LT"/>
        </w:rPr>
        <w:t>ir (ar) taršos</w:t>
      </w:r>
      <w:r>
        <w:rPr>
          <w:color w:val="000000"/>
        </w:rPr>
        <w:t xml:space="preserve"> leidime numatytoms tam tikroms veiklos sąlygoms, t. y. paleidžiant, stabdant, derinant įrenginį, mokestis už išmestą ar išleistą į Aplinką teršalų kiekį iš įrenginio apskaičiuojamas pagal Tvarkos aprašo 3 punktą.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
      <w:pPr>
        <w:widowControl w:val="0"/>
        <w:suppressAutoHyphens/>
        <w:ind w:firstLine="567"/>
        <w:jc w:val="both"/>
        <w:rPr>
          <w:color w:val="000000"/>
        </w:rPr>
      </w:pPr>
      <w:r>
        <w:rPr>
          <w:color w:val="000000"/>
        </w:rPr>
        <w:t>7</w:t>
      </w:r>
      <w:r>
        <w:rPr>
          <w:color w:val="000000"/>
        </w:rPr>
        <w:t xml:space="preserve">. Didžiausios leistinos momentinės ar paros vidutinės koncentracijos ir (ar) vienkartinės leistinos taršos (normatyvo) viršijimo pabaiga yra ėminio, kurio matavimo rezultatai atitinka normatyvinius rodiklius, paėmimo diena. Jei vadovaudamasis laboratorijos, turinčios leidimą atlikti taršos šaltinių išmetamų į aplinką teršalų ir teršalų aplinkos elementuose matavimus ir tyrimus, ar akredituotos laboratorijos atliktais tyrimų rezultatais, mokesčio mokėtojas įrodo, kad išmestas arba išleistas į aplinką teršalo kiekis nebeviršija TIPK </w:t>
      </w:r>
      <w:r>
        <w:rPr>
          <w:color w:val="000000"/>
          <w:szCs w:val="24"/>
          <w:lang w:eastAsia="lt-LT"/>
        </w:rPr>
        <w:t>ir (ar) taršos</w:t>
      </w:r>
      <w:r>
        <w:rPr>
          <w:color w:val="000000"/>
        </w:rPr>
        <w:t xml:space="preserve"> leidime nustatytų leistinos taršos normatyvų, apie normatyvus viršijančią teršimo pabaigą ir atitinkančių normatyvą matavimų ar skaičiavimų rezultatus raštu praneša AM RAAD, kurio teritorijoje yra taršos objektas.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
      <w:pPr>
        <w:widowControl w:val="0"/>
        <w:suppressAutoHyphens/>
        <w:ind w:firstLine="567"/>
        <w:jc w:val="both"/>
        <w:rPr>
          <w:color w:val="000000"/>
        </w:rPr>
      </w:pPr>
      <w:r>
        <w:rPr>
          <w:color w:val="000000"/>
        </w:rPr>
        <w:t>8</w:t>
      </w:r>
      <w:r>
        <w:rPr>
          <w:color w:val="000000"/>
        </w:rPr>
        <w:t>. Į didžiausios leistinos momentinės ar paros vidutinės koncentracijos (normatyvo) ir (ar) vienkartinės leistinos taršos normatyvo viršijimo periodą įskaitomas laikas nuo normatyvą viršijusio ėminio paėmimo dienos iki normatyvą atitinkančio ėminio paėmimo dienos. Minimalus normatyvo viršijimo periodas yra viena para, t. y. nustatant normatyvo viršijimo periodą, vertinami rezultatai tik ėminių, paimtų po 24 valandų nuo ėminio paėmimo, kuriuo nustatytas normatyvo viršijimas.</w:t>
      </w:r>
    </w:p>
    <w:p>
      <w:pPr>
        <w:widowControl w:val="0"/>
        <w:suppressAutoHyphens/>
        <w:ind w:firstLine="567"/>
        <w:jc w:val="both"/>
        <w:rPr>
          <w:color w:val="000000"/>
        </w:rPr>
      </w:pPr>
      <w:r>
        <w:rPr>
          <w:color w:val="000000"/>
        </w:rPr>
        <w:t>9</w:t>
      </w:r>
      <w:r>
        <w:rPr>
          <w:color w:val="000000"/>
        </w:rPr>
        <w:t>. Mokestis už išmestą arba išleistą į Aplinką teršalų kiekį, įskaitant ir mokestį, taikant didesnį tarifą už išmestą ar išleistą į Aplinką teršalų kiekį, viršijus didžiausią leistiną momentinę ar paros vidutinę koncentraciją ir (ar) vienkartinį leistinos taršos normatyvą, ir (ar) mokestinio laikotarpio normatyvą, apskaičiuojamas ir sumokamas pasibaigus mokestiniam laikotarpiui, per kurį buvo viršytas leistinas išmesti į Aplinką teršalo kiekis. Išmestų arba išleistų į Aplinką teršalų kiekis nustatomas pagal mokesčio mokėtojo laboratorinės kontrolės duomenis ir (arba) AM RAAD laboratorijų matavimo duomenis. Kai mokesčio mokėtojo ir AM RAAD laboratorijų matavimo duomenys (rezultatai) nesutampa, vadovaujamasi AM RAAD laboratorijų matavimo duomenimis.</w:t>
      </w:r>
    </w:p>
    <w:p>
      <w:pPr>
        <w:widowControl w:val="0"/>
        <w:suppressAutoHyphens/>
        <w:ind w:firstLine="567"/>
        <w:jc w:val="both"/>
        <w:rPr>
          <w:color w:val="000000"/>
        </w:rPr>
      </w:pPr>
      <w:r>
        <w:rPr>
          <w:color w:val="000000"/>
        </w:rPr>
        <w:t>10</w:t>
      </w:r>
      <w:r>
        <w:rPr>
          <w:color w:val="000000"/>
        </w:rPr>
        <w:t xml:space="preserve">. Juridiniai ir fiziniai asmenys, Lietuvos Respublikos aplinkos ministro 2001 m. gegužės 9 d. įsakyme Nr. 252 „Dėl aplinkosauginių buitinių nuotekų filtravimo įrenginių įrengimo gamtinėmis sąlygomis taisyklių (LAND 21-01) patvirtinimo“ (Žin., 2001, Nr. </w:t>
      </w:r>
      <w:hyperlink r:id="rId53" w:tgtFrame="_blank" w:history="1">
        <w:r>
          <w:rPr>
            <w:color w:val="0000FF" w:themeColor="hyperlink"/>
            <w:u w:val="single"/>
          </w:rPr>
          <w:t>41-1438</w:t>
        </w:r>
      </w:hyperlink>
      <w:r>
        <w:rPr>
          <w:color w:val="000000"/>
        </w:rPr>
        <w:t>) nustatytomis sąlygomis išleidžiantys nuotekas į gruntą (be organizuoto išleidimo į paviršinio vandens telkinius), moka mokestį už visą į gruntą patenkantį teršalų kiekį.</w:t>
      </w:r>
    </w:p>
    <w:p>
      <w:pPr>
        <w:widowControl w:val="0"/>
        <w:suppressAutoHyphens/>
        <w:ind w:firstLine="567"/>
        <w:jc w:val="both"/>
        <w:rPr>
          <w:color w:val="000000"/>
        </w:rPr>
      </w:pPr>
      <w:r>
        <w:rPr>
          <w:color w:val="000000"/>
        </w:rPr>
        <w:t>11</w:t>
      </w:r>
      <w:r>
        <w:rPr>
          <w:color w:val="000000"/>
        </w:rPr>
        <w:t xml:space="preserve">. Kai nuotekos, srutos ar skystos atliekos (pvz., pieno išrūgos, spirito žlaugtai ir pan.) išlaistomos tam tikslui įrengtuose laukuose (plotuose) nepažeidžiant aplinkosaugos reikalavimų, už teršalų kiekį, patenkantį į vandens telkinius, taip pat už į atmosferą (aplinkos orą) išmestą teršalų kiekį iš laukuose išlaistytų srutų ir paskleisto mėšlo mokamas mokestis. Į vandens telkinius patenkantis teršalų kiekis apskaičiuojamas vadovaujantis Taršos integruotos prevencijos ir kontrolės leidimų išdavimo, atnaujinimo ir panaikinimo taisyklių, patvirtintų Lietuvos Respublikos aplinkos ministro 2002 m. vasario 27 d. įsakymu Nr. 80 „Dėl Taršos integruotos prevencijos ir kontrolės leidimų išdavimo, atnaujinimo ir panaikinimo taisyklių patvirtinimo“ (Žin., 2002, Nr. </w:t>
      </w:r>
      <w:hyperlink r:id="rId54" w:tgtFrame="_blank" w:history="1">
        <w:r>
          <w:rPr>
            <w:color w:val="0000FF" w:themeColor="hyperlink"/>
            <w:u w:val="single"/>
          </w:rPr>
          <w:t>85-3684</w:t>
        </w:r>
      </w:hyperlink>
      <w:r>
        <w:rPr>
          <w:color w:val="000000"/>
        </w:rPr>
        <w:t xml:space="preserve">; 2005, Nr. </w:t>
      </w:r>
      <w:hyperlink r:id="rId55" w:tgtFrame="_blank" w:history="1">
        <w:r>
          <w:rPr>
            <w:color w:val="0000FF" w:themeColor="hyperlink"/>
            <w:u w:val="single"/>
          </w:rPr>
          <w:t>103-3829</w:t>
        </w:r>
      </w:hyperlink>
      <w:r>
        <w:rPr>
          <w:color w:val="000000"/>
        </w:rPr>
        <w:t xml:space="preserve">) 3 priedo 1 priedėlyje nustatyta skaičiavimo metodika. Į atmosferą (aplinkos orą) patenkantis teršalų kiekis apskaičiuojamas vadovaujantis Europos aplinkos agentūros į atmosferą išmetamų teršalų apskaitos metodika, įrašyta į aplinkos ministro 1999 m. gruodžio 13 d. įsakymu Nr. 395 (Žin., 1999, Nr. </w:t>
      </w:r>
      <w:hyperlink r:id="rId56" w:tgtFrame="_blank" w:history="1">
        <w:r>
          <w:rPr>
            <w:color w:val="0000FF" w:themeColor="hyperlink"/>
            <w:u w:val="single"/>
          </w:rPr>
          <w:t>108-3159</w:t>
        </w:r>
      </w:hyperlink>
      <w:r>
        <w:rPr>
          <w:color w:val="000000"/>
        </w:rPr>
        <w:t>; 2005, Nr. 92-3442) patvirtintą „Į atmosferą išmetamo teršalo kiekio apskaičiavimo metodikų sąrašą“ arba kita aplinkos ministro patvirtinta metodika.</w:t>
      </w:r>
    </w:p>
    <w:p>
      <w:pPr>
        <w:widowControl w:val="0"/>
        <w:ind w:firstLine="567"/>
        <w:jc w:val="both"/>
        <w:rPr>
          <w:color w:val="000000"/>
          <w:szCs w:val="24"/>
          <w:lang w:eastAsia="lt-LT"/>
        </w:rPr>
      </w:pPr>
      <w:r>
        <w:rPr>
          <w:color w:val="000000"/>
          <w:szCs w:val="24"/>
          <w:lang w:eastAsia="lt-LT"/>
        </w:rPr>
        <w:t>12</w:t>
      </w:r>
      <w:r>
        <w:rPr>
          <w:color w:val="000000"/>
          <w:szCs w:val="24"/>
          <w:lang w:eastAsia="lt-LT"/>
        </w:rPr>
        <w:t>. Mokestis už teršalus, išleidžiamus į vandens telkinius su paviršinėmis (lietaus) nuotekomis, apskaičiuojamas:</w:t>
      </w:r>
    </w:p>
    <w:p>
      <w:pPr>
        <w:widowControl w:val="0"/>
        <w:ind w:firstLine="567"/>
        <w:jc w:val="both"/>
        <w:rPr>
          <w:color w:val="000000"/>
          <w:szCs w:val="24"/>
          <w:lang w:eastAsia="lt-LT"/>
        </w:rPr>
      </w:pPr>
      <w:r>
        <w:rPr>
          <w:color w:val="000000"/>
          <w:szCs w:val="24"/>
          <w:lang w:eastAsia="lt-LT"/>
        </w:rPr>
        <w:t>12.1</w:t>
      </w:r>
      <w:r>
        <w:rPr>
          <w:color w:val="000000"/>
          <w:szCs w:val="24"/>
          <w:lang w:eastAsia="lt-LT"/>
        </w:rPr>
        <w:t>. už teršalų kiekį, neviršijantį TIPK ir (ar) taršos leidime arba jo priede, kuriame nurodomi paviršinių nuotekų surinkimo sistemos abonentai, nustatytų išleidimo su paviršinėmis nuotekomis mokestinio laikotarpio normatyvų, kurie nustatomi mokestinio laikotarpio pabaigoje, dauginant objektui nustatytą vidutinę metinę leistiną teršalo koncentraciją arba laikinai leistiną teršalo koncentraciją iš faktiškai per tą laikotarpį išleisto nuotekų kiekio, mokestis už teršalus apskaičiuojamas pagal Tvarkos aprašo 3 punktą;</w:t>
      </w:r>
    </w:p>
    <w:p>
      <w:pPr>
        <w:widowControl w:val="0"/>
        <w:ind w:firstLine="567"/>
        <w:jc w:val="both"/>
        <w:rPr>
          <w:color w:val="000000"/>
        </w:rPr>
      </w:pPr>
      <w:r>
        <w:rPr>
          <w:color w:val="000000"/>
          <w:szCs w:val="24"/>
          <w:lang w:eastAsia="lt-LT"/>
        </w:rPr>
        <w:t>12.2</w:t>
      </w:r>
      <w:r>
        <w:rPr>
          <w:color w:val="000000"/>
          <w:szCs w:val="24"/>
          <w:lang w:eastAsia="lt-LT"/>
        </w:rPr>
        <w:t>. už teršalų kiekį, viršijusį TIPK ir (ar) taršos leidime arba jo priede, kuriame nurodomi paviršinių nuotekų surinkimo sistemos abonentai, nustatytus išleidimo su paviršinėmis nuotekomis normatyvus, mokėtinas mokestis už metinio normatyvo viršijimą taikant didesnį tarifą apskaičiuojamas pagal Tvarkos aprašo 4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
      <w:pPr>
        <w:widowControl w:val="0"/>
        <w:suppressAutoHyphens/>
        <w:ind w:firstLine="567"/>
        <w:jc w:val="both"/>
        <w:rPr>
          <w:color w:val="000000"/>
        </w:rPr>
      </w:pPr>
      <w:r>
        <w:rPr>
          <w:color w:val="000000"/>
        </w:rPr>
        <w:t>13</w:t>
      </w:r>
      <w:r>
        <w:rPr>
          <w:color w:val="000000"/>
        </w:rPr>
        <w:t>. Pasibaigus mokestiniam laikotarpiui, išleistas su paviršinėmis nuotekomis teršalų kiekis (Q), apskaičiuojamas:</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Q = (W</w:t>
      </w:r>
      <w:r>
        <w:rPr>
          <w:color w:val="000000"/>
          <w:vertAlign w:val="subscript"/>
        </w:rPr>
        <w:t>f</w:t>
      </w:r>
      <w:r>
        <w:rPr>
          <w:color w:val="000000"/>
        </w:rPr>
        <w:t xml:space="preserve"> x C</w:t>
      </w:r>
      <w:r>
        <w:rPr>
          <w:color w:val="000000"/>
          <w:vertAlign w:val="subscript"/>
        </w:rPr>
        <w:t>f</w:t>
      </w:r>
      <w:r>
        <w:rPr>
          <w:color w:val="000000"/>
        </w:rPr>
        <w:t xml:space="preserve">) / (1000 x 1000), t/ metus; </w:t>
        <w:tab/>
        <w:t>(4)</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w:t>
      </w:r>
      <w:r>
        <w:rPr>
          <w:color w:val="000000"/>
          <w:vertAlign w:val="subscript"/>
        </w:rPr>
        <w:t xml:space="preserve">f </w:t>
      </w:r>
      <w:r>
        <w:rPr>
          <w:color w:val="000000"/>
        </w:rPr>
        <w:t>– atitinkamų teršalų faktinė vidutinė mokestinio laikotarpio koncentracija (mg/l);</w:t>
      </w:r>
    </w:p>
    <w:p>
      <w:pPr>
        <w:widowControl w:val="0"/>
        <w:suppressAutoHyphens/>
        <w:ind w:firstLine="567"/>
        <w:jc w:val="both"/>
        <w:rPr>
          <w:color w:val="000000"/>
        </w:rPr>
      </w:pPr>
      <w:r>
        <w:rPr>
          <w:color w:val="000000"/>
        </w:rPr>
        <w:t>W</w:t>
      </w:r>
      <w:r>
        <w:rPr>
          <w:color w:val="000000"/>
          <w:vertAlign w:val="subscript"/>
        </w:rPr>
        <w:t>f</w:t>
      </w:r>
      <w:r>
        <w:rPr>
          <w:color w:val="000000"/>
        </w:rPr>
        <w:t xml:space="preserve"> – faktinis paviršinių nuotekų kiekis (m</w:t>
      </w:r>
      <w:r>
        <w:rPr>
          <w:color w:val="000000"/>
          <w:vertAlign w:val="superscript"/>
        </w:rPr>
        <w:t>3</w:t>
      </w:r>
      <w:r>
        <w:rPr>
          <w:color w:val="000000"/>
        </w:rPr>
        <w:t>/ per metus).</w:t>
      </w:r>
    </w:p>
    <w:p>
      <w:pPr>
        <w:widowControl w:val="0"/>
        <w:suppressAutoHyphens/>
        <w:ind w:firstLine="567"/>
        <w:jc w:val="both"/>
        <w:rPr>
          <w:color w:val="000000"/>
        </w:rPr>
      </w:pPr>
      <w:r>
        <w:rPr>
          <w:color w:val="000000"/>
        </w:rPr>
        <w:t>13.1</w:t>
      </w:r>
      <w:r>
        <w:rPr>
          <w:color w:val="000000"/>
        </w:rPr>
        <w:t>. faktinis metinis paviršinių nuotekų kiekis (W</w:t>
      </w:r>
      <w:r>
        <w:rPr>
          <w:color w:val="000000"/>
          <w:vertAlign w:val="subscript"/>
        </w:rPr>
        <w:t>f</w:t>
      </w:r>
      <w:r>
        <w:rPr>
          <w:color w:val="000000"/>
        </w:rPr>
        <w:t>), išmatuojamas apskaitos prietaisais, o kai jų nėra, apskaičiuojamas pagal formulę:</w:t>
      </w:r>
    </w:p>
    <w:p>
      <w:pPr>
        <w:widowControl w:val="0"/>
        <w:suppressAutoHyphens/>
        <w:ind w:firstLine="567"/>
        <w:jc w:val="both"/>
        <w:rPr>
          <w:color w:val="000000"/>
        </w:rPr>
      </w:pPr>
    </w:p>
    <w:p>
      <w:pPr>
        <w:widowControl w:val="0"/>
        <w:tabs>
          <w:tab w:val="left" w:pos="6720"/>
        </w:tabs>
        <w:suppressAutoHyphens/>
        <w:ind w:firstLine="567"/>
        <w:jc w:val="both"/>
        <w:rPr>
          <w:color w:val="000000"/>
        </w:rPr>
      </w:pPr>
      <w:r>
        <w:rPr>
          <w:color w:val="000000"/>
        </w:rPr>
        <w:t>W</w:t>
      </w:r>
      <w:r>
        <w:rPr>
          <w:color w:val="000000"/>
          <w:vertAlign w:val="subscript"/>
        </w:rPr>
        <w:t xml:space="preserve">f </w:t>
      </w:r>
      <w:r>
        <w:rPr>
          <w:color w:val="000000"/>
        </w:rPr>
        <w:t>= 10 x H</w:t>
      </w:r>
      <w:r>
        <w:rPr>
          <w:color w:val="000000"/>
          <w:vertAlign w:val="subscript"/>
        </w:rPr>
        <w:t>f</w:t>
      </w:r>
      <w:r>
        <w:rPr>
          <w:color w:val="000000"/>
        </w:rPr>
        <w:t xml:space="preserve"> x p</w:t>
      </w:r>
      <w:r>
        <w:rPr>
          <w:color w:val="000000"/>
          <w:vertAlign w:val="subscript"/>
        </w:rPr>
        <w:t>s</w:t>
      </w:r>
      <w:r>
        <w:rPr>
          <w:color w:val="000000"/>
        </w:rPr>
        <w:t xml:space="preserve"> x F x K, m</w:t>
      </w:r>
      <w:r>
        <w:rPr>
          <w:color w:val="000000"/>
          <w:vertAlign w:val="superscript"/>
        </w:rPr>
        <w:t>3</w:t>
      </w:r>
      <w:r>
        <w:rPr>
          <w:color w:val="000000"/>
        </w:rPr>
        <w:t xml:space="preserve">/metus; </w:t>
        <w:tab/>
        <w:t>(5)</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H</w:t>
      </w:r>
      <w:r>
        <w:rPr>
          <w:color w:val="000000"/>
          <w:vertAlign w:val="subscript"/>
        </w:rPr>
        <w:t>f</w:t>
      </w:r>
      <w:r>
        <w:rPr>
          <w:color w:val="000000"/>
        </w:rPr>
        <w:t xml:space="preserve"> – faktinis metinis kritulių kiekis (mm) (pagal Lietuvos hidrometeorologijos tarnybos duomenis);</w:t>
      </w:r>
    </w:p>
    <w:p>
      <w:pPr>
        <w:widowControl w:val="0"/>
        <w:suppressAutoHyphens/>
        <w:ind w:firstLine="567"/>
        <w:jc w:val="both"/>
        <w:rPr>
          <w:color w:val="000000"/>
        </w:rPr>
      </w:pPr>
      <w:r>
        <w:rPr>
          <w:color w:val="000000"/>
        </w:rPr>
        <w:t>p</w:t>
      </w:r>
      <w:r>
        <w:rPr>
          <w:color w:val="000000"/>
          <w:vertAlign w:val="subscript"/>
        </w:rPr>
        <w:t>s</w:t>
      </w:r>
      <w:r>
        <w:rPr>
          <w:color w:val="000000"/>
        </w:rPr>
        <w:t xml:space="preserve"> – paviršinio nuotėkio koeficientas (imama vidutinė kanalizuotos teritorijos paviršiaus (pvz., asfaltas, betonas, akmenų grindinys ir pan.) reikšmė, jeigu mokesčio mokėtojas nepateikia savo apskaičiuoto koeficiento (p</w:t>
      </w:r>
      <w:r>
        <w:rPr>
          <w:color w:val="000000"/>
          <w:vertAlign w:val="subscript"/>
        </w:rPr>
        <w:t>s</w:t>
      </w:r>
      <w:r>
        <w:rPr>
          <w:color w:val="000000"/>
        </w:rPr>
        <w:t xml:space="preserve"> = 0,4);</w:t>
      </w:r>
    </w:p>
    <w:p>
      <w:pPr>
        <w:widowControl w:val="0"/>
        <w:suppressAutoHyphens/>
        <w:ind w:firstLine="567"/>
        <w:jc w:val="both"/>
        <w:rPr>
          <w:color w:val="000000"/>
        </w:rPr>
      </w:pPr>
      <w:r>
        <w:rPr>
          <w:color w:val="000000"/>
        </w:rPr>
        <w:t>F – kanalizuoto baseino plotas (ha);</w:t>
      </w:r>
    </w:p>
    <w:p>
      <w:pPr>
        <w:widowControl w:val="0"/>
        <w:suppressAutoHyphens/>
        <w:ind w:firstLine="567"/>
        <w:jc w:val="both"/>
        <w:rPr>
          <w:color w:val="000000"/>
          <w:spacing w:val="-3"/>
        </w:rPr>
      </w:pPr>
      <w:r>
        <w:rPr>
          <w:color w:val="000000"/>
          <w:spacing w:val="-3"/>
        </w:rPr>
        <w:t>K – paviršinio nuotėkio koeficientas, įvertinantis sniego išvežimą. Jei sniegas išvežamas, K = 0,85, jei neišvežamas (K = 1).</w:t>
      </w:r>
    </w:p>
    <w:p>
      <w:pPr>
        <w:tabs>
          <w:tab w:val="left" w:pos="6140"/>
        </w:tabs>
        <w:suppressAutoHyphens/>
        <w:ind w:firstLine="567"/>
        <w:jc w:val="both"/>
        <w:textAlignment w:val="center"/>
        <w:rPr>
          <w:color w:val="000000"/>
          <w:szCs w:val="24"/>
        </w:rPr>
      </w:pPr>
      <w:r>
        <w:rPr>
          <w:color w:val="000000"/>
          <w:szCs w:val="24"/>
        </w:rPr>
        <w:t>14</w:t>
      </w:r>
      <w:r>
        <w:rPr>
          <w:color w:val="000000"/>
          <w:szCs w:val="24"/>
        </w:rPr>
        <w:t>. Mokėtinas mokestis taikant didesnį tarifą už nuslėptą taršą iš stacionarių taršos šaltinių, kai mokesčio mokėtojas nedeklaravo ar deklaravo mažesnį nei buvo išmestas ar išleistas į Aplinką atitinkamo teršalo kiekis, apskaičiuojamas:</w:t>
      </w:r>
    </w:p>
    <w:p>
      <w:pPr>
        <w:tabs>
          <w:tab w:val="left" w:pos="6140"/>
        </w:tabs>
        <w:suppressAutoHyphens/>
        <w:ind w:firstLine="567"/>
        <w:jc w:val="both"/>
        <w:textAlignment w:val="center"/>
        <w:rPr>
          <w:color w:val="000000"/>
          <w:szCs w:val="24"/>
        </w:rPr>
      </w:pPr>
    </w:p>
    <w:p>
      <w:pPr>
        <w:tabs>
          <w:tab w:val="left" w:pos="6140"/>
        </w:tabs>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xml:space="preserve"> = Q</w:t>
      </w:r>
      <w:r>
        <w:rPr>
          <w:color w:val="000000"/>
          <w:szCs w:val="24"/>
          <w:vertAlign w:val="subscript"/>
        </w:rPr>
        <w:t>NUS</w:t>
      </w:r>
      <w:r>
        <w:rPr>
          <w:color w:val="000000"/>
          <w:szCs w:val="24"/>
        </w:rPr>
        <w:t xml:space="preserve"> × T × b × I × [k], </w:t>
        <w:tab/>
        <w:t>(6)</w:t>
      </w:r>
    </w:p>
    <w:p>
      <w:pPr>
        <w:tabs>
          <w:tab w:val="left" w:pos="6140"/>
        </w:tabs>
        <w:suppressAutoHyphens/>
        <w:ind w:firstLine="567"/>
        <w:jc w:val="both"/>
        <w:textAlignment w:val="center"/>
        <w:rPr>
          <w:color w:val="000000"/>
          <w:szCs w:val="24"/>
        </w:rPr>
      </w:pPr>
    </w:p>
    <w:p>
      <w:pPr>
        <w:tabs>
          <w:tab w:val="left" w:pos="6140"/>
        </w:tabs>
        <w:suppressAutoHyphens/>
        <w:ind w:firstLine="567"/>
        <w:jc w:val="both"/>
        <w:textAlignment w:val="center"/>
        <w:rPr>
          <w:color w:val="000000"/>
          <w:szCs w:val="24"/>
        </w:rPr>
      </w:pPr>
      <w:r>
        <w:rPr>
          <w:color w:val="000000"/>
          <w:szCs w:val="24"/>
        </w:rPr>
        <w:t>čia:</w:t>
      </w:r>
    </w:p>
    <w:p>
      <w:pPr>
        <w:tabs>
          <w:tab w:val="left" w:pos="6140"/>
        </w:tabs>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xml:space="preserve"> – mokamas mokestis už nuslėptą atitinkamo teršalo kiekį (Eur);</w:t>
      </w:r>
    </w:p>
    <w:p>
      <w:pPr>
        <w:ind w:firstLine="567"/>
        <w:jc w:val="both"/>
        <w:rPr>
          <w:color w:val="000000"/>
        </w:rPr>
      </w:pPr>
      <w:r>
        <w:rPr>
          <w:szCs w:val="24"/>
          <w:lang w:eastAsia="lt-LT"/>
        </w:rPr>
        <w:t>Q</w:t>
      </w:r>
      <w:r>
        <w:rPr>
          <w:szCs w:val="24"/>
          <w:vertAlign w:val="subscript"/>
          <w:lang w:eastAsia="lt-LT"/>
        </w:rPr>
        <w:t>NUS</w:t>
      </w:r>
      <w:r>
        <w:rPr>
          <w:szCs w:val="24"/>
          <w:lang w:eastAsia="lt-LT"/>
        </w:rPr>
        <w:t xml:space="preserve"> – atitinkamo teršalo kiekis (t), kurį mokesčio mokėtojas per mokestinį laikotarpį išmetė arba išleido iš stacionaraus taršos šaltinio į Aplinką ir nedeklaravo ar deklaravo mažesnį teršalo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widowControl w:val="0"/>
        <w:suppressAutoHyphens/>
        <w:ind w:firstLine="567"/>
        <w:jc w:val="both"/>
        <w:rPr>
          <w:color w:val="000000"/>
        </w:rPr>
      </w:pPr>
      <w:r>
        <w:rPr>
          <w:color w:val="000000"/>
          <w:spacing w:val="-3"/>
        </w:rPr>
        <w:t>15</w:t>
      </w:r>
      <w:r>
        <w:rPr>
          <w:color w:val="000000"/>
          <w:spacing w:val="-3"/>
        </w:rPr>
        <w:t xml:space="preserve">. Mokėtinas mokestis taikant didesnį tarifą už nuslėptą taršą iš stacionaraus taršos šaltinio, kai mokesčio mokėtojas, apskaičiuodamas mokestį už visą išmesto ar išleisto į Aplinką teršalo kiekį, neteisingai taikė mokesčio už aplinkos teršimą tarifą ar iš viso netaikė privalomo taikyti pagal Lietuvos Respublikos mokesčio už aplinkos teršimą įstatymą koeficiento (k = 1,2), </w:t>
      </w:r>
      <w:r>
        <w:rPr>
          <w:color w:val="000000"/>
        </w:rPr>
        <w:t>dėl ko buvo sumokėtas mažesnis mokestis, apskaičiuojamas:</w:t>
      </w:r>
    </w:p>
    <w:p>
      <w:pPr>
        <w:widowControl w:val="0"/>
        <w:suppressAutoHyphens/>
        <w:ind w:firstLine="567"/>
        <w:jc w:val="both"/>
        <w:rPr>
          <w:color w:val="000000"/>
        </w:rPr>
      </w:pPr>
    </w:p>
    <w:p>
      <w:pPr>
        <w:widowControl w:val="0"/>
        <w:tabs>
          <w:tab w:val="left" w:pos="6840"/>
        </w:tabs>
        <w:suppressAutoHyphens/>
        <w:ind w:firstLine="567"/>
        <w:jc w:val="both"/>
        <w:rPr>
          <w:color w:val="000000"/>
        </w:rPr>
      </w:pPr>
      <w:r>
        <w:rPr>
          <w:color w:val="000000"/>
        </w:rPr>
        <w:t>M</w:t>
      </w:r>
      <w:r>
        <w:rPr>
          <w:color w:val="000000"/>
          <w:vertAlign w:val="subscript"/>
        </w:rPr>
        <w:t>NUS</w:t>
      </w:r>
      <w:r>
        <w:rPr>
          <w:color w:val="000000"/>
        </w:rPr>
        <w:t xml:space="preserve"> = (Q</w:t>
      </w:r>
      <w:r>
        <w:rPr>
          <w:color w:val="000000"/>
          <w:vertAlign w:val="subscript"/>
        </w:rPr>
        <w:t>NUS</w:t>
      </w:r>
      <w:r>
        <w:rPr>
          <w:color w:val="000000"/>
        </w:rPr>
        <w:t xml:space="preserve"> x T x I x [k] – M</w:t>
      </w:r>
      <w:r>
        <w:rPr>
          <w:color w:val="000000"/>
          <w:vertAlign w:val="subscript"/>
        </w:rPr>
        <w:t>(sumokėta)</w:t>
      </w:r>
      <w:r>
        <w:rPr>
          <w:color w:val="000000"/>
        </w:rPr>
        <w:t xml:space="preserve">) x b </w:t>
        <w:tab/>
        <w:t>(7)</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MOKESČIO LENGVATAS PATVIRTINANTYS DOKUMENTAI</w:t>
      </w:r>
    </w:p>
    <w:p>
      <w:pPr>
        <w:widowControl w:val="0"/>
        <w:suppressAutoHyphens/>
        <w:ind w:firstLine="567"/>
        <w:jc w:val="both"/>
        <w:rPr>
          <w:color w:val="000000"/>
        </w:rPr>
      </w:pPr>
    </w:p>
    <w:p>
      <w:pPr>
        <w:ind w:firstLine="567"/>
        <w:jc w:val="both"/>
        <w:textAlignment w:val="center"/>
        <w:rPr>
          <w:rFonts w:eastAsia="Calibri"/>
          <w:szCs w:val="22"/>
        </w:rPr>
      </w:pPr>
      <w:r>
        <w:rPr>
          <w:rFonts w:eastAsia="Calibri"/>
          <w:szCs w:val="22"/>
        </w:rPr>
        <w:t>16</w:t>
      </w:r>
      <w:r>
        <w:rPr>
          <w:rFonts w:eastAsia="Calibri"/>
          <w:szCs w:val="22"/>
        </w:rPr>
        <w:t>. Asmenys, kurie naudoja biokurą energijai, įskaitant energiją, kuri panaudojama technologiniuose (gamybiniuose) įrenginiuose, gaminti nuo mokesčio už išmetamus į aplinką teršalus, kurie neviršija TIPK ir taršos leidime nustatytų normatyvų, gali būti atleidžiami, jeigu turi šiuos biokuro panaudojimą patvirtinančius dokumentus:</w:t>
      </w:r>
    </w:p>
    <w:p>
      <w:pPr>
        <w:ind w:firstLine="567"/>
        <w:jc w:val="both"/>
        <w:textAlignment w:val="center"/>
        <w:rPr>
          <w:rFonts w:eastAsia="Calibri"/>
          <w:szCs w:val="22"/>
        </w:rPr>
      </w:pPr>
      <w:r>
        <w:rPr>
          <w:rFonts w:eastAsia="Calibri"/>
          <w:szCs w:val="22"/>
        </w:rPr>
        <w:t>– biokuro įsigijimo dokumentai (PVM sąskaitos faktūros, sąskaitos faktūros, pirkimo pardavimo sutartys ir pan.) – kai biokuras įsigyjamas (perkamas);</w:t>
      </w:r>
    </w:p>
    <w:p>
      <w:pPr>
        <w:ind w:firstLine="567"/>
        <w:jc w:val="both"/>
        <w:rPr>
          <w:szCs w:val="24"/>
          <w:lang w:eastAsia="lt-LT"/>
        </w:rPr>
      </w:pPr>
      <w:r>
        <w:rPr>
          <w:szCs w:val="24"/>
          <w:lang w:eastAsia="lt-LT"/>
        </w:rPr>
        <w:t>– nurašymo aktai, atliekų tvarkymo apskaitos ataskaita ir energijos gamybos iš atliekų biologiškai skaidžios dalies ataskaita, ataskaita apie bioskaidžių atliekų susidarymą gamybos proceso metu, kurias leidžiama deginti kuro deginimo įrenginiuose – kai naudojami paties veiklos vykdytojo gamybos procese susidarę cheminėmis medžiagomis neapdoroti ir neužteršti (nedažyti, nelakuoti, neimpregnuoti, neklijuoti ir pan.) šalutiniai produktai, t. y. bioskaidžios atliekos, kurios pagal savo kilmę gali būti priskiriamos biokurui (pvz., medžio žievė, medienos mechaninio apdirbimo liekanos (atraižos, pjuvenos, drožlės ir pan.), iš medienos pagamintos granulės, mediniai padėklai, dėžės, kitokia iš medžio masyvo pagaminta pakuotė, šių gaminių dalys, lūženos, grikių ar kt. augalų stiebai, lukštai ar kitos dalys ir pan.).</w:t>
      </w:r>
    </w:p>
    <w:p>
      <w:pPr>
        <w:ind w:firstLine="567"/>
        <w:jc w:val="both"/>
        <w:rPr>
          <w:color w:val="000000"/>
        </w:rPr>
      </w:pPr>
      <w:r>
        <w:rPr>
          <w:szCs w:val="24"/>
          <w:lang w:eastAsia="lt-LT"/>
        </w:rPr>
        <w:t>Biokuro įsigijimo ir sunaudojimo energijai gaminti</w:t>
      </w:r>
      <w:r>
        <w:rPr>
          <w:b/>
          <w:szCs w:val="24"/>
          <w:lang w:eastAsia="lt-LT"/>
        </w:rPr>
        <w:t xml:space="preserve"> </w:t>
      </w:r>
      <w:r>
        <w:rPr>
          <w:szCs w:val="24"/>
          <w:lang w:eastAsia="lt-LT"/>
        </w:rPr>
        <w:t>dokumentai turi būti pateikiami vykdant mokesčio kontrolę įmonėje, kai to pareikalauja aplinkos apsaugos ir (ar) mokesčių inspekcijos pareigūnas.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33818B7245">
        <w:r w:rsidRPr="00532B9F">
          <w:rPr>
            <w:rFonts w:ascii="Times New Roman" w:eastAsia="MS Mincho" w:hAnsi="Times New Roman"/>
            <w:sz w:val="20"/>
            <w:i/>
            <w:iCs/>
            <w:color w:val="0000FF" w:themeColor="hyperlink"/>
            <w:u w:val="single"/>
          </w:rPr>
          <w:t>D1-636/1K-299</w:t>
        </w:r>
      </w:fldSimple>
      <w:r>
        <w:rPr>
          <w:rFonts w:ascii="Times New Roman" w:eastAsia="MS Mincho" w:hAnsi="Times New Roman"/>
          <w:sz w:val="20"/>
          <w:i/>
          <w:iCs/>
        </w:rPr>
        <w:t>,
2013-08-29,
Žin., 2013, Nr.
93-4666 (2013-09-04), i. k. 113301MISAK6/1K-299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widowControl w:val="0"/>
        <w:suppressAutoHyphens/>
        <w:ind w:firstLine="567"/>
        <w:jc w:val="both"/>
        <w:rPr>
          <w:color w:val="000000"/>
        </w:rPr>
      </w:pPr>
      <w:r>
        <w:rPr>
          <w:color w:val="000000"/>
        </w:rPr>
        <w:t>17</w:t>
      </w:r>
      <w:r>
        <w:rPr>
          <w:color w:val="000000"/>
        </w:rPr>
        <w:t xml:space="preserve">. Asmenys, įgyvendinantys aplinkosaugos priemones, sumažinančias teršalų išmetimą į Aplinką iš stacionarių taršos šaltinių 5 ir daugiau procentais skaičiuojant nuo nustatyto didžiausios leistinos taršos normatyvo, dėl atleidimo nuo mokesčio už šiuos teršalus mokėjimo, priemonės įgyvendinimo laikotarpiu, bet ne ilgiau kaip 3 metams prieš pradėdami vykdyti šias priemones kreipiasi į atitinkamą AM RAAD, kurio teritorijoje yra taršos objektas. Vadovaujantis Fizinių ir juridinių asmenų, įgyvendinančių aplinkosaugos priemones, mažinančias teršalų išmetimą į Aplinką iš stacionarių taršos šaltinių ne mažiau kaip 5 procentais skaičiuojant nuo nustatyto didžiausios leistinos taršos normatyvo, atleidimo nuo mokesčio už tuos teršalus, kurių kiekis sumažinamas 5 procentais, Tvarkos aprašu, patvirtintu Lietuvos Respublikos Vyriausybės 2000 m. sausio 18 d. nutarimu Nr. 53 (Žin., 2000, Nr. </w:t>
      </w:r>
      <w:hyperlink r:id="rId57" w:tgtFrame="_blank" w:history="1">
        <w:r>
          <w:rPr>
            <w:color w:val="0000FF" w:themeColor="hyperlink"/>
            <w:u w:val="single"/>
          </w:rPr>
          <w:t>6-159</w:t>
        </w:r>
      </w:hyperlink>
      <w:r>
        <w:rPr>
          <w:color w:val="000000"/>
        </w:rPr>
        <w:t xml:space="preserve">; 2002, Nr. </w:t>
      </w:r>
      <w:hyperlink r:id="rId58" w:tgtFrame="_blank" w:history="1">
        <w:r>
          <w:rPr>
            <w:color w:val="0000FF" w:themeColor="hyperlink"/>
            <w:u w:val="single"/>
          </w:rPr>
          <w:t>92-3934</w:t>
        </w:r>
      </w:hyperlink>
      <w:r>
        <w:rPr>
          <w:color w:val="000000"/>
        </w:rPr>
        <w:t>), mokesčio mokėtojas turi pateikti AM RAAD visą informaciją ir dokumentus apie planuojamą įdiegti priemonę.</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MOKESČIO SUMOKĖJIMAS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Mokesčio mokėtojas ne vėliau kaip per 60 kalendorinių dienų nuo mokestinio laikotarpio pabaigos sumoka mokestį ir pateikia teritorinei valstybinei mokesčių inspekcijai, kurios veiklos teritorijoje mokesčio mokėtojas yra įregistruotas mokesčių mokėtojų registre, Mokesčio už aplinkos teršimą iš stacionarių taršos šaltinių deklaraciją, kurios formą, pildymo ir pateikimo taisykles nustato Valstybinė mokesčių inspekcija prie Lietuvos Respublikos finansų ministerijos kartu su Aplinkos ministerija.</w:t>
      </w:r>
    </w:p>
    <w:p>
      <w:pPr>
        <w:widowControl w:val="0"/>
        <w:suppressAutoHyphens/>
        <w:ind w:firstLine="567"/>
        <w:jc w:val="both"/>
        <w:rPr>
          <w:color w:val="000000"/>
        </w:rPr>
      </w:pPr>
      <w:r>
        <w:rPr>
          <w:color w:val="000000"/>
        </w:rPr>
        <w:t>19</w:t>
      </w:r>
      <w:r>
        <w:rPr>
          <w:color w:val="000000"/>
        </w:rPr>
        <w:t xml:space="preserve">. Patikrinimo metu papildomai apskaičiuotas mokestis sumokamas Lietuvos Respublikos mokesčių administravimo įstatyme (Žin., 2004, Nr. </w:t>
      </w:r>
      <w:hyperlink r:id="rId59" w:tgtFrame="_blank" w:history="1">
        <w:r>
          <w:rPr>
            <w:color w:val="0000FF" w:themeColor="hyperlink"/>
            <w:u w:val="single"/>
          </w:rPr>
          <w:t>63-2243</w:t>
        </w:r>
      </w:hyperlink>
      <w:r>
        <w:rPr>
          <w:color w:val="000000"/>
        </w:rPr>
        <w:t>) nustatyta tvarka.</w:t>
      </w:r>
    </w:p>
    <w:p>
      <w:pPr>
        <w:widowControl w:val="0"/>
        <w:suppressAutoHyphens/>
        <w:ind w:firstLine="567"/>
        <w:jc w:val="both"/>
        <w:rPr>
          <w:color w:val="000000"/>
        </w:rPr>
      </w:pPr>
      <w:r>
        <w:rPr>
          <w:color w:val="000000"/>
        </w:rPr>
        <w:t>20</w:t>
      </w:r>
      <w:r>
        <w:rPr>
          <w:color w:val="000000"/>
        </w:rPr>
        <w:t>. Mokesčio mokėtojas, kurio veiklos pradžia nesutampa su mokestinio laikotarpio pradžia, mokestį už aplinkos teršimą iš stacionarių taršos šaltinių pirmaisiais veiklos metais moka pasibaigus mokestiniam laikotarpiui, kada ši veikla buvo pradėta.</w:t>
      </w:r>
    </w:p>
    <w:p>
      <w:pPr>
        <w:widowControl w:val="0"/>
        <w:suppressAutoHyphens/>
        <w:ind w:firstLine="567"/>
        <w:jc w:val="both"/>
        <w:rPr>
          <w:color w:val="000000"/>
        </w:rPr>
      </w:pPr>
      <w:r>
        <w:rPr>
          <w:color w:val="000000"/>
        </w:rPr>
        <w:t>21</w:t>
      </w:r>
      <w:r>
        <w:rPr>
          <w:color w:val="000000"/>
        </w:rPr>
        <w:t>. Jei stacionarus taršos šaltinis (objektas), išleidžiantis su nuotekomis teršalus į paviršinius vandens telkinius, yra kelių savivaldybių teritorijose (teršalai susidaro vienos savivaldybės teritorijoje, o išleidžiami kitos savivaldybės teritorijoje), tai mokesčio mokėtojas išleistą teršalų kiekį ir mokestį už aplinkos teršimą iš stacionarių taršos šaltinių deklaruoja taip: 50 proc. išmestų teršalų ir mokėtinos mokesčio sumos už tuos teršalus – savivaldybės, kurios teritorijoje yra taršos šaltinis, ir 50 proc. – savivaldybės, kur yra išmetami šie teršalai.</w:t>
      </w:r>
    </w:p>
    <w:p>
      <w:pPr>
        <w:widowControl w:val="0"/>
        <w:suppressAutoHyphens/>
        <w:ind w:firstLine="567"/>
        <w:jc w:val="both"/>
        <w:rPr>
          <w:color w:val="000000"/>
        </w:rPr>
      </w:pPr>
      <w:r>
        <w:rPr>
          <w:color w:val="000000"/>
        </w:rPr>
        <w:t>22</w:t>
      </w:r>
      <w:r>
        <w:rPr>
          <w:color w:val="000000"/>
        </w:rPr>
        <w:t>. Jei stacionarus taršos šaltinis (objektas) yra vienos savivaldybės teritorijoje, o į atmosferą (aplinkos orą) išmetami teršalai kitos (-ų) savivaldybės (-ių), kurioje (-se) išlaistomos srutos ir (ar) paskleidžiamas mėšlas, teritorijoje (-se), tai mokesčio mokėtojas atskirai apskaičiuoja ir deklaruoja kiekvienos savivaldybės teritorijoje išmestą į atmosferą (aplinkos orą) teršalų kiekį ir mokamą mokestį.</w:t>
      </w:r>
    </w:p>
    <w:p>
      <w:pPr>
        <w:widowControl w:val="0"/>
        <w:suppressAutoHyphens/>
        <w:jc w:val="both"/>
        <w:rPr>
          <w:color w:val="000000"/>
        </w:rPr>
      </w:pPr>
    </w:p>
    <w:p>
      <w:pPr>
        <w:widowControl w:val="0"/>
        <w:suppressAutoHyphens/>
        <w:jc w:val="center"/>
      </w:pPr>
      <w:r>
        <w:rPr>
          <w:color w:val="000000"/>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E95FA75557">
        <w:r w:rsidRPr="00532B9F">
          <w:rPr>
            <w:rFonts w:ascii="Times New Roman" w:eastAsia="MS Mincho" w:hAnsi="Times New Roman"/>
            <w:sz w:val="20"/>
            <w:i/>
            <w:iCs/>
            <w:color w:val="0000FF" w:themeColor="hyperlink"/>
            <w:u w:val="single"/>
          </w:rPr>
          <w:t>D1-326/1K-117</w:t>
        </w:r>
      </w:fldSimple>
      <w:r>
        <w:rPr>
          <w:rFonts w:ascii="Times New Roman" w:eastAsia="MS Mincho" w:hAnsi="Times New Roman"/>
          <w:sz w:val="20"/>
          <w:i/>
          <w:iCs/>
        </w:rPr>
        <w:t>,
2010-04-22,
Žin., 2010, Nr.
49-2411 (2010-04-29), i. k. 110301MISAK6/1K-117            </w:t>
      </w:r>
    </w:p>
    <w:p/>
    <w:p>
      <w:pPr>
        <w:widowControl w:val="0"/>
        <w:ind w:left="4535"/>
        <w:sectPr>
          <w:headerReference w:type="even" r:id="rId39"/>
          <w:headerReference w:type="default" r:id="rId40"/>
          <w:footerReference w:type="even" r:id="rId41"/>
          <w:footerReference w:type="default" r:id="rId42"/>
          <w:headerReference w:type="first" r:id="rId43"/>
          <w:footerReference w:type="first" r:id="rId44"/>
          <w:pgSz w:w="11907" w:h="16840" w:code="9"/>
          <w:pgMar w:top="1134" w:right="1134" w:bottom="1134" w:left="1701" w:header="567" w:footer="284" w:gutter="0"/>
          <w:cols w:space="1296"/>
          <w:docGrid w:linePitch="360"/>
        </w:sect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aplinkos ministro ir </w:t>
      </w:r>
    </w:p>
    <w:p>
      <w:pPr>
        <w:widowControl w:val="0"/>
        <w:ind w:left="4535"/>
        <w:rPr>
          <w:color w:val="000000"/>
        </w:rPr>
      </w:pPr>
      <w:r>
        <w:rPr>
          <w:color w:val="000000"/>
        </w:rPr>
        <w:t xml:space="preserve">Lietuvos Respublikos finansų ministro </w:t>
      </w:r>
    </w:p>
    <w:p>
      <w:pPr>
        <w:widowControl w:val="0"/>
        <w:ind w:left="4535"/>
        <w:rPr>
          <w:color w:val="000000"/>
        </w:rPr>
      </w:pPr>
      <w:r>
        <w:rPr>
          <w:color w:val="000000"/>
        </w:rPr>
        <w:t xml:space="preserve">2008 m. liepos 9 d. įsakymu </w:t>
      </w:r>
    </w:p>
    <w:p>
      <w:pPr>
        <w:widowControl w:val="0"/>
        <w:ind w:left="4535"/>
        <w:rPr>
          <w:color w:val="000000"/>
        </w:rPr>
      </w:pPr>
      <w:r>
        <w:rPr>
          <w:color w:val="000000"/>
        </w:rPr>
        <w:t>Nr. D1-370/1K-230</w:t>
      </w:r>
    </w:p>
    <w:p>
      <w:pPr>
        <w:widowControl w:val="0"/>
        <w:ind w:left="4535"/>
        <w:rPr>
          <w:color w:val="000000"/>
        </w:rPr>
      </w:pPr>
      <w:r>
        <w:rPr>
          <w:color w:val="000000"/>
        </w:rPr>
        <w:t xml:space="preserve">(Lietuvos Respublikos aplinkos ministro ir </w:t>
      </w:r>
    </w:p>
    <w:p>
      <w:pPr>
        <w:widowControl w:val="0"/>
        <w:ind w:left="4535"/>
        <w:rPr>
          <w:color w:val="000000"/>
        </w:rPr>
      </w:pPr>
      <w:r>
        <w:rPr>
          <w:color w:val="000000"/>
        </w:rPr>
        <w:t xml:space="preserve">Lietuvos Respublikos finansų ministro </w:t>
      </w:r>
    </w:p>
    <w:p>
      <w:pPr>
        <w:widowControl w:val="0"/>
        <w:ind w:left="4535"/>
        <w:rPr>
          <w:color w:val="000000"/>
        </w:rPr>
      </w:pPr>
      <w:r>
        <w:rPr>
          <w:color w:val="000000"/>
        </w:rPr>
        <w:t xml:space="preserve">2012 m. balandžio 10 d. </w:t>
      </w:r>
    </w:p>
    <w:p>
      <w:pPr>
        <w:widowControl w:val="0"/>
        <w:ind w:left="4535"/>
        <w:rPr>
          <w:color w:val="000000"/>
        </w:rPr>
      </w:pPr>
      <w:r>
        <w:rPr>
          <w:color w:val="000000"/>
        </w:rPr>
        <w:t xml:space="preserve">įsakymo Nr. D1-307/1K-132 </w:t>
      </w:r>
    </w:p>
    <w:p>
      <w:pPr>
        <w:widowControl w:val="0"/>
        <w:ind w:left="4535"/>
        <w:rPr>
          <w:color w:val="000000"/>
        </w:rPr>
      </w:pPr>
      <w:r>
        <w:rPr>
          <w:color w:val="000000"/>
        </w:rPr>
        <w:t>redakcija)</w:t>
      </w:r>
    </w:p>
    <w:p>
      <w:pPr>
        <w:widowControl w:val="0"/>
        <w:ind w:firstLine="567"/>
        <w:jc w:val="both"/>
        <w:rPr>
          <w:color w:val="000000"/>
        </w:rPr>
      </w:pPr>
    </w:p>
    <w:p>
      <w:pPr>
        <w:widowControl w:val="0"/>
        <w:jc w:val="center"/>
        <w:rPr>
          <w:b/>
          <w:bCs/>
          <w:caps/>
          <w:color w:val="000000"/>
        </w:rPr>
      </w:pPr>
      <w:r>
        <w:rPr>
          <w:b/>
          <w:bCs/>
          <w:caps/>
          <w:color w:val="000000"/>
        </w:rPr>
        <w:t>MOKESČIO UŽ APLINKOS TERŠIMĄ APMOKESTINAMŲJŲ GAMINIŲ ATLIEKOMIS APSKAIČIAVIMO IR MOKĖJIMO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jc w:val="center"/>
        <w:rPr>
          <w:b/>
          <w:bCs/>
          <w:caps/>
          <w:color w:val="000000"/>
        </w:rPr>
      </w:pPr>
    </w:p>
    <w:p>
      <w:pPr>
        <w:widowControl w:val="0"/>
        <w:ind w:firstLine="567"/>
        <w:jc w:val="both"/>
        <w:rPr>
          <w:color w:val="000000"/>
        </w:rPr>
      </w:pPr>
      <w:r>
        <w:rPr>
          <w:color w:val="000000"/>
        </w:rPr>
        <w:t>1</w:t>
      </w:r>
      <w:r>
        <w:rPr>
          <w:color w:val="000000"/>
        </w:rPr>
        <w:t>. Šis Mokesčio už aplinkos teršimą apmokestinamųjų gaminių atliekomis apskaičiavimo ir mokėjimo tvarkos aprašas (toliau – Tvarkos aprašas) nustato mokesčio už aplinkos teršimą apmokestinamųjų gaminių atliekomis apskaičiavimo, mokėjimo ir lengvatų taikymo tvarką.</w:t>
      </w:r>
    </w:p>
    <w:p>
      <w:pPr>
        <w:widowControl w:val="0"/>
        <w:ind w:firstLine="567"/>
        <w:jc w:val="both"/>
        <w:rPr>
          <w:color w:val="000000"/>
        </w:rPr>
      </w:pPr>
      <w:r>
        <w:rPr>
          <w:color w:val="000000"/>
        </w:rPr>
        <w:t>2</w:t>
      </w:r>
      <w:r>
        <w:rPr>
          <w:color w:val="000000"/>
        </w:rPr>
        <w:t xml:space="preserve">. Tvarkos apraše vartojamos sąvokos atitinka sąvokas, apibrėžtas Lietuvos Respublikos mokesčio už aplinkos teršimą įstatyme (Žin., 1999, Nr. </w:t>
      </w:r>
      <w:hyperlink r:id="rId60" w:tgtFrame="_blank" w:history="1">
        <w:r>
          <w:rPr>
            <w:color w:val="0000FF" w:themeColor="hyperlink"/>
            <w:u w:val="single"/>
          </w:rPr>
          <w:t>47-1469</w:t>
        </w:r>
      </w:hyperlink>
      <w:r>
        <w:rPr>
          <w:color w:val="000000"/>
        </w:rPr>
        <w:t xml:space="preserve">; 2002, Nr. </w:t>
      </w:r>
      <w:hyperlink r:id="rId61" w:tgtFrame="_blank" w:history="1">
        <w:r>
          <w:rPr>
            <w:color w:val="0000FF" w:themeColor="hyperlink"/>
            <w:u w:val="single"/>
          </w:rPr>
          <w:t>13-474</w:t>
        </w:r>
      </w:hyperlink>
      <w:r>
        <w:rPr>
          <w:color w:val="000000"/>
        </w:rPr>
        <w:t xml:space="preserve">) ir Lietuvos Respublikos atliekų tvarkymo įstatyme (Žin., 1998, Nr. </w:t>
      </w:r>
      <w:hyperlink r:id="rId62" w:tgtFrame="_blank" w:history="1">
        <w:r>
          <w:rPr>
            <w:color w:val="0000FF" w:themeColor="hyperlink"/>
            <w:u w:val="single"/>
          </w:rPr>
          <w:t>61-1726</w:t>
        </w:r>
      </w:hyperlink>
      <w:r>
        <w:rPr>
          <w:color w:val="000000"/>
        </w:rPr>
        <w:t xml:space="preserve">; 2002, Nr. </w:t>
      </w:r>
      <w:hyperlink r:id="rId63" w:tgtFrame="_blank" w:history="1">
        <w:r>
          <w:rPr>
            <w:color w:val="0000FF" w:themeColor="hyperlink"/>
            <w:u w:val="single"/>
          </w:rPr>
          <w:t>72-3016</w:t>
        </w:r>
      </w:hyperlink>
      <w:r>
        <w:rPr>
          <w:color w:val="000000"/>
        </w:rPr>
        <w:t>).</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MOKESČIO APSKAIČIAVIMAS</w:t>
      </w:r>
    </w:p>
    <w:p>
      <w:pPr>
        <w:widowControl w:val="0"/>
        <w:ind w:firstLine="567"/>
        <w:jc w:val="both"/>
        <w:rPr>
          <w:color w:val="000000"/>
        </w:rPr>
      </w:pPr>
    </w:p>
    <w:p>
      <w:pPr>
        <w:widowControl w:val="0"/>
        <w:ind w:firstLine="567"/>
        <w:jc w:val="both"/>
        <w:rPr>
          <w:color w:val="000000"/>
        </w:rPr>
      </w:pPr>
      <w:r>
        <w:rPr>
          <w:color w:val="000000"/>
        </w:rPr>
        <w:t>3</w:t>
      </w:r>
      <w:r>
        <w:rPr>
          <w:color w:val="000000"/>
        </w:rPr>
        <w:t>. Vidaus rinkai tiektų atitinkamos rūšies apmokestinamųjų gaminių kiekis tonomis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Q = Q</w:t>
      </w:r>
      <w:r>
        <w:rPr>
          <w:color w:val="000000"/>
          <w:vertAlign w:val="subscript"/>
        </w:rPr>
        <w:t>PAG</w:t>
      </w:r>
      <w:r>
        <w:rPr>
          <w:color w:val="000000"/>
        </w:rPr>
        <w:t xml:space="preserve"> + Q</w:t>
      </w:r>
      <w:r>
        <w:rPr>
          <w:color w:val="000000"/>
          <w:vertAlign w:val="subscript"/>
        </w:rPr>
        <w:t>ĮVE</w:t>
        <w:tab/>
      </w:r>
      <w:r>
        <w:rPr>
          <w:color w:val="000000"/>
        </w:rPr>
        <w:t>(1),</w:t>
      </w:r>
    </w:p>
    <w:p>
      <w:pPr>
        <w:widowControl w:val="0"/>
        <w:ind w:firstLine="567"/>
        <w:jc w:val="both"/>
        <w:rPr>
          <w:color w:val="000000"/>
        </w:rPr>
      </w:pPr>
      <w:r>
        <w:rPr>
          <w:color w:val="000000"/>
        </w:rPr>
        <w:t>čia:</w:t>
      </w:r>
    </w:p>
    <w:p>
      <w:pPr>
        <w:widowControl w:val="0"/>
        <w:ind w:firstLine="567"/>
        <w:jc w:val="both"/>
        <w:rPr>
          <w:color w:val="000000"/>
        </w:rPr>
      </w:pPr>
      <w:r>
        <w:rPr>
          <w:color w:val="000000"/>
        </w:rPr>
        <w:t>Q – mokesčio mokėtojo per mokestinį laikotarpį vidaus rinkai tiektų apmokestinamųjų gaminių kiekis, t;</w:t>
      </w:r>
    </w:p>
    <w:p>
      <w:pPr>
        <w:widowControl w:val="0"/>
        <w:ind w:firstLine="567"/>
        <w:jc w:val="both"/>
        <w:rPr>
          <w:color w:val="000000"/>
        </w:rPr>
      </w:pPr>
      <w:r>
        <w:rPr>
          <w:color w:val="000000"/>
        </w:rPr>
        <w:t>Q</w:t>
      </w:r>
      <w:r>
        <w:rPr>
          <w:color w:val="000000"/>
          <w:vertAlign w:val="subscript"/>
        </w:rPr>
        <w:t xml:space="preserve">PAG </w:t>
      </w:r>
      <w:r>
        <w:rPr>
          <w:color w:val="000000"/>
        </w:rPr>
        <w:t>– mokesčio mokėtojo per mokestinį laikotarpį Lietuvoje pagamintų ir vidaus rinkai tiektų apmokestinamųjų gaminių kiekis, t;</w:t>
      </w:r>
    </w:p>
    <w:p>
      <w:pPr>
        <w:widowControl w:val="0"/>
        <w:ind w:firstLine="567"/>
        <w:jc w:val="both"/>
        <w:rPr>
          <w:color w:val="000000"/>
        </w:rPr>
      </w:pPr>
      <w:r>
        <w:rPr>
          <w:color w:val="000000"/>
        </w:rPr>
        <w:t>Q</w:t>
      </w:r>
      <w:r>
        <w:rPr>
          <w:color w:val="000000"/>
          <w:vertAlign w:val="subscript"/>
        </w:rPr>
        <w:t>ĮVE</w:t>
      </w:r>
      <w:r>
        <w:rPr>
          <w:color w:val="000000"/>
        </w:rPr>
        <w:t>– mokesčio mokėtojo per mokestinį laikotarpį į Lietuvą įvežtų ir vidaus rinkai tiektų apmokestinamųjų gaminių kiekis, t.</w:t>
      </w:r>
    </w:p>
    <w:p>
      <w:pPr>
        <w:widowControl w:val="0"/>
        <w:ind w:firstLine="567"/>
        <w:jc w:val="both"/>
        <w:rPr>
          <w:color w:val="000000"/>
        </w:rPr>
      </w:pPr>
      <w:r>
        <w:rPr>
          <w:color w:val="000000"/>
        </w:rPr>
        <w:t>4</w:t>
      </w:r>
      <w:r>
        <w:rPr>
          <w:color w:val="000000"/>
        </w:rPr>
        <w:t>. Atitinkamos rūšies apmokestinamųjų gaminių atliekų naudojimo ir (ar) perdirbimo užduoties įvykdymas procentais (toliau – %)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F = (Q</w:t>
      </w:r>
      <w:r>
        <w:rPr>
          <w:color w:val="000000"/>
          <w:vertAlign w:val="subscript"/>
        </w:rPr>
        <w:t>SUT</w:t>
      </w:r>
      <w:r>
        <w:rPr>
          <w:color w:val="000000"/>
        </w:rPr>
        <w:t xml:space="preserve"> / Q) x 100</w:t>
        <w:tab/>
        <w:t>(2),</w:t>
      </w:r>
    </w:p>
    <w:p>
      <w:pPr>
        <w:widowControl w:val="0"/>
        <w:ind w:firstLine="567"/>
        <w:jc w:val="both"/>
        <w:rPr>
          <w:color w:val="000000"/>
        </w:rPr>
      </w:pPr>
      <w:r>
        <w:rPr>
          <w:color w:val="000000"/>
        </w:rPr>
        <w:t>čia:</w:t>
      </w:r>
    </w:p>
    <w:p>
      <w:pPr>
        <w:widowControl w:val="0"/>
        <w:ind w:firstLine="567"/>
        <w:jc w:val="both"/>
        <w:rPr>
          <w:color w:val="000000"/>
        </w:rPr>
      </w:pPr>
      <w:r>
        <w:rPr>
          <w:color w:val="000000"/>
        </w:rPr>
        <w:t>F – faktinis užduoties vykdymas, %;</w:t>
      </w:r>
    </w:p>
    <w:p>
      <w:pPr>
        <w:widowControl w:val="0"/>
        <w:ind w:firstLine="567"/>
        <w:jc w:val="both"/>
        <w:rPr>
          <w:color w:val="000000"/>
        </w:rPr>
      </w:pPr>
      <w:r>
        <w:rPr>
          <w:color w:val="000000"/>
        </w:rPr>
        <w:t>Q</w:t>
      </w:r>
      <w:r>
        <w:rPr>
          <w:color w:val="000000"/>
          <w:vertAlign w:val="subscript"/>
        </w:rPr>
        <w:t xml:space="preserve">SUT </w:t>
      </w:r>
      <w:r>
        <w:rPr>
          <w:color w:val="000000"/>
        </w:rPr>
        <w:t>– panaudotų ar perdirbtų apmokestinamųjų gaminių atliekų kiekis, t.</w:t>
      </w:r>
    </w:p>
    <w:p>
      <w:pPr>
        <w:widowControl w:val="0"/>
        <w:ind w:firstLine="567"/>
        <w:jc w:val="both"/>
        <w:rPr>
          <w:color w:val="000000"/>
        </w:rPr>
      </w:pPr>
      <w:r>
        <w:rPr>
          <w:color w:val="000000"/>
        </w:rPr>
        <w:t>5</w:t>
      </w:r>
      <w:r>
        <w:rPr>
          <w:color w:val="000000"/>
        </w:rPr>
        <w:t>. Atitinkamos rūšies apmokestinamųjų gaminių atliekų naudojimo ir (ar) perdirbimo užduoties įvykdymo lygis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l = F / U</w:t>
        <w:tab/>
        <w:t>(3),</w:t>
      </w:r>
    </w:p>
    <w:p>
      <w:pPr>
        <w:widowControl w:val="0"/>
        <w:ind w:firstLine="567"/>
        <w:jc w:val="both"/>
        <w:rPr>
          <w:color w:val="000000"/>
        </w:rPr>
      </w:pPr>
      <w:r>
        <w:rPr>
          <w:color w:val="000000"/>
        </w:rPr>
        <w:t>čia:</w:t>
      </w:r>
    </w:p>
    <w:p>
      <w:pPr>
        <w:widowControl w:val="0"/>
        <w:ind w:firstLine="567"/>
        <w:jc w:val="both"/>
        <w:rPr>
          <w:color w:val="000000"/>
        </w:rPr>
      </w:pPr>
      <w:r>
        <w:rPr>
          <w:color w:val="000000"/>
        </w:rPr>
        <w:t>l – panaudotų ar perdirbtų apmokestinamųjų gaminių atliekų užduoties įvykdymo lygis;</w:t>
      </w:r>
    </w:p>
    <w:p>
      <w:pPr>
        <w:widowControl w:val="0"/>
        <w:ind w:firstLine="567"/>
        <w:jc w:val="both"/>
        <w:rPr>
          <w:color w:val="000000"/>
        </w:rPr>
      </w:pPr>
      <w:r>
        <w:rPr>
          <w:color w:val="000000"/>
        </w:rPr>
        <w:t xml:space="preserve">U – apmokestinamųjų gaminių atliekų naudojimo ir (ar) perdirbimo užduotis atitinkamai apmokestinamųjų gaminių rūšiai, %, nustatyta Apmokestinamųjų gaminių ir pakuočių atliekų naudojimo ir (ar) perdirbimo užduotyse, patvirtintose Lietuvos Respublikos Vyriausybės 2006 m. lapkričio 24 d. nutarime Nr. 1168 „Dėl Apmokestinamųjų gaminių ir pakuočių atliekų naudojimo ir (ar) perdirbimo užduočių patvirtinimo“ (Žin., 2006, Nr. </w:t>
      </w:r>
      <w:hyperlink r:id="rId64" w:tgtFrame="_blank" w:history="1">
        <w:r>
          <w:rPr>
            <w:color w:val="0000FF" w:themeColor="hyperlink"/>
            <w:u w:val="single"/>
          </w:rPr>
          <w:t>130-4897</w:t>
        </w:r>
      </w:hyperlink>
      <w:r>
        <w:rPr>
          <w:color w:val="000000"/>
        </w:rPr>
        <w:t>; 2011, Nr. 165-7864).</w:t>
      </w:r>
    </w:p>
    <w:p>
      <w:pPr>
        <w:widowControl w:val="0"/>
        <w:ind w:firstLine="567"/>
        <w:jc w:val="both"/>
        <w:rPr>
          <w:color w:val="000000"/>
        </w:rPr>
      </w:pPr>
      <w:r>
        <w:rPr>
          <w:color w:val="000000"/>
        </w:rPr>
        <w:t>6</w:t>
      </w:r>
      <w:r>
        <w:rPr>
          <w:color w:val="000000"/>
        </w:rPr>
        <w:t>. Mokėtino mokesčio sumažinimo koeficientas pagal atitinkamos užduoties įvykdymo lygį apskaičiuojamas:</w:t>
      </w:r>
    </w:p>
    <w:p>
      <w:pPr>
        <w:widowControl w:val="0"/>
        <w:ind w:firstLine="567"/>
        <w:jc w:val="both"/>
        <w:rPr>
          <w:color w:val="000000"/>
        </w:rPr>
      </w:pPr>
    </w:p>
    <w:p>
      <w:pPr>
        <w:widowControl w:val="0"/>
        <w:tabs>
          <w:tab w:val="right" w:pos="8400"/>
        </w:tabs>
        <w:ind w:firstLine="567"/>
        <w:jc w:val="both"/>
        <w:rPr>
          <w:color w:val="000000"/>
        </w:rPr>
      </w:pPr>
      <w:r>
        <w:rPr>
          <w:i/>
          <w:iCs/>
          <w:color w:val="000000"/>
        </w:rPr>
        <w:t xml:space="preserve">d = 0, kai l </w:t>
      </w:r>
      <w:r>
        <w:rPr>
          <w:i/>
          <w:iCs/>
          <w:color w:val="000000"/>
          <w:position w:val="-4"/>
        </w:rPr>
        <w:object w:dxaOrig="195" w:dyaOrig="240" w14:anchorId="71252B99">
          <v:shape id="_x0000_i1037" type="#_x0000_t75" style="width:10.15pt;height:12pt" o:ole="">
            <v:imagedata r:id="rId65" o:title=""/>
          </v:shape>
          <o:OLEObject Type="Embed" ProgID="Equation.3" ShapeID="_x0000_i1037" DrawAspect="Content" ObjectID="_1510491060" r:id="rId66"/>
        </w:object>
      </w:r>
      <w:r>
        <w:rPr>
          <w:i/>
          <w:iCs/>
          <w:vanish/>
          <w:color w:val="000000"/>
        </w:rPr>
        <w:t>&gt;=</w:t>
      </w:r>
      <w:r>
        <w:rPr>
          <w:color w:val="000000"/>
        </w:rPr>
        <w:t xml:space="preserve"> 1;</w:t>
      </w:r>
      <w:r>
        <w:rPr>
          <w:i/>
          <w:iCs/>
          <w:color w:val="000000"/>
        </w:rPr>
        <w:tab/>
      </w:r>
      <w:r>
        <w:rPr>
          <w:color w:val="000000"/>
        </w:rPr>
        <w:t>(4),</w:t>
      </w:r>
    </w:p>
    <w:p>
      <w:pPr>
        <w:widowControl w:val="0"/>
        <w:ind w:firstLine="567"/>
        <w:jc w:val="both"/>
        <w:rPr>
          <w:color w:val="000000"/>
        </w:rPr>
      </w:pPr>
      <w:r>
        <w:rPr>
          <w:i/>
          <w:iCs/>
          <w:color w:val="000000"/>
        </w:rPr>
        <w:t xml:space="preserve">d = </w:t>
      </w:r>
      <w:r>
        <w:rPr>
          <w:color w:val="000000"/>
        </w:rPr>
        <w:t>1</w:t>
      </w:r>
      <w:r>
        <w:rPr>
          <w:i/>
          <w:iCs/>
          <w:color w:val="000000"/>
        </w:rPr>
        <w:t xml:space="preserve"> – l, kai</w:t>
      </w:r>
      <w:r>
        <w:rPr>
          <w:color w:val="000000"/>
        </w:rPr>
        <w:t xml:space="preserve"> 1 &gt;</w:t>
      </w:r>
      <w:r>
        <w:rPr>
          <w:i/>
          <w:iCs/>
          <w:color w:val="000000"/>
        </w:rPr>
        <w:t xml:space="preserve"> l </w:t>
      </w:r>
      <w:r>
        <w:rPr>
          <w:i/>
          <w:iCs/>
          <w:color w:val="000000"/>
          <w:position w:val="-4"/>
        </w:rPr>
        <w:object w:dxaOrig="195" w:dyaOrig="240" w14:anchorId="3A06702A">
          <v:shape id="_x0000_i1038" type="#_x0000_t75" style="width:10.15pt;height:12pt" o:ole="">
            <v:imagedata r:id="rId67" o:title=""/>
          </v:shape>
          <o:OLEObject Type="Embed" ProgID="Equation.3" ShapeID="_x0000_i1038" DrawAspect="Content" ObjectID="_1510491061" r:id="rId68"/>
        </w:object>
      </w:r>
      <w:r>
        <w:rPr>
          <w:i/>
          <w:iCs/>
          <w:vanish/>
          <w:color w:val="000000"/>
        </w:rPr>
        <w:t>&gt;=</w:t>
      </w:r>
      <w:r>
        <w:rPr>
          <w:color w:val="000000"/>
        </w:rPr>
        <w:t xml:space="preserve"> 0.</w:t>
      </w:r>
    </w:p>
    <w:p>
      <w:pPr>
        <w:widowControl w:val="0"/>
        <w:ind w:firstLine="567"/>
        <w:jc w:val="both"/>
        <w:rPr>
          <w:color w:val="000000"/>
        </w:rPr>
      </w:pPr>
      <w:r>
        <w:rPr>
          <w:color w:val="000000"/>
        </w:rPr>
        <w:t>čia:</w:t>
      </w:r>
    </w:p>
    <w:p>
      <w:pPr>
        <w:widowControl w:val="0"/>
        <w:ind w:firstLine="567"/>
        <w:jc w:val="both"/>
        <w:rPr>
          <w:color w:val="000000"/>
        </w:rPr>
      </w:pPr>
      <w:r>
        <w:rPr>
          <w:color w:val="000000"/>
        </w:rPr>
        <w:t>d – mokėtino mokesčio sumažinimo koeficientas (apmokestinamųjų gaminių dalis).</w:t>
      </w:r>
    </w:p>
    <w:p>
      <w:pPr>
        <w:suppressAutoHyphens/>
        <w:ind w:firstLine="567"/>
        <w:jc w:val="both"/>
        <w:textAlignment w:val="center"/>
        <w:rPr>
          <w:color w:val="000000"/>
          <w:szCs w:val="24"/>
        </w:rPr>
      </w:pPr>
      <w:r>
        <w:rPr>
          <w:color w:val="000000"/>
          <w:szCs w:val="24"/>
        </w:rPr>
        <w:t>7</w:t>
      </w:r>
      <w:r>
        <w:rPr>
          <w:color w:val="000000"/>
          <w:szCs w:val="24"/>
        </w:rPr>
        <w:t>. Mokėtinas mokestis už atitinkamos rūšies apmokestinamuosius gaminius apskaičiuojamas:</w:t>
      </w:r>
    </w:p>
    <w:p>
      <w:pPr>
        <w:suppressAutoHyphens/>
        <w:ind w:firstLine="567"/>
        <w:jc w:val="both"/>
        <w:textAlignment w:val="center"/>
        <w:rPr>
          <w:color w:val="000000"/>
          <w:szCs w:val="24"/>
        </w:rPr>
      </w:pPr>
    </w:p>
    <w:p>
      <w:pPr>
        <w:suppressAutoHyphens/>
        <w:ind w:firstLine="567"/>
        <w:jc w:val="both"/>
        <w:textAlignment w:val="center"/>
        <w:rPr>
          <w:color w:val="000000"/>
          <w:szCs w:val="24"/>
        </w:rPr>
      </w:pPr>
      <w:r>
        <w:rPr>
          <w:color w:val="000000"/>
          <w:szCs w:val="24"/>
        </w:rPr>
        <w:t>M = Q x d x T x k</w:t>
        <w:tab/>
        <w:tab/>
        <w:tab/>
        <w:t>(5),</w:t>
      </w:r>
    </w:p>
    <w:p>
      <w:pPr>
        <w:suppressAutoHyphens/>
        <w:ind w:firstLine="567"/>
        <w:jc w:val="both"/>
        <w:textAlignment w:val="center"/>
        <w:rPr>
          <w:color w:val="000000"/>
          <w:szCs w:val="24"/>
        </w:rPr>
      </w:pPr>
      <w:r>
        <w:rPr>
          <w:color w:val="000000"/>
          <w:szCs w:val="24"/>
        </w:rPr>
        <w:t>čia:</w:t>
      </w:r>
    </w:p>
    <w:p>
      <w:pPr>
        <w:suppressAutoHyphens/>
        <w:ind w:firstLine="567"/>
        <w:jc w:val="both"/>
        <w:textAlignment w:val="center"/>
        <w:rPr>
          <w:color w:val="000000"/>
          <w:szCs w:val="24"/>
        </w:rPr>
      </w:pPr>
      <w:r>
        <w:rPr>
          <w:color w:val="000000"/>
          <w:szCs w:val="24"/>
        </w:rPr>
        <w:t>M – mokėtinas mokestis už apmokestinamuosius gaminius, Eur;</w:t>
      </w:r>
    </w:p>
    <w:p>
      <w:pPr>
        <w:suppressAutoHyphens/>
        <w:ind w:firstLine="567"/>
        <w:jc w:val="both"/>
        <w:textAlignment w:val="center"/>
        <w:rPr>
          <w:color w:val="000000"/>
          <w:szCs w:val="24"/>
        </w:rPr>
      </w:pPr>
      <w:r>
        <w:rPr>
          <w:color w:val="000000"/>
          <w:szCs w:val="24"/>
        </w:rPr>
        <w:t>T – mokesčio tarifas, nurodytas Lietuvos Respublikos mokesčio už aplinkos teršimą įstatymo 3 priedėlyje, Eur/t;</w:t>
      </w:r>
    </w:p>
    <w:p>
      <w:pPr>
        <w:ind w:firstLine="567"/>
        <w:jc w:val="both"/>
        <w:rPr>
          <w:color w:val="000000"/>
        </w:rPr>
      </w:pPr>
      <w:r>
        <w:rPr>
          <w:rFonts w:eastAsia="Calibri"/>
          <w:szCs w:val="24"/>
        </w:rPr>
        <w:t>k – mokestinio laikotarpio indeksavimo koeficientas, gaunamas Lietuvos statistikos departamento vartotojų kainų indeksą, apskaičiuotą pagal Mokesčio už aplinkos teršimą tarifų indeksavimo tvarkos aprašą, patvirtintą Lietuvos Respublikos Vyriausybės 2000 m. sausio 18 d. nutarimu Nr. 53, padalijus iš 100.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suppressAutoHyphens/>
        <w:ind w:firstLine="567"/>
        <w:jc w:val="both"/>
        <w:textAlignment w:val="center"/>
        <w:rPr>
          <w:color w:val="000000"/>
          <w:szCs w:val="24"/>
        </w:rPr>
      </w:pPr>
      <w:r>
        <w:rPr>
          <w:color w:val="000000"/>
          <w:szCs w:val="24"/>
        </w:rPr>
        <w:t>8</w:t>
      </w:r>
      <w:r>
        <w:rPr>
          <w:color w:val="000000"/>
          <w:szCs w:val="24"/>
        </w:rPr>
        <w:t xml:space="preserve">. Mokesčio didesniu tarifu už nuslėptą taršą atitinkamos rūšies apmokestinamųjų gaminių atliekomis apskaičiavimas: </w:t>
      </w:r>
    </w:p>
    <w:p>
      <w:pPr>
        <w:suppressAutoHyphens/>
        <w:ind w:firstLine="567"/>
        <w:jc w:val="both"/>
        <w:textAlignment w:val="center"/>
        <w:rPr>
          <w:color w:val="000000"/>
          <w:szCs w:val="24"/>
        </w:rPr>
      </w:pPr>
    </w:p>
    <w:p>
      <w:pPr>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xml:space="preserve"> = (Q x d</w:t>
      </w:r>
      <w:r>
        <w:rPr>
          <w:color w:val="000000"/>
          <w:szCs w:val="24"/>
          <w:vertAlign w:val="subscript"/>
        </w:rPr>
        <w:t>FAK</w:t>
      </w:r>
      <w:r>
        <w:rPr>
          <w:color w:val="000000"/>
          <w:szCs w:val="24"/>
        </w:rPr>
        <w:t xml:space="preserve"> – Q</w:t>
      </w:r>
      <w:r>
        <w:rPr>
          <w:color w:val="000000"/>
          <w:szCs w:val="24"/>
          <w:vertAlign w:val="subscript"/>
        </w:rPr>
        <w:t xml:space="preserve">DEK </w:t>
      </w:r>
      <w:r>
        <w:rPr>
          <w:color w:val="000000"/>
          <w:szCs w:val="24"/>
        </w:rPr>
        <w:t>x d</w:t>
      </w:r>
      <w:r>
        <w:rPr>
          <w:color w:val="000000"/>
          <w:szCs w:val="24"/>
          <w:vertAlign w:val="subscript"/>
        </w:rPr>
        <w:t>DEK</w:t>
      </w:r>
      <w:r>
        <w:rPr>
          <w:color w:val="000000"/>
          <w:szCs w:val="24"/>
        </w:rPr>
        <w:t xml:space="preserve"> ) x T x k x 2,</w:t>
        <w:tab/>
        <w:t>kai mokesčio mokėtojas pateiktoje deklaracijoje nurodė neteisingą panaudotų ar perdirbtų apmokestinamųjų gaminių atliekų kiekį (Q</w:t>
      </w:r>
      <w:r>
        <w:rPr>
          <w:color w:val="000000"/>
          <w:szCs w:val="24"/>
          <w:vertAlign w:val="subscript"/>
        </w:rPr>
        <w:t>SUT</w:t>
      </w:r>
      <w:r>
        <w:rPr>
          <w:color w:val="000000"/>
          <w:szCs w:val="24"/>
        </w:rPr>
        <w:t>) ir (ar) nurodė teisingą ar neteisingą vidaus rinkai tiektų apmokestinamųjų gaminių kiekį (Q);</w:t>
      </w:r>
    </w:p>
    <w:p>
      <w:pPr>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xml:space="preserve"> = Q</w:t>
      </w:r>
      <w:r>
        <w:rPr>
          <w:color w:val="000000"/>
          <w:szCs w:val="24"/>
          <w:vertAlign w:val="subscript"/>
        </w:rPr>
        <w:t>NUS</w:t>
      </w:r>
      <w:r>
        <w:rPr>
          <w:color w:val="000000"/>
          <w:szCs w:val="24"/>
        </w:rPr>
        <w:t xml:space="preserve"> x T x k x 2,</w:t>
        <w:tab/>
        <w:tab/>
        <w:t>kai mokesčio mokėtojas pateiktoje deklaraciją nurodė teisingą panaudotų ar perdirbtų apmokestinamųjų gaminių atliekų kiekį (Q</w:t>
      </w:r>
      <w:r>
        <w:rPr>
          <w:color w:val="000000"/>
          <w:szCs w:val="24"/>
          <w:vertAlign w:val="subscript"/>
        </w:rPr>
        <w:t>SUT</w:t>
      </w:r>
      <w:r>
        <w:rPr>
          <w:color w:val="000000"/>
          <w:szCs w:val="24"/>
        </w:rPr>
        <w:t>) ir nurodė neteisingą vidaus rinkai tiektų apmokestinamųjų gaminių kiekį (Q);</w:t>
        <w:tab/>
        <w:t>(6),</w:t>
      </w:r>
    </w:p>
    <w:p>
      <w:pPr>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xml:space="preserve"> = Q</w:t>
      </w:r>
      <w:r>
        <w:rPr>
          <w:color w:val="000000"/>
          <w:szCs w:val="24"/>
          <w:vertAlign w:val="subscript"/>
        </w:rPr>
        <w:t>NUS</w:t>
      </w:r>
      <w:r>
        <w:rPr>
          <w:color w:val="000000"/>
          <w:szCs w:val="24"/>
        </w:rPr>
        <w:t xml:space="preserve"> x d</w:t>
      </w:r>
      <w:r>
        <w:rPr>
          <w:color w:val="000000"/>
          <w:szCs w:val="24"/>
          <w:vertAlign w:val="subscript"/>
        </w:rPr>
        <w:t>FAK</w:t>
      </w:r>
      <w:r>
        <w:rPr>
          <w:color w:val="000000"/>
          <w:szCs w:val="24"/>
        </w:rPr>
        <w:t xml:space="preserve"> x T x k x 2,</w:t>
        <w:tab/>
        <w:tab/>
        <w:t>kai mokesčio mokėtojas neteikė deklaracijos.</w:t>
      </w:r>
    </w:p>
    <w:p>
      <w:pPr>
        <w:suppressAutoHyphens/>
        <w:ind w:firstLine="567"/>
        <w:jc w:val="both"/>
        <w:textAlignment w:val="center"/>
        <w:rPr>
          <w:color w:val="000000"/>
          <w:szCs w:val="24"/>
        </w:rPr>
      </w:pPr>
      <w:r>
        <w:rPr>
          <w:color w:val="000000"/>
          <w:szCs w:val="24"/>
        </w:rPr>
        <w:t xml:space="preserve">čia: </w:t>
      </w:r>
    </w:p>
    <w:p>
      <w:pPr>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 mokamas mokestis už nuslėptą taršą atitinkamos rūšies apmokestinamųjų gaminių atliekomis, Eur;</w:t>
      </w:r>
    </w:p>
    <w:p>
      <w:pPr>
        <w:ind w:firstLine="567"/>
        <w:jc w:val="both"/>
        <w:rPr>
          <w:szCs w:val="24"/>
          <w:lang w:eastAsia="lt-LT"/>
        </w:rPr>
      </w:pPr>
      <w:r>
        <w:rPr>
          <w:szCs w:val="24"/>
          <w:lang w:eastAsia="lt-LT"/>
        </w:rPr>
        <w:t>Q</w:t>
      </w:r>
      <w:r>
        <w:rPr>
          <w:szCs w:val="24"/>
          <w:vertAlign w:val="subscript"/>
          <w:lang w:eastAsia="lt-LT"/>
        </w:rPr>
        <w:t xml:space="preserve">NUS </w:t>
      </w:r>
      <w:r>
        <w:rPr>
          <w:szCs w:val="24"/>
          <w:lang w:eastAsia="lt-LT"/>
        </w:rPr>
        <w:t>– mokesčio mokėtojo per mokestinį laikotarpį vidaus rinkai tiektų apmokestinamųjų gaminių nedeklaruotas (nuslėptas) kiekis, t;</w:t>
      </w:r>
    </w:p>
    <w:p>
      <w:pPr>
        <w:ind w:firstLine="567"/>
        <w:jc w:val="both"/>
        <w:rPr>
          <w:szCs w:val="24"/>
          <w:lang w:eastAsia="lt-LT"/>
        </w:rPr>
      </w:pPr>
      <w:r>
        <w:rPr>
          <w:szCs w:val="24"/>
          <w:lang w:eastAsia="lt-LT"/>
        </w:rPr>
        <w:t>Q</w:t>
      </w:r>
      <w:r>
        <w:rPr>
          <w:szCs w:val="24"/>
          <w:vertAlign w:val="subscript"/>
          <w:lang w:eastAsia="lt-LT"/>
        </w:rPr>
        <w:t xml:space="preserve">DEK </w:t>
      </w:r>
      <w:r>
        <w:rPr>
          <w:szCs w:val="24"/>
          <w:lang w:eastAsia="lt-LT"/>
        </w:rPr>
        <w:t>– mokesčio mokėtojo deklaruotas per mokestinį laikotarpį vidaus rinkai tiektų apmokestinamųjų gaminių kiekis, t;</w:t>
      </w:r>
    </w:p>
    <w:p>
      <w:pPr>
        <w:ind w:firstLine="567"/>
        <w:jc w:val="both"/>
        <w:rPr>
          <w:szCs w:val="24"/>
          <w:lang w:eastAsia="lt-LT"/>
        </w:rPr>
      </w:pPr>
      <w:r>
        <w:rPr>
          <w:szCs w:val="24"/>
          <w:lang w:eastAsia="lt-LT"/>
        </w:rPr>
        <w:t>d</w:t>
      </w:r>
      <w:r>
        <w:rPr>
          <w:szCs w:val="24"/>
          <w:vertAlign w:val="subscript"/>
          <w:lang w:eastAsia="lt-LT"/>
        </w:rPr>
        <w:t xml:space="preserve">FAK </w:t>
      </w:r>
      <w:r>
        <w:rPr>
          <w:szCs w:val="24"/>
          <w:lang w:eastAsia="lt-LT"/>
        </w:rPr>
        <w:t>–</w:t>
      </w:r>
      <w:r>
        <w:rPr>
          <w:szCs w:val="24"/>
          <w:vertAlign w:val="subscript"/>
          <w:lang w:eastAsia="lt-LT"/>
        </w:rPr>
        <w:t xml:space="preserve"> </w:t>
      </w:r>
      <w:r>
        <w:rPr>
          <w:szCs w:val="24"/>
          <w:lang w:eastAsia="lt-LT"/>
        </w:rPr>
        <w:t>perskaičiuotas mokėtino mokesčio sumažinimo koeficientas (d), remiantis faktiniu užduoties įvykdymu (F), kuris apskaičiuojamas įvertinus faktinį mokesčio mokėtojo per mokestinį laikotarpį vidaus rinkai tiektų apmokestinamųjų gaminių kiekį (Q);</w:t>
      </w:r>
    </w:p>
    <w:p>
      <w:pPr>
        <w:ind w:firstLine="567"/>
        <w:jc w:val="both"/>
        <w:rPr>
          <w:color w:val="000000"/>
        </w:rPr>
      </w:pPr>
      <w:r>
        <w:rPr>
          <w:szCs w:val="24"/>
          <w:lang w:eastAsia="lt-LT"/>
        </w:rPr>
        <w:t>d</w:t>
      </w:r>
      <w:r>
        <w:rPr>
          <w:szCs w:val="24"/>
          <w:vertAlign w:val="subscript"/>
          <w:lang w:eastAsia="lt-LT"/>
        </w:rPr>
        <w:t>DEK</w:t>
      </w:r>
      <w:r>
        <w:rPr>
          <w:szCs w:val="24"/>
          <w:lang w:eastAsia="lt-LT"/>
        </w:rPr>
        <w:t xml:space="preserve"> – mokėtino mokesčio sumažinimo koeficientas (d), apskaičiuotas remiantis deklaracijoje nurodytu užduoties įvykdymu (F), kuris apskaičiuojamas įvertinus mokesčio mokėtojo deklaruotą per mokestinį laikotarpį vidaus rinkai tiektų apmokestinamųjų gaminių kiekį (Q).</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widowControl w:val="0"/>
        <w:jc w:val="center"/>
        <w:rPr>
          <w:b/>
          <w:bCs/>
          <w:caps/>
          <w:color w:val="000000"/>
        </w:rPr>
      </w:pPr>
      <w:r>
        <w:rPr>
          <w:b/>
          <w:bCs/>
          <w:caps/>
          <w:color w:val="000000"/>
        </w:rPr>
        <w:t>III</w:t>
      </w:r>
      <w:r>
        <w:rPr>
          <w:b/>
          <w:bCs/>
          <w:caps/>
          <w:color w:val="000000"/>
        </w:rPr>
        <w:t xml:space="preserve">. </w:t>
      </w:r>
      <w:r>
        <w:rPr>
          <w:b/>
          <w:bCs/>
          <w:caps/>
          <w:color w:val="000000"/>
        </w:rPr>
        <w:t xml:space="preserve">MOKESČIO LENGVATŲ TAIKYMO TVARKA </w:t>
      </w:r>
    </w:p>
    <w:p>
      <w:pPr>
        <w:widowControl w:val="0"/>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BDF7400F09">
        <w:r w:rsidRPr="00532B9F">
          <w:rPr>
            <w:rFonts w:ascii="Times New Roman" w:eastAsia="MS Mincho" w:hAnsi="Times New Roman"/>
            <w:sz w:val="20"/>
            <w:i/>
            <w:iCs/>
            <w:color w:val="0000FF" w:themeColor="hyperlink"/>
            <w:u w:val="single"/>
          </w:rPr>
          <w:t>D1-963/1K-390</w:t>
        </w:r>
      </w:fldSimple>
      <w:r>
        <w:rPr>
          <w:rFonts w:ascii="Times New Roman" w:eastAsia="MS Mincho" w:hAnsi="Times New Roman"/>
          <w:sz w:val="20"/>
          <w:i/>
          <w:iCs/>
        </w:rPr>
        <w:t>,
2012-11-23,
Žin., 2012, Nr.
138-7090 (2012-11-29), i. k. 112301MISAK3/1K-390        </w:t>
      </w:r>
    </w:p>
    <w:p/>
    <w:p>
      <w:pPr>
        <w:widowControl w:val="0"/>
        <w:ind w:firstLine="567"/>
        <w:jc w:val="both"/>
        <w:rPr>
          <w:color w:val="000000"/>
        </w:rPr>
      </w:pPr>
      <w:r>
        <w:rPr>
          <w:color w:val="000000"/>
        </w:rPr>
        <w:t>9</w:t>
      </w:r>
      <w:r>
        <w:rPr>
          <w:color w:val="000000"/>
        </w:rPr>
        <w:t>. Apmokestinamųjų gaminių išvežimas iš Lietuvos Respublikos teritorijos:</w:t>
      </w:r>
    </w:p>
    <w:p>
      <w:pPr>
        <w:widowControl w:val="0"/>
        <w:ind w:firstLine="567"/>
        <w:jc w:val="both"/>
        <w:rPr>
          <w:color w:val="000000"/>
        </w:rPr>
      </w:pPr>
      <w:r>
        <w:rPr>
          <w:color w:val="000000"/>
        </w:rPr>
        <w:t>9.1</w:t>
      </w:r>
      <w:r>
        <w:rPr>
          <w:color w:val="000000"/>
        </w:rPr>
        <w:t>. mokesčio mokėtojas, kuris išveža iš Lietuvos Respublikos teritorijos apmokestinamuosius gaminius ir nori būti atleistas nuo mokesčio už išvežtus iš Lietuvos Respublikos teritorijos per mokestinį laikotarpį apmokestinamuosius gaminius, privalo turėti dokumentus, patvirtinančius išvežtų apmokestinamųjų gaminių kiekį, ir pateikti šiuos dokumentus, kai to pareikalauja patikrinimą atliekantis inspektorius. Tokie dokumentai gali būti: pirkimo–pardavimo sutartys; PVM sąskaitos faktūros; sąskaitos faktūros; gabenimo dokumentai (gaunami iš vežėjo, atsakingo už prekių išgabenimą); draudimo dokumentai; pirkėjo apmokėjimo dokumentai; pirkėjo patvirtinimas, kad prekės gautos; užsakymai; kita korespondencija ir pan.;</w:t>
      </w:r>
    </w:p>
    <w:p>
      <w:pPr>
        <w:widowControl w:val="0"/>
        <w:ind w:firstLine="567"/>
        <w:jc w:val="both"/>
        <w:rPr>
          <w:color w:val="000000"/>
        </w:rPr>
      </w:pPr>
      <w:r>
        <w:rPr>
          <w:color w:val="000000"/>
        </w:rPr>
        <w:t>9.2</w:t>
      </w:r>
      <w:r>
        <w:rPr>
          <w:color w:val="000000"/>
        </w:rPr>
        <w:t>. mokesčio mokėtojas, kuris išveža iš Europos Sąjungos valstybių narių teritorijos apmokestinamuosius gaminius, papildomai privalo turėti atitinkamus muitinės dokumentus, įrodančius, kad apmokestinamieji gaminiai yra išvežti iš Europos Sąjungos valstybių narių teritorijos;</w:t>
      </w:r>
    </w:p>
    <w:p>
      <w:pPr>
        <w:widowControl w:val="0"/>
        <w:ind w:firstLine="567"/>
        <w:jc w:val="both"/>
        <w:rPr>
          <w:color w:val="000000"/>
        </w:rPr>
      </w:pPr>
      <w:r>
        <w:rPr>
          <w:color w:val="000000"/>
        </w:rPr>
        <w:t>9.3</w:t>
      </w:r>
      <w:r>
        <w:rPr>
          <w:color w:val="000000"/>
        </w:rPr>
        <w:t xml:space="preserve">. </w:t>
      </w:r>
      <w:r>
        <w:rPr>
          <w:color w:val="000000"/>
          <w:spacing w:val="-2"/>
        </w:rPr>
        <w:t>mokesčio mokėtojas, kuris išveža apmokestinamuosius gaminius iš Lietuvos Respublikos teritorijos per trečiuosius asmenis, norintis pasinaudoti šia mokesčio lengvata, privalo turėti sutartį su trečiuoju asmeniu dėl mokesčio mokėtojui priklausančių apmokestinamųjų gaminių išvežimo iš Lietuvos Respublikos teritorijos ir dokumentų, patvirtinančių apmokestinamųjų gaminių išvežimą iš Lietuvos Respublikos teritorijos, kopijas, patvirtintas trečiojo asmens atsakingo asmens;</w:t>
      </w:r>
    </w:p>
    <w:p>
      <w:pPr>
        <w:widowControl w:val="0"/>
        <w:ind w:firstLine="567"/>
        <w:jc w:val="both"/>
        <w:rPr>
          <w:color w:val="000000"/>
        </w:rPr>
      </w:pPr>
      <w:r>
        <w:rPr>
          <w:color w:val="000000"/>
        </w:rPr>
        <w:t>9.4</w:t>
      </w:r>
      <w:r>
        <w:rPr>
          <w:color w:val="000000"/>
        </w:rPr>
        <w:t>. mokesčio mokėtojas nuo mokesčio už išvežtus apmokestinamuosius gaminius per trečiuosius asmenis yra atleidžiamas tik tuo atveju, jei tretysis asmuo, kuris yra suprantamas kaip asmuo, kuriam pagal sutartį mokesčio mokėtojas perleido savo apmokestinamuosius gaminius, išvežė šiuos apmokestinamuosius gaminius iš Lietuvos Respublikos teritorijos pats ar naudodamasis kitų asmenų teikiamomis transportavimo paslaugomis. Tretysis asmuo negali perleisti kitam asmeniui šių apmokestinamųjų gaminių išvežimo prievolės. Jei tretysis asmuo taip pat yra mokesčio už aplinkos teršimą mokėtojas, tai jo, kaip trečiojo asmens, išvežti kito asmens apmokestinamieji gaminiai neturi įtakos jo apmokestinamųjų gaminių kiekiui.</w:t>
      </w:r>
    </w:p>
    <w:p>
      <w:pPr>
        <w:widowControl w:val="0"/>
        <w:ind w:firstLine="567"/>
        <w:jc w:val="both"/>
        <w:rPr>
          <w:color w:val="000000"/>
        </w:rPr>
      </w:pPr>
      <w:r>
        <w:rPr>
          <w:color w:val="000000"/>
        </w:rPr>
        <w:t>10</w:t>
      </w:r>
      <w:r>
        <w:rPr>
          <w:color w:val="000000"/>
        </w:rPr>
        <w:t>. Apmokestinamųjų gaminių atliekų surinkėjas ir (ar) eksportuotojas, ir (ar) naudotojas (perdirbėjas), Lietuvos Respublikos aplinkos ministro įsakymu patvirtinta tvarka įrašytas į Gaminių ir (ar) pakuočių atliekų sutvarkymą įrodančius dokumentus turinčių teisę išrašyti atliekų tvarkytojų sąrašą (toliau – Tvarkytojas), patvirtina apmokestinamųjų gaminių atliekų perdirbtą ar panaudotą energijai gauti kiekį, išrašydamas mokestiniu laikotarpiu ar jam pasibaigus, bet ne vėliau kaip per 30 dienų nuo mokestinio laikotarpio pabaigos dokumentus, įrodančius apmokestinamųjų gaminių atliekų sutvarkymą (toliau – Dokumentas), mokesčio mokėtojams ir (ar) organizacijoms, nurodytoms Lietuvos Respublikos atliekų tvarkymo įstatymo 34</w:t>
      </w:r>
      <w:r>
        <w:rPr>
          <w:color w:val="000000"/>
          <w:vertAlign w:val="superscript"/>
        </w:rPr>
        <w:t>22</w:t>
      </w:r>
      <w:r>
        <w:rPr>
          <w:color w:val="000000"/>
        </w:rPr>
        <w:t xml:space="preserve"> straipsnyje (toliau – Organizacija). Mokesčio mokėtojas ir (ar) Organizacija iš Tvarkytojų gautus Dokumentus privalo saugoti ir pateikti, kai to pareikalauja patikrinimą atliekantis inspektorius.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BDF7400F09">
        <w:r w:rsidRPr="00532B9F">
          <w:rPr>
            <w:rFonts w:ascii="Times New Roman" w:eastAsia="MS Mincho" w:hAnsi="Times New Roman"/>
            <w:sz w:val="20"/>
            <w:i/>
            <w:iCs/>
            <w:color w:val="0000FF" w:themeColor="hyperlink"/>
            <w:u w:val="single"/>
          </w:rPr>
          <w:t>D1-963/1K-390</w:t>
        </w:r>
      </w:fldSimple>
      <w:r>
        <w:rPr>
          <w:rFonts w:ascii="Times New Roman" w:eastAsia="MS Mincho" w:hAnsi="Times New Roman"/>
          <w:sz w:val="20"/>
          <w:i/>
          <w:iCs/>
        </w:rPr>
        <w:t>,
2012-11-23,
Žin., 2012, Nr.
138-7090 (2012-11-29), i. k. 112301MISAK3/1K-390            </w:t>
      </w:r>
    </w:p>
    <w:p/>
    <w:p>
      <w:pPr>
        <w:widowControl w:val="0"/>
        <w:ind w:firstLine="567"/>
        <w:jc w:val="both"/>
        <w:rPr>
          <w:color w:val="000000"/>
        </w:rPr>
      </w:pPr>
      <w:r>
        <w:rPr>
          <w:color w:val="000000"/>
        </w:rPr>
        <w:t>11</w:t>
      </w:r>
      <w:r>
        <w:rPr>
          <w:color w:val="000000"/>
        </w:rPr>
        <w:t>. Tvarkytojas sudaro metinę ataskaitą apie per mokestinį laikotarpį išrašytus Dokumentus. Šios ataskaitos teikimo tvarka tvirtinama Lietuvos Respublikos aplinkos ministro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BDF7400F09">
        <w:r w:rsidRPr="00532B9F">
          <w:rPr>
            <w:rFonts w:ascii="Times New Roman" w:eastAsia="MS Mincho" w:hAnsi="Times New Roman"/>
            <w:sz w:val="20"/>
            <w:i/>
            <w:iCs/>
            <w:color w:val="0000FF" w:themeColor="hyperlink"/>
            <w:u w:val="single"/>
          </w:rPr>
          <w:t>D1-963/1K-390</w:t>
        </w:r>
      </w:fldSimple>
      <w:r>
        <w:rPr>
          <w:rFonts w:ascii="Times New Roman" w:eastAsia="MS Mincho" w:hAnsi="Times New Roman"/>
          <w:sz w:val="20"/>
          <w:i/>
          <w:iCs/>
        </w:rPr>
        <w:t>,
2012-11-23,
Žin., 2012, Nr.
138-7090 (2012-11-29), i. k. 112301MISAK3/1K-390            </w:t>
      </w:r>
    </w:p>
    <w:p/>
    <w:p>
      <w:pPr>
        <w:widowControl w:val="0"/>
        <w:ind w:firstLine="567"/>
        <w:jc w:val="both"/>
        <w:rPr>
          <w:color w:val="000000"/>
        </w:rPr>
      </w:pPr>
      <w:r>
        <w:rPr>
          <w:color w:val="000000"/>
        </w:rPr>
        <w:t>12</w:t>
      </w:r>
      <w:r>
        <w:rPr>
          <w:color w:val="000000"/>
        </w:rPr>
        <w:t>. Organizacija sudaro metinę ataskaitą apie per mokestinį laikotarpį gautus Dokumentus iš Tvarkytojų ir jų paskirstymą Organizacijos nariams. Šios ataskaitos teikimo tvarka tvirtinama Lietuvos Respublikos aplinkos ministro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BDF7400F09">
        <w:r w:rsidRPr="00532B9F">
          <w:rPr>
            <w:rFonts w:ascii="Times New Roman" w:eastAsia="MS Mincho" w:hAnsi="Times New Roman"/>
            <w:sz w:val="20"/>
            <w:i/>
            <w:iCs/>
            <w:color w:val="0000FF" w:themeColor="hyperlink"/>
            <w:u w:val="single"/>
          </w:rPr>
          <w:t>D1-963/1K-390</w:t>
        </w:r>
      </w:fldSimple>
      <w:r>
        <w:rPr>
          <w:rFonts w:ascii="Times New Roman" w:eastAsia="MS Mincho" w:hAnsi="Times New Roman"/>
          <w:sz w:val="20"/>
          <w:i/>
          <w:iCs/>
        </w:rPr>
        <w:t>,
2012-11-23,
Žin., 2012, Nr.
138-7090 (2012-11-29), i. k. 112301MISAK3/1K-390            </w:t>
      </w:r>
    </w:p>
    <w:p/>
    <w:p>
      <w:pPr>
        <w:widowControl w:val="0"/>
        <w:jc w:val="center"/>
        <w:rPr>
          <w:b/>
          <w:bCs/>
          <w:caps/>
          <w:color w:val="000000"/>
        </w:rPr>
      </w:pPr>
      <w:r>
        <w:rPr>
          <w:b/>
          <w:bCs/>
          <w:caps/>
          <w:color w:val="000000"/>
        </w:rPr>
        <w:t>IV</w:t>
      </w:r>
      <w:r>
        <w:rPr>
          <w:b/>
          <w:bCs/>
          <w:caps/>
          <w:color w:val="000000"/>
        </w:rPr>
        <w:t xml:space="preserve">. </w:t>
      </w:r>
      <w:r>
        <w:rPr>
          <w:b/>
          <w:bCs/>
          <w:caps/>
          <w:color w:val="000000"/>
        </w:rPr>
        <w:t>MOKESČIO SUMOKĖJIMAS</w:t>
      </w:r>
    </w:p>
    <w:p>
      <w:pPr>
        <w:widowControl w:val="0"/>
        <w:ind w:firstLine="567"/>
        <w:jc w:val="both"/>
        <w:rPr>
          <w:color w:val="000000"/>
        </w:rPr>
      </w:pPr>
    </w:p>
    <w:p>
      <w:pPr>
        <w:widowControl w:val="0"/>
        <w:ind w:firstLine="567"/>
        <w:jc w:val="both"/>
        <w:rPr>
          <w:color w:val="000000"/>
        </w:rPr>
      </w:pPr>
      <w:r>
        <w:rPr>
          <w:color w:val="000000"/>
        </w:rPr>
        <w:t>13</w:t>
      </w:r>
      <w:r>
        <w:rPr>
          <w:color w:val="000000"/>
        </w:rPr>
        <w:t>. Mokesčio mokėtojas sumoka mokestį ir pateikia teritorinei valstybinei mokesčių inspekcijai Mokesčio už aplinkos teršimą apmokestinamųjų gaminių atliekomis deklaraciją, kurios formą, pildymo ir pateikimo taisykles nustato Valstybinė mokesčių inspekcija prie Lietuvos Respublikos finansų ministerijos kartu su Aplinkos ministerija, Lietuvos Respublikos mokesčio už aplinkos teršimą įstatyme nustatyta tvarka.</w:t>
      </w:r>
    </w:p>
    <w:p>
      <w:pPr>
        <w:widowControl w:val="0"/>
        <w:ind w:firstLine="567"/>
        <w:jc w:val="both"/>
        <w:rPr>
          <w:color w:val="000000"/>
        </w:rPr>
      </w:pPr>
      <w:r>
        <w:rPr>
          <w:color w:val="000000"/>
        </w:rPr>
        <w:t>14</w:t>
      </w:r>
      <w:r>
        <w:rPr>
          <w:color w:val="000000"/>
        </w:rPr>
        <w:t xml:space="preserve">. Patikrinimo metu papildomai apskaičiuotas mokestis ir su juo susijusios sumos sumokamos arba išieškomos Lietuvos Respublikos mokesčių administravimo įstatyme (Žin., 2004, Nr. </w:t>
      </w:r>
      <w:hyperlink r:id="rId69" w:tgtFrame="_blank" w:history="1">
        <w:r>
          <w:rPr>
            <w:color w:val="0000FF" w:themeColor="hyperlink"/>
            <w:u w:val="single"/>
          </w:rPr>
          <w:t>63-2243</w:t>
        </w:r>
      </w:hyperlink>
      <w:r>
        <w:rPr>
          <w:color w:val="000000"/>
        </w:rPr>
        <w:t>) nustatyta tvarka.</w:t>
      </w:r>
    </w:p>
    <w:p>
      <w:pPr>
        <w:widowControl w:val="0"/>
        <w:jc w:val="center"/>
        <w:rPr>
          <w:color w:val="000000"/>
        </w:rPr>
      </w:pPr>
    </w:p>
    <w:p>
      <w:pPr>
        <w:widowControl w:val="0"/>
        <w:jc w:val="center"/>
        <w:rPr>
          <w:color w:val="000000"/>
        </w:rPr>
      </w:pPr>
      <w:r>
        <w:rPr>
          <w:color w:val="000000"/>
        </w:rPr>
        <w:t>_________________</w:t>
      </w:r>
    </w:p>
    <w:p>
      <w:pPr>
        <w:widowControl w:val="0"/>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8426E58AD8">
        <w:r w:rsidRPr="00532B9F">
          <w:rPr>
            <w:rFonts w:ascii="Times New Roman" w:eastAsia="MS Mincho" w:hAnsi="Times New Roman"/>
            <w:sz w:val="20"/>
            <w:i/>
            <w:iCs/>
            <w:color w:val="0000FF" w:themeColor="hyperlink"/>
            <w:u w:val="single"/>
          </w:rPr>
          <w:t>D1-307/1K-132</w:t>
        </w:r>
      </w:fldSimple>
      <w:r>
        <w:rPr>
          <w:rFonts w:ascii="Times New Roman" w:eastAsia="MS Mincho" w:hAnsi="Times New Roman"/>
          <w:sz w:val="20"/>
          <w:i/>
          <w:iCs/>
        </w:rPr>
        <w:t>,
2012-04-10,
Žin., 2012, Nr.
44-2163 (2012-04-14), i. k. 112301MISAK7/1K-132            </w:t>
      </w:r>
    </w:p>
    <w:p/>
    <w:p>
      <w:pPr>
        <w:widowControl w:val="0"/>
        <w:ind w:left="4535"/>
        <w:sectPr>
          <w:pgSz w:w="11907" w:h="16840" w:code="9"/>
          <w:pgMar w:top="1134" w:right="1134" w:bottom="1134" w:left="1701" w:header="567" w:footer="284" w:gutter="0"/>
          <w:cols w:space="1296"/>
          <w:docGrid w:linePitch="360"/>
        </w:sect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aplinkos ministro ir </w:t>
      </w:r>
    </w:p>
    <w:p>
      <w:pPr>
        <w:widowControl w:val="0"/>
        <w:ind w:left="4535"/>
        <w:rPr>
          <w:color w:val="000000"/>
        </w:rPr>
      </w:pPr>
      <w:r>
        <w:rPr>
          <w:color w:val="000000"/>
        </w:rPr>
        <w:t xml:space="preserve">Lietuvos Respublikos finansų ministro </w:t>
      </w:r>
    </w:p>
    <w:p>
      <w:pPr>
        <w:widowControl w:val="0"/>
        <w:ind w:left="4535"/>
        <w:rPr>
          <w:color w:val="000000"/>
        </w:rPr>
      </w:pPr>
      <w:r>
        <w:rPr>
          <w:color w:val="000000"/>
        </w:rPr>
        <w:t xml:space="preserve">2008 m. liepos 9 d. įsakymu </w:t>
      </w:r>
    </w:p>
    <w:p>
      <w:pPr>
        <w:widowControl w:val="0"/>
        <w:ind w:left="4535"/>
        <w:rPr>
          <w:color w:val="000000"/>
        </w:rPr>
      </w:pPr>
      <w:r>
        <w:rPr>
          <w:color w:val="000000"/>
        </w:rPr>
        <w:t>Nr. D1-370/1K-230</w:t>
      </w:r>
    </w:p>
    <w:p>
      <w:pPr>
        <w:widowControl w:val="0"/>
        <w:ind w:left="4535"/>
        <w:rPr>
          <w:color w:val="000000"/>
        </w:rPr>
      </w:pPr>
      <w:r>
        <w:rPr>
          <w:color w:val="000000"/>
        </w:rPr>
        <w:t xml:space="preserve">(Lietuvos Respublikos aplinkos ministro ir </w:t>
      </w:r>
    </w:p>
    <w:p>
      <w:pPr>
        <w:widowControl w:val="0"/>
        <w:ind w:left="4535"/>
        <w:rPr>
          <w:color w:val="000000"/>
        </w:rPr>
      </w:pPr>
      <w:r>
        <w:rPr>
          <w:color w:val="000000"/>
        </w:rPr>
        <w:t xml:space="preserve">Lietuvos Respublikos finansų ministro </w:t>
      </w:r>
    </w:p>
    <w:p>
      <w:pPr>
        <w:widowControl w:val="0"/>
        <w:ind w:left="4535"/>
        <w:rPr>
          <w:color w:val="000000"/>
        </w:rPr>
      </w:pPr>
      <w:r>
        <w:rPr>
          <w:color w:val="000000"/>
        </w:rPr>
        <w:t>2011 m. balandžio 10 d.</w:t>
      </w:r>
    </w:p>
    <w:p>
      <w:pPr>
        <w:widowControl w:val="0"/>
        <w:ind w:left="4535" w:firstLine="60"/>
        <w:rPr>
          <w:color w:val="000000"/>
        </w:rPr>
      </w:pPr>
      <w:r>
        <w:rPr>
          <w:color w:val="000000"/>
        </w:rPr>
        <w:t xml:space="preserve">įsakymo Nr. D1-307/1K-132 </w:t>
      </w:r>
    </w:p>
    <w:p>
      <w:pPr>
        <w:widowControl w:val="0"/>
        <w:ind w:left="4535"/>
        <w:rPr>
          <w:color w:val="000000"/>
        </w:rPr>
      </w:pPr>
      <w:r>
        <w:rPr>
          <w:color w:val="000000"/>
        </w:rPr>
        <w:t>redakcija)</w:t>
      </w:r>
    </w:p>
    <w:p>
      <w:pPr>
        <w:widowControl w:val="0"/>
        <w:ind w:firstLine="567"/>
        <w:jc w:val="both"/>
        <w:rPr>
          <w:color w:val="000000"/>
        </w:rPr>
      </w:pPr>
    </w:p>
    <w:p>
      <w:pPr>
        <w:widowControl w:val="0"/>
        <w:jc w:val="center"/>
        <w:rPr>
          <w:b/>
          <w:bCs/>
          <w:caps/>
          <w:color w:val="000000"/>
        </w:rPr>
      </w:pPr>
      <w:r>
        <w:rPr>
          <w:b/>
          <w:bCs/>
          <w:caps/>
          <w:color w:val="000000"/>
        </w:rPr>
        <w:t>MOKESČIO UŽ APLINKOS TERŠIMĄ PAKUOTĖS ATLIEKOMIS APSKAIČIAVIMO IR MOKĖJIMO TVARKOS APRAŠAS</w:t>
      </w:r>
    </w:p>
    <w:p>
      <w:pPr>
        <w:widowControl w:val="0"/>
        <w:ind w:firstLine="567"/>
        <w:jc w:val="both"/>
        <w:rPr>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Šis Mokesčio už aplinkos teršimą pakuotės atliekomis apskaičiavimo ir mokėjimo tvarkos aprašas (toliau – Tvarkos aprašas) nustato mokesčio už aplinkos teršimą pakuotės atliekomis apskaičiavimo, mokėjimo ir lengvatų taikymo tvarką.</w:t>
      </w:r>
    </w:p>
    <w:p>
      <w:pPr>
        <w:widowControl w:val="0"/>
        <w:ind w:firstLine="567"/>
        <w:jc w:val="both"/>
        <w:rPr>
          <w:color w:val="000000"/>
        </w:rPr>
      </w:pPr>
      <w:r>
        <w:rPr>
          <w:color w:val="000000"/>
        </w:rPr>
        <w:t>2</w:t>
      </w:r>
      <w:r>
        <w:rPr>
          <w:color w:val="000000"/>
        </w:rPr>
        <w:t xml:space="preserve">. Tvarkos apraše vartojamos sąvokos atitinka sąvokas, apibrėžtas Lietuvos Respublikos mokesčio už aplinkos teršimą įstatyme (Žin., 1999, Nr. </w:t>
      </w:r>
      <w:hyperlink r:id="rId70" w:tgtFrame="_blank" w:history="1">
        <w:r>
          <w:rPr>
            <w:color w:val="0000FF" w:themeColor="hyperlink"/>
            <w:u w:val="single"/>
          </w:rPr>
          <w:t>47-1469</w:t>
        </w:r>
      </w:hyperlink>
      <w:r>
        <w:rPr>
          <w:color w:val="000000"/>
        </w:rPr>
        <w:t xml:space="preserve">; 2002, Nr. </w:t>
      </w:r>
      <w:hyperlink r:id="rId71" w:tgtFrame="_blank" w:history="1">
        <w:r>
          <w:rPr>
            <w:color w:val="0000FF" w:themeColor="hyperlink"/>
            <w:u w:val="single"/>
          </w:rPr>
          <w:t>13-474</w:t>
        </w:r>
      </w:hyperlink>
      <w:r>
        <w:rPr>
          <w:color w:val="000000"/>
        </w:rPr>
        <w:t xml:space="preserve">) ir Lietuvos Respublikos atliekų tvarkymo įstatyme (Žin., 1998, Nr. </w:t>
      </w:r>
      <w:hyperlink r:id="rId72" w:tgtFrame="_blank" w:history="1">
        <w:r>
          <w:rPr>
            <w:color w:val="0000FF" w:themeColor="hyperlink"/>
            <w:u w:val="single"/>
          </w:rPr>
          <w:t>61-1726</w:t>
        </w:r>
      </w:hyperlink>
      <w:r>
        <w:rPr>
          <w:color w:val="000000"/>
        </w:rPr>
        <w:t xml:space="preserve">; 2002, Nr. </w:t>
      </w:r>
      <w:hyperlink r:id="rId73" w:tgtFrame="_blank" w:history="1">
        <w:r>
          <w:rPr>
            <w:color w:val="0000FF" w:themeColor="hyperlink"/>
            <w:u w:val="single"/>
          </w:rPr>
          <w:t>72-3016</w:t>
        </w:r>
      </w:hyperlink>
      <w:r>
        <w:rPr>
          <w:color w:val="000000"/>
        </w:rPr>
        <w:t>).</w:t>
      </w:r>
    </w:p>
    <w:p>
      <w:pPr>
        <w:widowControl w:val="0"/>
        <w:jc w:val="center"/>
        <w:rPr>
          <w:b/>
          <w:bCs/>
          <w:caps/>
          <w:color w:val="000000"/>
        </w:rPr>
      </w:pPr>
      <w:r>
        <w:rPr>
          <w:b/>
          <w:bCs/>
          <w:caps/>
          <w:color w:val="000000"/>
        </w:rPr>
        <w:t>II</w:t>
      </w:r>
      <w:r>
        <w:rPr>
          <w:b/>
          <w:bCs/>
          <w:caps/>
          <w:color w:val="000000"/>
        </w:rPr>
        <w:t xml:space="preserve">. </w:t>
      </w:r>
      <w:r>
        <w:rPr>
          <w:b/>
          <w:bCs/>
          <w:caps/>
          <w:color w:val="000000"/>
        </w:rPr>
        <w:t>MOKESČIO APSKAIČIAVIMAS</w:t>
      </w:r>
    </w:p>
    <w:p>
      <w:pPr>
        <w:widowControl w:val="0"/>
        <w:ind w:firstLine="567"/>
        <w:jc w:val="both"/>
        <w:rPr>
          <w:color w:val="000000"/>
        </w:rPr>
      </w:pPr>
    </w:p>
    <w:p>
      <w:pPr>
        <w:widowControl w:val="0"/>
        <w:ind w:firstLine="567"/>
        <w:jc w:val="both"/>
        <w:rPr>
          <w:color w:val="000000"/>
        </w:rPr>
      </w:pPr>
      <w:r>
        <w:rPr>
          <w:color w:val="000000"/>
        </w:rPr>
        <w:t>3</w:t>
      </w:r>
      <w:r>
        <w:rPr>
          <w:color w:val="000000"/>
        </w:rPr>
        <w:t>. Vidaus rinkai tiektos gaminių pripildytos atitinkamos rūšies pakuotės kiekis tonomis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Q = Q</w:t>
      </w:r>
      <w:r>
        <w:rPr>
          <w:color w:val="000000"/>
          <w:vertAlign w:val="subscript"/>
        </w:rPr>
        <w:t>PAG</w:t>
      </w:r>
      <w:r>
        <w:rPr>
          <w:color w:val="000000"/>
        </w:rPr>
        <w:t xml:space="preserve"> + Q</w:t>
      </w:r>
      <w:r>
        <w:rPr>
          <w:color w:val="000000"/>
          <w:vertAlign w:val="subscript"/>
        </w:rPr>
        <w:t>ĮVE</w:t>
        <w:tab/>
      </w:r>
      <w:r>
        <w:rPr>
          <w:color w:val="000000"/>
        </w:rPr>
        <w:t>(1),</w:t>
      </w:r>
    </w:p>
    <w:p>
      <w:pPr>
        <w:widowControl w:val="0"/>
        <w:ind w:firstLine="567"/>
        <w:jc w:val="both"/>
        <w:rPr>
          <w:color w:val="000000"/>
        </w:rPr>
      </w:pPr>
      <w:r>
        <w:rPr>
          <w:color w:val="000000"/>
        </w:rPr>
        <w:t>čia:</w:t>
      </w:r>
    </w:p>
    <w:p>
      <w:pPr>
        <w:widowControl w:val="0"/>
        <w:ind w:firstLine="567"/>
        <w:jc w:val="both"/>
        <w:rPr>
          <w:color w:val="000000"/>
        </w:rPr>
      </w:pPr>
      <w:r>
        <w:rPr>
          <w:color w:val="000000"/>
        </w:rPr>
        <w:t>Q – mokesčio mokėtojo per mokestinį laikotarpį vidaus rinkai tiektos gaminių pripildytos pakuotės kiekis, t;</w:t>
      </w:r>
    </w:p>
    <w:p>
      <w:pPr>
        <w:widowControl w:val="0"/>
        <w:ind w:firstLine="567"/>
        <w:jc w:val="both"/>
        <w:rPr>
          <w:color w:val="000000"/>
        </w:rPr>
      </w:pPr>
      <w:r>
        <w:rPr>
          <w:color w:val="000000"/>
        </w:rPr>
        <w:t>Q</w:t>
      </w:r>
      <w:r>
        <w:rPr>
          <w:color w:val="000000"/>
          <w:vertAlign w:val="subscript"/>
        </w:rPr>
        <w:t xml:space="preserve">PAG </w:t>
      </w:r>
      <w:r>
        <w:rPr>
          <w:color w:val="000000"/>
        </w:rPr>
        <w:t>– mokesčio mokėtojo per mokestinį laikotarpį Lietuvoje pagamintų gaminių ir vidaus rinkai su šiais gaminiais tiektos pakuotės kiekis, t;</w:t>
      </w:r>
    </w:p>
    <w:p>
      <w:pPr>
        <w:widowControl w:val="0"/>
        <w:ind w:firstLine="567"/>
        <w:jc w:val="both"/>
        <w:rPr>
          <w:color w:val="000000"/>
        </w:rPr>
      </w:pPr>
      <w:r>
        <w:rPr>
          <w:color w:val="000000"/>
        </w:rPr>
        <w:t>Q</w:t>
      </w:r>
      <w:r>
        <w:rPr>
          <w:color w:val="000000"/>
          <w:vertAlign w:val="subscript"/>
        </w:rPr>
        <w:t>ĮVE</w:t>
      </w:r>
      <w:r>
        <w:rPr>
          <w:color w:val="000000"/>
        </w:rPr>
        <w:t xml:space="preserve"> – mokesčio mokėtojo per mokestinį laikotarpį į Lietuvą įvežtų gaminių ir vidaus rinkai su šiais gaminiais tiektos pakuotės kiekis, t.</w:t>
      </w:r>
    </w:p>
    <w:p>
      <w:pPr>
        <w:widowControl w:val="0"/>
        <w:ind w:firstLine="567"/>
        <w:jc w:val="both"/>
        <w:rPr>
          <w:color w:val="000000"/>
        </w:rPr>
      </w:pPr>
      <w:r>
        <w:rPr>
          <w:color w:val="000000"/>
        </w:rPr>
        <w:t>4</w:t>
      </w:r>
      <w:r>
        <w:rPr>
          <w:color w:val="000000"/>
        </w:rPr>
        <w:t>. Atitinkamos rūšies pakuotės atliekų naudojimo ir (ar) perdirbimo užduoties įvykdymas procentais (toliau – %)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F = (Q</w:t>
      </w:r>
      <w:r>
        <w:rPr>
          <w:color w:val="000000"/>
          <w:vertAlign w:val="subscript"/>
        </w:rPr>
        <w:t>SUT</w:t>
      </w:r>
      <w:r>
        <w:rPr>
          <w:color w:val="000000"/>
        </w:rPr>
        <w:t xml:space="preserve"> / Q) x 100</w:t>
        <w:tab/>
        <w:t>(2),</w:t>
      </w:r>
    </w:p>
    <w:p>
      <w:pPr>
        <w:widowControl w:val="0"/>
        <w:ind w:firstLine="567"/>
        <w:jc w:val="both"/>
        <w:rPr>
          <w:color w:val="000000"/>
        </w:rPr>
      </w:pPr>
      <w:r>
        <w:rPr>
          <w:color w:val="000000"/>
        </w:rPr>
        <w:t>čia:</w:t>
      </w:r>
    </w:p>
    <w:p>
      <w:pPr>
        <w:widowControl w:val="0"/>
        <w:ind w:firstLine="567"/>
        <w:jc w:val="both"/>
        <w:rPr>
          <w:color w:val="000000"/>
        </w:rPr>
      </w:pPr>
      <w:r>
        <w:rPr>
          <w:color w:val="000000"/>
        </w:rPr>
        <w:t>F – faktinis užduoties vykdymas, %;</w:t>
      </w:r>
    </w:p>
    <w:p>
      <w:pPr>
        <w:widowControl w:val="0"/>
        <w:ind w:firstLine="567"/>
        <w:jc w:val="both"/>
        <w:rPr>
          <w:color w:val="000000"/>
        </w:rPr>
      </w:pPr>
      <w:r>
        <w:rPr>
          <w:color w:val="000000"/>
        </w:rPr>
        <w:t>Q</w:t>
      </w:r>
      <w:r>
        <w:rPr>
          <w:color w:val="000000"/>
          <w:vertAlign w:val="subscript"/>
        </w:rPr>
        <w:t>SUT</w:t>
      </w:r>
      <w:r>
        <w:rPr>
          <w:color w:val="000000"/>
        </w:rPr>
        <w:t xml:space="preserve"> – sutvarkytų (panaudotų ar perdirbtų) pakuotės atliekų kiekis, t.</w:t>
      </w:r>
    </w:p>
    <w:p>
      <w:pPr>
        <w:widowControl w:val="0"/>
        <w:ind w:firstLine="567"/>
        <w:jc w:val="both"/>
        <w:rPr>
          <w:color w:val="000000"/>
        </w:rPr>
      </w:pPr>
      <w:r>
        <w:rPr>
          <w:color w:val="000000"/>
        </w:rPr>
        <w:t>5</w:t>
      </w:r>
      <w:r>
        <w:rPr>
          <w:color w:val="000000"/>
        </w:rPr>
        <w:t>. Atitinkamos rūšies pakuotės atliekų panaudojimo ir (ar) perdirbimo užduoties įvykdymo lygis apskaičiuojamas:</w:t>
      </w:r>
    </w:p>
    <w:p>
      <w:pPr>
        <w:widowControl w:val="0"/>
        <w:ind w:firstLine="567"/>
        <w:jc w:val="both"/>
        <w:rPr>
          <w:color w:val="000000"/>
        </w:rPr>
      </w:pPr>
    </w:p>
    <w:p>
      <w:pPr>
        <w:widowControl w:val="0"/>
        <w:tabs>
          <w:tab w:val="right" w:pos="8400"/>
        </w:tabs>
        <w:ind w:firstLine="567"/>
        <w:jc w:val="both"/>
        <w:rPr>
          <w:color w:val="000000"/>
        </w:rPr>
      </w:pPr>
      <w:r>
        <w:rPr>
          <w:i/>
          <w:iCs/>
          <w:color w:val="000000"/>
        </w:rPr>
        <w:t xml:space="preserve">l </w:t>
      </w:r>
      <w:r>
        <w:rPr>
          <w:color w:val="000000"/>
        </w:rPr>
        <w:t>= F / U</w:t>
        <w:tab/>
        <w:t>(3),</w:t>
      </w:r>
    </w:p>
    <w:p>
      <w:pPr>
        <w:widowControl w:val="0"/>
        <w:ind w:firstLine="567"/>
        <w:jc w:val="both"/>
        <w:rPr>
          <w:color w:val="000000"/>
        </w:rPr>
      </w:pPr>
      <w:r>
        <w:rPr>
          <w:color w:val="000000"/>
        </w:rPr>
        <w:t>čia:</w:t>
      </w:r>
    </w:p>
    <w:p>
      <w:pPr>
        <w:widowControl w:val="0"/>
        <w:ind w:firstLine="567"/>
        <w:jc w:val="both"/>
        <w:rPr>
          <w:color w:val="000000"/>
        </w:rPr>
      </w:pPr>
      <w:r>
        <w:rPr>
          <w:i/>
          <w:iCs/>
          <w:color w:val="000000"/>
        </w:rPr>
        <w:t xml:space="preserve">l – </w:t>
      </w:r>
      <w:r>
        <w:rPr>
          <w:color w:val="000000"/>
        </w:rPr>
        <w:t>pakuotės atliekų panaudojimo ar perdirbimo užduoties įvykdymo lygis;</w:t>
      </w:r>
    </w:p>
    <w:p>
      <w:pPr>
        <w:widowControl w:val="0"/>
        <w:ind w:firstLine="567"/>
        <w:jc w:val="both"/>
        <w:rPr>
          <w:color w:val="000000"/>
        </w:rPr>
      </w:pPr>
      <w:r>
        <w:rPr>
          <w:color w:val="000000"/>
        </w:rPr>
        <w:t xml:space="preserve">U– pakuočių atliekų naudojimo ir (ar) perdirbimo užduotis atitinkamai pakuotės rūšiai %, nustatyta Apmokestinamųjų gaminių ir pakuočių atliekų naudojimo ir (ar) perdirbimo užduotyse, patvirtintose Lietuvos Respublikos Vyriausybės 2006 m. lapkričio 24 d. nutarime Nr. 1168 „Dėl Apmokestinamųjų gaminių ir pakuočių atliekų naudojimo ir (ar) perdirbimo užduočių patvirtinimo“ (Žin., 2006, Nr. </w:t>
      </w:r>
      <w:hyperlink r:id="rId74" w:tgtFrame="_blank" w:history="1">
        <w:r>
          <w:rPr>
            <w:color w:val="0000FF" w:themeColor="hyperlink"/>
            <w:u w:val="single"/>
          </w:rPr>
          <w:t>130-4897</w:t>
        </w:r>
      </w:hyperlink>
      <w:r>
        <w:rPr>
          <w:color w:val="000000"/>
        </w:rPr>
        <w:t>; 2011, Nr. 165-7864).</w:t>
      </w:r>
    </w:p>
    <w:p>
      <w:pPr>
        <w:widowControl w:val="0"/>
        <w:ind w:firstLine="567"/>
        <w:jc w:val="both"/>
        <w:rPr>
          <w:color w:val="000000"/>
        </w:rPr>
      </w:pPr>
      <w:r>
        <w:rPr>
          <w:color w:val="000000"/>
        </w:rPr>
        <w:t>6</w:t>
      </w:r>
      <w:r>
        <w:rPr>
          <w:color w:val="000000"/>
        </w:rPr>
        <w:t>. Mokėtino mokesčio sumažinimo koeficientas pagal atitinkamos užduoties įvykdymo lygį nustatomas:</w:t>
      </w:r>
    </w:p>
    <w:p>
      <w:pPr>
        <w:widowControl w:val="0"/>
        <w:ind w:firstLine="567"/>
        <w:jc w:val="both"/>
        <w:rPr>
          <w:color w:val="000000"/>
        </w:rPr>
      </w:pPr>
    </w:p>
    <w:p>
      <w:pPr>
        <w:widowControl w:val="0"/>
        <w:tabs>
          <w:tab w:val="right" w:pos="8400"/>
        </w:tabs>
        <w:ind w:firstLine="567"/>
        <w:jc w:val="both"/>
        <w:rPr>
          <w:color w:val="000000"/>
        </w:rPr>
      </w:pPr>
      <w:r>
        <w:rPr>
          <w:i/>
          <w:iCs/>
          <w:color w:val="000000"/>
        </w:rPr>
        <w:t xml:space="preserve">d = 0, kai l </w:t>
      </w:r>
      <w:r>
        <w:rPr>
          <w:i/>
          <w:iCs/>
          <w:color w:val="000000"/>
          <w:position w:val="-4"/>
        </w:rPr>
        <w:object w:dxaOrig="195" w:dyaOrig="240" w14:anchorId="2409BE2C">
          <v:shape id="_x0000_i1039" type="#_x0000_t75" style="width:10.15pt;height:12pt" o:ole="">
            <v:imagedata r:id="rId75" o:title=""/>
          </v:shape>
          <o:OLEObject Type="Embed" ProgID="Equation.3" ShapeID="_x0000_i1039" DrawAspect="Content" ObjectID="_1510491062" r:id="rId76"/>
        </w:object>
      </w:r>
      <w:r>
        <w:rPr>
          <w:i/>
          <w:iCs/>
          <w:vanish/>
          <w:color w:val="000000"/>
        </w:rPr>
        <w:t>&gt;=</w:t>
      </w:r>
      <w:r>
        <w:rPr>
          <w:color w:val="000000"/>
        </w:rPr>
        <w:t xml:space="preserve"> 1;</w:t>
      </w:r>
      <w:r>
        <w:rPr>
          <w:i/>
          <w:iCs/>
          <w:color w:val="000000"/>
        </w:rPr>
        <w:tab/>
      </w:r>
      <w:r>
        <w:rPr>
          <w:color w:val="000000"/>
        </w:rPr>
        <w:t>(4),</w:t>
      </w:r>
    </w:p>
    <w:p>
      <w:pPr>
        <w:widowControl w:val="0"/>
        <w:ind w:firstLine="567"/>
        <w:jc w:val="both"/>
        <w:rPr>
          <w:color w:val="000000"/>
        </w:rPr>
      </w:pPr>
      <w:r>
        <w:rPr>
          <w:i/>
          <w:iCs/>
          <w:color w:val="000000"/>
        </w:rPr>
        <w:t xml:space="preserve">d = </w:t>
      </w:r>
      <w:r>
        <w:rPr>
          <w:color w:val="000000"/>
        </w:rPr>
        <w:t>1</w:t>
      </w:r>
      <w:r>
        <w:rPr>
          <w:i/>
          <w:iCs/>
          <w:color w:val="000000"/>
        </w:rPr>
        <w:t xml:space="preserve"> – l, kai </w:t>
      </w:r>
      <w:r>
        <w:rPr>
          <w:color w:val="000000"/>
        </w:rPr>
        <w:t xml:space="preserve">1 &gt; </w:t>
      </w:r>
      <w:r>
        <w:rPr>
          <w:i/>
          <w:iCs/>
          <w:color w:val="000000"/>
        </w:rPr>
        <w:t xml:space="preserve">l </w:t>
      </w:r>
      <w:r>
        <w:rPr>
          <w:i/>
          <w:iCs/>
          <w:color w:val="000000"/>
          <w:position w:val="-4"/>
        </w:rPr>
        <w:object w:dxaOrig="195" w:dyaOrig="240" w14:anchorId="24D15954">
          <v:shape id="_x0000_i1040" type="#_x0000_t75" style="width:10.15pt;height:12pt" o:ole="">
            <v:imagedata r:id="rId77" o:title=""/>
          </v:shape>
          <o:OLEObject Type="Embed" ProgID="Equation.3" ShapeID="_x0000_i1040" DrawAspect="Content" ObjectID="_1510491063" r:id="rId78"/>
        </w:object>
      </w:r>
      <w:r>
        <w:rPr>
          <w:i/>
          <w:iCs/>
          <w:vanish/>
          <w:color w:val="000000"/>
        </w:rPr>
        <w:t>&gt;=</w:t>
      </w:r>
      <w:r>
        <w:rPr>
          <w:color w:val="000000"/>
        </w:rPr>
        <w:t xml:space="preserve"> 0.</w:t>
      </w:r>
    </w:p>
    <w:p>
      <w:pPr>
        <w:widowControl w:val="0"/>
        <w:ind w:firstLine="567"/>
        <w:jc w:val="both"/>
        <w:rPr>
          <w:color w:val="000000"/>
        </w:rPr>
      </w:pPr>
      <w:r>
        <w:rPr>
          <w:i/>
          <w:iCs/>
          <w:color w:val="000000"/>
        </w:rPr>
        <w:t>čia:</w:t>
      </w:r>
    </w:p>
    <w:p>
      <w:pPr>
        <w:widowControl w:val="0"/>
        <w:ind w:firstLine="567"/>
        <w:jc w:val="both"/>
        <w:rPr>
          <w:color w:val="000000"/>
        </w:rPr>
      </w:pPr>
      <w:r>
        <w:rPr>
          <w:i/>
          <w:iCs/>
          <w:color w:val="000000"/>
        </w:rPr>
        <w:t xml:space="preserve">d </w:t>
      </w:r>
      <w:r>
        <w:rPr>
          <w:color w:val="000000"/>
        </w:rPr>
        <w:t>– mokėtino mokesčio sumažinimo koeficientas (apmokestinamos pakuotės dalis).</w:t>
      </w:r>
    </w:p>
    <w:p>
      <w:pPr>
        <w:suppressAutoHyphens/>
        <w:ind w:firstLine="567"/>
        <w:jc w:val="both"/>
        <w:textAlignment w:val="center"/>
        <w:rPr>
          <w:color w:val="000000"/>
          <w:szCs w:val="24"/>
        </w:rPr>
      </w:pPr>
      <w:r>
        <w:rPr>
          <w:color w:val="000000"/>
          <w:szCs w:val="24"/>
        </w:rPr>
        <w:t>7</w:t>
      </w:r>
      <w:r>
        <w:rPr>
          <w:color w:val="000000"/>
          <w:szCs w:val="24"/>
        </w:rPr>
        <w:t>. Mokėtinas mokestis už atitinkamos rūšies pakuotę apskaičiuojamas:</w:t>
      </w:r>
    </w:p>
    <w:p>
      <w:pPr>
        <w:suppressAutoHyphens/>
        <w:ind w:firstLine="567"/>
        <w:jc w:val="both"/>
        <w:textAlignment w:val="center"/>
        <w:rPr>
          <w:color w:val="000000"/>
          <w:szCs w:val="24"/>
        </w:rPr>
      </w:pPr>
    </w:p>
    <w:p>
      <w:pPr>
        <w:suppressAutoHyphens/>
        <w:ind w:firstLine="567"/>
        <w:jc w:val="both"/>
        <w:textAlignment w:val="center"/>
        <w:rPr>
          <w:color w:val="000000"/>
          <w:szCs w:val="24"/>
        </w:rPr>
      </w:pPr>
      <w:r>
        <w:rPr>
          <w:color w:val="000000"/>
          <w:szCs w:val="24"/>
        </w:rPr>
        <w:t>M = Q x d x T x k</w:t>
        <w:tab/>
        <w:tab/>
        <w:tab/>
        <w:t>(5),</w:t>
      </w:r>
    </w:p>
    <w:p>
      <w:pPr>
        <w:suppressAutoHyphens/>
        <w:ind w:firstLine="567"/>
        <w:jc w:val="both"/>
        <w:textAlignment w:val="center"/>
        <w:rPr>
          <w:color w:val="000000"/>
          <w:szCs w:val="24"/>
        </w:rPr>
      </w:pPr>
      <w:r>
        <w:rPr>
          <w:color w:val="000000"/>
          <w:szCs w:val="24"/>
        </w:rPr>
        <w:t>čia:</w:t>
      </w:r>
    </w:p>
    <w:p>
      <w:pPr>
        <w:suppressAutoHyphens/>
        <w:ind w:firstLine="567"/>
        <w:jc w:val="both"/>
        <w:textAlignment w:val="center"/>
        <w:rPr>
          <w:color w:val="000000"/>
          <w:szCs w:val="24"/>
        </w:rPr>
      </w:pPr>
      <w:r>
        <w:rPr>
          <w:color w:val="000000"/>
          <w:szCs w:val="24"/>
        </w:rPr>
        <w:t>M – mokėtinas mokestis už pakuotę, Eur;</w:t>
      </w:r>
    </w:p>
    <w:p>
      <w:pPr>
        <w:suppressAutoHyphens/>
        <w:ind w:firstLine="567"/>
        <w:jc w:val="both"/>
        <w:textAlignment w:val="center"/>
        <w:rPr>
          <w:color w:val="000000"/>
          <w:szCs w:val="24"/>
        </w:rPr>
      </w:pPr>
      <w:r>
        <w:rPr>
          <w:color w:val="000000"/>
          <w:szCs w:val="24"/>
        </w:rPr>
        <w:t>T – mokesčio tarifas, nurodytas Lietuvos Respublikos mokesčio už aplinkos teršimą įstatymo 4 priedėlyje, Eur/t;</w:t>
      </w:r>
    </w:p>
    <w:p>
      <w:pPr>
        <w:ind w:firstLine="567"/>
        <w:jc w:val="both"/>
        <w:rPr>
          <w:color w:val="000000"/>
        </w:rPr>
      </w:pPr>
      <w:r>
        <w:rPr>
          <w:rFonts w:eastAsia="Calibri"/>
          <w:szCs w:val="24"/>
        </w:rPr>
        <w:t>k – mokestinio laikotarpio indeksavimo koeficientas, gaunamas Lietuvos statistikos departamento vartotojų kainų indeksą, apskaičiuotą pagal Mokesčio už aplinkos teršimą tarifų indeksavimo tvarkos aprašą, patvirtintą Lietuvos Respublikos Vyriausybės 2000 m. sausio 18 d. nutarimu Nr. 53, padalijus iš 100.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widowControl w:val="0"/>
        <w:ind w:firstLine="567"/>
        <w:jc w:val="both"/>
        <w:rPr>
          <w:color w:val="000000"/>
        </w:rPr>
      </w:pPr>
      <w:r>
        <w:rPr>
          <w:color w:val="000000"/>
        </w:rPr>
        <w:t>8</w:t>
      </w:r>
      <w:r>
        <w:rPr>
          <w:color w:val="000000"/>
        </w:rPr>
        <w:t>. Vidaus rinkai tiektos gaminių pripildytos atitinkamos rūšies pakartotinio naudojimo pakuotės kiekis (t)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Q</w:t>
      </w:r>
      <w:r>
        <w:rPr>
          <w:color w:val="000000"/>
          <w:vertAlign w:val="subscript"/>
        </w:rPr>
        <w:t>P</w:t>
      </w:r>
      <w:r>
        <w:rPr>
          <w:color w:val="000000"/>
        </w:rPr>
        <w:t xml:space="preserve"> = Q</w:t>
      </w:r>
      <w:r>
        <w:rPr>
          <w:color w:val="000000"/>
          <w:vertAlign w:val="subscript"/>
        </w:rPr>
        <w:t>PAP</w:t>
      </w:r>
      <w:r>
        <w:rPr>
          <w:color w:val="000000"/>
        </w:rPr>
        <w:t xml:space="preserve"> + Q</w:t>
      </w:r>
      <w:r>
        <w:rPr>
          <w:color w:val="000000"/>
          <w:vertAlign w:val="subscript"/>
        </w:rPr>
        <w:t>ĮVP</w:t>
        <w:tab/>
      </w:r>
      <w:r>
        <w:rPr>
          <w:color w:val="000000"/>
        </w:rPr>
        <w:t>(6),</w:t>
      </w:r>
    </w:p>
    <w:p>
      <w:pPr>
        <w:widowControl w:val="0"/>
        <w:ind w:firstLine="567"/>
        <w:jc w:val="both"/>
        <w:rPr>
          <w:color w:val="000000"/>
        </w:rPr>
      </w:pPr>
      <w:r>
        <w:rPr>
          <w:color w:val="000000"/>
        </w:rPr>
        <w:t>čia:</w:t>
      </w:r>
    </w:p>
    <w:p>
      <w:pPr>
        <w:widowControl w:val="0"/>
        <w:ind w:firstLine="567"/>
        <w:jc w:val="both"/>
        <w:rPr>
          <w:color w:val="000000"/>
        </w:rPr>
      </w:pPr>
      <w:r>
        <w:rPr>
          <w:color w:val="000000"/>
        </w:rPr>
        <w:t>Q</w:t>
      </w:r>
      <w:r>
        <w:rPr>
          <w:color w:val="000000"/>
          <w:vertAlign w:val="subscript"/>
        </w:rPr>
        <w:t>P</w:t>
      </w:r>
      <w:r>
        <w:rPr>
          <w:color w:val="000000"/>
        </w:rPr>
        <w:t xml:space="preserve"> – mokesčio mokėtojo vidaus rinkai tiektų gaminių pripildytos pakartotinio naudojimo pakuotės kiekis, t;</w:t>
      </w:r>
    </w:p>
    <w:p>
      <w:pPr>
        <w:widowControl w:val="0"/>
        <w:ind w:firstLine="567"/>
        <w:jc w:val="both"/>
        <w:rPr>
          <w:color w:val="000000"/>
        </w:rPr>
      </w:pPr>
      <w:r>
        <w:rPr>
          <w:color w:val="000000"/>
        </w:rPr>
        <w:t>Q</w:t>
      </w:r>
      <w:r>
        <w:rPr>
          <w:color w:val="000000"/>
          <w:vertAlign w:val="subscript"/>
        </w:rPr>
        <w:t xml:space="preserve">PAP </w:t>
      </w:r>
      <w:r>
        <w:rPr>
          <w:color w:val="000000"/>
        </w:rPr>
        <w:t>– mokesčio mokėtojo Lietuvoje pagamintų ir vidaus rinkai tiektų gaminių pripildytos pakartotinio naudojimo pakuotės kiekis, t;</w:t>
      </w:r>
    </w:p>
    <w:p>
      <w:pPr>
        <w:widowControl w:val="0"/>
        <w:ind w:firstLine="567"/>
        <w:jc w:val="both"/>
        <w:rPr>
          <w:color w:val="000000"/>
        </w:rPr>
      </w:pPr>
      <w:r>
        <w:rPr>
          <w:color w:val="000000"/>
        </w:rPr>
        <w:t>Q</w:t>
      </w:r>
      <w:r>
        <w:rPr>
          <w:color w:val="000000"/>
          <w:vertAlign w:val="subscript"/>
        </w:rPr>
        <w:t xml:space="preserve">ĮVP </w:t>
      </w:r>
      <w:r>
        <w:rPr>
          <w:color w:val="000000"/>
        </w:rPr>
        <w:t>– mokesčio mokėtojo į Lietuvą įvežtų gaminių ir vidaus rinkai su šiais gaminiais tiektos pakartotinio naudojimo pakuotės kiekis, t.</w:t>
      </w:r>
    </w:p>
    <w:p>
      <w:pPr>
        <w:widowControl w:val="0"/>
        <w:ind w:firstLine="567"/>
        <w:jc w:val="both"/>
        <w:rPr>
          <w:color w:val="000000"/>
        </w:rPr>
      </w:pPr>
      <w:r>
        <w:rPr>
          <w:color w:val="000000"/>
        </w:rPr>
        <w:t>9</w:t>
      </w:r>
      <w:r>
        <w:rPr>
          <w:color w:val="000000"/>
        </w:rPr>
        <w:t>. Atitinkamos rūšies pakartotinio naudojimo pakuotės surinkimo ir pakartotinio naudojimo užduoties įvykdymas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F</w:t>
      </w:r>
      <w:r>
        <w:rPr>
          <w:color w:val="000000"/>
          <w:vertAlign w:val="subscript"/>
        </w:rPr>
        <w:t>P</w:t>
      </w:r>
      <w:r>
        <w:rPr>
          <w:color w:val="000000"/>
        </w:rPr>
        <w:t xml:space="preserve"> = (Qsus / Q</w:t>
      </w:r>
      <w:r>
        <w:rPr>
          <w:color w:val="000000"/>
          <w:vertAlign w:val="subscript"/>
        </w:rPr>
        <w:t>P</w:t>
      </w:r>
      <w:r>
        <w:rPr>
          <w:color w:val="000000"/>
        </w:rPr>
        <w:t>) x 100</w:t>
        <w:tab/>
        <w:t>(7),</w:t>
      </w:r>
    </w:p>
    <w:p>
      <w:pPr>
        <w:widowControl w:val="0"/>
        <w:ind w:firstLine="567"/>
        <w:jc w:val="both"/>
        <w:rPr>
          <w:color w:val="000000"/>
        </w:rPr>
      </w:pPr>
      <w:r>
        <w:rPr>
          <w:color w:val="000000"/>
        </w:rPr>
        <w:t>čia:</w:t>
      </w:r>
    </w:p>
    <w:p>
      <w:pPr>
        <w:widowControl w:val="0"/>
        <w:ind w:firstLine="567"/>
        <w:jc w:val="both"/>
        <w:rPr>
          <w:color w:val="000000"/>
        </w:rPr>
      </w:pPr>
      <w:r>
        <w:rPr>
          <w:color w:val="000000"/>
        </w:rPr>
        <w:t>F</w:t>
      </w:r>
      <w:r>
        <w:rPr>
          <w:color w:val="000000"/>
          <w:vertAlign w:val="subscript"/>
        </w:rPr>
        <w:t>P</w:t>
      </w:r>
      <w:r>
        <w:rPr>
          <w:color w:val="000000"/>
        </w:rPr>
        <w:t>– faktinis užduoties vykdymas, %;</w:t>
      </w:r>
    </w:p>
    <w:p>
      <w:pPr>
        <w:widowControl w:val="0"/>
        <w:ind w:firstLine="567"/>
        <w:jc w:val="both"/>
        <w:rPr>
          <w:color w:val="000000"/>
        </w:rPr>
      </w:pPr>
      <w:r>
        <w:rPr>
          <w:color w:val="000000"/>
        </w:rPr>
        <w:t>Q</w:t>
      </w:r>
      <w:r>
        <w:rPr>
          <w:color w:val="000000"/>
          <w:vertAlign w:val="subscript"/>
        </w:rPr>
        <w:t>SUS</w:t>
      </w:r>
      <w:r>
        <w:rPr>
          <w:color w:val="000000"/>
        </w:rPr>
        <w:t>– mokesčio mokėtojo iš vidaus rinkos susigrąžintos atitinkamos rūšies tuščios pakartotinio naudojimo pakuotės kiekis, t.</w:t>
      </w:r>
    </w:p>
    <w:p>
      <w:pPr>
        <w:widowControl w:val="0"/>
        <w:ind w:firstLine="567"/>
        <w:jc w:val="both"/>
        <w:rPr>
          <w:color w:val="000000"/>
        </w:rPr>
      </w:pPr>
      <w:r>
        <w:rPr>
          <w:color w:val="000000"/>
        </w:rPr>
        <w:t>10</w:t>
      </w:r>
      <w:r>
        <w:rPr>
          <w:color w:val="000000"/>
        </w:rPr>
        <w:t>. Vidaus rinkoje likusios (vidaus rinkai tiektos) atitinkamos rūšies pakartotinio naudojimo pakuotės kiekis apskaičiuojamas:</w:t>
      </w:r>
    </w:p>
    <w:p>
      <w:pPr>
        <w:widowControl w:val="0"/>
        <w:ind w:firstLine="567"/>
        <w:jc w:val="both"/>
        <w:rPr>
          <w:color w:val="000000"/>
        </w:rPr>
      </w:pPr>
    </w:p>
    <w:p>
      <w:pPr>
        <w:widowControl w:val="0"/>
        <w:tabs>
          <w:tab w:val="right" w:pos="8400"/>
        </w:tabs>
        <w:ind w:firstLine="567"/>
        <w:jc w:val="both"/>
        <w:rPr>
          <w:color w:val="000000"/>
        </w:rPr>
      </w:pPr>
      <w:r>
        <w:rPr>
          <w:color w:val="000000"/>
        </w:rPr>
        <w:t>Q</w:t>
      </w:r>
      <w:r>
        <w:rPr>
          <w:color w:val="000000"/>
          <w:vertAlign w:val="subscript"/>
        </w:rPr>
        <w:t>LIK</w:t>
      </w:r>
      <w:r>
        <w:rPr>
          <w:color w:val="000000"/>
        </w:rPr>
        <w:t xml:space="preserve"> = Q</w:t>
      </w:r>
      <w:r>
        <w:rPr>
          <w:color w:val="000000"/>
          <w:vertAlign w:val="subscript"/>
        </w:rPr>
        <w:t xml:space="preserve">P </w:t>
      </w:r>
      <w:r>
        <w:rPr>
          <w:color w:val="000000"/>
        </w:rPr>
        <w:t>– Q</w:t>
      </w:r>
      <w:r>
        <w:rPr>
          <w:color w:val="000000"/>
          <w:vertAlign w:val="subscript"/>
        </w:rPr>
        <w:t>SUS</w:t>
        <w:tab/>
      </w:r>
      <w:r>
        <w:rPr>
          <w:color w:val="000000"/>
        </w:rPr>
        <w:t>(8),</w:t>
      </w:r>
    </w:p>
    <w:p>
      <w:pPr>
        <w:widowControl w:val="0"/>
        <w:ind w:firstLine="567"/>
        <w:jc w:val="both"/>
        <w:rPr>
          <w:color w:val="000000"/>
        </w:rPr>
      </w:pPr>
      <w:r>
        <w:rPr>
          <w:color w:val="000000"/>
        </w:rPr>
        <w:t>čia:</w:t>
      </w:r>
    </w:p>
    <w:p>
      <w:pPr>
        <w:widowControl w:val="0"/>
        <w:ind w:firstLine="567"/>
        <w:jc w:val="both"/>
        <w:rPr>
          <w:color w:val="000000"/>
        </w:rPr>
      </w:pPr>
      <w:r>
        <w:rPr>
          <w:color w:val="000000"/>
        </w:rPr>
        <w:t>Q</w:t>
      </w:r>
      <w:r>
        <w:rPr>
          <w:color w:val="000000"/>
          <w:vertAlign w:val="subscript"/>
        </w:rPr>
        <w:t xml:space="preserve">LIK </w:t>
      </w:r>
      <w:r>
        <w:rPr>
          <w:color w:val="000000"/>
        </w:rPr>
        <w:t>– mokesčio mokėtojo pakartotinio naudojimo apmokestinamosios pakuotės, likusios vidaus rinkoje (vidaus rinkai tiektos), kiekis, t.</w:t>
      </w:r>
    </w:p>
    <w:p>
      <w:pPr>
        <w:suppressAutoHyphens/>
        <w:ind w:firstLine="567"/>
        <w:jc w:val="both"/>
        <w:textAlignment w:val="center"/>
        <w:rPr>
          <w:color w:val="000000"/>
          <w:szCs w:val="24"/>
        </w:rPr>
      </w:pPr>
      <w:r>
        <w:rPr>
          <w:color w:val="000000"/>
          <w:szCs w:val="24"/>
        </w:rPr>
        <w:t>11</w:t>
      </w:r>
      <w:r>
        <w:rPr>
          <w:color w:val="000000"/>
          <w:szCs w:val="24"/>
        </w:rPr>
        <w:t>. Mokėtinas mokestis už atitinkamos rūšies pakartotinio naudojimo pakuotę apskaičiuojamas:</w:t>
      </w:r>
    </w:p>
    <w:p>
      <w:pPr>
        <w:suppressAutoHyphens/>
        <w:ind w:firstLine="567"/>
        <w:jc w:val="both"/>
        <w:textAlignment w:val="center"/>
        <w:rPr>
          <w:color w:val="000000"/>
          <w:szCs w:val="24"/>
        </w:rPr>
      </w:pPr>
    </w:p>
    <w:p>
      <w:pPr>
        <w:suppressAutoHyphens/>
        <w:ind w:firstLine="567"/>
        <w:jc w:val="both"/>
        <w:textAlignment w:val="center"/>
        <w:rPr>
          <w:color w:val="000000"/>
          <w:szCs w:val="24"/>
        </w:rPr>
      </w:pPr>
      <w:r>
        <w:rPr>
          <w:color w:val="000000"/>
          <w:szCs w:val="24"/>
        </w:rPr>
        <w:t>M</w:t>
      </w:r>
      <w:r>
        <w:rPr>
          <w:color w:val="000000"/>
          <w:szCs w:val="24"/>
          <w:vertAlign w:val="subscript"/>
        </w:rPr>
        <w:t>PAK</w:t>
      </w:r>
      <w:r>
        <w:rPr>
          <w:color w:val="000000"/>
          <w:szCs w:val="24"/>
        </w:rPr>
        <w:t xml:space="preserve"> = 0,</w:t>
        <w:tab/>
        <w:tab/>
        <w:t>kai F</w:t>
      </w:r>
      <w:r>
        <w:rPr>
          <w:color w:val="000000"/>
          <w:szCs w:val="24"/>
          <w:vertAlign w:val="subscript"/>
        </w:rPr>
        <w:t>P</w:t>
      </w:r>
      <w:r>
        <w:rPr>
          <w:color w:val="000000"/>
          <w:szCs w:val="24"/>
        </w:rPr>
        <w:t xml:space="preserve"> ≥ U</w:t>
      </w:r>
      <w:r>
        <w:rPr>
          <w:color w:val="000000"/>
          <w:szCs w:val="24"/>
          <w:vertAlign w:val="subscript"/>
        </w:rPr>
        <w:t>P</w:t>
      </w:r>
      <w:r>
        <w:rPr>
          <w:color w:val="000000"/>
          <w:szCs w:val="24"/>
        </w:rPr>
        <w:t>;</w:t>
        <w:tab/>
        <w:t>(9),</w:t>
      </w:r>
    </w:p>
    <w:p>
      <w:pPr>
        <w:suppressAutoHyphens/>
        <w:ind w:firstLine="567"/>
        <w:jc w:val="both"/>
        <w:textAlignment w:val="center"/>
        <w:rPr>
          <w:color w:val="000000"/>
          <w:szCs w:val="24"/>
        </w:rPr>
      </w:pPr>
      <w:r>
        <w:rPr>
          <w:color w:val="000000"/>
          <w:szCs w:val="24"/>
        </w:rPr>
        <w:t>M</w:t>
      </w:r>
      <w:r>
        <w:rPr>
          <w:color w:val="000000"/>
          <w:szCs w:val="24"/>
          <w:vertAlign w:val="subscript"/>
        </w:rPr>
        <w:t>PAK</w:t>
      </w:r>
      <w:r>
        <w:rPr>
          <w:color w:val="000000"/>
          <w:szCs w:val="24"/>
        </w:rPr>
        <w:t xml:space="preserve"> = Q</w:t>
      </w:r>
      <w:r>
        <w:rPr>
          <w:color w:val="000000"/>
          <w:szCs w:val="24"/>
          <w:vertAlign w:val="subscript"/>
        </w:rPr>
        <w:t>LIK</w:t>
      </w:r>
      <w:r>
        <w:rPr>
          <w:color w:val="000000"/>
          <w:szCs w:val="24"/>
        </w:rPr>
        <w:t xml:space="preserve"> x T x k,</w:t>
        <w:tab/>
        <w:t>kai F</w:t>
      </w:r>
      <w:r>
        <w:rPr>
          <w:color w:val="000000"/>
          <w:szCs w:val="24"/>
          <w:vertAlign w:val="subscript"/>
        </w:rPr>
        <w:t>P</w:t>
      </w:r>
      <w:r>
        <w:rPr>
          <w:color w:val="000000"/>
          <w:szCs w:val="24"/>
        </w:rPr>
        <w:t xml:space="preserve"> &lt; U</w:t>
      </w:r>
      <w:r>
        <w:rPr>
          <w:color w:val="000000"/>
          <w:szCs w:val="24"/>
          <w:vertAlign w:val="subscript"/>
        </w:rPr>
        <w:t>P</w:t>
      </w:r>
      <w:r>
        <w:rPr>
          <w:color w:val="000000"/>
          <w:szCs w:val="24"/>
        </w:rPr>
        <w:t>.</w:t>
        <w:tab/>
        <w:t>(10),</w:t>
      </w:r>
    </w:p>
    <w:p>
      <w:pPr>
        <w:suppressAutoHyphens/>
        <w:ind w:firstLine="567"/>
        <w:jc w:val="both"/>
        <w:textAlignment w:val="center"/>
        <w:rPr>
          <w:color w:val="000000"/>
          <w:szCs w:val="24"/>
        </w:rPr>
      </w:pPr>
      <w:r>
        <w:rPr>
          <w:color w:val="000000"/>
          <w:szCs w:val="24"/>
        </w:rPr>
        <w:t>čia:</w:t>
      </w:r>
    </w:p>
    <w:p>
      <w:pPr>
        <w:suppressAutoHyphens/>
        <w:ind w:firstLine="567"/>
        <w:jc w:val="both"/>
        <w:textAlignment w:val="center"/>
        <w:rPr>
          <w:color w:val="000000"/>
          <w:szCs w:val="24"/>
        </w:rPr>
      </w:pPr>
      <w:r>
        <w:rPr>
          <w:color w:val="000000"/>
          <w:szCs w:val="24"/>
        </w:rPr>
        <w:t>M</w:t>
      </w:r>
      <w:r>
        <w:rPr>
          <w:color w:val="000000"/>
          <w:szCs w:val="24"/>
          <w:vertAlign w:val="subscript"/>
        </w:rPr>
        <w:t>PAK </w:t>
      </w:r>
      <w:r>
        <w:rPr>
          <w:color w:val="000000"/>
          <w:szCs w:val="24"/>
        </w:rPr>
        <w:t>– mokėtinas mokestis už vidaus rinkoje likusią (vidaus rinkai tiektą) pakartotinio naudojimo pakuotę, Eur;</w:t>
      </w:r>
    </w:p>
    <w:p>
      <w:pPr>
        <w:ind w:firstLine="567"/>
        <w:jc w:val="both"/>
        <w:rPr>
          <w:color w:val="000000"/>
        </w:rPr>
      </w:pPr>
      <w:r>
        <w:rPr>
          <w:rFonts w:eastAsia="Calibri"/>
          <w:szCs w:val="24"/>
        </w:rPr>
        <w:t>U</w:t>
      </w:r>
      <w:r>
        <w:rPr>
          <w:rFonts w:eastAsia="Calibri"/>
          <w:szCs w:val="24"/>
          <w:vertAlign w:val="subscript"/>
        </w:rPr>
        <w:t>P </w:t>
      </w:r>
      <w:r>
        <w:rPr>
          <w:rFonts w:eastAsia="Calibri"/>
          <w:szCs w:val="24"/>
        </w:rPr>
        <w:t>– pakartotinio naudojimo pakuotės surinkimo ir pakartotinio naudojimo užduotis, %, nustatyta Lietuvos Respublikos aplinkos ministro 2006 m. gruodžio 28 d. įsakyme Nr. D1-618 „Dėl pakuočių surinkimo ir pakartotinio naudojimo užduočių nustatymo.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ind w:firstLine="567"/>
        <w:jc w:val="both"/>
        <w:rPr>
          <w:color w:val="000000"/>
          <w:szCs w:val="24"/>
        </w:rPr>
      </w:pPr>
      <w:r>
        <w:rPr>
          <w:color w:val="000000"/>
          <w:szCs w:val="24"/>
        </w:rPr>
        <w:t>12. Mokesčio didesniu tarifu už nuslėptą taršą atitinkamos rūšies gaminių pripildytos pakuotės atliekomis apskaičiavimas:</w:t>
      </w:r>
    </w:p>
    <w:p>
      <w:pPr>
        <w:suppressAutoHyphens/>
        <w:ind w:firstLine="567"/>
        <w:jc w:val="both"/>
        <w:textAlignment w:val="center"/>
        <w:rPr>
          <w:color w:val="000000"/>
          <w:szCs w:val="24"/>
        </w:rPr>
      </w:pPr>
    </w:p>
    <w:p>
      <w:pPr>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xml:space="preserve"> = (Q x d</w:t>
      </w:r>
      <w:r>
        <w:rPr>
          <w:color w:val="000000"/>
          <w:szCs w:val="24"/>
          <w:vertAlign w:val="subscript"/>
        </w:rPr>
        <w:t>FAK</w:t>
      </w:r>
      <w:r>
        <w:rPr>
          <w:color w:val="000000"/>
          <w:szCs w:val="24"/>
        </w:rPr>
        <w:t xml:space="preserve"> – Q</w:t>
      </w:r>
      <w:r>
        <w:rPr>
          <w:color w:val="000000"/>
          <w:szCs w:val="24"/>
          <w:vertAlign w:val="subscript"/>
        </w:rPr>
        <w:t xml:space="preserve">DEK </w:t>
      </w:r>
      <w:r>
        <w:rPr>
          <w:color w:val="000000"/>
          <w:szCs w:val="24"/>
        </w:rPr>
        <w:t>x d</w:t>
      </w:r>
      <w:r>
        <w:rPr>
          <w:color w:val="000000"/>
          <w:szCs w:val="24"/>
          <w:vertAlign w:val="subscript"/>
        </w:rPr>
        <w:t>DEK</w:t>
      </w:r>
      <w:r>
        <w:rPr>
          <w:color w:val="000000"/>
          <w:szCs w:val="24"/>
        </w:rPr>
        <w:t>) x T x k x 2,</w:t>
        <w:tab/>
        <w:t>kai mokesčio mokėtojas pateiktoje deklaracijoje nurodė neteisingą panaudotos ar perdirbtos pakuotės atliekų kiekį (Q</w:t>
      </w:r>
      <w:r>
        <w:rPr>
          <w:color w:val="000000"/>
          <w:szCs w:val="24"/>
          <w:vertAlign w:val="subscript"/>
        </w:rPr>
        <w:t>SUT</w:t>
      </w:r>
      <w:r>
        <w:rPr>
          <w:color w:val="000000"/>
          <w:szCs w:val="24"/>
        </w:rPr>
        <w:t>) ir (ar) nurodė teisingą ar neteisingą vidaus rinkai tiektos gaminių pripildytos pakuotės kiekį (Q);</w:t>
      </w:r>
    </w:p>
    <w:p>
      <w:pPr>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xml:space="preserve"> = Q</w:t>
      </w:r>
      <w:r>
        <w:rPr>
          <w:color w:val="000000"/>
          <w:szCs w:val="24"/>
          <w:vertAlign w:val="subscript"/>
        </w:rPr>
        <w:t>NUS</w:t>
      </w:r>
      <w:r>
        <w:rPr>
          <w:color w:val="000000"/>
          <w:szCs w:val="24"/>
        </w:rPr>
        <w:t xml:space="preserve"> x T x k x 2,</w:t>
        <w:tab/>
        <w:tab/>
        <w:t>kai mokesčio mokėtojas pateiktoje deklaraciją nurodė teisingą panaudotos ar perdirbtos pakuotės atliekų kiekį (Q</w:t>
      </w:r>
      <w:r>
        <w:rPr>
          <w:color w:val="000000"/>
          <w:szCs w:val="24"/>
          <w:vertAlign w:val="subscript"/>
        </w:rPr>
        <w:t>SUT</w:t>
      </w:r>
      <w:r>
        <w:rPr>
          <w:color w:val="000000"/>
          <w:szCs w:val="24"/>
        </w:rPr>
        <w:t>) ir nurodė neteisingą vidaus rinkai tiektos gaminių pripildytos pakuotės kiekį (Q)</w:t>
        <w:tab/>
        <w:t>;</w:t>
        <w:tab/>
        <w:t>(11),</w:t>
      </w:r>
    </w:p>
    <w:p>
      <w:pPr>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xml:space="preserve"> = Q</w:t>
      </w:r>
      <w:r>
        <w:rPr>
          <w:color w:val="000000"/>
          <w:szCs w:val="24"/>
          <w:vertAlign w:val="subscript"/>
        </w:rPr>
        <w:t>NUS</w:t>
      </w:r>
      <w:r>
        <w:rPr>
          <w:color w:val="000000"/>
          <w:szCs w:val="24"/>
        </w:rPr>
        <w:t xml:space="preserve"> x d</w:t>
      </w:r>
      <w:r>
        <w:rPr>
          <w:color w:val="000000"/>
          <w:szCs w:val="24"/>
          <w:vertAlign w:val="subscript"/>
        </w:rPr>
        <w:t>FAK</w:t>
      </w:r>
      <w:r>
        <w:rPr>
          <w:color w:val="000000"/>
          <w:szCs w:val="24"/>
        </w:rPr>
        <w:t xml:space="preserve"> x T x k x 2,</w:t>
        <w:tab/>
        <w:tab/>
        <w:t>kai mokesčio mokėtojas neteikė deklaracijos.</w:t>
      </w:r>
    </w:p>
    <w:p>
      <w:pPr>
        <w:suppressAutoHyphens/>
        <w:ind w:firstLine="567"/>
        <w:jc w:val="both"/>
        <w:textAlignment w:val="center"/>
        <w:rPr>
          <w:color w:val="000000"/>
          <w:szCs w:val="24"/>
        </w:rPr>
      </w:pPr>
      <w:r>
        <w:rPr>
          <w:color w:val="000000"/>
          <w:szCs w:val="24"/>
        </w:rPr>
        <w:t>čia:</w:t>
      </w:r>
    </w:p>
    <w:p>
      <w:pPr>
        <w:suppressAutoHyphens/>
        <w:ind w:firstLine="567"/>
        <w:jc w:val="both"/>
        <w:textAlignment w:val="center"/>
        <w:rPr>
          <w:color w:val="000000"/>
          <w:szCs w:val="24"/>
        </w:rPr>
      </w:pPr>
      <w:r>
        <w:rPr>
          <w:color w:val="000000"/>
          <w:szCs w:val="24"/>
        </w:rPr>
        <w:t>M</w:t>
      </w:r>
      <w:r>
        <w:rPr>
          <w:color w:val="000000"/>
          <w:szCs w:val="24"/>
          <w:vertAlign w:val="subscript"/>
        </w:rPr>
        <w:t>NUS</w:t>
      </w:r>
      <w:r>
        <w:rPr>
          <w:color w:val="000000"/>
          <w:szCs w:val="24"/>
        </w:rPr>
        <w:t> – mokamas mokestis už nuslėptą pakuotės kiekį, Eur;</w:t>
      </w:r>
    </w:p>
    <w:p>
      <w:pPr>
        <w:ind w:firstLine="567"/>
        <w:jc w:val="both"/>
        <w:rPr>
          <w:szCs w:val="24"/>
          <w:lang w:eastAsia="lt-LT"/>
        </w:rPr>
      </w:pPr>
      <w:r>
        <w:rPr>
          <w:szCs w:val="24"/>
          <w:lang w:eastAsia="lt-LT"/>
        </w:rPr>
        <w:t>Q</w:t>
      </w:r>
      <w:r>
        <w:rPr>
          <w:szCs w:val="24"/>
          <w:vertAlign w:val="subscript"/>
          <w:lang w:eastAsia="lt-LT"/>
        </w:rPr>
        <w:t>NUS</w:t>
      </w:r>
      <w:r>
        <w:rPr>
          <w:szCs w:val="24"/>
          <w:lang w:eastAsia="lt-LT"/>
        </w:rPr>
        <w:t> – mokesčio mokėtojo per mokestinį laikotarpį vidaus rinkai tiektos gaminių pripildytos pakuotės nedeklaruotas (nuslėptas) kiekis, t;</w:t>
      </w:r>
    </w:p>
    <w:p>
      <w:pPr>
        <w:suppressAutoHyphens/>
        <w:ind w:firstLine="567"/>
        <w:jc w:val="both"/>
        <w:textAlignment w:val="center"/>
        <w:rPr>
          <w:color w:val="000000"/>
          <w:szCs w:val="24"/>
        </w:rPr>
      </w:pPr>
      <w:r>
        <w:rPr>
          <w:color w:val="000000"/>
          <w:szCs w:val="24"/>
        </w:rPr>
        <w:t>Q</w:t>
      </w:r>
      <w:r>
        <w:rPr>
          <w:color w:val="000000"/>
          <w:szCs w:val="24"/>
          <w:vertAlign w:val="subscript"/>
        </w:rPr>
        <w:t>DEK</w:t>
      </w:r>
      <w:r>
        <w:rPr>
          <w:color w:val="000000"/>
          <w:szCs w:val="24"/>
        </w:rPr>
        <w:t xml:space="preserve"> – mokesčio mokėtojo deklaruotas per mokestinį laikotarpį vidaus rinkai tiektų gaminių pripildytos pakuotės kiekis, t;</w:t>
      </w:r>
    </w:p>
    <w:p>
      <w:pPr>
        <w:suppressAutoHyphens/>
        <w:ind w:firstLine="567"/>
        <w:jc w:val="both"/>
        <w:textAlignment w:val="center"/>
        <w:rPr>
          <w:color w:val="000000"/>
          <w:szCs w:val="24"/>
        </w:rPr>
      </w:pPr>
      <w:r>
        <w:rPr>
          <w:color w:val="000000"/>
          <w:szCs w:val="24"/>
        </w:rPr>
        <w:t>d</w:t>
      </w:r>
      <w:r>
        <w:rPr>
          <w:color w:val="000000"/>
          <w:szCs w:val="24"/>
          <w:vertAlign w:val="subscript"/>
        </w:rPr>
        <w:t>FAK</w:t>
      </w:r>
      <w:r>
        <w:rPr>
          <w:color w:val="000000"/>
          <w:szCs w:val="24"/>
        </w:rPr>
        <w:t xml:space="preserve"> – perskaičiuotas mokėtino mokesčio sumažinimo koeficientas (d), remiantis faktiniu užduoties įvykdymu (F), kuris apskaičiuojamas įvertinus faktinį mokesčio mokėtojo per mokestinį laikotarpį vidaus rinkai tiektos gaminių pripildytos pakuotės kiekį (Q);</w:t>
      </w:r>
    </w:p>
    <w:p>
      <w:pPr>
        <w:suppressAutoHyphens/>
        <w:ind w:firstLine="567"/>
        <w:jc w:val="both"/>
        <w:textAlignment w:val="center"/>
        <w:rPr>
          <w:color w:val="000000"/>
        </w:rPr>
      </w:pPr>
      <w:r>
        <w:rPr>
          <w:color w:val="000000"/>
          <w:szCs w:val="24"/>
        </w:rPr>
        <w:t>d</w:t>
      </w:r>
      <w:r>
        <w:rPr>
          <w:color w:val="000000"/>
          <w:szCs w:val="24"/>
          <w:vertAlign w:val="subscript"/>
        </w:rPr>
        <w:t>DEK</w:t>
      </w:r>
      <w:r>
        <w:rPr>
          <w:color w:val="000000"/>
          <w:szCs w:val="24"/>
        </w:rPr>
        <w:t xml:space="preserve"> – mokėtino mokesčio sumažinimo koeficientas (d), apskaičiuotas remiantis deklaracijoje nurodytu užduoties įvykdymu (F), kuris apskaičiuojamas įvertinus mokesčio mokėtojo deklaruotą per mokestinį laikotarpį vidaus rinkai tiektos gaminių pripildytos pakuotės kiekį (Q).</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b2f10a2fa11e4a82d9548fb36f682">
        <w:r w:rsidRPr="00532B9F">
          <w:rPr>
            <w:rFonts w:ascii="Times New Roman" w:eastAsia="MS Mincho" w:hAnsi="Times New Roman"/>
            <w:sz w:val="20"/>
            <w:i/>
            <w:iCs/>
            <w:color w:val="0000FF" w:themeColor="hyperlink"/>
            <w:u w:val="single"/>
          </w:rPr>
          <w:t>D1-38/K1-023</w:t>
        </w:r>
      </w:fldSimple>
      <w:r>
        <w:rPr>
          <w:rFonts w:ascii="Times New Roman" w:eastAsia="MS Mincho" w:hAnsi="Times New Roman"/>
          <w:sz w:val="20"/>
          <w:i/>
          <w:iCs/>
        </w:rPr>
        <w:t>,
2015-01-19,
paskelbta TAR 2015-01-26, i. k. 2015-01009            </w:t>
      </w:r>
    </w:p>
    <w:p/>
    <w:p>
      <w:pPr>
        <w:widowControl w:val="0"/>
        <w:jc w:val="center"/>
        <w:rPr>
          <w:b/>
          <w:bCs/>
          <w:caps/>
          <w:color w:val="000000"/>
        </w:rPr>
      </w:pPr>
      <w:r>
        <w:rPr>
          <w:b/>
          <w:bCs/>
          <w:caps/>
          <w:color w:val="000000"/>
        </w:rPr>
        <w:t>III</w:t>
      </w:r>
      <w:r>
        <w:rPr>
          <w:b/>
          <w:bCs/>
          <w:caps/>
          <w:color w:val="000000"/>
        </w:rPr>
        <w:t xml:space="preserve">. </w:t>
      </w:r>
      <w:r>
        <w:rPr>
          <w:b/>
          <w:bCs/>
          <w:caps/>
          <w:color w:val="000000"/>
        </w:rPr>
        <w:t xml:space="preserve">MOKESČIO LENGVATŲ TAIKYMO TVARKA </w:t>
      </w:r>
    </w:p>
    <w:p>
      <w:pPr>
        <w:widowControl w:val="0"/>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BDF7400F09">
        <w:r w:rsidRPr="00532B9F">
          <w:rPr>
            <w:rFonts w:ascii="Times New Roman" w:eastAsia="MS Mincho" w:hAnsi="Times New Roman"/>
            <w:sz w:val="20"/>
            <w:i/>
            <w:iCs/>
            <w:color w:val="0000FF" w:themeColor="hyperlink"/>
            <w:u w:val="single"/>
          </w:rPr>
          <w:t>D1-963/1K-390</w:t>
        </w:r>
      </w:fldSimple>
      <w:r>
        <w:rPr>
          <w:rFonts w:ascii="Times New Roman" w:eastAsia="MS Mincho" w:hAnsi="Times New Roman"/>
          <w:sz w:val="20"/>
          <w:i/>
          <w:iCs/>
        </w:rPr>
        <w:t>,
2012-11-23,
Žin., 2012, Nr.
138-7090 (2012-11-29), i. k. 112301MISAK3/1K-390        </w:t>
      </w:r>
    </w:p>
    <w:p/>
    <w:p>
      <w:pPr>
        <w:widowControl w:val="0"/>
        <w:ind w:firstLine="567"/>
        <w:jc w:val="both"/>
        <w:rPr>
          <w:color w:val="000000"/>
        </w:rPr>
      </w:pPr>
      <w:r>
        <w:rPr>
          <w:color w:val="000000"/>
        </w:rPr>
        <w:t>13</w:t>
      </w:r>
      <w:r>
        <w:rPr>
          <w:color w:val="000000"/>
        </w:rPr>
        <w:t>. Gaminių pripildytos pakuotės išvežimas iš Lietuvos Respublikos teritorijos:</w:t>
      </w:r>
    </w:p>
    <w:p>
      <w:pPr>
        <w:widowControl w:val="0"/>
        <w:ind w:firstLine="567"/>
        <w:jc w:val="both"/>
        <w:rPr>
          <w:color w:val="000000"/>
        </w:rPr>
      </w:pPr>
      <w:r>
        <w:rPr>
          <w:color w:val="000000"/>
        </w:rPr>
        <w:t>13.1</w:t>
      </w:r>
      <w:r>
        <w:rPr>
          <w:color w:val="000000"/>
        </w:rPr>
        <w:t>. mokesčio mokėtojai, kurie išveža iš Lietuvos Respublikos teritorijos gaminių pripildytą pakuotę ir nori būti atleisti nuo mokesčio už išvežtą iš Lietuvos Respublikos teritorijos per mokestinį laikotarpį gaminių pripildytą pakuotę, privalo turėti dokumentus, patvirtinančius išvežtos pakuotės kiekį, ir pateikti šiuos dokumentus, kai to pareikalauja įmonę tikrinantis pareigūnas. Tokie dokumentai gali būti pirkimo–pardavimo sutartys, PVM sąskaitos faktūros, sąskaitos faktūros, gabenimo dokumentai (gaunami iš vežėjo, atsakingo už prekių išgabenimą), draudimo dokumentai, pirkėjo apmokėjimo dokumentai, pirkėjo patvirtinimas, kad prekės gautos, užsakymai, kita korespondencija ir pan.;</w:t>
      </w:r>
    </w:p>
    <w:p>
      <w:pPr>
        <w:widowControl w:val="0"/>
        <w:ind w:firstLine="567"/>
        <w:jc w:val="both"/>
        <w:rPr>
          <w:color w:val="000000"/>
        </w:rPr>
      </w:pPr>
      <w:r>
        <w:rPr>
          <w:color w:val="000000"/>
        </w:rPr>
        <w:t>13.2</w:t>
      </w:r>
      <w:r>
        <w:rPr>
          <w:color w:val="000000"/>
        </w:rPr>
        <w:t>. mokesčio mokėtojas, kuris išveža iš Europos Sąjungos valstybių narių teritorijos gaminius, supakuotus į pakuotę, papildomai privalo turėti atitinkamus muitinės dokumentus, įrodančius, kad gaminiai, supakuoti į pakuotę, yra išvežti iš Europos Sąjungos valstybių narių teritorijos;</w:t>
      </w:r>
    </w:p>
    <w:p>
      <w:pPr>
        <w:widowControl w:val="0"/>
        <w:ind w:firstLine="567"/>
        <w:jc w:val="both"/>
        <w:rPr>
          <w:color w:val="000000"/>
        </w:rPr>
      </w:pPr>
      <w:r>
        <w:rPr>
          <w:color w:val="000000"/>
        </w:rPr>
        <w:t>13.3</w:t>
      </w:r>
      <w:r>
        <w:rPr>
          <w:color w:val="000000"/>
        </w:rPr>
        <w:t>. mokesčio mokėtojas, kuris išveža pakuotę iš Lietuvos Respublikos teritorijos per trečiuosius asmenis, norintis pasinaudoti šia mokesčio lengvata, privalo turėti sutartį su trečiuoju asmeniu dėl mokesčių mokėtojui priklausančios pakuotės išvežimo iš Lietuvos Respublikos teritorijos ir dokumentų, patvirtinančių pakuotės išvežimą iš Lietuvos Respublikos teritorijos, kopijas, patvirtintas trečiojo asmens atsakingo asmens;</w:t>
      </w:r>
    </w:p>
    <w:p>
      <w:pPr>
        <w:widowControl w:val="0"/>
        <w:ind w:firstLine="567"/>
        <w:jc w:val="both"/>
        <w:rPr>
          <w:color w:val="000000"/>
        </w:rPr>
      </w:pPr>
      <w:r>
        <w:rPr>
          <w:color w:val="000000"/>
        </w:rPr>
        <w:t>13.4</w:t>
      </w:r>
      <w:r>
        <w:rPr>
          <w:color w:val="000000"/>
        </w:rPr>
        <w:t>. mokesčio mokėtojas nuo mokesčio už išvežtą pakuotę per trečiuosius asmenis yra atleidžiamas tik tuo atveju, jei tretysis asmuo, kuris yra suprantamas kaip asmuo, kuriam pagal sutartį mokesčio mokėtojas perleido savo pakuotę, išvežė šią pakuotę iš Lietuvos Respublikos teritorijos pats ar naudodamasis kitų asmenų teikiamomis transportavimo paslaugomis. Tretysis asmuo negali perleisti kitam asmeniui šios pakuotės išvežimo prievolės. Jei tretysis asmuo taip pat yra mokesčio už aplinkos teršimą mokėtojas, tai jo, kaip trečiojo asmens, išvežta kito asmens pakuotė neturi įtakos jo pakuotės kiekiui.</w:t>
      </w:r>
    </w:p>
    <w:p>
      <w:pPr>
        <w:widowControl w:val="0"/>
        <w:ind w:firstLine="567"/>
        <w:jc w:val="both"/>
        <w:rPr>
          <w:color w:val="000000"/>
        </w:rPr>
      </w:pPr>
      <w:r>
        <w:rPr>
          <w:color w:val="000000"/>
        </w:rPr>
        <w:t>14</w:t>
      </w:r>
      <w:r>
        <w:rPr>
          <w:color w:val="000000"/>
        </w:rPr>
        <w:t>. Pakuotės atliekų surinkėjas ir (ar) eksportuotojas, ir (ar) naudotojas (perdirbėjas), Lietuvos Respublikos aplinkos ministro įsakymu patvirtinta tvarka įrašytas į Gaminių ir (ar) pakuočių atliekų sutvarkymą įrodančius dokumentus turinčių teisę išrašyti atliekų tvarkytojų sąrašą (toliau – Tvarkytojas), patvirtina pakuotės atliekų perdirbtą ar panaudotą energijai gauti kiekį, išrašydamas mokestiniu laikotarpiu ar jam pasibaigus, bet ne vėliau kaip per 30 dienų nuo mokestinio laikotarpio pabaigos dokumentus, įrodančius pakuotės atliekų sutvarkymą (toliau – Dokumentas) mokesčio mokėtojams ir (ar) organizacijoms, nurodytoms Lietuvos Respublikos atliekų tvarkymo įstatymo 34</w:t>
      </w:r>
      <w:r>
        <w:rPr>
          <w:color w:val="000000"/>
          <w:vertAlign w:val="superscript"/>
        </w:rPr>
        <w:t>22</w:t>
      </w:r>
      <w:r>
        <w:rPr>
          <w:color w:val="000000"/>
        </w:rPr>
        <w:t xml:space="preserve"> straipsnyje (toliau – Organizacija). Mokesčio mokėtojas ir (ar) Organizacija iš Tvarkytojų gautus Dokumentus privalo saugoti ir pateikti, kai to pareikalauja patikrinimą atliekantis inspektorius.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BDF7400F09">
        <w:r w:rsidRPr="00532B9F">
          <w:rPr>
            <w:rFonts w:ascii="Times New Roman" w:eastAsia="MS Mincho" w:hAnsi="Times New Roman"/>
            <w:sz w:val="20"/>
            <w:i/>
            <w:iCs/>
            <w:color w:val="0000FF" w:themeColor="hyperlink"/>
            <w:u w:val="single"/>
          </w:rPr>
          <w:t>D1-963/1K-390</w:t>
        </w:r>
      </w:fldSimple>
      <w:r>
        <w:rPr>
          <w:rFonts w:ascii="Times New Roman" w:eastAsia="MS Mincho" w:hAnsi="Times New Roman"/>
          <w:sz w:val="20"/>
          <w:i/>
          <w:iCs/>
        </w:rPr>
        <w:t>,
2012-11-23,
Žin., 2012, Nr.
138-7090 (2012-11-29), i. k. 112301MISAK3/1K-390            </w:t>
      </w:r>
    </w:p>
    <w:p/>
    <w:p>
      <w:pPr>
        <w:widowControl w:val="0"/>
        <w:ind w:firstLine="567"/>
        <w:jc w:val="both"/>
        <w:rPr>
          <w:color w:val="000000"/>
        </w:rPr>
      </w:pPr>
      <w:r>
        <w:rPr>
          <w:color w:val="000000"/>
        </w:rPr>
        <w:t>15</w:t>
      </w:r>
      <w:r>
        <w:rPr>
          <w:color w:val="000000"/>
        </w:rPr>
        <w:t>. Tvarkytojas sudaro metinę ataskaitą apie per mokestinį laikotarpį išrašytus Dokumentus. Šios ataskaitos teikimo tvarka tvirtinama Lietuvos Respublikos aplinkos ministro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BDF7400F09">
        <w:r w:rsidRPr="00532B9F">
          <w:rPr>
            <w:rFonts w:ascii="Times New Roman" w:eastAsia="MS Mincho" w:hAnsi="Times New Roman"/>
            <w:sz w:val="20"/>
            <w:i/>
            <w:iCs/>
            <w:color w:val="0000FF" w:themeColor="hyperlink"/>
            <w:u w:val="single"/>
          </w:rPr>
          <w:t>D1-963/1K-390</w:t>
        </w:r>
      </w:fldSimple>
      <w:r>
        <w:rPr>
          <w:rFonts w:ascii="Times New Roman" w:eastAsia="MS Mincho" w:hAnsi="Times New Roman"/>
          <w:sz w:val="20"/>
          <w:i/>
          <w:iCs/>
        </w:rPr>
        <w:t>,
2012-11-23,
Žin., 2012, Nr.
138-7090 (2012-11-29), i. k. 112301MISAK3/1K-390            </w:t>
      </w:r>
    </w:p>
    <w:p/>
    <w:p>
      <w:pPr>
        <w:widowControl w:val="0"/>
        <w:ind w:firstLine="567"/>
        <w:jc w:val="both"/>
        <w:rPr>
          <w:color w:val="000000"/>
        </w:rPr>
      </w:pPr>
      <w:r>
        <w:rPr>
          <w:color w:val="000000"/>
        </w:rPr>
        <w:t>16</w:t>
      </w:r>
      <w:r>
        <w:rPr>
          <w:color w:val="000000"/>
        </w:rPr>
        <w:t>. Organizacija sudaro metinę ataskaitą apie per mokestinį laikotarpį gautus Dokumentus iš Tvarkytojų ir jų paskirstymą Organizacijos nariams. Šios ataskaitos teikimo tvarka tvirtinama Lietuvos Respublikos aplinkos ministro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BDF7400F09">
        <w:r w:rsidRPr="00532B9F">
          <w:rPr>
            <w:rFonts w:ascii="Times New Roman" w:eastAsia="MS Mincho" w:hAnsi="Times New Roman"/>
            <w:sz w:val="20"/>
            <w:i/>
            <w:iCs/>
            <w:color w:val="0000FF" w:themeColor="hyperlink"/>
            <w:u w:val="single"/>
          </w:rPr>
          <w:t>D1-963/1K-390</w:t>
        </w:r>
      </w:fldSimple>
      <w:r>
        <w:rPr>
          <w:rFonts w:ascii="Times New Roman" w:eastAsia="MS Mincho" w:hAnsi="Times New Roman"/>
          <w:sz w:val="20"/>
          <w:i/>
          <w:iCs/>
        </w:rPr>
        <w:t>,
2012-11-23,
Žin., 2012, Nr.
138-7090 (2012-11-29), i. k. 112301MISAK3/1K-390            </w:t>
      </w:r>
    </w:p>
    <w:p/>
    <w:p>
      <w:pPr>
        <w:widowControl w:val="0"/>
        <w:jc w:val="center"/>
        <w:rPr>
          <w:b/>
          <w:bCs/>
          <w:caps/>
          <w:color w:val="000000"/>
        </w:rPr>
      </w:pPr>
      <w:r>
        <w:rPr>
          <w:b/>
          <w:bCs/>
          <w:caps/>
          <w:color w:val="000000"/>
        </w:rPr>
        <w:t>IV</w:t>
      </w:r>
      <w:r>
        <w:rPr>
          <w:b/>
          <w:bCs/>
          <w:caps/>
          <w:color w:val="000000"/>
        </w:rPr>
        <w:t xml:space="preserve">. </w:t>
      </w:r>
      <w:r>
        <w:rPr>
          <w:b/>
          <w:bCs/>
          <w:caps/>
          <w:color w:val="000000"/>
        </w:rPr>
        <w:t>MOKESČIO SUMOKĖJIMAS</w:t>
      </w:r>
    </w:p>
    <w:p>
      <w:pPr>
        <w:widowControl w:val="0"/>
        <w:ind w:firstLine="567"/>
        <w:jc w:val="both"/>
        <w:rPr>
          <w:color w:val="000000"/>
        </w:rPr>
      </w:pPr>
    </w:p>
    <w:p>
      <w:pPr>
        <w:widowControl w:val="0"/>
        <w:ind w:firstLine="567"/>
        <w:jc w:val="both"/>
        <w:rPr>
          <w:color w:val="000000"/>
        </w:rPr>
      </w:pPr>
      <w:r>
        <w:rPr>
          <w:color w:val="000000"/>
        </w:rPr>
        <w:t>17</w:t>
      </w:r>
      <w:r>
        <w:rPr>
          <w:color w:val="000000"/>
        </w:rPr>
        <w:t>. Mokesčio mokėtojas sumoka mokestį ir pateikia teritorinei valstybinei mokesčių inspekcijai Mokesčio už aplinkos teršimą pakuotės atliekomis deklaraciją, kurios formą, pildymo ir pateikimo taisykles nustato Valstybinė mokesčių inspekcija prie Lietuvos Respublikos finansų ministerijos kartu su Aplinkos ministerija, Lietuvos Respublikos mokesčio už aplinkos teršimą įstatyme nustatyta tvarka.</w:t>
      </w:r>
    </w:p>
    <w:p>
      <w:pPr>
        <w:widowControl w:val="0"/>
        <w:ind w:firstLine="567"/>
        <w:jc w:val="both"/>
        <w:rPr>
          <w:color w:val="000000"/>
        </w:rPr>
      </w:pPr>
      <w:r>
        <w:rPr>
          <w:color w:val="000000"/>
        </w:rPr>
        <w:t>18</w:t>
      </w:r>
      <w:r>
        <w:rPr>
          <w:color w:val="000000"/>
        </w:rPr>
        <w:t xml:space="preserve">. Patikrinimo metu papildomai apskaičiuotas mokestis ir su juo susijusios sumos sumokamos arba išieškomos Lietuvos Respublikos mokesčių administravimo įstatyme (Žin., 2004, Nr. </w:t>
      </w:r>
      <w:hyperlink r:id="rId79" w:tgtFrame="_blank" w:history="1">
        <w:r>
          <w:rPr>
            <w:color w:val="0000FF" w:themeColor="hyperlink"/>
            <w:u w:val="single"/>
          </w:rPr>
          <w:t>63-2243</w:t>
        </w:r>
      </w:hyperlink>
      <w:r>
        <w:rPr>
          <w:color w:val="000000"/>
        </w:rPr>
        <w:t>) nustatyta tvarka.</w:t>
      </w:r>
    </w:p>
    <w:p>
      <w:pPr>
        <w:widowControl w:val="0"/>
        <w:ind w:firstLine="567"/>
        <w:jc w:val="both"/>
        <w:rPr>
          <w:color w:val="000000"/>
        </w:rPr>
      </w:pPr>
    </w:p>
    <w:p>
      <w:pPr>
        <w:widowControl w:val="0"/>
        <w:jc w:val="center"/>
        <w:rPr>
          <w:color w:val="000000"/>
        </w:rPr>
      </w:pPr>
      <w:r>
        <w:rPr>
          <w:color w:val="000000"/>
        </w:rPr>
        <w:t>_________________</w:t>
      </w:r>
    </w:p>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8426E58AD8">
        <w:r w:rsidRPr="00532B9F">
          <w:rPr>
            <w:rFonts w:ascii="Times New Roman" w:eastAsia="MS Mincho" w:hAnsi="Times New Roman"/>
            <w:sz w:val="20"/>
            <w:i/>
            <w:iCs/>
            <w:color w:val="0000FF" w:themeColor="hyperlink"/>
            <w:u w:val="single"/>
          </w:rPr>
          <w:t>D1-307/1K-132</w:t>
        </w:r>
      </w:fldSimple>
      <w:r>
        <w:rPr>
          <w:rFonts w:ascii="Times New Roman" w:eastAsia="MS Mincho" w:hAnsi="Times New Roman"/>
          <w:sz w:val="20"/>
          <w:i/>
          <w:iCs/>
        </w:rPr>
        <w:t>,
2012-04-10,
Žin., 2012, Nr.
44-2163 (2012-04-14), i. k. 112301MISAK7/1K-132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ADDD1C4C0F">
        <w:r w:rsidRPr="00532B9F">
          <w:rPr>
            <w:rFonts w:ascii="Times New Roman" w:eastAsia="MS Mincho" w:hAnsi="Times New Roman"/>
            <w:sz w:val="20"/>
            <w:iCs/>
            <w:color w:val="0000FF" w:themeColor="hyperlink"/>
            <w:u w:val="single"/>
          </w:rPr>
          <w:t>D1-389/1K-215</w:t>
        </w:r>
      </w:fldSimple>
      <w:r>
        <w:rPr>
          <w:rFonts w:ascii="Times New Roman" w:eastAsia="MS Mincho" w:hAnsi="Times New Roman"/>
          <w:sz w:val="20"/>
          <w:iCs/>
        </w:rPr>
        <w:t>,
2009-07-07,
Žin., 2009, Nr.
83-3474 (2009-07-14), i. k. 109301MISAK9/1K-215                </w:t>
      </w:r>
    </w:p>
    <w:p>
      <w:pPr>
        <w:jc w:val="both"/>
        <w:rPr>
          <w:rFonts w:ascii="Times New Roman" w:hAnsi="Times New Roman"/>
        </w:rPr>
      </w:pPr>
      <w:r>
        <w:rPr>
          <w:rFonts w:ascii="Times New Roman" w:hAnsi="Times New Roman"/>
          <w:sz w:val="20"/>
        </w:rPr>
        <w:t>Dėl aplinkos ministro ir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E95FA75557">
        <w:r w:rsidRPr="00532B9F">
          <w:rPr>
            <w:rFonts w:ascii="Times New Roman" w:eastAsia="MS Mincho" w:hAnsi="Times New Roman"/>
            <w:sz w:val="20"/>
            <w:iCs/>
            <w:color w:val="0000FF" w:themeColor="hyperlink"/>
            <w:u w:val="single"/>
          </w:rPr>
          <w:t>D1-326/1K-117</w:t>
        </w:r>
      </w:fldSimple>
      <w:r>
        <w:rPr>
          <w:rFonts w:ascii="Times New Roman" w:eastAsia="MS Mincho" w:hAnsi="Times New Roman"/>
          <w:sz w:val="20"/>
          <w:iCs/>
        </w:rPr>
        <w:t>,
2010-04-22,
Žin., 2010, Nr.
49-2411 (2010-04-29), i. k. 110301MISAK6/1K-117                </w:t>
      </w:r>
    </w:p>
    <w:p>
      <w:pPr>
        <w:jc w:val="both"/>
        <w:rPr>
          <w:rFonts w:ascii="Times New Roman" w:hAnsi="Times New Roman"/>
        </w:rPr>
      </w:pPr>
      <w:r>
        <w:rPr>
          <w:rFonts w:ascii="Times New Roman" w:hAnsi="Times New Roman"/>
          <w:sz w:val="20"/>
        </w:rPr>
        <w:t>Dėl Lietuvos Respublikos aplinkos ministro ir Lietuvos Respublikos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8426E58AD8">
        <w:r w:rsidRPr="00532B9F">
          <w:rPr>
            <w:rFonts w:ascii="Times New Roman" w:eastAsia="MS Mincho" w:hAnsi="Times New Roman"/>
            <w:sz w:val="20"/>
            <w:iCs/>
            <w:color w:val="0000FF" w:themeColor="hyperlink"/>
            <w:u w:val="single"/>
          </w:rPr>
          <w:t>D1-307/1K-132</w:t>
        </w:r>
      </w:fldSimple>
      <w:r>
        <w:rPr>
          <w:rFonts w:ascii="Times New Roman" w:eastAsia="MS Mincho" w:hAnsi="Times New Roman"/>
          <w:sz w:val="20"/>
          <w:iCs/>
        </w:rPr>
        <w:t>,
2012-04-10,
Žin., 2012, Nr.
44-2163 (2012-04-14), i. k. 112301MISAK7/1K-132                </w:t>
      </w:r>
    </w:p>
    <w:p>
      <w:pPr>
        <w:jc w:val="both"/>
        <w:rPr>
          <w:rFonts w:ascii="Times New Roman" w:hAnsi="Times New Roman"/>
        </w:rPr>
      </w:pPr>
      <w:r>
        <w:rPr>
          <w:rFonts w:ascii="Times New Roman" w:hAnsi="Times New Roman"/>
          <w:sz w:val="20"/>
        </w:rPr>
        <w:t>Dėl Lietuvos Respublikos aplinkos ministro ir Lietuvos Respublikos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0BDF7400F09">
        <w:r w:rsidRPr="00532B9F">
          <w:rPr>
            <w:rFonts w:ascii="Times New Roman" w:eastAsia="MS Mincho" w:hAnsi="Times New Roman"/>
            <w:sz w:val="20"/>
            <w:iCs/>
            <w:color w:val="0000FF" w:themeColor="hyperlink"/>
            <w:u w:val="single"/>
          </w:rPr>
          <w:t>D1-963/1K-390</w:t>
        </w:r>
      </w:fldSimple>
      <w:r>
        <w:rPr>
          <w:rFonts w:ascii="Times New Roman" w:eastAsia="MS Mincho" w:hAnsi="Times New Roman"/>
          <w:sz w:val="20"/>
          <w:iCs/>
        </w:rPr>
        <w:t>,
2012-11-23,
Žin., 2012, Nr.
138-7090 (2012-11-29), i. k. 112301MISAK3/1K-390                </w:t>
      </w:r>
    </w:p>
    <w:p>
      <w:pPr>
        <w:jc w:val="both"/>
        <w:rPr>
          <w:rFonts w:ascii="Times New Roman" w:hAnsi="Times New Roman"/>
        </w:rPr>
      </w:pPr>
      <w:r>
        <w:rPr>
          <w:rFonts w:ascii="Times New Roman" w:hAnsi="Times New Roman"/>
          <w:sz w:val="20"/>
        </w:rPr>
        <w:t>Dėl Lietuvos Respublikos aplinkos ministro ir Lietuvos Respublikos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finansų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033818B7245">
        <w:r w:rsidRPr="00532B9F">
          <w:rPr>
            <w:rFonts w:ascii="Times New Roman" w:eastAsia="MS Mincho" w:hAnsi="Times New Roman"/>
            <w:sz w:val="20"/>
            <w:iCs/>
            <w:color w:val="0000FF" w:themeColor="hyperlink"/>
            <w:u w:val="single"/>
          </w:rPr>
          <w:t>D1-636/1K-299</w:t>
        </w:r>
      </w:fldSimple>
      <w:r>
        <w:rPr>
          <w:rFonts w:ascii="Times New Roman" w:eastAsia="MS Mincho" w:hAnsi="Times New Roman"/>
          <w:sz w:val="20"/>
          <w:iCs/>
        </w:rPr>
        <w:t>,
2013-08-29,
Žin., 2013, Nr.
93-4666 (2013-09-04), i. k. 113301MISAK6/1K-299                </w:t>
      </w:r>
    </w:p>
    <w:p>
      <w:pPr>
        <w:jc w:val="both"/>
        <w:rPr>
          <w:rFonts w:ascii="Times New Roman" w:hAnsi="Times New Roman"/>
        </w:rPr>
      </w:pPr>
      <w:r>
        <w:rPr>
          <w:rFonts w:ascii="Times New Roman" w:hAnsi="Times New Roman"/>
          <w:sz w:val="20"/>
        </w:rPr>
        <w:t>Dėl Lietuvos Respublikos aplinkos ministro ir Lietuvos Respublikos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36b2f10a2fa11e4a82d9548fb36f682">
        <w:r w:rsidRPr="00532B9F">
          <w:rPr>
            <w:rFonts w:ascii="Times New Roman" w:eastAsia="MS Mincho" w:hAnsi="Times New Roman"/>
            <w:sz w:val="20"/>
            <w:iCs/>
            <w:color w:val="0000FF" w:themeColor="hyperlink"/>
            <w:u w:val="single"/>
          </w:rPr>
          <w:t>D1-38/K1-023</w:t>
        </w:r>
      </w:fldSimple>
      <w:r>
        <w:rPr>
          <w:rFonts w:ascii="Times New Roman" w:eastAsia="MS Mincho" w:hAnsi="Times New Roman"/>
          <w:sz w:val="20"/>
          <w:iCs/>
        </w:rPr>
        <w:t>,
2015-01-19,
paskelbta TAR 2015-01-26, i. k. 2015-01009                </w:t>
      </w:r>
    </w:p>
    <w:p>
      <w:pPr>
        <w:jc w:val="both"/>
        <w:rPr>
          <w:rFonts w:ascii="Times New Roman" w:hAnsi="Times New Roman"/>
        </w:rPr>
      </w:pPr>
      <w:r>
        <w:rPr>
          <w:rFonts w:ascii="Times New Roman" w:hAnsi="Times New Roman"/>
          <w:sz w:val="20"/>
        </w:rPr>
        <w:t>Dėl Lietuvos Respublikos aplinkos ministro ir Lietuvos Respublikos finansų ministro 2008 m. liepos 9 d. įsakymo Nr. D1-370/1K-230 „Dėl Mokesčio už aplinkos teršimą apskaičiavimo ir mokėjimo tvarkos aprašų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999BB2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oleObject" Target="embeddings/oleObject1.bin"/>
  <Relationship Id="rId10" Type="http://schemas.openxmlformats.org/officeDocument/2006/relationships/fontTable" Target="fontTable.xml"/>
  <Relationship Id="rId11" Type="http://schemas.openxmlformats.org/officeDocument/2006/relationships/footnotes" Target="footnotes.xml"/>
  <Relationship Id="rId12" Type="http://schemas.openxmlformats.org/officeDocument/2006/relationships/hyperlink" TargetMode="External" Target="https://www.e-tar.lt/portal/lt/legalAct/TAR.0363A24E0933"/>
  <Relationship Id="rId13" Type="http://schemas.openxmlformats.org/officeDocument/2006/relationships/hyperlink" TargetMode="External" Target="https://www.e-tar.lt/portal/lt/legalAct/TAR.385773CCCFE8"/>
  <Relationship Id="rId14" Type="http://schemas.openxmlformats.org/officeDocument/2006/relationships/hyperlink" TargetMode="External" Target="https://www.e-tar.lt/portal/lt/legalAct/TAR.45D65E4AAB08"/>
  <Relationship Id="rId15" Type="http://schemas.openxmlformats.org/officeDocument/2006/relationships/hyperlink" TargetMode="External" Target="https://www.e-tar.lt/portal/lt/legalAct/TAR.4CADB5864B45"/>
  <Relationship Id="rId16" Type="http://schemas.openxmlformats.org/officeDocument/2006/relationships/hyperlink" TargetMode="External" Target="https://www.e-tar.lt/portal/lt/legalAct/TAR.4F1733206141"/>
  <Relationship Id="rId17" Type="http://schemas.openxmlformats.org/officeDocument/2006/relationships/hyperlink" TargetMode="External" Target="https://www.e-tar.lt/portal/lt/legalAct/TAR.677E0A63A536"/>
  <Relationship Id="rId18" Type="http://schemas.openxmlformats.org/officeDocument/2006/relationships/hyperlink" TargetMode="External" Target="https://www.e-tar.lt/portal/lt/legalAct/TAR.A8A8671E0878"/>
  <Relationship Id="rId19" Type="http://schemas.openxmlformats.org/officeDocument/2006/relationships/image" Target="media/image2.wmf"/>
  <Relationship Id="rId2" Type="http://schemas.openxmlformats.org/officeDocument/2006/relationships/oleObject" Target="embeddings/oleObject16.bin"/>
  <Relationship Id="rId20" Type="http://schemas.openxmlformats.org/officeDocument/2006/relationships/image" Target="media/image3.wmf"/>
  <Relationship Id="rId21" Type="http://schemas.openxmlformats.org/officeDocument/2006/relationships/settings" Target="settings.xml"/>
  <Relationship Id="rId22" Type="http://schemas.openxmlformats.org/officeDocument/2006/relationships/styles" Target="styles.xml"/>
  <Relationship Id="rId23" Type="http://schemas.microsoft.com/office/2007/relationships/stylesWithEffects" Target="stylesWithEffects.xml"/>
  <Relationship Id="rId24" Type="http://schemas.openxmlformats.org/officeDocument/2006/relationships/theme" Target="theme/theme1.xml"/>
  <Relationship Id="rId25" Type="http://schemas.openxmlformats.org/officeDocument/2006/relationships/webSettings" Target="webSettings.xml"/>
  <Relationship Id="rId26" Type="http://schemas.openxmlformats.org/officeDocument/2006/relationships/image" Target="media/image1.wmf"/>
  <Relationship Id="rId27" Type="http://schemas.openxmlformats.org/officeDocument/2006/relationships/control" Target="activeX/activeX1.xml"/>
  <Relationship Id="rId28" Type="http://schemas.openxmlformats.org/officeDocument/2006/relationships/hyperlink" TargetMode="External" Target="https://www.e-tar.lt/portal/lt/legalAct/TAR.FFF9AE9162EE"/>
  <Relationship Id="rId29" Type="http://schemas.openxmlformats.org/officeDocument/2006/relationships/hyperlink" TargetMode="External" Target="https://www.e-tar.lt/portal/lt/legalAct/TAR.7E966DA54042"/>
  <Relationship Id="rId3" Type="http://schemas.openxmlformats.org/officeDocument/2006/relationships/oleObject" Target="embeddings/oleObject2.bin"/>
  <Relationship Id="rId30" Type="http://schemas.openxmlformats.org/officeDocument/2006/relationships/hyperlink" TargetMode="External" Target="https://www.e-tar.lt/portal/lt/legalAct/TAR.6521B8D2B325"/>
  <Relationship Id="rId31" Type="http://schemas.openxmlformats.org/officeDocument/2006/relationships/hyperlink" TargetMode="External" Target="https://www.e-tar.lt/portal/lt/legalAct/TAR.65DC02108F1A"/>
  <Relationship Id="rId32" Type="http://schemas.openxmlformats.org/officeDocument/2006/relationships/hyperlink" TargetMode="External" Target="https://www.e-tar.lt/portal/lt/legalAct/TAR.0CD4DCE58BEA"/>
  <Relationship Id="rId33" Type="http://schemas.openxmlformats.org/officeDocument/2006/relationships/hyperlink" TargetMode="External" Target="https://www.e-tar.lt/portal/lt/legalAct/TAR.6DBBDA0F3E79"/>
  <Relationship Id="rId34" Type="http://schemas.openxmlformats.org/officeDocument/2006/relationships/hyperlink" TargetMode="External" Target="https://www.e-tar.lt/portal/lt/legalAct/TAR.025EDEF15060"/>
  <Relationship Id="rId35" Type="http://schemas.openxmlformats.org/officeDocument/2006/relationships/hyperlink" TargetMode="External" Target="https://www.e-tar.lt/portal/lt/legalAct/TAR.2DAB4AAEDF96"/>
  <Relationship Id="rId36" Type="http://schemas.openxmlformats.org/officeDocument/2006/relationships/hyperlink" TargetMode="External" Target="https://www.e-tar.lt/portal/lt/legalAct/TAR.54C235BF9732"/>
  <Relationship Id="rId37" Type="http://schemas.openxmlformats.org/officeDocument/2006/relationships/hyperlink" TargetMode="External" Target="https://www.e-tar.lt/portal/lt/legalAct/TAR.C62558E5E741"/>
  <Relationship Id="rId38" Type="http://schemas.openxmlformats.org/officeDocument/2006/relationships/hyperlink" TargetMode="External" Target="https://www.e-tar.lt/portal/lt/legalAct/TAR.725AD9B2582B"/>
  <Relationship Id="rId39" Type="http://schemas.openxmlformats.org/officeDocument/2006/relationships/header" Target="header1.xml"/>
  <Relationship Id="rId4" Type="http://schemas.openxmlformats.org/officeDocument/2006/relationships/oleObject" Target="embeddings/oleObject3.bin"/>
  <Relationship Id="rId40" Type="http://schemas.openxmlformats.org/officeDocument/2006/relationships/header" Target="header2.xml"/>
  <Relationship Id="rId41" Type="http://schemas.openxmlformats.org/officeDocument/2006/relationships/footer" Target="footer1.xml"/>
  <Relationship Id="rId42" Type="http://schemas.openxmlformats.org/officeDocument/2006/relationships/footer" Target="footer2.xml"/>
  <Relationship Id="rId43" Type="http://schemas.openxmlformats.org/officeDocument/2006/relationships/header" Target="header3.xml"/>
  <Relationship Id="rId44" Type="http://schemas.openxmlformats.org/officeDocument/2006/relationships/footer" Target="footer3.xml"/>
  <Relationship Id="rId45" Type="http://schemas.openxmlformats.org/officeDocument/2006/relationships/image" Target="media/image5.wmf"/>
  <Relationship Id="rId46" Type="http://schemas.openxmlformats.org/officeDocument/2006/relationships/oleObject" Target="embeddings/oleObject8.bin"/>
  <Relationship Id="rId47" Type="http://schemas.openxmlformats.org/officeDocument/2006/relationships/image" Target="media/image4.wmf"/>
  <Relationship Id="rId48" Type="http://schemas.openxmlformats.org/officeDocument/2006/relationships/oleObject" Target="embeddings/oleObject9.bin"/>
  <Relationship Id="rId49" Type="http://schemas.openxmlformats.org/officeDocument/2006/relationships/image" Target="media/image5.wmf"/>
  <Relationship Id="rId5" Type="http://schemas.openxmlformats.org/officeDocument/2006/relationships/oleObject" Target="embeddings/oleObject4.bin"/>
  <Relationship Id="rId50" Type="http://schemas.openxmlformats.org/officeDocument/2006/relationships/oleObject" Target="embeddings/oleObject10.bin"/>
  <Relationship Id="rId51" Type="http://schemas.openxmlformats.org/officeDocument/2006/relationships/image" Target="media/image5.wmf"/>
  <Relationship Id="rId52" Type="http://schemas.openxmlformats.org/officeDocument/2006/relationships/oleObject" Target="embeddings/oleObject11.bin"/>
  <Relationship Id="rId53" Type="http://schemas.openxmlformats.org/officeDocument/2006/relationships/hyperlink" TargetMode="External" Target="https://www.e-tar.lt/portal/lt/legalAct/TAR.57F737B1A208"/>
  <Relationship Id="rId54" Type="http://schemas.openxmlformats.org/officeDocument/2006/relationships/hyperlink" TargetMode="External" Target="https://www.e-tar.lt/portal/lt/legalAct/TAR.5C8F10257E92"/>
  <Relationship Id="rId55" Type="http://schemas.openxmlformats.org/officeDocument/2006/relationships/hyperlink" TargetMode="External" Target="https://www.e-tar.lt/portal/lt/legalAct/TAR.E12CE39182E0"/>
  <Relationship Id="rId56" Type="http://schemas.openxmlformats.org/officeDocument/2006/relationships/hyperlink" TargetMode="External" Target="https://www.e-tar.lt/portal/lt/legalAct/TAR.210C565F59C2"/>
  <Relationship Id="rId57" Type="http://schemas.openxmlformats.org/officeDocument/2006/relationships/hyperlink" TargetMode="External" Target="https://www.e-tar.lt/portal/lt/legalAct/TAR.4CADB5864B45"/>
  <Relationship Id="rId58" Type="http://schemas.openxmlformats.org/officeDocument/2006/relationships/hyperlink" TargetMode="External" Target="https://www.e-tar.lt/portal/lt/legalAct/TAR.45D65E4AAB08"/>
  <Relationship Id="rId59" Type="http://schemas.openxmlformats.org/officeDocument/2006/relationships/hyperlink" TargetMode="External" Target="https://www.e-tar.lt/portal/lt/legalAct/TAR.3EB34933E485"/>
  <Relationship Id="rId6" Type="http://schemas.openxmlformats.org/officeDocument/2006/relationships/oleObject" Target="embeddings/oleObject5.bin"/>
  <Relationship Id="rId60" Type="http://schemas.openxmlformats.org/officeDocument/2006/relationships/hyperlink" TargetMode="External" Target="https://www.e-tar.lt/portal/lt/legalAct/TAR.FFF9AE9162EE"/>
  <Relationship Id="rId61" Type="http://schemas.openxmlformats.org/officeDocument/2006/relationships/hyperlink" TargetMode="External" Target="https://www.e-tar.lt/portal/lt/legalAct/TAR.7E966DA54042"/>
  <Relationship Id="rId62" Type="http://schemas.openxmlformats.org/officeDocument/2006/relationships/hyperlink" TargetMode="External" Target="https://www.e-tar.lt/portal/lt/legalAct/TAR.8D38517814F1"/>
  <Relationship Id="rId63" Type="http://schemas.openxmlformats.org/officeDocument/2006/relationships/hyperlink" TargetMode="External" Target="https://www.e-tar.lt/portal/lt/legalAct/TAR.4D5E88FF9E5A"/>
  <Relationship Id="rId64" Type="http://schemas.openxmlformats.org/officeDocument/2006/relationships/hyperlink" TargetMode="External" Target="https://www.e-tar.lt/portal/lt/legalAct/TAR.A1F22FD1F195"/>
  <Relationship Id="rId65" Type="http://schemas.openxmlformats.org/officeDocument/2006/relationships/image" Target="media/image6.wmf"/>
  <Relationship Id="rId66" Type="http://schemas.openxmlformats.org/officeDocument/2006/relationships/oleObject" Target="embeddings/oleObject12.bin"/>
  <Relationship Id="rId67" Type="http://schemas.openxmlformats.org/officeDocument/2006/relationships/image" Target="media/image7.wmf"/>
  <Relationship Id="rId68" Type="http://schemas.openxmlformats.org/officeDocument/2006/relationships/oleObject" Target="embeddings/oleObject13.bin"/>
  <Relationship Id="rId69" Type="http://schemas.openxmlformats.org/officeDocument/2006/relationships/hyperlink" TargetMode="External" Target="https://www.e-tar.lt/portal/lt/legalAct/TAR.3EB34933E485"/>
  <Relationship Id="rId7" Type="http://schemas.openxmlformats.org/officeDocument/2006/relationships/oleObject" Target="embeddings/oleObject6.bin"/>
  <Relationship Id="rId70" Type="http://schemas.openxmlformats.org/officeDocument/2006/relationships/hyperlink" TargetMode="External" Target="https://www.e-tar.lt/portal/lt/legalAct/TAR.FFF9AE9162EE"/>
  <Relationship Id="rId71" Type="http://schemas.openxmlformats.org/officeDocument/2006/relationships/hyperlink" TargetMode="External" Target="https://www.e-tar.lt/portal/lt/legalAct/TAR.7E966DA54042"/>
  <Relationship Id="rId72" Type="http://schemas.openxmlformats.org/officeDocument/2006/relationships/hyperlink" TargetMode="External" Target="https://www.e-tar.lt/portal/lt/legalAct/TAR.8D38517814F1"/>
  <Relationship Id="rId73" Type="http://schemas.openxmlformats.org/officeDocument/2006/relationships/hyperlink" TargetMode="External" Target="https://www.e-tar.lt/portal/lt/legalAct/TAR.4D5E88FF9E5A"/>
  <Relationship Id="rId74" Type="http://schemas.openxmlformats.org/officeDocument/2006/relationships/hyperlink" TargetMode="External" Target="https://www.e-tar.lt/portal/lt/legalAct/TAR.A1F22FD1F195"/>
  <Relationship Id="rId75" Type="http://schemas.openxmlformats.org/officeDocument/2006/relationships/image" Target="media/image7.wmf"/>
  <Relationship Id="rId76" Type="http://schemas.openxmlformats.org/officeDocument/2006/relationships/oleObject" Target="embeddings/oleObject14.bin"/>
  <Relationship Id="rId77" Type="http://schemas.openxmlformats.org/officeDocument/2006/relationships/image" Target="media/image7.wmf"/>
  <Relationship Id="rId78" Type="http://schemas.openxmlformats.org/officeDocument/2006/relationships/oleObject" Target="embeddings/oleObject15.bin"/>
  <Relationship Id="rId79" Type="http://schemas.openxmlformats.org/officeDocument/2006/relationships/hyperlink" TargetMode="External" Target="https://www.e-tar.lt/portal/lt/legalAct/TAR.3EB34933E485"/>
  <Relationship Id="rId8" Type="http://schemas.openxmlformats.org/officeDocument/2006/relationships/oleObject" Target="embeddings/oleObject7.bin"/>
  <Relationship Id="rId80" Type="http://schemas.openxmlformats.org/officeDocument/2006/relationships/hyperlink" TargetMode="External" Target="https://www.e-tar.lt/portal/lt/legalAct/TAR.FFF9AE9162EE"/>
  <Relationship Id="rId81" Type="http://schemas.openxmlformats.org/officeDocument/2006/relationships/hyperlink" TargetMode="External" Target="https://www.e-tar.lt/portal/lt/legalAct/TAR.7E966DA54042"/>
  <Relationship Id="rId82" Type="http://schemas.openxmlformats.org/officeDocument/2006/relationships/hyperlink" TargetMode="External" Target="https://www.e-tar.lt/portal/lt/legalAct/TAR.FC7AB69BE291"/>
  <Relationship Id="rId9" Type="http://schemas.openxmlformats.org/officeDocument/2006/relationships/endnotes" Target="end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27</Pages>
  <Words>53126</Words>
  <Characters>30283</Characters>
  <Application>Microsoft Office Word</Application>
  <DocSecurity>0</DocSecurity>
  <Lines>252</Lines>
  <Paragraphs>166</Paragraphs>
  <ScaleCrop>false</ScaleCrop>
  <Company>Teisines informacijos centras</Company>
  <LinksUpToDate>false</LinksUpToDate>
  <CharactersWithSpaces>83243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2015-09-07T16:27:00Z</dcterms:created>
  <dc:creator>Sandra</dc:creator>
  <lastModifiedBy>ŠAULYTĖ SKAIRIENĖ Dalia</lastModifiedBy>
  <dcterms:modified xsi:type="dcterms:W3CDTF">2015-12-01T14:04:00Z</dcterms:modified>
  <revision>9</revision>
  <dc:title>LIETUVOS RESPUBLIKOS APLINKOS MINISTRO</dc:title>
</coreProperties>
</file>