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2010-12-22 iki 2014-01-20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2007, Nr. </w:t>
      </w:r>
      <w:fldSimple w:instr="HYPERLINK https://www.e-tar.lt/portal/legalAct.html?documentId=TAR.E4F23B006B8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137-5624</w:t>
        </w:r>
      </w:fldSimple>
      <w:r>
        <w:rPr>
          <w:rFonts w:ascii="Times New Roman" w:eastAsia="MS Mincho" w:hAnsi="Times New Roman"/>
          <w:sz w:val="20"/>
          <w:i/>
          <w:iCs/>
        </w:rPr>
        <w:t>, i. k. 107301MISAK00D1-694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shd w:val="clear" w:color="auto" w:fill="FFFFFF"/>
        <w:jc w:val="center"/>
      </w:pPr>
      <w:r>
        <w:pict w14:anchorId="71AE521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  <w:t>LIETUVOS RESPUBLIKOS APLINKOS MINISTRO</w:t>
      </w:r>
    </w:p>
    <w:p>
      <w:pPr>
        <w:widowControl w:val="0"/>
        <w:shd w:val="clear" w:color="auto" w:fill="FFFFFF"/>
        <w:jc w:val="center"/>
        <w:rPr>
          <w:spacing w:val="60"/>
        </w:rPr>
      </w:pPr>
      <w:r>
        <w:rPr>
          <w:spacing w:val="60"/>
        </w:rPr>
        <w:t>ĮSAKYMAS</w:t>
      </w:r>
    </w:p>
    <w:p>
      <w:pPr>
        <w:jc w:val="center"/>
      </w:pPr>
    </w:p>
    <w:p>
      <w:pPr>
        <w:widowControl w:val="0"/>
        <w:shd w:val="clear" w:color="auto" w:fill="FFFFFF"/>
        <w:jc w:val="center"/>
      </w:pPr>
      <w:r>
        <w:rPr>
          <w:b/>
          <w:bCs/>
        </w:rPr>
        <w:t>DĖL ATSKIRŲJŲ REKREACINĖS PASKIRTIES ŽELDYNŲ PLOTŲ NORMŲ IR PRIKLAUSOMŲJŲ ŽELDYNŲ NORMŲ (PLOTŲ) NUSTATYMO TVARKOS APRAŠO PATVIRTINIMO</w:t>
      </w:r>
    </w:p>
    <w:p>
      <w:pPr>
        <w:widowControl w:val="0"/>
        <w:shd w:val="clear" w:color="auto" w:fill="FFFFFF"/>
        <w:jc w:val="center"/>
      </w:pPr>
    </w:p>
    <w:p>
      <w:pPr>
        <w:widowControl w:val="0"/>
        <w:shd w:val="clear" w:color="auto" w:fill="FFFFFF"/>
        <w:jc w:val="center"/>
      </w:pPr>
      <w:r>
        <w:t>2007 m. gruodžio 21 d. Nr. D1-694</w:t>
      </w:r>
    </w:p>
    <w:p>
      <w:pPr>
        <w:widowControl w:val="0"/>
        <w:shd w:val="clear" w:color="auto" w:fill="FFFFFF"/>
        <w:jc w:val="center"/>
      </w:pPr>
      <w:r>
        <w:t>Vilnius</w:t>
      </w:r>
    </w:p>
    <w:p>
      <w:pPr>
        <w:jc w:val="both"/>
      </w:pPr>
    </w:p>
    <w:p>
      <w:pPr>
        <w:jc w:val="both"/>
      </w:pPr>
    </w:p>
    <w:p>
      <w:pPr>
        <w:widowControl w:val="0"/>
        <w:shd w:val="clear" w:color="auto" w:fill="FFFFFF"/>
        <w:ind w:firstLine="567"/>
        <w:jc w:val="both"/>
      </w:pPr>
      <w:r>
        <w:t xml:space="preserve">Vadovaudamasis Lietuvos Respublikos želdynų įstatymo (Žin., 2007, Nr. </w:t>
      </w:r>
      <w:hyperlink r:id="rId10" w:tgtFrame="_blank" w:history="1">
        <w:r>
          <w:rPr>
            <w:color w:val="0000FF" w:themeColor="hyperlink"/>
            <w:u w:val="single"/>
          </w:rPr>
          <w:t>80-3215</w:t>
        </w:r>
      </w:hyperlink>
      <w:r>
        <w:t>) 8 straipsnio 1 ir 3 dalimis,</w:t>
      </w:r>
    </w:p>
    <w:p>
      <w:pPr>
        <w:widowControl w:val="0"/>
        <w:shd w:val="clear" w:color="auto" w:fill="FFFFFF"/>
        <w:ind w:firstLine="567"/>
        <w:jc w:val="both"/>
      </w:pPr>
      <w:r>
        <w:t>1</w:t>
      </w:r>
      <w:r>
        <w:t xml:space="preserve">. </w:t>
      </w:r>
      <w:r>
        <w:rPr>
          <w:spacing w:val="60"/>
        </w:rPr>
        <w:t>Tvirtinu:</w:t>
      </w:r>
    </w:p>
    <w:p>
      <w:pPr>
        <w:widowControl w:val="0"/>
        <w:shd w:val="clear" w:color="auto" w:fill="FFFFFF"/>
        <w:ind w:firstLine="567"/>
        <w:jc w:val="both"/>
      </w:pPr>
      <w:r>
        <w:t>1.1</w:t>
      </w:r>
      <w:r>
        <w:t>. Atskirųjų rekreacinės paskirties želdynų plotų normas (pridedama).</w:t>
      </w:r>
    </w:p>
    <w:p>
      <w:pPr>
        <w:widowControl w:val="0"/>
        <w:shd w:val="clear" w:color="auto" w:fill="FFFFFF"/>
        <w:ind w:firstLine="567"/>
        <w:jc w:val="both"/>
      </w:pPr>
      <w:r>
        <w:t>1.2</w:t>
      </w:r>
      <w:r>
        <w:t>. Priklausomųjų želdynų normų (plotų) nustatymo tvarkos aprašą (pridedama).</w:t>
      </w:r>
    </w:p>
    <w:p>
      <w:pPr>
        <w:widowControl w:val="0"/>
        <w:shd w:val="clear" w:color="auto" w:fill="FFFFFF"/>
        <w:ind w:firstLine="567"/>
        <w:jc w:val="both"/>
      </w:pPr>
      <w:r>
        <w:t>2</w:t>
      </w:r>
      <w:r>
        <w:t xml:space="preserve">. </w:t>
      </w:r>
      <w:r>
        <w:rPr>
          <w:spacing w:val="60"/>
        </w:rPr>
        <w:t>Nustata</w:t>
      </w:r>
      <w:r>
        <w:t>u, kad šis įsakymas įsigalioja nuo 2008 m. sausio 1 d.</w:t>
      </w:r>
    </w:p>
    <w:p>
      <w:pPr>
        <w:jc w:val="both"/>
      </w:pPr>
    </w:p>
    <w:p>
      <w:pPr>
        <w:widowControl w:val="0"/>
        <w:shd w:val="clear" w:color="auto" w:fill="FFFFFF"/>
        <w:tabs>
          <w:tab w:val="right" w:pos="9071"/>
        </w:tabs>
      </w:pPr>
      <w:r>
        <w:t>APLINKOS MINISTRAS</w:t>
        <w:tab/>
        <w:t>ARŪNAS KUNDROTAS</w:t>
      </w:r>
    </w:p>
    <w:p>
      <w:pPr>
        <w:jc w:val="both"/>
      </w:pPr>
    </w:p>
    <w:p>
      <w:pPr>
        <w:jc w:val="both"/>
      </w:pPr>
    </w:p>
    <w:p>
      <w:pPr>
        <w:widowControl w:val="0"/>
        <w:shd w:val="clear" w:color="auto" w:fill="FFFFFF"/>
        <w:ind w:left="4535"/>
      </w:pPr>
    </w:p>
    <w:p>
      <w:r>
        <w:br w:type="page"/>
      </w:r>
    </w:p>
    <w:p>
      <w:pPr>
        <w:widowControl w:val="0"/>
        <w:shd w:val="clear" w:color="auto" w:fill="FFFFFF"/>
        <w:ind w:left="4535"/>
      </w:pPr>
      <w:r>
        <w:t>PATVIRTINTA</w:t>
      </w:r>
    </w:p>
    <w:p>
      <w:pPr>
        <w:widowControl w:val="0"/>
        <w:shd w:val="clear" w:color="auto" w:fill="FFFFFF"/>
        <w:ind w:left="4535"/>
      </w:pPr>
      <w:r>
        <w:t xml:space="preserve">Lietuvos Respublikos aplinkos ministro </w:t>
        <w:br/>
        <w:t>2007 m. gruodžio 21 d. įsakymu Nr. D1-694</w:t>
      </w:r>
    </w:p>
    <w:p/>
    <w:p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ATSKIRŲJŲ REKREACINĖS PASKIRTIES ŽELDYNŲ PLOTŲ NORMOS </w:t>
      </w:r>
    </w:p>
    <w:p>
      <w:pPr>
        <w:widowControl w:val="0"/>
        <w:shd w:val="clear" w:color="auto" w:fill="FFFFFF"/>
        <w:rPr>
          <w:b/>
          <w:bCs/>
        </w:rPr>
      </w:pPr>
    </w:p>
    <w:p>
      <w:pPr>
        <w:widowControl w:val="0"/>
        <w:shd w:val="clear" w:color="auto" w:fill="FFFFFF"/>
        <w:jc w:val="center"/>
      </w:pPr>
      <w:r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>BENDRIEJI REIKALAVIMAI</w:t>
      </w:r>
    </w:p>
    <w:p>
      <w:pPr>
        <w:jc w:val="both"/>
      </w:pPr>
    </w:p>
    <w:p>
      <w:pPr>
        <w:widowControl w:val="0"/>
        <w:shd w:val="clear" w:color="auto" w:fill="FFFFFF"/>
        <w:ind w:firstLine="567"/>
        <w:jc w:val="both"/>
      </w:pPr>
      <w:r>
        <w:t>1</w:t>
      </w:r>
      <w:r>
        <w:t>. Šios normos nustatomos, siekiant gerinti žmonių gyvenamosios ir darbo aplinkos sąlygas, palaikyti teritorijos ekologinį stabilumą, tenkinti visuomenės rekreacijos poreikius.</w:t>
      </w:r>
    </w:p>
    <w:p>
      <w:pPr>
        <w:widowControl w:val="0"/>
        <w:shd w:val="clear" w:color="auto" w:fill="FFFFFF"/>
        <w:ind w:firstLine="567"/>
        <w:jc w:val="both"/>
      </w:pPr>
      <w:r>
        <w:t>2</w:t>
      </w:r>
      <w:r>
        <w:t>. Šiomis normomis privaloma vadovautis rengiant bet kurio lygmens bendrojo, specialiojo, detaliojo planavimo dokumentus. Planuose jie žymimi jiems nustatyta spalva ir indeksu.</w:t>
      </w:r>
    </w:p>
    <w:p>
      <w:pPr>
        <w:widowControl w:val="0"/>
        <w:shd w:val="clear" w:color="auto" w:fill="FFFFFF"/>
        <w:ind w:firstLine="567"/>
        <w:jc w:val="both"/>
      </w:pPr>
      <w:r>
        <w:t>3</w:t>
      </w:r>
      <w:r>
        <w:t xml:space="preserve">. Šiose normose vartojamos sąvokos atitinka Želdynų įstatyme (Žin., 2007, Nr. </w:t>
      </w:r>
      <w:hyperlink r:id="rId11" w:tgtFrame="_blank" w:history="1">
        <w:r>
          <w:rPr>
            <w:color w:val="0000FF" w:themeColor="hyperlink"/>
            <w:u w:val="single"/>
          </w:rPr>
          <w:t>80-3215</w:t>
        </w:r>
      </w:hyperlink>
      <w:r>
        <w:t>) vartojamas sąvokas. Kitos šiame dokumente vartojamos sąvokos atitinka šio dokumento 4 punkte nurodytuose teisės aktuose vartojamas sąvokas.</w:t>
      </w:r>
    </w:p>
    <w:p>
      <w:pPr>
        <w:widowControl w:val="0"/>
        <w:shd w:val="clear" w:color="auto" w:fill="FFFFFF"/>
        <w:ind w:firstLine="567"/>
        <w:jc w:val="both"/>
      </w:pPr>
      <w:r>
        <w:t>4</w:t>
      </w:r>
      <w:r>
        <w:t>. Šiame dokumente pateikiamos nuorodos į šiuos teisės aktus:</w:t>
      </w:r>
    </w:p>
    <w:p>
      <w:pPr>
        <w:widowControl w:val="0"/>
        <w:shd w:val="clear" w:color="auto" w:fill="FFFFFF"/>
        <w:ind w:firstLine="567"/>
        <w:jc w:val="both"/>
      </w:pPr>
      <w:r>
        <w:t>4.1</w:t>
      </w:r>
      <w:r>
        <w:t xml:space="preserve">. Lietuvos Respublikos teritorijos administracinių vienetų ir jų ribų įstatymą (Žin., 1994, Nr. </w:t>
      </w:r>
      <w:hyperlink r:id="rId12" w:tgtFrame="_blank" w:history="1">
        <w:r>
          <w:rPr>
            <w:color w:val="0000FF" w:themeColor="hyperlink"/>
            <w:u w:val="single"/>
          </w:rPr>
          <w:t>60-1183</w:t>
        </w:r>
      </w:hyperlink>
      <w:r>
        <w:t>);</w:t>
      </w:r>
    </w:p>
    <w:p>
      <w:pPr>
        <w:widowControl w:val="0"/>
        <w:shd w:val="clear" w:color="auto" w:fill="FFFFFF"/>
        <w:ind w:firstLine="567"/>
        <w:jc w:val="both"/>
      </w:pPr>
      <w:r>
        <w:t>4.2</w:t>
      </w:r>
      <w:r>
        <w:t xml:space="preserve">. statybos techninį reglamentą STR 2.06.01:1999 „Miestų, miestelių ir kaimų susisiekimo sistemos“, patvirtintą aplinkos ministro 1999 m. kovo 2 d. įsakymu Nr. 61 „Dėl STR 2.06.01:1999 „Miestų, miestelių ir kaimų susisiekimo sistemos“ patvirtinimo“ (Žin., 1999, Nr. </w:t>
      </w:r>
      <w:hyperlink r:id="rId13" w:tgtFrame="_blank" w:history="1">
        <w:r>
          <w:rPr>
            <w:color w:val="0000FF" w:themeColor="hyperlink"/>
            <w:u w:val="single"/>
          </w:rPr>
          <w:t>27-773</w:t>
        </w:r>
      </w:hyperlink>
      <w:r>
        <w:t>).</w:t>
      </w:r>
    </w:p>
    <w:p>
      <w:pPr>
        <w:widowControl w:val="0"/>
        <w:shd w:val="clear" w:color="auto" w:fill="FFFFFF"/>
        <w:ind w:firstLine="567"/>
        <w:jc w:val="both"/>
      </w:pPr>
      <w:r>
        <w:t>5</w:t>
      </w:r>
      <w:r>
        <w:t>. Šios normos taikomos nustatyti atskirųjų rekreacinės paskirties želdynų plotą (m</w:t>
      </w:r>
      <w:r>
        <w:rPr>
          <w:vertAlign w:val="superscript"/>
        </w:rPr>
        <w:t>2</w:t>
      </w:r>
      <w:r>
        <w:t>) miestuose, miesteliuose, kurortuose, tenkantį vienam gyventojui [4.1].</w:t>
      </w:r>
    </w:p>
    <w:p>
      <w:pPr>
        <w:widowControl w:val="0"/>
        <w:shd w:val="clear" w:color="auto" w:fill="FFFFFF"/>
        <w:ind w:firstLine="567"/>
        <w:jc w:val="both"/>
      </w:pPr>
      <w:r>
        <w:t>6</w:t>
      </w:r>
      <w:r>
        <w:t>. Miestai, priklausomai nuo gyventojų skaičiaus, skirstomi taip:</w:t>
      </w:r>
    </w:p>
    <w:p>
      <w:pPr>
        <w:widowControl w:val="0"/>
        <w:shd w:val="clear" w:color="auto" w:fill="FFFFFF"/>
        <w:ind w:firstLine="567"/>
        <w:jc w:val="both"/>
      </w:pPr>
      <w:r>
        <w:t>6.1</w:t>
      </w:r>
      <w:r>
        <w:t>. dideli miestai – daugiau kaip 100 tūkst. gyventojų;</w:t>
      </w:r>
    </w:p>
    <w:p>
      <w:pPr>
        <w:widowControl w:val="0"/>
        <w:shd w:val="clear" w:color="auto" w:fill="FFFFFF"/>
        <w:ind w:firstLine="567"/>
        <w:jc w:val="both"/>
      </w:pPr>
      <w:r>
        <w:t>6.2</w:t>
      </w:r>
      <w:r>
        <w:t>. vidutiniai miestai – nuo 10 iki 100 tūkst. gyventojų;</w:t>
      </w:r>
    </w:p>
    <w:p>
      <w:pPr>
        <w:widowControl w:val="0"/>
        <w:shd w:val="clear" w:color="auto" w:fill="FFFFFF"/>
        <w:ind w:firstLine="567"/>
        <w:jc w:val="both"/>
      </w:pPr>
      <w:r>
        <w:t>6.3</w:t>
      </w:r>
      <w:r>
        <w:t>. maži miestai – iki 10 tūkst. gyventojų.</w:t>
      </w:r>
    </w:p>
    <w:p>
      <w:pPr>
        <w:widowControl w:val="0"/>
        <w:shd w:val="clear" w:color="auto" w:fill="FFFFFF"/>
        <w:ind w:firstLine="567"/>
        <w:jc w:val="both"/>
      </w:pPr>
      <w:r>
        <w:t>7</w:t>
      </w:r>
      <w:r>
        <w:t>. Atskirųjų rekreacinės paskirties želdynų normomis nustatomi šie privalomi miesto struktūros želdynai: parkai, miesto sodai ir skverai. Kiti atskirųjų želdynų plotai nustatomi pagal teritorijų planavimo dokumentus ir vietos gamtos sąlygas ar parengiant atitinkamus normatyvus.</w:t>
      </w:r>
    </w:p>
    <w:p>
      <w:pPr>
        <w:widowControl w:val="0"/>
        <w:shd w:val="clear" w:color="auto" w:fill="FFFFFF"/>
        <w:ind w:firstLine="567"/>
        <w:jc w:val="both"/>
      </w:pPr>
      <w:r>
        <w:t>8</w:t>
      </w:r>
      <w:r>
        <w:t>. Atskirieji želdynai miesto teritorijoje yra paskirstomi atsižvelgiant į miesto gyventojų skaičių, miesto planinę struktūrą, želdynų reikšmingumą ir išdėstymo tolygumą.</w:t>
      </w:r>
    </w:p>
    <w:p>
      <w:pPr>
        <w:ind w:firstLine="567"/>
        <w:jc w:val="both"/>
      </w:pPr>
    </w:p>
    <w:p>
      <w:pPr>
        <w:widowControl w:val="0"/>
        <w:shd w:val="clear" w:color="auto" w:fill="FFFFFF"/>
        <w:jc w:val="center"/>
      </w:pPr>
      <w:r>
        <w:rPr>
          <w:b/>
          <w:bCs/>
        </w:rPr>
        <w:t>II</w:t>
      </w:r>
      <w:r>
        <w:rPr>
          <w:b/>
          <w:bCs/>
        </w:rPr>
        <w:t xml:space="preserve">. </w:t>
      </w:r>
      <w:r>
        <w:rPr>
          <w:b/>
          <w:bCs/>
        </w:rPr>
        <w:t>ATSKIRŲJŲ REKREACINĖS PASKIRTIES ŽELDYNŲ IŠDĖSTYMAS MIESTŲ IR MIESTELIŲ PLANINĖJE STRUKTŪROJE IR JŲ NORMOS</w:t>
      </w:r>
    </w:p>
    <w:p>
      <w:pPr>
        <w:ind w:firstLine="567"/>
        <w:jc w:val="both"/>
      </w:pPr>
    </w:p>
    <w:p>
      <w:pPr>
        <w:widowControl w:val="0"/>
        <w:shd w:val="clear" w:color="auto" w:fill="FFFFFF"/>
        <w:ind w:firstLine="567"/>
        <w:jc w:val="both"/>
      </w:pPr>
      <w:r>
        <w:t>9</w:t>
      </w:r>
      <w:r>
        <w:t>. Mieste želdynai, atsižvelgiant į svarbą miesto erdvinėje struktūroje ir rekreacinius poreikius, skirstomi į centrinius, rajoninius ir vietinius.</w:t>
      </w:r>
    </w:p>
    <w:p>
      <w:pPr>
        <w:widowControl w:val="0"/>
        <w:shd w:val="clear" w:color="auto" w:fill="FFFFFF"/>
        <w:ind w:firstLine="567"/>
        <w:jc w:val="both"/>
      </w:pPr>
      <w:r>
        <w:t>10</w:t>
      </w:r>
      <w:r>
        <w:t>. Miesteliuose visi želdynai priskiriami centriniams.</w:t>
      </w:r>
    </w:p>
    <w:p>
      <w:pPr>
        <w:widowControl w:val="0"/>
        <w:shd w:val="clear" w:color="auto" w:fill="FFFFFF"/>
        <w:ind w:firstLine="567"/>
        <w:jc w:val="both"/>
      </w:pPr>
      <w:r>
        <w:t>11</w:t>
      </w:r>
      <w:r>
        <w:t>. Vietiniai želdynai išdėstomi kvartalų grupėje, kurią formuoja aptarnaujančios gatvės [4.2].</w:t>
      </w:r>
    </w:p>
    <w:p>
      <w:pPr>
        <w:widowControl w:val="0"/>
        <w:shd w:val="clear" w:color="auto" w:fill="FFFFFF"/>
        <w:ind w:firstLine="567"/>
        <w:jc w:val="both"/>
      </w:pPr>
      <w:r>
        <w:t>12</w:t>
      </w:r>
      <w:r>
        <w:t>. Rajoniniai želdynai išdėstomi miesto gyvenamuosiuose rajonuose, kuriuos riboja pagrindinės ar greito eismo gatvės [4.2].</w:t>
      </w:r>
    </w:p>
    <w:p>
      <w:pPr>
        <w:widowControl w:val="0"/>
        <w:shd w:val="clear" w:color="auto" w:fill="FFFFFF"/>
        <w:ind w:firstLine="567"/>
        <w:jc w:val="both"/>
      </w:pPr>
      <w:r>
        <w:t>13</w:t>
      </w:r>
      <w:r>
        <w:t>. Centriniai želdynai išdėstomi mieste gerai pasiekiamose vietose.</w:t>
      </w:r>
    </w:p>
    <w:p>
      <w:pPr>
        <w:widowControl w:val="0"/>
        <w:shd w:val="clear" w:color="auto" w:fill="FFFFFF"/>
        <w:ind w:firstLine="567"/>
        <w:jc w:val="both"/>
      </w:pPr>
      <w:r>
        <w:t>14</w:t>
      </w:r>
      <w:r>
        <w:t>. Atskirųjų želdynų mažiausi plotai, m</w:t>
      </w:r>
      <w:r>
        <w:rPr>
          <w:vertAlign w:val="superscript"/>
        </w:rPr>
        <w:t>2</w:t>
      </w:r>
      <w:r>
        <w:t>, tenkantys vienam gyventojui:</w:t>
      </w:r>
    </w:p>
    <w:p>
      <w:pPr>
        <w:ind w:firstLine="567"/>
        <w:jc w:val="both"/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869"/>
        <w:gridCol w:w="1358"/>
        <w:gridCol w:w="1359"/>
        <w:gridCol w:w="1359"/>
      </w:tblGrid>
      <w:tr>
        <w:trPr>
          <w:cantSplit/>
          <w:trHeight w:val="23"/>
        </w:trPr>
        <w:tc>
          <w:tcPr>
            <w:tcW w:w="212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Gyvenamoji vieta</w:t>
            </w:r>
          </w:p>
        </w:tc>
        <w:tc>
          <w:tcPr>
            <w:tcW w:w="2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Bendras rekreacinės paskirties želdynų, įskaitant vejas ir gėlynus, plotas,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tenkantis vienam gyventojui</w:t>
            </w:r>
          </w:p>
        </w:tc>
        <w:tc>
          <w:tcPr>
            <w:tcW w:w="40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Iš jų:</w:t>
            </w:r>
          </w:p>
        </w:tc>
      </w:tr>
      <w:tr>
        <w:trPr>
          <w:cantSplit/>
          <w:trHeight w:val="23"/>
        </w:trPr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vietinių želdynų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rajoninių želdynų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centrinių želdynų</w:t>
            </w:r>
          </w:p>
        </w:tc>
      </w:tr>
      <w:tr>
        <w:trPr>
          <w:cantSplit/>
          <w:trHeight w:val="23"/>
        </w:trPr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Didelis miestas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>
        <w:trPr>
          <w:cantSplit/>
          <w:trHeight w:val="23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Vidutinis miestas</w:t>
            </w:r>
          </w:p>
        </w:tc>
        <w:tc>
          <w:tcPr>
            <w:tcW w:w="2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>
        <w:trPr>
          <w:cantSplit/>
          <w:trHeight w:val="23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Mažas miestas</w:t>
            </w:r>
          </w:p>
        </w:tc>
        <w:tc>
          <w:tcPr>
            <w:tcW w:w="2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cantSplit/>
          <w:trHeight w:val="23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Miestelis</w:t>
            </w:r>
          </w:p>
        </w:tc>
        <w:tc>
          <w:tcPr>
            <w:tcW w:w="2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cantSplit/>
          <w:trHeight w:val="23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Kurortas</w:t>
            </w:r>
          </w:p>
        </w:tc>
        <w:tc>
          <w:tcPr>
            <w:tcW w:w="28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3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3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ind w:left="113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</w:tr>
    </w:tbl>
    <w:p>
      <w:pPr>
        <w:jc w:val="both"/>
      </w:pPr>
    </w:p>
    <w:p>
      <w:pPr>
        <w:widowControl w:val="0"/>
        <w:shd w:val="clear" w:color="auto" w:fill="FFFFFF"/>
        <w:ind w:firstLine="567"/>
        <w:jc w:val="both"/>
      </w:pPr>
      <w:r>
        <w:t>15</w:t>
      </w:r>
      <w:r>
        <w:t>. Atskirųjų želdynų didžiausias pasiekiamumo spindulys, metrais:</w:t>
      </w:r>
    </w:p>
    <w:p>
      <w:pPr>
        <w:widowControl w:val="0"/>
        <w:shd w:val="clear" w:color="auto" w:fill="FFFFFF"/>
        <w:ind w:firstLine="567"/>
        <w:jc w:val="both"/>
      </w:pPr>
      <w:r>
        <w:t>15.1</w:t>
      </w:r>
      <w:r>
        <w:t>. vietinio želdyno didžiausias pasiekiamumo spindulys (atstumas nuo kvartalo grupės gyventojo iki želdyno) 300 m;</w:t>
      </w:r>
    </w:p>
    <w:p>
      <w:pPr>
        <w:widowControl w:val="0"/>
        <w:shd w:val="clear" w:color="auto" w:fill="FFFFFF"/>
        <w:ind w:firstLine="567"/>
        <w:jc w:val="both"/>
      </w:pPr>
      <w:r>
        <w:t>15.2</w:t>
      </w:r>
      <w:r>
        <w:t>. rajoninio želdyno didžiausias pasiekiamumo spindulys (atstumas nuo miesto gyvenamojo rajono gyventojo iki želdyno) 800 m;</w:t>
      </w:r>
    </w:p>
    <w:p>
      <w:pPr>
        <w:widowControl w:val="0"/>
        <w:shd w:val="clear" w:color="auto" w:fill="FFFFFF"/>
        <w:ind w:firstLine="567"/>
        <w:jc w:val="both"/>
      </w:pPr>
      <w:r>
        <w:t>15.3</w:t>
      </w:r>
      <w:r>
        <w:t>. centrinio želdyno didžiausias pasiekiamumo spindulys (atstumas nuo miesto, miestelio gyventojo iki želdyno) 3000 m.</w:t>
      </w:r>
    </w:p>
    <w:p>
      <w:pPr>
        <w:jc w:val="both"/>
      </w:pPr>
    </w:p>
    <w:p>
      <w:pPr>
        <w:jc w:val="center"/>
      </w:pPr>
      <w:r>
        <w:t>_________________</w:t>
      </w:r>
    </w:p>
    <w:p>
      <w:pPr>
        <w:jc w:val="both"/>
      </w:pPr>
    </w:p>
    <w:p>
      <w:pPr>
        <w:widowControl w:val="0"/>
        <w:shd w:val="clear" w:color="auto" w:fill="FFFFFF"/>
        <w:ind w:left="4535"/>
      </w:pPr>
    </w:p>
    <w:p>
      <w:r>
        <w:br w:type="page"/>
      </w:r>
    </w:p>
    <w:p>
      <w:pPr>
        <w:widowControl w:val="0"/>
        <w:shd w:val="clear" w:color="auto" w:fill="FFFFFF"/>
        <w:ind w:left="4535"/>
      </w:pPr>
      <w:r>
        <w:t>PATVIRTINTA</w:t>
      </w:r>
    </w:p>
    <w:p>
      <w:pPr>
        <w:widowControl w:val="0"/>
        <w:shd w:val="clear" w:color="auto" w:fill="FFFFFF"/>
        <w:ind w:left="4535"/>
      </w:pPr>
      <w:r>
        <w:t>Lietuvos Respublikos aplinkos ministro 2007 m. gruodžio 21 d. įsakymu Nr. D1-694</w:t>
      </w:r>
    </w:p>
    <w:p/>
    <w:p>
      <w:pPr>
        <w:widowControl w:val="0"/>
        <w:shd w:val="clear" w:color="auto" w:fill="FFFFFF"/>
        <w:jc w:val="center"/>
      </w:pPr>
      <w:r>
        <w:rPr>
          <w:b/>
          <w:bCs/>
        </w:rPr>
        <w:t>PRIKLAUSOMŲJŲ ŽELDYNŲ NORMŲ (PLOTŲ) NUSTATYMO TVARKOS APRAŠAS</w:t>
      </w:r>
    </w:p>
    <w:p>
      <w:pPr>
        <w:jc w:val="both"/>
      </w:pPr>
    </w:p>
    <w:p>
      <w:pPr>
        <w:widowControl w:val="0"/>
        <w:shd w:val="clear" w:color="auto" w:fill="FFFFFF"/>
        <w:ind w:firstLine="567"/>
        <w:jc w:val="both"/>
      </w:pPr>
      <w:r>
        <w:t>1</w:t>
      </w:r>
      <w:r>
        <w:t>. Šis tvarkos aprašas reglamentuoja priklausomųjų želdynų normų (plotų) nustatymo tvarką, siekiant gerinti aplinkos kokybę, tenkinti visuomenės sveikos gyvensenos poreikius, palaikyti teritorijos ekologinį stabilumą.</w:t>
      </w:r>
    </w:p>
    <w:p>
      <w:pPr>
        <w:widowControl w:val="0"/>
        <w:shd w:val="clear" w:color="auto" w:fill="FFFFFF"/>
        <w:ind w:firstLine="567"/>
        <w:jc w:val="both"/>
      </w:pPr>
      <w:r>
        <w:t>2</w:t>
      </w:r>
      <w:r>
        <w:t>. Šiuo tvarkos aprašu privaloma vadovautis rengiant teritorijų planavimo dokumentus. Planuose jie žymimi jiems nustatyta spalva ir indeksu.</w:t>
      </w:r>
    </w:p>
    <w:p>
      <w:pPr>
        <w:widowControl w:val="0"/>
        <w:shd w:val="clear" w:color="auto" w:fill="FFFFFF"/>
        <w:ind w:firstLine="567"/>
        <w:jc w:val="both"/>
      </w:pPr>
      <w:r>
        <w:t>3</w:t>
      </w:r>
      <w:r>
        <w:t xml:space="preserve">. Šiame tvarkos apraše vartojamos sąvokos atitinka Želdynų įstatyme (Žin., 2007, Nr. </w:t>
      </w:r>
      <w:hyperlink r:id="rId14" w:tgtFrame="_blank" w:history="1">
        <w:r>
          <w:rPr>
            <w:color w:val="0000FF" w:themeColor="hyperlink"/>
            <w:u w:val="single"/>
          </w:rPr>
          <w:t>80-3215</w:t>
        </w:r>
      </w:hyperlink>
      <w:r>
        <w:t>) vartojamas sąvokas. Kitos šiame dokumente vartojamos sąvokos atitinka šio tvarkos aprašo 3 punkte nurodytuose teisės aktuose vartojamas sąvokas.</w:t>
      </w:r>
    </w:p>
    <w:p>
      <w:pPr>
        <w:widowControl w:val="0"/>
        <w:shd w:val="clear" w:color="auto" w:fill="FFFFFF"/>
        <w:ind w:firstLine="567"/>
        <w:jc w:val="both"/>
      </w:pPr>
      <w:r>
        <w:t>4</w:t>
      </w:r>
      <w:r>
        <w:t>. Šiame dokumente pateikiamos nuorodos į šiuos teisės aktus:</w:t>
      </w:r>
    </w:p>
    <w:p>
      <w:pPr>
        <w:widowControl w:val="0"/>
        <w:shd w:val="clear" w:color="auto" w:fill="FFFFFF"/>
        <w:ind w:firstLine="567"/>
        <w:jc w:val="both"/>
      </w:pPr>
      <w:r>
        <w:t>4.1</w:t>
      </w:r>
      <w:r>
        <w:t xml:space="preserve">. Žemės įstatymą (Žin., 1994, Nr. </w:t>
      </w:r>
      <w:hyperlink r:id="rId15" w:tgtFrame="_blank" w:history="1">
        <w:r>
          <w:rPr>
            <w:color w:val="0000FF" w:themeColor="hyperlink"/>
            <w:u w:val="single"/>
          </w:rPr>
          <w:t>60-1183</w:t>
        </w:r>
      </w:hyperlink>
      <w:r>
        <w:t>);</w:t>
      </w:r>
    </w:p>
    <w:p>
      <w:pPr>
        <w:widowControl w:val="0"/>
        <w:shd w:val="clear" w:color="auto" w:fill="FFFFFF"/>
        <w:ind w:firstLine="567"/>
        <w:jc w:val="both"/>
      </w:pPr>
      <w:r>
        <w:t>4.2</w:t>
      </w:r>
      <w:r>
        <w:t xml:space="preserve">. Lietuvos Respublikos žemės ūkio ministro ir Lietuvos Respublikos aplinkos ministro 2005 m. sausio 20 d. įsakymą Nr. 3D-37/D1-40 „Dėl pagrindinės tikslinės žemės naudojimo paskirties žemės naudojimo būdų turinio, žemės sklypų naudojimo pobūdžio sąrašo ir jų turinio patvirtinimo“ (Žin., 2005, Nr. </w:t>
      </w:r>
      <w:hyperlink r:id="rId16" w:tgtFrame="_blank" w:history="1">
        <w:r>
          <w:rPr>
            <w:color w:val="0000FF" w:themeColor="hyperlink"/>
            <w:u w:val="single"/>
          </w:rPr>
          <w:t>14-450</w:t>
        </w:r>
      </w:hyperlink>
      <w:r>
        <w:t>).</w:t>
      </w:r>
    </w:p>
    <w:p>
      <w:pPr>
        <w:widowControl w:val="0"/>
        <w:shd w:val="clear" w:color="auto" w:fill="FFFFFF"/>
        <w:ind w:firstLine="567"/>
        <w:jc w:val="both"/>
      </w:pPr>
      <w:r>
        <w:t>5</w:t>
      </w:r>
      <w:r>
        <w:t>. Tvarkos aprašas netaikomas sklypams, esantiems senamiesčiuose, miestų centro susiklosčiusioje užstatymo zonoje, tačiau esamų želdynų plotas, atitinkantis normas tuose sklypuose, neturi būti mažinamas.</w:t>
      </w:r>
    </w:p>
    <w:p>
      <w:pPr>
        <w:widowControl w:val="0"/>
        <w:shd w:val="clear" w:color="auto" w:fill="FFFFFF"/>
        <w:ind w:firstLine="567"/>
        <w:jc w:val="both"/>
      </w:pPr>
      <w:r>
        <w:t>6</w:t>
      </w:r>
      <w:r>
        <w:t>. Normos (plotas) nustatomos, atsižvelgiant į žemės sklypo, kuriam želdynai priklauso, žemės naudojimo būdą [4.1], [4.2]:</w:t>
      </w:r>
    </w:p>
    <w:p>
      <w:pPr>
        <w:widowControl w:val="0"/>
        <w:shd w:val="clear" w:color="auto" w:fill="FFFFFF"/>
        <w:ind w:firstLine="567"/>
        <w:jc w:val="both"/>
      </w:pPr>
      <w:r>
        <w:t>6.1</w:t>
      </w:r>
      <w:r>
        <w:t>. gyvenamosios teritorijos;</w:t>
      </w:r>
    </w:p>
    <w:p>
      <w:pPr>
        <w:widowControl w:val="0"/>
        <w:shd w:val="clear" w:color="auto" w:fill="FFFFFF"/>
        <w:ind w:firstLine="567"/>
        <w:jc w:val="both"/>
      </w:pPr>
      <w:r>
        <w:t>6.2</w:t>
      </w:r>
      <w:r>
        <w:t>. visuomeninės paskirties teritorijos;</w:t>
      </w:r>
    </w:p>
    <w:p>
      <w:pPr>
        <w:widowControl w:val="0"/>
        <w:shd w:val="clear" w:color="auto" w:fill="FFFFFF"/>
        <w:ind w:firstLine="567"/>
        <w:jc w:val="both"/>
      </w:pPr>
      <w:r>
        <w:t>6.3</w:t>
      </w:r>
      <w:r>
        <w:t>. pramonės ir sandėliavimo objektų teritorijos;</w:t>
      </w:r>
    </w:p>
    <w:p>
      <w:pPr>
        <w:widowControl w:val="0"/>
        <w:shd w:val="clear" w:color="auto" w:fill="FFFFFF"/>
        <w:ind w:firstLine="567"/>
        <w:jc w:val="both"/>
      </w:pPr>
      <w:r>
        <w:t>6.4</w:t>
      </w:r>
      <w:r>
        <w:t>. komercinės paskirties teritorijos;</w:t>
      </w:r>
    </w:p>
    <w:p>
      <w:pPr>
        <w:widowControl w:val="0"/>
        <w:shd w:val="clear" w:color="auto" w:fill="FFFFFF"/>
        <w:ind w:firstLine="567"/>
        <w:jc w:val="both"/>
      </w:pPr>
      <w:r>
        <w:t>6.5</w:t>
      </w:r>
      <w:r>
        <w:t>. inžinerinės infrastruktūros teritorijos;</w:t>
      </w:r>
    </w:p>
    <w:p>
      <w:pPr>
        <w:widowControl w:val="0"/>
        <w:shd w:val="clear" w:color="auto" w:fill="FFFFFF"/>
        <w:ind w:firstLine="567"/>
        <w:jc w:val="both"/>
      </w:pPr>
      <w:r>
        <w:t>6.6</w:t>
      </w:r>
      <w:r>
        <w:t>. rekreacinės teritorijos.</w:t>
      </w:r>
    </w:p>
    <w:p>
      <w:pPr>
        <w:widowControl w:val="0"/>
        <w:shd w:val="clear" w:color="auto" w:fill="FFFFFF"/>
        <w:ind w:firstLine="567"/>
        <w:jc w:val="both"/>
      </w:pPr>
      <w:r>
        <w:t>7</w:t>
      </w:r>
      <w:r>
        <w:t>. Priklausomųjų želdynų norma (plotas) nustatoma procentais nuo žemės sklypo, kuriam želdynai priklauso, ploto, atsižvelgiant į želdynų funkcijų (ekologinę, rekreacinę, sveikatingumo, estetinę) svarbą tame žemės sklype (priedas).</w:t>
      </w:r>
    </w:p>
    <w:p>
      <w:pPr>
        <w:widowControl w:val="0"/>
        <w:shd w:val="clear" w:color="auto" w:fill="FFFFFF"/>
        <w:ind w:firstLine="567"/>
        <w:jc w:val="both"/>
      </w:pPr>
      <w:r>
        <w:t>8</w:t>
      </w:r>
      <w:r>
        <w:t>. Priklausomųjų želdynų plotams nepriskiriami plotai:</w:t>
      </w:r>
    </w:p>
    <w:p>
      <w:pPr>
        <w:widowControl w:val="0"/>
        <w:shd w:val="clear" w:color="auto" w:fill="FFFFFF"/>
        <w:ind w:firstLine="567"/>
        <w:jc w:val="both"/>
      </w:pPr>
      <w:r>
        <w:t>8.1</w:t>
      </w:r>
      <w:r>
        <w:t>. užstatymo;</w:t>
      </w:r>
    </w:p>
    <w:p>
      <w:pPr>
        <w:widowControl w:val="0"/>
        <w:shd w:val="clear" w:color="auto" w:fill="FFFFFF"/>
        <w:ind w:firstLine="567"/>
        <w:jc w:val="both"/>
      </w:pPr>
      <w:r>
        <w:t>8.2</w:t>
      </w:r>
      <w:r>
        <w:t>. pravažiavimų, šaligatvių ir nuogrindų (įrenginių, skirtų vandens pašalinimui nuo statinių ir jų konstrukcijų);</w:t>
      </w:r>
    </w:p>
    <w:p>
      <w:pPr>
        <w:widowControl w:val="0"/>
        <w:shd w:val="clear" w:color="auto" w:fill="FFFFFF"/>
        <w:ind w:firstLine="567"/>
        <w:jc w:val="both"/>
      </w:pPr>
      <w:r>
        <w:t>8.3</w:t>
      </w:r>
      <w:r>
        <w:t>. požeminių garažų antžeminės dalies, jei joje natūraliame grunte neauga medžiai ir krūmai;</w:t>
      </w:r>
    </w:p>
    <w:p>
      <w:pPr>
        <w:widowControl w:val="0"/>
        <w:shd w:val="clear" w:color="auto" w:fill="FFFFFF"/>
        <w:ind w:firstLine="567"/>
        <w:jc w:val="both"/>
      </w:pPr>
      <w:r>
        <w:t>8.4</w:t>
      </w:r>
      <w:r>
        <w:t>. sporto aikštynų ir sporto aikštelių.</w:t>
      </w:r>
    </w:p>
    <w:p>
      <w:pPr>
        <w:jc w:val="both"/>
      </w:pPr>
    </w:p>
    <w:p>
      <w:pPr>
        <w:jc w:val="center"/>
      </w:pPr>
      <w:r>
        <w:t>_________________</w:t>
      </w:r>
    </w:p>
    <w:p>
      <w:pPr>
        <w:jc w:val="both"/>
      </w:pPr>
    </w:p>
    <w:p>
      <w:pPr>
        <w:widowControl w:val="0"/>
        <w:ind w:left="4535"/>
      </w:pPr>
    </w:p>
    <w:p>
      <w:pPr/>
      <w:r>
        <w:br w:type="page"/>
      </w:r>
    </w:p>
    <w:p>
      <w:pPr>
        <w:widowControl w:val="0"/>
        <w:ind w:left="4535"/>
      </w:pPr>
      <w:r>
        <w:t>Priklausomųjų želdynų normų (plotų) nustatymo tvarkos aprašo</w:t>
      </w:r>
    </w:p>
    <w:p>
      <w:pPr>
        <w:widowControl w:val="0"/>
        <w:ind w:left="4535"/>
      </w:pPr>
      <w:r>
        <w:t>priedas</w:t>
      </w:r>
    </w:p>
    <w:p>
      <w:pPr/>
    </w:p>
    <w:p>
      <w:pPr>
        <w:widowControl w:val="0"/>
        <w:jc w:val="center"/>
      </w:pPr>
      <w:r>
        <w:rPr>
          <w:b/>
          <w:bCs/>
        </w:rPr>
        <w:t>PRIKLAUSOMŲJŲ ŽELDYNŲ NORMA (PLOTAS) PROCENTAIS NUO ŽEMĖS SKLYPO PLOTO</w:t>
      </w:r>
    </w:p>
    <w:p>
      <w:pPr>
        <w:jc w:val="both"/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5007"/>
        <w:gridCol w:w="2193"/>
      </w:tblGrid>
      <w:tr>
        <w:trPr>
          <w:cantSplit/>
          <w:trHeight w:val="23"/>
          <w:tblHeader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Žemės sklypo naudojimo būdas [4.1]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Žemės sklypo naudojimo pobūdis [4.2]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Želdynų, įskaitant vejas ir gėlynus, plotas nuo viso žemės sklypo ploto, %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Gyvenamosios teritorijos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suppressAutoHyphens/>
              <w:rPr>
                <w:color w:val="000000"/>
                <w:sz w:val="22"/>
                <w:szCs w:val="24"/>
                <w:lang w:eastAsia="lt-LT"/>
              </w:rPr>
            </w:pPr>
            <w:r>
              <w:rPr>
                <w:color w:val="000000"/>
                <w:sz w:val="22"/>
                <w:szCs w:val="24"/>
                <w:lang w:eastAsia="lt-LT"/>
              </w:rPr>
              <w:t>Vienbučių ir dvibučių gyvenamųjų pastatų statybos sklypai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suppressAutoHyphens/>
              <w:rPr>
                <w:color w:val="000000"/>
                <w:sz w:val="22"/>
                <w:szCs w:val="24"/>
                <w:lang w:eastAsia="lt-LT"/>
              </w:rPr>
            </w:pPr>
            <w:r>
              <w:rPr>
                <w:color w:val="000000"/>
                <w:sz w:val="22"/>
                <w:szCs w:val="24"/>
                <w:lang w:eastAsia="lt-LT"/>
              </w:rPr>
              <w:t>25</w:t>
            </w:r>
          </w:p>
        </w:tc>
      </w:tr>
      <w:tr>
        <w:trPr>
          <w:cantSplit/>
          <w:trHeight w:val="521"/>
        </w:trPr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suppressAutoHyphens/>
              <w:rPr>
                <w:color w:val="000000"/>
                <w:sz w:val="22"/>
                <w:szCs w:val="24"/>
                <w:lang w:eastAsia="lt-LT"/>
              </w:rPr>
            </w:pPr>
            <w:r>
              <w:rPr>
                <w:color w:val="000000"/>
                <w:sz w:val="22"/>
                <w:szCs w:val="24"/>
                <w:lang w:eastAsia="lt-LT"/>
              </w:rPr>
              <w:t>Daugiabučių gyvenamųjų pastatų ir bendrabučių statybos sklypai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suppressAutoHyphens/>
              <w:rPr>
                <w:color w:val="000000"/>
                <w:sz w:val="22"/>
                <w:szCs w:val="24"/>
                <w:lang w:eastAsia="lt-LT"/>
              </w:rPr>
            </w:pPr>
            <w:r>
              <w:rPr>
                <w:color w:val="000000"/>
                <w:sz w:val="22"/>
                <w:szCs w:val="24"/>
                <w:lang w:eastAsia="lt-LT"/>
              </w:rPr>
              <w:t>30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Visuomeninės paskirties teritorijos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Administracinių pastatų statybos sklypai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Religinių bendruomenių pastatų statybos sklypai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Mokslo ir mokymo pastatų statybos sklypai: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</w:tr>
      <w:tr>
        <w:trPr>
          <w:cantSplit/>
          <w:trHeight w:val="23"/>
        </w:trPr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ind w:firstLine="248"/>
              <w:rPr>
                <w:sz w:val="22"/>
              </w:rPr>
            </w:pPr>
            <w:r>
              <w:rPr>
                <w:sz w:val="22"/>
              </w:rPr>
              <w:t>vaikų lopšelių-darželių, darželių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ind w:firstLine="248"/>
              <w:rPr>
                <w:sz w:val="22"/>
              </w:rPr>
            </w:pPr>
            <w:r>
              <w:rPr>
                <w:sz w:val="22"/>
              </w:rPr>
              <w:t>bendrojo lavinimo mokyklų, specialiųjų mokyklų, aukštesniųjų mokyklų, kolegijų, aukštųjų mokyklų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ind w:firstLine="248"/>
              <w:rPr>
                <w:sz w:val="22"/>
              </w:rPr>
            </w:pPr>
            <w:r>
              <w:rPr>
                <w:sz w:val="22"/>
              </w:rPr>
              <w:t>kitų mokslo ir mokymo įstaigų pastatų statybos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Kultūros ir sporto pastatų statybos (bibliotekų, kultūros centrų, muziejų ir kitų kultūros įstaigų, sporto kompleksų)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Sveikatos apsaugos pastatų statybos sklypai: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</w:tr>
      <w:tr>
        <w:trPr>
          <w:cantSplit/>
          <w:trHeight w:val="23"/>
        </w:trPr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ind w:firstLine="248"/>
              <w:rPr>
                <w:sz w:val="22"/>
              </w:rPr>
            </w:pPr>
            <w:r>
              <w:rPr>
                <w:sz w:val="22"/>
              </w:rPr>
              <w:t>sanatorijų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ind w:firstLine="248"/>
              <w:rPr>
                <w:sz w:val="22"/>
              </w:rPr>
            </w:pPr>
            <w:r>
              <w:rPr>
                <w:sz w:val="22"/>
              </w:rPr>
              <w:t>ligoninių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ind w:firstLine="248"/>
              <w:rPr>
                <w:sz w:val="22"/>
              </w:rPr>
            </w:pPr>
            <w:r>
              <w:rPr>
                <w:sz w:val="22"/>
              </w:rPr>
              <w:t>poliklinikų ir kitų sveikatos apsaugos pastatų statybos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Pramonės ir sandėliavimo objektų teritorijos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Pramonės įmonių statybos sklypai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Sandėliavimo įmonių statybos sklypai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Komercinės paskirties objektų teritorijos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Prekybos, paslaugų ir pramogų objektų statybos sklypai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Laidojimo paslaugų statinių statybos sklypai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Degalinių ir autoservisų statinių statybos sklypai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Inžinerinės infrastruktūros teritorijos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Susisiekimo ir inžinerinių komunikacijų aptarnavimo objektų statybos sklypai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Susisiekimo ir inžinerinių tinklų koridorių sklypai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normuojami pagal STR 2.06.01:1999 „Miestų, miestelių ir kaimų susisiekimo sistemos“ (Žin., 1999, Nr. </w:t>
            </w:r>
            <w:hyperlink r:id="rId17" w:tgtFrame="_blank" w:history="1">
              <w:r>
                <w:rPr>
                  <w:color w:val="0000FF" w:themeColor="hyperlink"/>
                  <w:sz w:val="22"/>
                  <w:u w:val="single"/>
                </w:rPr>
                <w:t>27-773</w:t>
              </w:r>
            </w:hyperlink>
            <w:r>
              <w:rPr>
                <w:sz w:val="22"/>
              </w:rPr>
              <w:t>)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Rekreacinės teritorijos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Ilgalaikio (stacionaraus) poilsio pastatų (poilsio namų, sveikatingumo kompleksų, motelių, kempingų, turizmo bazių ir kt.) statybos sklypai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cantSplit/>
          <w:trHeight w:val="23"/>
        </w:trPr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rPr>
                <w:sz w:val="22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Trumpalaikio poilsio statinių (stovyklaviečių, poilsiaviečių ir kt.) statybos sklypai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>
      <w:pPr>
        <w:jc w:val="both"/>
      </w:pPr>
    </w:p>
    <w:p>
      <w:pPr>
        <w:jc w:val="center"/>
      </w:pPr>
      <w:r>
        <w:t>_________________</w:t>
      </w:r>
    </w:p>
    <w:p>
      <w:pPr/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23000ABD19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D1-1011</w:t>
        </w:r>
      </w:fldSimple>
      <w:r>
        <w:rPr>
          <w:rFonts w:ascii="Times New Roman" w:eastAsia="MS Mincho" w:hAnsi="Times New Roman"/>
          <w:sz w:val="20"/>
          <w:i/>
          <w:iCs/>
        </w:rPr>
        <w:t>,
2010-12-16,
Žin., 2010, Nr.
149-7655 (2010-12-21), i. k. 110301MISAK0D1-1011    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23000ABD19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D1-1011</w:t>
        </w:r>
      </w:fldSimple>
      <w:r>
        <w:rPr>
          <w:rFonts w:ascii="Times New Roman" w:eastAsia="MS Mincho" w:hAnsi="Times New Roman"/>
          <w:sz w:val="20"/>
          <w:iCs/>
        </w:rPr>
        <w:t>,
2010-12-16,
Žin., 2010, Nr.
149-7655 (2010-12-21), i. k. 110301MISAK0D1-1011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2007 m. gruodžio 21 d. įsakymo Nr. D1-694 "Dėl Atskirųjų rekreacinės paskirties želdynų plotų normų ir Priklausomųjų želdynų normų (plotų) nustatymo tvarkos aprašo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9" w:h="16834"/>
      <w:pgMar w:top="1134" w:right="1134" w:bottom="1134" w:left="1701" w:header="567" w:footer="567" w:gutter="0"/>
      <w:cols w:space="60"/>
      <w:noEndnote/>
      <w:docGrid w:linePitch="326"/>
    </w:sectPr>
  </w:body>
</w:document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BF2DF7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10" Type="http://schemas.openxmlformats.org/officeDocument/2006/relationships/hyperlink" TargetMode="External" Target="https://www.e-tar.lt/portal/lt/legalAct/TAR.BA283DF0FB41"/>
  <Relationship Id="rId11" Type="http://schemas.openxmlformats.org/officeDocument/2006/relationships/hyperlink" TargetMode="External" Target="https://www.e-tar.lt/portal/lt/legalAct/TAR.BA283DF0FB41"/>
  <Relationship Id="rId12" Type="http://schemas.openxmlformats.org/officeDocument/2006/relationships/hyperlink" TargetMode="External" Target="https://www.e-tar.lt/portal/lt/legalAct/TAR.0120FD7BCFFC"/>
  <Relationship Id="rId13" Type="http://schemas.openxmlformats.org/officeDocument/2006/relationships/hyperlink" TargetMode="External" Target="https://www.e-tar.lt/portal/lt/legalAct/TAR.F81C6C9CBD7C"/>
  <Relationship Id="rId14" Type="http://schemas.openxmlformats.org/officeDocument/2006/relationships/hyperlink" TargetMode="External" Target="https://www.e-tar.lt/portal/lt/legalAct/TAR.BA283DF0FB41"/>
  <Relationship Id="rId15" Type="http://schemas.openxmlformats.org/officeDocument/2006/relationships/hyperlink" TargetMode="External" Target="https://www.e-tar.lt/portal/lt/legalAct/TAR.0120FD7BCFFC"/>
  <Relationship Id="rId16" Type="http://schemas.openxmlformats.org/officeDocument/2006/relationships/hyperlink" TargetMode="External" Target="https://www.e-tar.lt/portal/lt/legalAct/TAR.404A6B65C695"/>
  <Relationship Id="rId17" Type="http://schemas.openxmlformats.org/officeDocument/2006/relationships/hyperlink" TargetMode="External" Target="https://www.e-tar.lt/portal/lt/legalAct/TAR.F81C6C9CBD7C"/>
  <Relationship Id="rId2" Type="http://schemas.openxmlformats.org/officeDocument/2006/relationships/hyperlink" TargetMode="External" Target="https://www.e-tar.lt/portal/lt/legalAct/TAR.F81C6C9CBD7C"/>
  <Relationship Id="rId3" Type="http://schemas.openxmlformats.org/officeDocument/2006/relationships/settings" Target="settings.xml"/>
  <Relationship Id="rId4" Type="http://schemas.openxmlformats.org/officeDocument/2006/relationships/styles" Target="styles.xml"/>
  <Relationship Id="rId5" Type="http://schemas.microsoft.com/office/2007/relationships/stylesWithEffects" Target="stylesWithEffects.xml"/>
  <Relationship Id="rId6" Type="http://schemas.openxmlformats.org/officeDocument/2006/relationships/theme" Target="theme/theme1.xml"/>
  <Relationship Id="rId7" Type="http://schemas.openxmlformats.org/officeDocument/2006/relationships/webSettings" Target="webSetting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2</TotalTime>
  <Pages>6</Pages>
  <Words>7264</Words>
  <Characters>4142</Characters>
  <Application>Microsoft Office Word</Application>
  <DocSecurity>0</DocSecurity>
  <Lines>34</Lines>
  <Paragraphs>22</Paragraphs>
  <ScaleCrop>false</ScaleCrop>
  <Company/>
  <LinksUpToDate>false</LinksUpToDate>
  <CharactersWithSpaces>11384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2015-06-29T15:44:00Z</dcterms:created>
  <dc:creator>Rima</dc:creator>
  <lastModifiedBy>JUOSPONIENĖ Karolina</lastModifiedBy>
  <dcterms:modified xsi:type="dcterms:W3CDTF">2016-03-15T08:42:00Z</dcterms:modified>
  <revision>4</revision>
  <dc:title>LIETUVOS RESPUBLIKOS APLINKOS MINISTRO</dc:title>
</coreProperties>
</file>