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F69940D2347C">
        <w:r w:rsidRPr="00532B9F">
          <w:rPr>
            <w:rFonts w:ascii="Times New Roman" w:eastAsia="MS Mincho" w:hAnsi="Times New Roman"/>
            <w:sz w:val="20"/>
            <w:i/>
            <w:iCs/>
            <w:color w:val="0000FF" w:themeColor="hyperlink"/>
            <w:u w:val="single"/>
          </w:rPr>
          <w:t>36-1823</w:t>
        </w:r>
      </w:fldSimple>
      <w:r>
        <w:rPr>
          <w:rFonts w:ascii="Times New Roman" w:eastAsia="MS Mincho" w:hAnsi="Times New Roman"/>
          <w:sz w:val="20"/>
          <w:i/>
          <w:iCs/>
        </w:rPr>
        <w:t>, i. k. 11220LPISAK000DI-30</w:t>
      </w:r>
    </w:p>
    <w:p>
      <w:pPr>
        <w:jc w:val="both"/>
        <w:rPr>
          <w:rFonts w:ascii="Times New Roman" w:hAnsi="Times New Roman"/>
          <w:sz w:val="20"/>
        </w:rPr>
      </w:pPr>
    </w:p>
    <w:p>
      <w:pPr>
        <w:widowControl w:val="0"/>
        <w:jc w:val="center"/>
        <w:rPr>
          <w:color w:val="000000"/>
        </w:rPr>
      </w:pPr>
      <w:r>
        <w:rPr>
          <w:color w:val="000000"/>
        </w:rPr>
        <w:pict w14:anchorId="2EA5AEE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LOŠIMŲ PRIEŽIŪROS TARNYBOS PRIE LIETUVOS RESPUBLIKOS FINANSŲ MINISTERIJOS DIREKTORIAUS</w:t>
      </w:r>
    </w:p>
    <w:p>
      <w:pPr>
        <w:widowControl w:val="0"/>
        <w:jc w:val="center"/>
        <w:rPr>
          <w:color w:val="000000"/>
        </w:rPr>
      </w:pPr>
      <w:r>
        <w:rPr>
          <w:color w:val="000000"/>
        </w:rPr>
        <w:t>Į S A K Y M A S</w:t>
      </w:r>
    </w:p>
    <w:p>
      <w:pPr>
        <w:widowControl w:val="0"/>
        <w:jc w:val="center"/>
        <w:rPr>
          <w:color w:val="000000"/>
        </w:rPr>
      </w:pPr>
    </w:p>
    <w:p>
      <w:pPr>
        <w:widowControl w:val="0"/>
        <w:jc w:val="center"/>
        <w:rPr>
          <w:b/>
          <w:bCs/>
          <w:caps/>
          <w:color w:val="000000"/>
        </w:rPr>
      </w:pPr>
      <w:r>
        <w:rPr>
          <w:b/>
          <w:bCs/>
          <w:caps/>
          <w:color w:val="000000"/>
        </w:rPr>
        <w:t>DĖL LOŠIMŲ ĮRENGINIŲ ŽENKLINIMO SPECIALIU TAPATUMO ŽENKLU TVARKOS APRAŠO PATVIRTINIMO</w:t>
      </w:r>
    </w:p>
    <w:p>
      <w:pPr>
        <w:widowControl w:val="0"/>
        <w:jc w:val="center"/>
        <w:rPr>
          <w:b/>
          <w:bCs/>
          <w:caps/>
          <w:color w:val="000000"/>
        </w:rPr>
      </w:pPr>
    </w:p>
    <w:p>
      <w:pPr>
        <w:widowControl w:val="0"/>
        <w:jc w:val="center"/>
        <w:rPr>
          <w:color w:val="000000"/>
        </w:rPr>
      </w:pPr>
      <w:r>
        <w:rPr>
          <w:color w:val="000000"/>
        </w:rPr>
        <w:t>2012 m. kovo 21 d. Nr. DI-30</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spacing w:val="-2"/>
        </w:rPr>
      </w:pPr>
      <w:r>
        <w:rPr>
          <w:color w:val="000000"/>
          <w:spacing w:val="-6"/>
        </w:rPr>
        <w:t xml:space="preserve">Vadovaudamasis </w:t>
      </w:r>
      <w:r>
        <w:rPr>
          <w:color w:val="000000"/>
          <w:spacing w:val="-2"/>
        </w:rPr>
        <w:t xml:space="preserve">Lietuvos Respublikos azartinių lošimų įstatymo (Žin., 2001, Nr. </w:t>
      </w:r>
      <w:hyperlink r:id="rId17" w:tgtFrame="_blank" w:history="1">
        <w:r>
          <w:rPr>
            <w:color w:val="0000FF" w:themeColor="hyperlink"/>
            <w:spacing w:val="-2"/>
            <w:u w:val="single"/>
          </w:rPr>
          <w:t>43-1495</w:t>
        </w:r>
      </w:hyperlink>
      <w:r>
        <w:rPr>
          <w:color w:val="000000"/>
          <w:spacing w:val="-2"/>
        </w:rPr>
        <w:t xml:space="preserve">; 2002, Nr. </w:t>
      </w:r>
      <w:hyperlink r:id="rId18" w:tgtFrame="_blank" w:history="1">
        <w:r>
          <w:rPr>
            <w:color w:val="0000FF" w:themeColor="hyperlink"/>
            <w:spacing w:val="-2"/>
            <w:u w:val="single"/>
          </w:rPr>
          <w:t>72-3010</w:t>
        </w:r>
      </w:hyperlink>
      <w:r>
        <w:rPr>
          <w:color w:val="000000"/>
          <w:spacing w:val="-2"/>
        </w:rPr>
        <w:t xml:space="preserve">; 2011, Nr. </w:t>
      </w:r>
      <w:hyperlink r:id="rId19" w:tgtFrame="_blank" w:history="1">
        <w:r>
          <w:rPr>
            <w:color w:val="0000FF" w:themeColor="hyperlink"/>
            <w:spacing w:val="-2"/>
            <w:u w:val="single"/>
          </w:rPr>
          <w:t>119-5611</w:t>
        </w:r>
      </w:hyperlink>
      <w:r>
        <w:rPr>
          <w:color w:val="000000"/>
          <w:spacing w:val="-2"/>
        </w:rPr>
        <w:t xml:space="preserve">) 29 straipsnio 6 dalimi, Lošimų priežiūros tarnybos prie Lietuvos Respublikos finansų ministerijos nuostatų, patvirtintų Lietuvos Respublikos finansų ministro 2012 m. vasario 21 d. įsakymu Nr. 1K-062 (Žin., 2012, Nr. </w:t>
      </w:r>
      <w:hyperlink r:id="rId20" w:tgtFrame="_blank" w:history="1">
        <w:r>
          <w:rPr>
            <w:color w:val="0000FF" w:themeColor="hyperlink"/>
            <w:spacing w:val="-2"/>
            <w:u w:val="single"/>
          </w:rPr>
          <w:t>24-1106</w:t>
        </w:r>
      </w:hyperlink>
      <w:r>
        <w:rPr>
          <w:color w:val="000000"/>
          <w:spacing w:val="-2"/>
        </w:rPr>
        <w:t>), 10.10 punktu:</w:t>
      </w:r>
    </w:p>
    <w:p>
      <w:pPr>
        <w:widowControl w:val="0"/>
        <w:ind w:firstLine="567"/>
        <w:jc w:val="both"/>
        <w:rPr>
          <w:color w:val="000000"/>
        </w:rPr>
      </w:pPr>
      <w:r>
        <w:rPr>
          <w:color w:val="000000"/>
        </w:rPr>
        <w:t>1</w:t>
      </w:r>
      <w:r>
        <w:rPr>
          <w:color w:val="000000"/>
        </w:rPr>
        <w:t>. T</w:t>
      </w:r>
      <w:r>
        <w:rPr>
          <w:color w:val="000000"/>
          <w:spacing w:val="50"/>
        </w:rPr>
        <w:t>virtinu</w:t>
      </w:r>
      <w:r>
        <w:rPr>
          <w:color w:val="000000"/>
        </w:rPr>
        <w:t>Lošimų įrenginių ženklinimo specialiu tapatumo ženklu tvarkos aprašą (pridedama).</w:t>
      </w:r>
    </w:p>
    <w:p>
      <w:pPr>
        <w:widowControl w:val="0"/>
        <w:ind w:firstLine="567"/>
        <w:jc w:val="both"/>
        <w:rPr>
          <w:color w:val="000000"/>
        </w:rPr>
      </w:pPr>
      <w:r>
        <w:rPr>
          <w:color w:val="000000"/>
        </w:rPr>
        <w:t>2</w:t>
      </w:r>
      <w:r>
        <w:rPr>
          <w:color w:val="000000"/>
        </w:rPr>
        <w:t>. P r i p a ž į s t u netekusiais galios:</w:t>
      </w:r>
    </w:p>
    <w:p>
      <w:pPr>
        <w:widowControl w:val="0"/>
        <w:ind w:firstLine="567"/>
        <w:jc w:val="both"/>
        <w:rPr>
          <w:color w:val="000000"/>
        </w:rPr>
      </w:pPr>
      <w:r>
        <w:rPr>
          <w:color w:val="000000"/>
        </w:rPr>
        <w:t>2.1</w:t>
      </w:r>
      <w:r>
        <w:rPr>
          <w:color w:val="000000"/>
        </w:rPr>
        <w:t xml:space="preserve">. Valstybinės lošimų priežiūros komisijos 2001 m. lapkričio 16 d. nutarimą Nr. 18 „Dėl Lošimų įrenginių ženklinimo specialiu tapatumo ženklu tvarkos patvirtinimo“ (Žin., 2001, Nr. </w:t>
      </w:r>
      <w:hyperlink r:id="rId21" w:tgtFrame="_blank" w:history="1">
        <w:r>
          <w:rPr>
            <w:color w:val="0000FF" w:themeColor="hyperlink"/>
            <w:u w:val="single"/>
          </w:rPr>
          <w:t>98-3507</w:t>
        </w:r>
      </w:hyperlink>
      <w:r>
        <w:rPr>
          <w:color w:val="000000"/>
        </w:rPr>
        <w:t>);</w:t>
      </w:r>
    </w:p>
    <w:p>
      <w:pPr>
        <w:widowControl w:val="0"/>
        <w:ind w:firstLine="567"/>
        <w:jc w:val="both"/>
        <w:rPr>
          <w:color w:val="000000"/>
        </w:rPr>
      </w:pPr>
      <w:r>
        <w:rPr>
          <w:color w:val="000000"/>
        </w:rPr>
        <w:t>2.2</w:t>
      </w:r>
      <w:r>
        <w:rPr>
          <w:color w:val="000000"/>
        </w:rPr>
        <w:t xml:space="preserve">. Valstybinės lošimų priežiūros komisijos 2003 m. birželio 6 d. nutarimą Nr. N-80 „Dėl Valstybinės lošimų priežiūros komisijos 2001 m. lapkričio 16 d. nutarimo Nr. 18 „Dėl Lošimo įrenginių ženklinimo specialiu tapatumo ženklu tvarkos patvirtinimo“ pakeitimo“ (Žin., 2003, Nr. </w:t>
      </w:r>
      <w:hyperlink r:id="rId22" w:tgtFrame="_blank" w:history="1">
        <w:r>
          <w:rPr>
            <w:color w:val="0000FF" w:themeColor="hyperlink"/>
            <w:u w:val="single"/>
          </w:rPr>
          <w:t>57-2575</w:t>
        </w:r>
      </w:hyperlink>
      <w:r>
        <w:rPr>
          <w:color w:val="000000"/>
        </w:rPr>
        <w:t>);</w:t>
      </w:r>
    </w:p>
    <w:p>
      <w:pPr>
        <w:widowControl w:val="0"/>
        <w:ind w:firstLine="567"/>
        <w:jc w:val="both"/>
        <w:rPr>
          <w:color w:val="000000"/>
        </w:rPr>
      </w:pPr>
      <w:r>
        <w:rPr>
          <w:color w:val="000000"/>
        </w:rPr>
        <w:t>2.3</w:t>
      </w:r>
      <w:r>
        <w:rPr>
          <w:color w:val="000000"/>
        </w:rPr>
        <w:t xml:space="preserve">. Valstybinės lošimų priežiūros komisijos 2004 m. spalio 29 d. nutarimą Nr. N-311 „Dėl Valstybinės lošimų priežiūros komisijos 2001 m. lapkričio 16 d. nutarimo Nr. 18 „Dėl Lošimo įrenginių ženklinimo specialiu tapatumo ženklu tvarkos patvirtinimo“ pakeitimo“ (Žin., 2004, Nr. </w:t>
      </w:r>
      <w:hyperlink r:id="rId23" w:tgtFrame="_blank" w:history="1">
        <w:r>
          <w:rPr>
            <w:color w:val="0000FF" w:themeColor="hyperlink"/>
            <w:u w:val="single"/>
          </w:rPr>
          <w:t>160-5877</w:t>
        </w:r>
      </w:hyperlink>
      <w:r>
        <w:rPr>
          <w:color w:val="000000"/>
        </w:rPr>
        <w:t>);</w:t>
      </w:r>
    </w:p>
    <w:p>
      <w:pPr>
        <w:widowControl w:val="0"/>
        <w:ind w:firstLine="567"/>
        <w:jc w:val="both"/>
      </w:pPr>
      <w:r>
        <w:rPr>
          <w:color w:val="000000"/>
        </w:rPr>
        <w:t>2.4</w:t>
      </w:r>
      <w:r>
        <w:rPr>
          <w:color w:val="000000"/>
        </w:rPr>
        <w:t xml:space="preserve">. Valstybinės lošimų priežiūros komisijos 2009 m. gruodžio 3 d. nutarimą Nr. N-400 „Dėl Valstybinės lošimų priežiūros komisijos 2001 m. lapkričio 16 d. nutarimo Nr. 18 „Dėl Lošimo įrenginių ženklinimo specialiu tapatumo ženklu tvarkos patvirtinimo“ pakeitimo“ (Žin., 2009, Nr. </w:t>
      </w:r>
      <w:hyperlink r:id="rId24" w:tgtFrame="_blank" w:history="1">
        <w:r>
          <w:rPr>
            <w:color w:val="0000FF" w:themeColor="hyperlink"/>
            <w:u w:val="single"/>
          </w:rPr>
          <w:t>146-6546</w:t>
        </w:r>
      </w:hyperlink>
      <w:r>
        <w:rPr>
          <w:color w:val="000000"/>
        </w:rPr>
        <w:t>).</w:t>
      </w:r>
    </w:p>
    <w:p>
      <w:pPr>
        <w:ind w:firstLine="567"/>
        <w:jc w:val="both"/>
        <w:rPr>
          <w:color w:val="000000"/>
        </w:rPr>
      </w:pPr>
      <w:r>
        <w:rPr>
          <w:szCs w:val="24"/>
        </w:rPr>
        <w:t>3</w:t>
      </w:r>
      <w:r>
        <w:rPr>
          <w:szCs w:val="24"/>
        </w:rPr>
        <w:t>. N u s t a t a u, kad bendrovės, paženklinusios lošimo įrenginius specialiais ženklais, išduotais iki 2012 m. kovo 1 d., vadovaujasi šio įsakymo 1 punktu patvirtinto Lošimų įrenginių ženklinimo specialiu tapatumo ženklu tvarkos aprašo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fccb500d0d11e6bae4eb98746971fa">
        <w:r w:rsidRPr="00532B9F">
          <w:rPr>
            <w:rFonts w:ascii="Times New Roman" w:eastAsia="MS Mincho" w:hAnsi="Times New Roman"/>
            <w:sz w:val="20"/>
            <w:i/>
            <w:iCs/>
            <w:color w:val="0000FF" w:themeColor="hyperlink"/>
            <w:u w:val="single"/>
          </w:rPr>
          <w:t>DI-225</w:t>
        </w:r>
      </w:fldSimple>
      <w:r>
        <w:rPr>
          <w:rFonts w:ascii="Times New Roman" w:eastAsia="MS Mincho" w:hAnsi="Times New Roman"/>
          <w:sz w:val="20"/>
          <w:i/>
          <w:iCs/>
        </w:rPr>
        <w:t>,
2016-04-28,
paskelbta TAR 2016-04-28, i. k. 2016-10616        </w:t>
      </w:r>
    </w:p>
    <w:p/>
    <w:p>
      <w:pPr>
        <w:widowControl w:val="0"/>
      </w:pPr>
    </w:p>
    <w:p>
      <w:pPr>
        <w:widowControl w:val="0"/>
      </w:pPr>
    </w:p>
    <w:p>
      <w:pPr>
        <w:widowControl w:val="0"/>
        <w:rPr>
          <w:caps/>
          <w:color w:val="000000"/>
        </w:rPr>
      </w:pPr>
      <w:r>
        <w:rPr>
          <w:caps/>
          <w:color w:val="000000"/>
        </w:rPr>
        <w:t xml:space="preserve">Lošimo įrenginių techninės kontrolės ir </w:t>
      </w:r>
    </w:p>
    <w:p>
      <w:pPr>
        <w:widowControl w:val="0"/>
        <w:rPr>
          <w:caps/>
          <w:color w:val="000000"/>
        </w:rPr>
      </w:pPr>
      <w:r>
        <w:rPr>
          <w:caps/>
          <w:color w:val="000000"/>
        </w:rPr>
        <w:t xml:space="preserve">registro skyriaus vedėjas, </w:t>
      </w:r>
    </w:p>
    <w:p>
      <w:pPr>
        <w:widowControl w:val="0"/>
        <w:tabs>
          <w:tab w:val="right" w:pos="9071"/>
        </w:tabs>
        <w:rPr>
          <w:color w:val="000000"/>
        </w:rPr>
      </w:pPr>
      <w:r>
        <w:rPr>
          <w:caps/>
          <w:color w:val="000000"/>
        </w:rPr>
        <w:t xml:space="preserve">atliekantis direktoriaus funkcijas </w:t>
        <w:tab/>
        <w:t>Danielius Stašys</w:t>
      </w:r>
    </w:p>
    <w:p>
      <w:pPr>
        <w:ind w:left="4536"/>
        <w:textAlignment w:val="center"/>
      </w:pPr>
    </w:p>
    <w:p>
      <w:r>
        <w:br w:type="page"/>
      </w:r>
    </w:p>
    <w:p>
      <w:pPr>
        <w:ind w:left="4536"/>
        <w:textAlignment w:val="center"/>
        <w:rPr>
          <w:color w:val="000000"/>
          <w:szCs w:val="24"/>
        </w:rPr>
      </w:pPr>
      <w:r>
        <w:rPr>
          <w:color w:val="000000"/>
          <w:szCs w:val="24"/>
        </w:rPr>
        <w:t>PATVIRTINTA</w:t>
      </w:r>
    </w:p>
    <w:p>
      <w:pPr>
        <w:ind w:left="4536"/>
        <w:textAlignment w:val="center"/>
        <w:rPr>
          <w:color w:val="000000"/>
          <w:szCs w:val="24"/>
        </w:rPr>
      </w:pPr>
      <w:r>
        <w:rPr>
          <w:color w:val="000000"/>
          <w:szCs w:val="24"/>
        </w:rPr>
        <w:t xml:space="preserve">Lošimų priežiūros tarnybos prie Lietuvos Respublikos finansų ministerijos direktoriaus </w:t>
      </w:r>
    </w:p>
    <w:p>
      <w:pPr>
        <w:ind w:left="4536"/>
        <w:textAlignment w:val="center"/>
        <w:rPr>
          <w:color w:val="000000"/>
          <w:szCs w:val="24"/>
        </w:rPr>
      </w:pPr>
      <w:r>
        <w:rPr>
          <w:color w:val="000000"/>
          <w:szCs w:val="24"/>
        </w:rPr>
        <w:t>2012 m. kovo 21 d. įsakymu Nr. DI-30</w:t>
      </w:r>
    </w:p>
    <w:p>
      <w:pPr>
        <w:ind w:left="4536"/>
        <w:textAlignment w:val="center"/>
        <w:rPr>
          <w:color w:val="000000"/>
          <w:szCs w:val="24"/>
        </w:rPr>
      </w:pPr>
      <w:r>
        <w:rPr>
          <w:color w:val="000000"/>
          <w:szCs w:val="24"/>
        </w:rPr>
        <w:t>(2016 m. kovo 24 d. įsakymo Nr. DI-124 redakcija)</w:t>
      </w:r>
    </w:p>
    <w:p>
      <w:pPr>
        <w:widowControl w:val="0"/>
        <w:ind w:left="4820" w:firstLine="142"/>
        <w:rPr>
          <w:b/>
          <w:bCs/>
          <w:caps/>
          <w:color w:val="000000"/>
          <w:szCs w:val="24"/>
        </w:rPr>
      </w:pPr>
    </w:p>
    <w:p>
      <w:pPr>
        <w:widowControl w:val="0"/>
        <w:jc w:val="center"/>
        <w:rPr>
          <w:b/>
          <w:bCs/>
          <w:caps/>
          <w:color w:val="000000"/>
          <w:szCs w:val="24"/>
        </w:rPr>
      </w:pPr>
    </w:p>
    <w:p>
      <w:pPr>
        <w:widowControl w:val="0"/>
        <w:jc w:val="center"/>
        <w:rPr>
          <w:b/>
          <w:bCs/>
          <w:caps/>
          <w:color w:val="000000"/>
          <w:szCs w:val="24"/>
        </w:rPr>
      </w:pPr>
      <w:r>
        <w:rPr>
          <w:b/>
          <w:bCs/>
          <w:caps/>
          <w:color w:val="000000"/>
          <w:szCs w:val="24"/>
        </w:rPr>
        <w:t>LOŠIMų ĮRENGINIŲ ŽENKLINIMO SPECIALIU TAPATUMO ŽENKLU TVARKOS APRAŠAS</w:t>
      </w:r>
    </w:p>
    <w:p>
      <w:pPr>
        <w:widowControl w:val="0"/>
        <w:ind w:firstLine="567"/>
        <w:jc w:val="center"/>
        <w:rPr>
          <w:color w:val="000000"/>
          <w:szCs w:val="24"/>
        </w:rPr>
      </w:pPr>
    </w:p>
    <w:p>
      <w:pPr>
        <w:widowControl w:val="0"/>
        <w:ind w:firstLine="567"/>
        <w:jc w:val="center"/>
        <w:rPr>
          <w:b/>
          <w:bCs/>
          <w:caps/>
          <w:color w:val="000000"/>
          <w:szCs w:val="24"/>
        </w:rPr>
      </w:pPr>
      <w:r>
        <w:rPr>
          <w:b/>
          <w:color w:val="000000"/>
          <w:szCs w:val="24"/>
        </w:rPr>
        <w:t>I</w:t>
      </w:r>
      <w:r>
        <w:rPr>
          <w:b/>
          <w:color w:val="000000"/>
          <w:szCs w:val="24"/>
        </w:rPr>
        <w:t xml:space="preserve"> SKYRIUS</w:t>
      </w:r>
    </w:p>
    <w:p>
      <w:pPr>
        <w:widowControl w:val="0"/>
        <w:jc w:val="center"/>
        <w:rPr>
          <w:b/>
          <w:bCs/>
          <w:caps/>
          <w:color w:val="000000"/>
          <w:szCs w:val="24"/>
        </w:rPr>
      </w:pPr>
      <w:r>
        <w:rPr>
          <w:b/>
          <w:bCs/>
          <w:caps/>
          <w:color w:val="000000"/>
          <w:szCs w:val="24"/>
        </w:rPr>
        <w:t>Bendrosios nuostatos</w:t>
      </w:r>
    </w:p>
    <w:p>
      <w:pPr>
        <w:widowControl w:val="0"/>
        <w:ind w:firstLine="709"/>
        <w:jc w:val="both"/>
        <w:rPr>
          <w:color w:val="000000"/>
          <w:szCs w:val="24"/>
        </w:rPr>
      </w:pPr>
    </w:p>
    <w:p>
      <w:pPr>
        <w:widowControl w:val="0"/>
        <w:ind w:firstLine="709"/>
        <w:jc w:val="both"/>
        <w:rPr>
          <w:szCs w:val="24"/>
        </w:rPr>
      </w:pPr>
      <w:r>
        <w:rPr>
          <w:color w:val="000000"/>
          <w:szCs w:val="24"/>
        </w:rPr>
        <w:t>1</w:t>
      </w:r>
      <w:r>
        <w:rPr>
          <w:color w:val="000000"/>
          <w:szCs w:val="24"/>
        </w:rPr>
        <w:t xml:space="preserve">. Lošimų įrenginių ženklinimo specialiu tapatumo ženklu tvarkos aprašas (toliau – Aprašas) nustato reikalavimus specialiems tapatumo ženklams bei lošimų įrenginių ir lošimo stalų ženklinimo jais procedūras. </w:t>
      </w:r>
    </w:p>
    <w:p>
      <w:pPr>
        <w:widowControl w:val="0"/>
        <w:ind w:firstLine="709"/>
        <w:jc w:val="both"/>
        <w:rPr>
          <w:color w:val="000000"/>
          <w:szCs w:val="24"/>
        </w:rPr>
      </w:pPr>
      <w:r>
        <w:rPr>
          <w:color w:val="000000"/>
          <w:szCs w:val="24"/>
        </w:rPr>
        <w:t>2</w:t>
      </w:r>
      <w:r>
        <w:rPr>
          <w:color w:val="000000"/>
          <w:szCs w:val="24"/>
        </w:rPr>
        <w:t xml:space="preserve">. </w:t>
      </w:r>
      <w:r>
        <w:rPr>
          <w:b/>
          <w:color w:val="000000"/>
          <w:szCs w:val="24"/>
        </w:rPr>
        <w:t>Specialus tapatumo ženklas</w:t>
      </w:r>
      <w:r>
        <w:rPr>
          <w:color w:val="000000"/>
          <w:szCs w:val="24"/>
        </w:rPr>
        <w:t xml:space="preserve"> </w:t>
      </w:r>
      <w:r>
        <w:rPr>
          <w:color w:val="000000"/>
          <w:szCs w:val="24"/>
          <w:lang w:eastAsia="lt-LT"/>
        </w:rPr>
        <w:t xml:space="preserve">(toliau – ženklas) </w:t>
      </w:r>
      <w:r>
        <w:rPr>
          <w:color w:val="000000"/>
          <w:szCs w:val="24"/>
        </w:rPr>
        <w:t>– Apraše nustatytos formos (1 priedas) lošimo įrenginį identifikuojantis žymuo, klijuojamas ant lošimo įrenginio.</w:t>
      </w:r>
    </w:p>
    <w:p>
      <w:pPr>
        <w:widowControl w:val="0"/>
        <w:ind w:firstLine="709"/>
        <w:jc w:val="both"/>
        <w:rPr>
          <w:color w:val="000000"/>
          <w:szCs w:val="24"/>
        </w:rPr>
      </w:pPr>
      <w:r>
        <w:rPr>
          <w:color w:val="000000"/>
          <w:szCs w:val="24"/>
        </w:rPr>
        <w:t>3</w:t>
      </w:r>
      <w:r>
        <w:rPr>
          <w:color w:val="000000"/>
          <w:szCs w:val="24"/>
        </w:rPr>
        <w:t>. Kitos Apraše vartojamos sąvokos atitinka Lietuvos Respublikos azartinių lošimų įstatyme vartojamas sąvokas.</w:t>
      </w:r>
    </w:p>
    <w:p>
      <w:pPr>
        <w:rPr>
          <w:color w:val="000000"/>
          <w:szCs w:val="24"/>
          <w:lang w:eastAsia="lt-LT"/>
        </w:rPr>
      </w:pPr>
    </w:p>
    <w:p>
      <w:pPr>
        <w:jc w:val="center"/>
        <w:rPr>
          <w:b/>
          <w:szCs w:val="24"/>
        </w:rPr>
      </w:pPr>
      <w:r>
        <w:rPr>
          <w:b/>
          <w:szCs w:val="24"/>
        </w:rPr>
        <w:t>II</w:t>
      </w:r>
      <w:r>
        <w:rPr>
          <w:b/>
          <w:szCs w:val="24"/>
        </w:rPr>
        <w:t xml:space="preserve"> SKYRIUS</w:t>
      </w:r>
    </w:p>
    <w:p>
      <w:pPr>
        <w:widowControl w:val="0"/>
        <w:jc w:val="center"/>
        <w:rPr>
          <w:b/>
          <w:bCs/>
          <w:caps/>
          <w:color w:val="000000"/>
          <w:szCs w:val="24"/>
        </w:rPr>
      </w:pPr>
      <w:r>
        <w:rPr>
          <w:b/>
          <w:bCs/>
          <w:caps/>
          <w:color w:val="000000"/>
          <w:szCs w:val="24"/>
        </w:rPr>
        <w:t>ženklų išdavimas ir LOŠIMŲ ĮRENGINIŲ ŽENKLINIMAS</w:t>
      </w:r>
    </w:p>
    <w:p>
      <w:pPr>
        <w:widowControl w:val="0"/>
        <w:jc w:val="center"/>
        <w:rPr>
          <w:b/>
          <w:bCs/>
          <w:caps/>
          <w:color w:val="000000"/>
          <w:szCs w:val="24"/>
        </w:rPr>
      </w:pPr>
    </w:p>
    <w:p>
      <w:pPr>
        <w:widowControl w:val="0"/>
        <w:ind w:firstLine="709"/>
        <w:jc w:val="both"/>
        <w:rPr>
          <w:color w:val="000000"/>
          <w:szCs w:val="24"/>
          <w:lang w:eastAsia="lt-LT"/>
        </w:rPr>
      </w:pPr>
      <w:r>
        <w:rPr>
          <w:color w:val="000000"/>
          <w:szCs w:val="24"/>
          <w:lang w:eastAsia="lt-LT"/>
        </w:rPr>
        <w:t>4</w:t>
      </w:r>
      <w:r>
        <w:rPr>
          <w:color w:val="000000"/>
          <w:szCs w:val="24"/>
          <w:lang w:eastAsia="lt-LT"/>
        </w:rPr>
        <w:t xml:space="preserve">. Kiekvienas lošimo įrenginys ir lošimo stalas, kuriuos Lošimų priežiūros tarnyba prie Lietuvos Respublikos finansų ministerijos (toliau –  Priežiūros tarnyba) leido eksploatuoti, turi būti paženklintas ženklu </w:t>
      </w:r>
      <w:r>
        <w:rPr>
          <w:color w:val="000000"/>
          <w:szCs w:val="24"/>
        </w:rPr>
        <w:t>su lošimo įrenginio rūšį atitinkančia serija (2 priedas) ir unikaliu šešių ženklų numeriu, kuris sudaromas didėjančia tvarka,</w:t>
      </w:r>
      <w:r>
        <w:rPr>
          <w:color w:val="000000"/>
          <w:szCs w:val="24"/>
          <w:lang w:eastAsia="lt-LT"/>
        </w:rPr>
        <w:t xml:space="preserve"> aiškiai matomoje ir nuo galimo pažeidimo apsaugotoje vietoje.</w:t>
      </w:r>
    </w:p>
    <w:p>
      <w:pPr>
        <w:widowControl w:val="0"/>
        <w:ind w:firstLine="709"/>
        <w:jc w:val="both"/>
        <w:rPr>
          <w:szCs w:val="24"/>
        </w:rPr>
      </w:pPr>
      <w:r>
        <w:rPr>
          <w:color w:val="000000"/>
          <w:szCs w:val="24"/>
          <w:lang w:eastAsia="lt-LT"/>
        </w:rPr>
        <w:t>5</w:t>
      </w:r>
      <w:r>
        <w:rPr>
          <w:color w:val="000000"/>
          <w:szCs w:val="24"/>
          <w:lang w:eastAsia="lt-LT"/>
        </w:rPr>
        <w:t>. Ženklai išduodami ne vėliau kaip per 5 darbo dienas teisės aktų nustatyta tvarka Priežiūros tarnybai suteikus teisę eksploatuoti lošimo įrenginius ir lošimo stalus (toliau – lošimo įrenginiai) lošimo namuose (kazino), automatų ar bingo salonuose arba lažybų punkte.</w:t>
      </w:r>
      <w:r>
        <w:rPr>
          <w:szCs w:val="24"/>
        </w:rPr>
        <w:t xml:space="preserve"> </w:t>
      </w:r>
    </w:p>
    <w:p>
      <w:pPr>
        <w:widowControl w:val="0"/>
        <w:ind w:firstLine="709"/>
        <w:jc w:val="both"/>
        <w:rPr>
          <w:color w:val="000000"/>
          <w:szCs w:val="24"/>
        </w:rPr>
      </w:pPr>
      <w:r>
        <w:rPr>
          <w:color w:val="000000"/>
          <w:szCs w:val="24"/>
          <w:lang w:eastAsia="lt-LT"/>
        </w:rPr>
        <w:t>6</w:t>
      </w:r>
      <w:r>
        <w:rPr>
          <w:color w:val="000000"/>
          <w:szCs w:val="24"/>
          <w:lang w:eastAsia="lt-LT"/>
        </w:rPr>
        <w:t>. Lošimo įrenginiai ženklinami prieš pradedant juos eksploatuoti.</w:t>
      </w:r>
      <w:r>
        <w:rPr>
          <w:szCs w:val="24"/>
        </w:rPr>
        <w:t xml:space="preserve"> </w:t>
      </w:r>
    </w:p>
    <w:p>
      <w:pPr>
        <w:widowControl w:val="0"/>
        <w:ind w:firstLine="709"/>
        <w:jc w:val="both"/>
        <w:rPr>
          <w:szCs w:val="24"/>
        </w:rPr>
      </w:pPr>
      <w:r>
        <w:rPr>
          <w:color w:val="000000"/>
          <w:szCs w:val="24"/>
          <w:lang w:eastAsia="lt-LT"/>
        </w:rPr>
        <w:t>7</w:t>
      </w:r>
      <w:r>
        <w:rPr>
          <w:color w:val="000000"/>
          <w:szCs w:val="24"/>
          <w:lang w:eastAsia="lt-LT"/>
        </w:rPr>
        <w:t>. Įgaliotas Priežiūros tarnybos valstybės tarnautojas (toliau – įgaliotas valstybės tarnautojas) pasirašytinai išduoda ženklus bendrovės direktoriui arba įgaliotam atstovui (toliau – bendrovės atstovas), įformindamas ženklų priėmimo–perdavimo aktą. Jame nurodomas lošimo įrenginio tipas arba pavadinimas, gamyklos serijos numeris, jam priskirto ženklo serija bei numeris ir lošimo įrenginio eksploatavimo vieta.</w:t>
      </w:r>
      <w:r>
        <w:rPr>
          <w:szCs w:val="24"/>
        </w:rPr>
        <w:t xml:space="preserve"> </w:t>
      </w:r>
    </w:p>
    <w:p>
      <w:pPr>
        <w:widowControl w:val="0"/>
        <w:ind w:firstLine="709"/>
        <w:jc w:val="both"/>
        <w:rPr>
          <w:color w:val="000000"/>
          <w:szCs w:val="24"/>
        </w:rPr>
      </w:pPr>
      <w:r>
        <w:rPr>
          <w:color w:val="000000"/>
          <w:szCs w:val="24"/>
        </w:rPr>
        <w:t>8</w:t>
      </w:r>
      <w:r>
        <w:rPr>
          <w:color w:val="000000"/>
          <w:szCs w:val="24"/>
        </w:rPr>
        <w:t>. Po ženklų gavimo bendrovės atstovas, nustatęs lošimo įrenginio tapatumą, ženklina (klijuoja) lošimo įrenginį ženklu. Priežiūros tarnybos direktoriaus įsakymu ženklinti lošimo įrenginį ženklu gali būti pavesta įgaliotam valstybės tarnautojui.</w:t>
      </w:r>
    </w:p>
    <w:p>
      <w:pPr>
        <w:widowControl w:val="0"/>
        <w:ind w:firstLine="709"/>
        <w:jc w:val="both"/>
        <w:rPr>
          <w:color w:val="000000"/>
          <w:szCs w:val="24"/>
        </w:rPr>
      </w:pPr>
      <w:r>
        <w:rPr>
          <w:color w:val="000000"/>
          <w:szCs w:val="24"/>
        </w:rPr>
        <w:t>9</w:t>
      </w:r>
      <w:r>
        <w:rPr>
          <w:color w:val="000000"/>
          <w:szCs w:val="24"/>
        </w:rPr>
        <w:t>. Nustačius ženklo pažeidimo arba jo dingimo faktą, lošimo įrenginį eksploatuojanti bendrovė nedelsdama sustabdo įrenginio eksploatavimą. Ženklas laikomas pažeistu, jeigu:</w:t>
      </w:r>
    </w:p>
    <w:p>
      <w:pPr>
        <w:widowControl w:val="0"/>
        <w:ind w:firstLine="709"/>
        <w:jc w:val="both"/>
        <w:rPr>
          <w:color w:val="000000"/>
          <w:szCs w:val="24"/>
        </w:rPr>
      </w:pPr>
      <w:r>
        <w:rPr>
          <w:color w:val="000000"/>
          <w:szCs w:val="24"/>
        </w:rPr>
        <w:t>9.1</w:t>
      </w:r>
      <w:r>
        <w:rPr>
          <w:color w:val="000000"/>
          <w:szCs w:val="24"/>
        </w:rPr>
        <w:t>. yra pažeistas ženklo metalizuotas sidabro atspalvio sluoksnis;</w:t>
      </w:r>
    </w:p>
    <w:p>
      <w:pPr>
        <w:widowControl w:val="0"/>
        <w:ind w:firstLine="709"/>
        <w:jc w:val="both"/>
        <w:rPr>
          <w:color w:val="000000"/>
          <w:szCs w:val="24"/>
        </w:rPr>
      </w:pPr>
      <w:r>
        <w:rPr>
          <w:color w:val="000000"/>
          <w:szCs w:val="24"/>
        </w:rPr>
        <w:t>9.2</w:t>
      </w:r>
      <w:r>
        <w:rPr>
          <w:color w:val="000000"/>
          <w:szCs w:val="24"/>
        </w:rPr>
        <w:t>. ženklo paviršius yra pažeistas mechaniškai (ant ženklo paviršiaus plėvelės yra matomi įtrūkimai, subraižymai; ne visas ženklo paviršius tolygiai dengia lošimo įrenginio paviršių arba yra kitaip deformuotas);</w:t>
      </w:r>
    </w:p>
    <w:p>
      <w:pPr>
        <w:widowControl w:val="0"/>
        <w:ind w:firstLine="720"/>
        <w:jc w:val="both"/>
        <w:rPr>
          <w:color w:val="000000"/>
          <w:szCs w:val="24"/>
        </w:rPr>
      </w:pPr>
      <w:r>
        <w:rPr>
          <w:color w:val="000000"/>
          <w:szCs w:val="24"/>
        </w:rPr>
        <w:t>9.3</w:t>
      </w:r>
      <w:r>
        <w:rPr>
          <w:color w:val="000000"/>
          <w:szCs w:val="24"/>
        </w:rPr>
        <w:t>. ženklas neatitinka ženklo formato;</w:t>
      </w:r>
    </w:p>
    <w:p>
      <w:pPr>
        <w:widowControl w:val="0"/>
        <w:ind w:firstLine="709"/>
        <w:jc w:val="both"/>
        <w:rPr>
          <w:color w:val="000000"/>
          <w:szCs w:val="24"/>
        </w:rPr>
      </w:pPr>
      <w:r>
        <w:rPr>
          <w:color w:val="000000"/>
          <w:szCs w:val="24"/>
        </w:rPr>
        <w:t>9.4</w:t>
      </w:r>
      <w:r>
        <w:rPr>
          <w:color w:val="000000"/>
          <w:szCs w:val="24"/>
        </w:rPr>
        <w:t>. nėra galimybės identifikuoti ženklo serijos ir (arba) numerio.</w:t>
      </w:r>
    </w:p>
    <w:p>
      <w:pPr>
        <w:widowControl w:val="0"/>
        <w:ind w:firstLine="709"/>
        <w:jc w:val="both"/>
        <w:rPr>
          <w:color w:val="000000"/>
          <w:szCs w:val="24"/>
        </w:rPr>
      </w:pPr>
      <w:r>
        <w:rPr>
          <w:color w:val="000000"/>
          <w:szCs w:val="24"/>
        </w:rPr>
        <w:t>10</w:t>
      </w:r>
      <w:r>
        <w:rPr>
          <w:color w:val="000000"/>
          <w:szCs w:val="24"/>
        </w:rPr>
        <w:t>. Apie pažeistą arba dingusį ženklą lošimus organizuojanti bendrovė privalo per 1 darbo dieną informuoti Priežiūros tarnybą.</w:t>
      </w:r>
    </w:p>
    <w:p>
      <w:pPr>
        <w:widowControl w:val="0"/>
        <w:ind w:firstLine="709"/>
        <w:jc w:val="both"/>
        <w:rPr>
          <w:color w:val="000000"/>
          <w:szCs w:val="24"/>
          <w:lang w:eastAsia="lt-LT"/>
        </w:rPr>
      </w:pPr>
      <w:r>
        <w:rPr>
          <w:color w:val="000000"/>
          <w:szCs w:val="24"/>
        </w:rPr>
        <w:t>11</w:t>
      </w:r>
      <w:r>
        <w:rPr>
          <w:color w:val="000000"/>
          <w:szCs w:val="24"/>
        </w:rPr>
        <w:t xml:space="preserve">. Naujas ženklas vietoj pažeisto arba dingusio </w:t>
      </w:r>
      <w:r>
        <w:rPr>
          <w:color w:val="000000"/>
          <w:szCs w:val="24"/>
          <w:lang w:eastAsia="lt-LT"/>
        </w:rPr>
        <w:t xml:space="preserve">ženklo išduodamas ne vėliau kaip per 3 darbo dienas nuo kreipimosi į Priežiūros tarnybą šio Aprašo 7 punkte nustatyta tvarka. </w:t>
      </w:r>
    </w:p>
    <w:p>
      <w:pPr>
        <w:widowControl w:val="0"/>
        <w:ind w:firstLine="709"/>
        <w:jc w:val="both"/>
        <w:rPr>
          <w:color w:val="000000"/>
          <w:szCs w:val="24"/>
        </w:rPr>
      </w:pPr>
      <w:r>
        <w:rPr>
          <w:color w:val="000000"/>
          <w:szCs w:val="24"/>
        </w:rPr>
        <w:t>12</w:t>
      </w:r>
      <w:r>
        <w:rPr>
          <w:color w:val="000000"/>
          <w:szCs w:val="24"/>
        </w:rPr>
        <w:t xml:space="preserve">. Priežiūros tarnybai nustačius, kad ženklų </w:t>
      </w:r>
      <w:r>
        <w:rPr>
          <w:color w:val="000000"/>
          <w:szCs w:val="24"/>
          <w:lang w:eastAsia="lt-LT"/>
        </w:rPr>
        <w:t>priėmimo–perdavimo aktu bendrovės atstovui buvo išduotas ne tos serijos ženklas, Priežiūros tarnyba per 1 darbo dieną nuo tokių aplinkybių paaiškėjimo informuoja bendrovę ir ne vėliau kaip per 3 darbo dienas išduoda ženklą, atitinkantį ženklinamo lošimo įrenginio rūšį šio Aprašo 7 punkte nustatyta tvarka.</w:t>
      </w:r>
    </w:p>
    <w:p>
      <w:pPr>
        <w:widowControl w:val="0"/>
        <w:ind w:firstLine="709"/>
        <w:jc w:val="both"/>
        <w:rPr>
          <w:color w:val="000000"/>
          <w:szCs w:val="24"/>
        </w:rPr>
      </w:pPr>
      <w:r>
        <w:rPr>
          <w:color w:val="000000"/>
          <w:szCs w:val="24"/>
        </w:rPr>
        <w:t>13</w:t>
      </w:r>
      <w:r>
        <w:rPr>
          <w:color w:val="000000"/>
          <w:szCs w:val="24"/>
        </w:rPr>
        <w:t>. Paženklinus lošimo įrenginį nauju ženklu lošimo įrenginio duomenys Lietuvos lošimo įrenginių registre (toliau – Registras) pakeičiami teisės aktų nustatyta tvarka.</w:t>
      </w:r>
    </w:p>
    <w:p>
      <w:pPr>
        <w:widowControl w:val="0"/>
        <w:ind w:firstLine="567"/>
        <w:jc w:val="both"/>
        <w:rPr>
          <w:color w:val="000000"/>
          <w:szCs w:val="24"/>
        </w:rPr>
      </w:pPr>
    </w:p>
    <w:p>
      <w:pPr>
        <w:widowControl w:val="0"/>
        <w:ind w:firstLine="567"/>
        <w:jc w:val="center"/>
        <w:rPr>
          <w:b/>
          <w:color w:val="000000"/>
          <w:szCs w:val="24"/>
        </w:rPr>
      </w:pPr>
      <w:r>
        <w:rPr>
          <w:b/>
          <w:color w:val="000000"/>
          <w:szCs w:val="24"/>
        </w:rPr>
        <w:t>III</w:t>
      </w:r>
      <w:r>
        <w:rPr>
          <w:b/>
          <w:color w:val="000000"/>
          <w:szCs w:val="24"/>
        </w:rPr>
        <w:t xml:space="preserve"> SKYRIUS</w:t>
      </w:r>
    </w:p>
    <w:p>
      <w:pPr>
        <w:widowControl w:val="0"/>
        <w:jc w:val="center"/>
        <w:rPr>
          <w:b/>
          <w:bCs/>
          <w:caps/>
          <w:color w:val="000000"/>
          <w:szCs w:val="24"/>
        </w:rPr>
      </w:pPr>
      <w:r>
        <w:rPr>
          <w:b/>
          <w:bCs/>
          <w:caps/>
          <w:color w:val="000000"/>
          <w:szCs w:val="24"/>
        </w:rPr>
        <w:t>BAIGIAMOSIOS NUOSTATOS</w:t>
      </w:r>
    </w:p>
    <w:p>
      <w:pPr>
        <w:widowControl w:val="0"/>
        <w:ind w:firstLine="709"/>
        <w:jc w:val="both"/>
        <w:rPr>
          <w:color w:val="000000"/>
          <w:szCs w:val="24"/>
        </w:rPr>
      </w:pPr>
    </w:p>
    <w:p>
      <w:pPr>
        <w:widowControl w:val="0"/>
        <w:ind w:firstLine="709"/>
        <w:jc w:val="both"/>
        <w:rPr>
          <w:color w:val="000000"/>
          <w:szCs w:val="24"/>
        </w:rPr>
      </w:pPr>
      <w:r>
        <w:rPr>
          <w:color w:val="000000"/>
          <w:szCs w:val="24"/>
        </w:rPr>
        <w:t>14</w:t>
      </w:r>
      <w:r>
        <w:rPr>
          <w:color w:val="000000"/>
          <w:szCs w:val="24"/>
        </w:rPr>
        <w:t>. Už išduoto ženklo saugumą atsako bendrovė.</w:t>
      </w:r>
    </w:p>
    <w:p>
      <w:pPr>
        <w:widowControl w:val="0"/>
        <w:ind w:firstLine="709"/>
        <w:jc w:val="both"/>
        <w:rPr>
          <w:szCs w:val="24"/>
        </w:rPr>
      </w:pPr>
      <w:r>
        <w:rPr>
          <w:color w:val="000000"/>
          <w:szCs w:val="24"/>
        </w:rPr>
        <w:t>15</w:t>
      </w:r>
      <w:r>
        <w:rPr>
          <w:color w:val="000000"/>
          <w:szCs w:val="24"/>
        </w:rPr>
        <w:t>. Jeigu lošimo įrenginys nebeeksploatuojamas, bendrovė per 5 darbo dienas nuo eksploatacijos nutraukimo privalo grąžinti ženklą Priežiūros tarnybai arba sunaikinti jį lošimo įrenginio eksploatavimo vietoje dalyvaujant įgaliotam Priežiūros tarnybos atstovui. Jei ženklas grąžinamas Priežiūros tarnybai, jis turi būti pridėtas prie prašymo išregistruoti neeksploatuojamo lošimo įrenginio registro duomenis Registre. Jei ženklas naikinamas lošimo įrenginio eksploatavimo vietoje dalyvaujant įgaliotam Priežiūros tarnybos atstovui, turi būti surašomas ženklo sunaikinimo aktas, kurio vienas egzempliorius perduodamas Priežiūros tarnybai.</w:t>
      </w:r>
    </w:p>
    <w:p>
      <w:pPr>
        <w:widowControl w:val="0"/>
        <w:ind w:firstLine="709"/>
        <w:jc w:val="both"/>
        <w:rPr>
          <w:color w:val="000000"/>
          <w:szCs w:val="24"/>
        </w:rPr>
      </w:pPr>
      <w:r>
        <w:rPr>
          <w:color w:val="000000"/>
          <w:szCs w:val="24"/>
        </w:rPr>
        <w:t>16</w:t>
      </w:r>
      <w:r>
        <w:rPr>
          <w:color w:val="000000"/>
          <w:szCs w:val="24"/>
        </w:rPr>
        <w:t>. Ženklų apskaitą vykdo įgaliotas Priežiūros tarnybos valstybės tarnautojas.</w:t>
      </w:r>
    </w:p>
    <w:p>
      <w:pPr>
        <w:widowControl w:val="0"/>
        <w:ind w:firstLine="709"/>
        <w:jc w:val="both"/>
        <w:rPr>
          <w:color w:val="000000"/>
          <w:szCs w:val="24"/>
        </w:rPr>
      </w:pPr>
      <w:r>
        <w:rPr>
          <w:color w:val="000000"/>
          <w:szCs w:val="24"/>
        </w:rPr>
        <w:t>17</w:t>
      </w:r>
      <w:r>
        <w:rPr>
          <w:color w:val="000000"/>
          <w:szCs w:val="24"/>
        </w:rPr>
        <w:t>. Informacija apie išduotų ir grąžintų (pažeistų, dingusių, sunaikintų) ženklų kiekį ir numerius kaupiama pagal kiekvieną bendrovę ir lošimų organizavimo vietą.</w:t>
      </w:r>
    </w:p>
    <w:p>
      <w:pPr>
        <w:widowControl w:val="0"/>
        <w:ind w:firstLine="709"/>
        <w:jc w:val="both"/>
        <w:rPr>
          <w:color w:val="000000"/>
          <w:szCs w:val="24"/>
        </w:rPr>
      </w:pPr>
      <w:r>
        <w:rPr>
          <w:color w:val="000000"/>
          <w:szCs w:val="24"/>
        </w:rPr>
        <w:t>18</w:t>
      </w:r>
      <w:r>
        <w:rPr>
          <w:color w:val="000000"/>
          <w:szCs w:val="24"/>
        </w:rPr>
        <w:t>. Asmenys, pažeidę šiame Apraše nustatytus reikalavimus, atsako teisės aktų nustatyta tvarka.</w:t>
      </w:r>
    </w:p>
    <w:p>
      <w:pPr>
        <w:widowControl w:val="0"/>
        <w:jc w:val="center"/>
        <w:rPr>
          <w:color w:val="000000"/>
          <w:szCs w:val="24"/>
        </w:rPr>
      </w:pPr>
    </w:p>
    <w:p>
      <w:pPr>
        <w:widowControl w:val="0"/>
        <w:jc w:val="center"/>
        <w:rPr>
          <w:color w:val="000000"/>
        </w:rPr>
      </w:pPr>
      <w:r>
        <w:rPr>
          <w:color w:val="000000"/>
          <w:szCs w:val="24"/>
        </w:rPr>
        <w:t>_________________</w:t>
      </w:r>
    </w:p>
    <w:p>
      <w:pPr>
        <w:widowControl w:val="0"/>
        <w:ind w:left="4535"/>
      </w:pPr>
    </w:p>
    <w:p>
      <w:r>
        <w:br w:type="page"/>
      </w:r>
    </w:p>
    <w:p>
      <w:pPr>
        <w:widowControl w:val="0"/>
        <w:ind w:left="4535"/>
        <w:rPr>
          <w:color w:val="000000"/>
          <w:szCs w:val="24"/>
        </w:rPr>
      </w:pPr>
      <w:r>
        <w:rPr>
          <w:color w:val="000000"/>
          <w:szCs w:val="24"/>
        </w:rPr>
        <w:t xml:space="preserve">Lošimų įrenginių ženklinimo specialiu </w:t>
      </w:r>
    </w:p>
    <w:p>
      <w:pPr>
        <w:widowControl w:val="0"/>
        <w:ind w:left="4535"/>
        <w:rPr>
          <w:color w:val="000000"/>
          <w:szCs w:val="24"/>
        </w:rPr>
      </w:pPr>
      <w:r>
        <w:rPr>
          <w:color w:val="000000"/>
          <w:szCs w:val="24"/>
        </w:rPr>
        <w:t>tapatumo ženklu tvarkos aprašo</w:t>
      </w:r>
    </w:p>
    <w:p>
      <w:pPr>
        <w:widowControl w:val="0"/>
        <w:ind w:left="4535"/>
        <w:rPr>
          <w:color w:val="000000"/>
          <w:szCs w:val="24"/>
        </w:rPr>
      </w:pPr>
      <w:r>
        <w:rPr>
          <w:color w:val="000000"/>
          <w:szCs w:val="24"/>
        </w:rPr>
        <w:t>1</w:t>
      </w:r>
      <w:r>
        <w:rPr>
          <w:color w:val="000000"/>
          <w:szCs w:val="24"/>
        </w:rPr>
        <w:t xml:space="preserve"> priedas</w:t>
      </w:r>
    </w:p>
    <w:p>
      <w:pPr>
        <w:rPr>
          <w:b/>
          <w:sz w:val="20"/>
          <w:szCs w:val="24"/>
        </w:rPr>
      </w:pPr>
    </w:p>
    <w:p>
      <w:pPr>
        <w:jc w:val="center"/>
        <w:rPr>
          <w:szCs w:val="24"/>
        </w:rPr>
      </w:pPr>
      <w:r>
        <w:rPr>
          <w:b/>
          <w:szCs w:val="24"/>
        </w:rPr>
        <w:t>SPECIALAUS TAPATUMO ŽENKLO FORMA</w:t>
      </w:r>
    </w:p>
    <w:p>
      <w:pPr>
        <w:rPr>
          <w:szCs w:val="24"/>
        </w:rPr>
      </w:pPr>
    </w:p>
    <w:p>
      <w:pPr>
        <w:rPr>
          <w:szCs w:val="24"/>
        </w:rPr>
      </w:pPr>
    </w:p>
    <w:p>
      <w:pPr>
        <w:jc w:val="center"/>
        <w:rPr>
          <w:rFonts w:eastAsia="Calibri"/>
          <w:b/>
          <w:szCs w:val="24"/>
        </w:rPr>
      </w:pPr>
      <w:r>
        <w:rPr>
          <w:rFonts w:eastAsia="Calibri"/>
          <w:b/>
          <w:szCs w:val="24"/>
        </w:rPr>
        <w:t>Formatas 40 mm x 30 mm.</w:t>
      </w:r>
    </w:p>
    <w:p>
      <w:pPr>
        <w:jc w:val="center"/>
        <w:rPr>
          <w:rFonts w:ascii="Calibri" w:eastAsia="Calibri" w:hAnsi="Calibri"/>
          <w:b/>
        </w:rPr>
      </w:pPr>
    </w:p>
    <w:p>
      <w:pPr>
        <w:rPr>
          <w:szCs w:val="24"/>
        </w:rPr>
      </w:pPr>
    </w:p>
    <w:p>
      <w:pPr>
        <w:widowControl w:val="0"/>
        <w:rPr>
          <w:szCs w:val="24"/>
          <w:lang w:val="en-US"/>
        </w:rPr>
      </w:pPr>
      <w:r>
        <w:rPr>
          <w:szCs w:val="24"/>
          <w:lang w:eastAsia="lt-LT"/>
        </w:rPr>
        <w:drawing>
          <wp:inline distT="0" distB="0" distL="0" distR="0">
            <wp:extent cx="6115050" cy="2638425"/>
            <wp:effectExtent l="0" t="0" r="0" b="9525"/>
            <wp:docPr id="1" name="Picture 1" descr="zenklas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nklas v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2638425"/>
                    </a:xfrm>
                    <a:prstGeom prst="rect">
                      <a:avLst/>
                    </a:prstGeom>
                    <a:noFill/>
                    <a:ln>
                      <a:noFill/>
                    </a:ln>
                  </pic:spPr>
                </pic:pic>
              </a:graphicData>
            </a:graphic>
          </wp:inline>
        </w:drawing>
      </w:r>
    </w:p>
    <w:p/>
    <w:p>
      <w:pPr>
        <w:widowControl w:val="0"/>
        <w:ind w:left="4535"/>
      </w:pPr>
    </w:p>
    <w:p>
      <w:r>
        <w:br w:type="page"/>
      </w:r>
    </w:p>
    <w:p>
      <w:pPr>
        <w:widowControl w:val="0"/>
        <w:ind w:left="4535"/>
        <w:rPr>
          <w:color w:val="000000"/>
          <w:szCs w:val="24"/>
        </w:rPr>
      </w:pPr>
      <w:r>
        <w:rPr>
          <w:color w:val="000000"/>
          <w:szCs w:val="24"/>
        </w:rPr>
        <w:t xml:space="preserve">Lošimų įrenginių ženklinimo specialiu </w:t>
      </w:r>
    </w:p>
    <w:p>
      <w:pPr>
        <w:widowControl w:val="0"/>
        <w:ind w:left="4535"/>
        <w:rPr>
          <w:color w:val="000000"/>
          <w:szCs w:val="24"/>
        </w:rPr>
      </w:pPr>
      <w:r>
        <w:rPr>
          <w:color w:val="000000"/>
          <w:szCs w:val="24"/>
        </w:rPr>
        <w:t>tapatumo ženklu tvarkos aprašo</w:t>
      </w:r>
    </w:p>
    <w:p>
      <w:pPr>
        <w:widowControl w:val="0"/>
        <w:ind w:left="4535"/>
        <w:rPr>
          <w:color w:val="000000"/>
          <w:szCs w:val="24"/>
        </w:rPr>
      </w:pPr>
      <w:r>
        <w:rPr>
          <w:color w:val="000000"/>
          <w:szCs w:val="24"/>
        </w:rPr>
        <w:t>2</w:t>
      </w:r>
      <w:r>
        <w:rPr>
          <w:color w:val="000000"/>
          <w:szCs w:val="24"/>
        </w:rPr>
        <w:t xml:space="preserve"> priedas</w:t>
      </w:r>
    </w:p>
    <w:p>
      <w:pPr>
        <w:widowControl w:val="0"/>
        <w:ind w:firstLine="567"/>
        <w:jc w:val="both"/>
        <w:rPr>
          <w:color w:val="000000"/>
          <w:szCs w:val="24"/>
        </w:rPr>
      </w:pPr>
    </w:p>
    <w:p>
      <w:pPr>
        <w:widowControl w:val="0"/>
        <w:jc w:val="center"/>
        <w:rPr>
          <w:b/>
          <w:bCs/>
          <w:caps/>
          <w:color w:val="000000"/>
          <w:szCs w:val="24"/>
        </w:rPr>
      </w:pPr>
      <w:r>
        <w:rPr>
          <w:b/>
          <w:bCs/>
          <w:caps/>
          <w:color w:val="000000"/>
          <w:szCs w:val="24"/>
        </w:rPr>
        <w:t>sPECIALIŲ TAPATUMO ŽENKLŲ SERIJOS</w:t>
      </w:r>
    </w:p>
    <w:p>
      <w:pPr>
        <w:widowControl w:val="0"/>
        <w:jc w:val="center"/>
        <w:rPr>
          <w:b/>
          <w:bCs/>
          <w:caps/>
          <w:color w:val="000000"/>
          <w:szCs w:val="24"/>
        </w:rPr>
      </w:pPr>
    </w:p>
    <w:tbl>
      <w:tblPr>
        <w:tblW w:w="9072" w:type="dxa"/>
        <w:tblLayout w:type="fixed"/>
        <w:tblCellMar>
          <w:left w:w="0" w:type="dxa"/>
          <w:right w:w="0" w:type="dxa"/>
        </w:tblCellMar>
        <w:tblLook w:val="0000" w:firstRow="0" w:lastRow="0" w:firstColumn="0" w:lastColumn="0" w:noHBand="0" w:noVBand="0"/>
      </w:tblPr>
      <w:tblGrid>
        <w:gridCol w:w="1449"/>
        <w:gridCol w:w="7623"/>
      </w:tblGrid>
      <w:tr>
        <w:trPr>
          <w:trHeight w:val="60"/>
          <w:tblHeader/>
        </w:trPr>
        <w:tc>
          <w:tcPr>
            <w:tcW w:w="15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Serija</w:t>
            </w:r>
          </w:p>
        </w:tc>
        <w:tc>
          <w:tcPr>
            <w:tcW w:w="82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Lošimo įrenginio rūšis</w:t>
            </w:r>
          </w:p>
        </w:tc>
      </w:tr>
      <w:tr>
        <w:trPr>
          <w:trHeight w:val="60"/>
        </w:trPr>
        <w:tc>
          <w:tcPr>
            <w:tcW w:w="15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AS</w:t>
            </w:r>
          </w:p>
        </w:tc>
        <w:tc>
          <w:tcPr>
            <w:tcW w:w="82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B kategorijos lošimų automatai</w:t>
            </w:r>
          </w:p>
        </w:tc>
      </w:tr>
      <w:tr>
        <w:trPr>
          <w:trHeight w:val="60"/>
        </w:trPr>
        <w:tc>
          <w:tcPr>
            <w:tcW w:w="15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AK</w:t>
            </w:r>
          </w:p>
        </w:tc>
        <w:tc>
          <w:tcPr>
            <w:tcW w:w="82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A kategorijos lošimų automatai</w:t>
            </w:r>
          </w:p>
        </w:tc>
      </w:tr>
      <w:tr>
        <w:trPr>
          <w:trHeight w:val="60"/>
        </w:trPr>
        <w:tc>
          <w:tcPr>
            <w:tcW w:w="15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RS</w:t>
            </w:r>
          </w:p>
        </w:tc>
        <w:tc>
          <w:tcPr>
            <w:tcW w:w="82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Ruletės</w:t>
            </w:r>
          </w:p>
        </w:tc>
      </w:tr>
      <w:tr>
        <w:trPr>
          <w:trHeight w:val="60"/>
        </w:trPr>
        <w:tc>
          <w:tcPr>
            <w:tcW w:w="15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KS</w:t>
            </w:r>
          </w:p>
        </w:tc>
        <w:tc>
          <w:tcPr>
            <w:tcW w:w="82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Kortų stalai</w:t>
            </w:r>
          </w:p>
        </w:tc>
      </w:tr>
      <w:tr>
        <w:trPr>
          <w:trHeight w:val="60"/>
        </w:trPr>
        <w:tc>
          <w:tcPr>
            <w:tcW w:w="15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KA</w:t>
            </w:r>
          </w:p>
        </w:tc>
        <w:tc>
          <w:tcPr>
            <w:tcW w:w="82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Kauliukų stalai</w:t>
            </w:r>
          </w:p>
        </w:tc>
      </w:tr>
      <w:tr>
        <w:trPr>
          <w:trHeight w:val="60"/>
        </w:trPr>
        <w:tc>
          <w:tcPr>
            <w:tcW w:w="15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MI</w:t>
            </w:r>
          </w:p>
        </w:tc>
        <w:tc>
          <w:tcPr>
            <w:tcW w:w="82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Lošimo įrenginiai mokymo tikslams</w:t>
            </w:r>
          </w:p>
        </w:tc>
      </w:tr>
      <w:tr>
        <w:trPr>
          <w:trHeight w:val="60"/>
        </w:trPr>
        <w:tc>
          <w:tcPr>
            <w:tcW w:w="15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KT</w:t>
            </w:r>
          </w:p>
        </w:tc>
        <w:tc>
          <w:tcPr>
            <w:tcW w:w="82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Kiti lošimo įrenginiai</w:t>
            </w:r>
          </w:p>
        </w:tc>
      </w:tr>
    </w:tbl>
    <w:p>
      <w:pPr>
        <w:widowControl w:val="0"/>
        <w:rPr>
          <w:szCs w:val="24"/>
          <w:lang w:val="en-US"/>
        </w:rPr>
      </w:pPr>
    </w:p>
    <w:p/>
    <w:p/>
    <w:p>
      <w:pPr>
        <w:widowControl w:val="0"/>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Lošimų priežiūros tarnyba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91A22A2CE9B">
        <w:r w:rsidRPr="00532B9F">
          <w:rPr>
            <w:rFonts w:ascii="Times New Roman" w:eastAsia="MS Mincho" w:hAnsi="Times New Roman"/>
            <w:sz w:val="20"/>
            <w:iCs/>
            <w:color w:val="0000FF" w:themeColor="hyperlink"/>
            <w:u w:val="single"/>
          </w:rPr>
          <w:t>DI-156</w:t>
        </w:r>
      </w:fldSimple>
      <w:r>
        <w:rPr>
          <w:rFonts w:ascii="Times New Roman" w:eastAsia="MS Mincho" w:hAnsi="Times New Roman"/>
          <w:sz w:val="20"/>
          <w:iCs/>
        </w:rPr>
        <w:t>,
2012-07-04,
Žin., 2012, Nr.
80-4214 (2012-07-10); Žin., 2012, Nr.
84-4446 (2012-07-17), i. k. 11220LPISAK00DI-156                </w:t>
      </w:r>
    </w:p>
    <w:p>
      <w:pPr>
        <w:jc w:val="both"/>
        <w:rPr>
          <w:rFonts w:ascii="Times New Roman" w:hAnsi="Times New Roman"/>
        </w:rPr>
      </w:pPr>
      <w:r>
        <w:rPr>
          <w:rFonts w:ascii="Times New Roman" w:hAnsi="Times New Roman"/>
          <w:sz w:val="20"/>
        </w:rPr>
        <w:t>Dėl Lošimų priežiūros tarnybos prie Lietuvos Respublikos finansų ministerijos direktoriaus 2012 m. kovo 21 d. įsakymo Nr. DI-30 "Dėl Lošimų įrenginių ženklinimo specialiu tapatumo ženklu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Lošimų priežiūros tarnyba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42FFBA66C0">
        <w:r w:rsidRPr="00532B9F">
          <w:rPr>
            <w:rFonts w:ascii="Times New Roman" w:eastAsia="MS Mincho" w:hAnsi="Times New Roman"/>
            <w:sz w:val="20"/>
            <w:iCs/>
            <w:color w:val="0000FF" w:themeColor="hyperlink"/>
            <w:u w:val="single"/>
          </w:rPr>
          <w:t>DI-160</w:t>
        </w:r>
      </w:fldSimple>
      <w:r>
        <w:rPr>
          <w:rFonts w:ascii="Times New Roman" w:eastAsia="MS Mincho" w:hAnsi="Times New Roman"/>
          <w:sz w:val="20"/>
          <w:iCs/>
        </w:rPr>
        <w:t>,
2012-07-12,
Žin., 2012, Nr.
84-4446 (2012-07-17), i. k. 11220LPISAK00DI-160                </w:t>
      </w:r>
    </w:p>
    <w:p>
      <w:pPr>
        <w:jc w:val="both"/>
        <w:rPr>
          <w:rFonts w:ascii="Times New Roman" w:hAnsi="Times New Roman"/>
        </w:rPr>
      </w:pPr>
      <w:r>
        <w:rPr>
          <w:rFonts w:ascii="Times New Roman" w:hAnsi="Times New Roman"/>
          <w:sz w:val="20"/>
        </w:rPr>
        <w:t>Dėl Lošimų priežiūros tarnybos prie Lietuvos Respublikos finansų ministerijos direktoriaus 2012 m. liepos 4 d. įsakymo Nr. DI-156 "Dėl Lošimų priežiūros tarnybos prie Lietuvos Respublikos finansų ministerijos direktoriaus 2012 m. kovo 21 d. įsakymo Nr. DI-30 "Dėl Lošimų įrenginių ženklinimo specialiu tapatumo ženklu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Lošimų priežiūros tarnyba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AF1300154A">
        <w:r w:rsidRPr="00532B9F">
          <w:rPr>
            <w:rFonts w:ascii="Times New Roman" w:eastAsia="MS Mincho" w:hAnsi="Times New Roman"/>
            <w:sz w:val="20"/>
            <w:iCs/>
            <w:color w:val="0000FF" w:themeColor="hyperlink"/>
            <w:u w:val="single"/>
          </w:rPr>
          <w:t>DI-287</w:t>
        </w:r>
      </w:fldSimple>
      <w:r>
        <w:rPr>
          <w:rFonts w:ascii="Times New Roman" w:eastAsia="MS Mincho" w:hAnsi="Times New Roman"/>
          <w:sz w:val="20"/>
          <w:iCs/>
        </w:rPr>
        <w:t>,
2013-08-06,
Žin., 2013, Nr.
87-4390 (2013-08-10), i. k. 11320LPISAK00DI-287                </w:t>
      </w:r>
    </w:p>
    <w:p>
      <w:pPr>
        <w:jc w:val="both"/>
        <w:rPr>
          <w:rFonts w:ascii="Times New Roman" w:hAnsi="Times New Roman"/>
        </w:rPr>
      </w:pPr>
      <w:r>
        <w:rPr>
          <w:rFonts w:ascii="Times New Roman" w:hAnsi="Times New Roman"/>
          <w:sz w:val="20"/>
        </w:rPr>
        <w:t>Dėl Lošimų priežiūros tarnybos prie Lietuvos Respublikos finansų ministerijos 2012 m. kovo 21 d. direktoriaus įsakymo Nr. DI-30 "Dėl Lošimų įrenginių ženklinimo specialiu tapatumo ženklu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Lošimų priežiūros tarnyba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e008f0f26c11e5989ee743dd0efbb0">
        <w:r w:rsidRPr="00532B9F">
          <w:rPr>
            <w:rFonts w:ascii="Times New Roman" w:eastAsia="MS Mincho" w:hAnsi="Times New Roman"/>
            <w:sz w:val="20"/>
            <w:iCs/>
            <w:color w:val="0000FF" w:themeColor="hyperlink"/>
            <w:u w:val="single"/>
          </w:rPr>
          <w:t>DI-124</w:t>
        </w:r>
      </w:fldSimple>
      <w:r>
        <w:rPr>
          <w:rFonts w:ascii="Times New Roman" w:eastAsia="MS Mincho" w:hAnsi="Times New Roman"/>
          <w:sz w:val="20"/>
          <w:iCs/>
        </w:rPr>
        <w:t>,
2016-03-24,
paskelbta TAR 2016-03-25, i. k. 2016-06321                </w:t>
      </w:r>
    </w:p>
    <w:p>
      <w:pPr>
        <w:jc w:val="both"/>
        <w:rPr>
          <w:rFonts w:ascii="Times New Roman" w:hAnsi="Times New Roman"/>
        </w:rPr>
      </w:pPr>
      <w:r>
        <w:rPr>
          <w:rFonts w:ascii="Times New Roman" w:hAnsi="Times New Roman"/>
          <w:sz w:val="20"/>
        </w:rPr>
        <w:t>Dėl Lošimų priežiūros tarnybos prie Lietuvos Respublikos finansų ministerijos direktoriaus 2012 m. kovo 21 d. įsakymo Nr. DI-30 „Dėl Lošimų įrenginių ženklinimo specialiu tapatumo ženklu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Lošimų priežiūros tarnyba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fccb500d0d11e6bae4eb98746971fa">
        <w:r w:rsidRPr="00532B9F">
          <w:rPr>
            <w:rFonts w:ascii="Times New Roman" w:eastAsia="MS Mincho" w:hAnsi="Times New Roman"/>
            <w:sz w:val="20"/>
            <w:iCs/>
            <w:color w:val="0000FF" w:themeColor="hyperlink"/>
            <w:u w:val="single"/>
          </w:rPr>
          <w:t>DI-225</w:t>
        </w:r>
      </w:fldSimple>
      <w:r>
        <w:rPr>
          <w:rFonts w:ascii="Times New Roman" w:eastAsia="MS Mincho" w:hAnsi="Times New Roman"/>
          <w:sz w:val="20"/>
          <w:iCs/>
        </w:rPr>
        <w:t>,
2016-04-28,
paskelbta TAR 2016-04-28, i. k. 2016-10616                </w:t>
      </w:r>
    </w:p>
    <w:p>
      <w:pPr>
        <w:jc w:val="both"/>
        <w:rPr>
          <w:rFonts w:ascii="Times New Roman" w:hAnsi="Times New Roman"/>
        </w:rPr>
      </w:pPr>
      <w:r>
        <w:rPr>
          <w:rFonts w:ascii="Times New Roman" w:hAnsi="Times New Roman"/>
          <w:sz w:val="20"/>
        </w:rPr>
        <w:t>Dėl Lošimų priežiūros tarnybos prie Lietuvos Respublikos finansų ministerijos direktoriaus 2012 m. kovo 21 d. įsakymo Nr. DI-30 „Dėl Lošimų įrenginių ženklinimo specialiu tapatumo ženklu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520FB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5509883EBB4"/>
  <Relationship Id="rId18" Type="http://schemas.openxmlformats.org/officeDocument/2006/relationships/hyperlink" TargetMode="External" Target="https://www.e-tar.lt/portal/lt/legalAct/TAR.24BFFD4DDB86"/>
  <Relationship Id="rId19" Type="http://schemas.openxmlformats.org/officeDocument/2006/relationships/hyperlink" TargetMode="External" Target="https://www.e-tar.lt/portal/lt/legalAct/TAR.FD8B8B946F9F"/>
  <Relationship Id="rId2" Type="http://schemas.openxmlformats.org/officeDocument/2006/relationships/header" Target="header2.xml"/>
  <Relationship Id="rId20" Type="http://schemas.openxmlformats.org/officeDocument/2006/relationships/hyperlink" TargetMode="External" Target="https://www.e-tar.lt/portal/lt/legalAct/TAR.271DDC972A7F"/>
  <Relationship Id="rId21" Type="http://schemas.openxmlformats.org/officeDocument/2006/relationships/hyperlink" TargetMode="External" Target="https://www.e-tar.lt/portal/lt/legalAct/TAR.871D63412107"/>
  <Relationship Id="rId22" Type="http://schemas.openxmlformats.org/officeDocument/2006/relationships/hyperlink" TargetMode="External" Target="https://www.e-tar.lt/portal/lt/legalAct/TAR.F7DC5D2F098C"/>
  <Relationship Id="rId23" Type="http://schemas.openxmlformats.org/officeDocument/2006/relationships/hyperlink" TargetMode="External" Target="https://www.e-tar.lt/portal/lt/legalAct/TAR.196834C9E489"/>
  <Relationship Id="rId24" Type="http://schemas.openxmlformats.org/officeDocument/2006/relationships/hyperlink" TargetMode="External" Target="https://www.e-tar.lt/portal/lt/legalAct/TAR.847CABA8B6D1"/>
  <Relationship Id="rId25" Type="http://schemas.openxmlformats.org/officeDocument/2006/relationships/image" Target="media/image2.png"/>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5</Pages>
  <Words>5219</Words>
  <Characters>2975</Characters>
  <Application>Microsoft Office Word</Application>
  <DocSecurity>0</DocSecurity>
  <Lines>24</Lines>
  <Paragraphs>16</Paragraphs>
  <ScaleCrop>false</ScaleCrop>
  <Company>Teisines informacijos centras</Company>
  <LinksUpToDate>false</LinksUpToDate>
  <CharactersWithSpaces>8178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2015-08-11T03:10:00Z</dcterms:created>
  <dc:creator>Kamilija</dc:creator>
  <lastModifiedBy>DRAZDAUSKIENĖ Nijolė</lastModifiedBy>
  <dcterms:modified xsi:type="dcterms:W3CDTF">2016-04-29T04:46:00Z</dcterms:modified>
  <revision>8</revision>
  <dc:title>LOŠIMŲ PRIEŽIŪROS TARNYBOS</dc:title>
</coreProperties>
</file>