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51AD4">
      <w:pPr>
        <w:jc w:val="both"/>
        <w:rPr>
          <w:rFonts w:ascii="Times New Roman" w:hAnsi="Times New Roman"/>
          <w:sz w:val="20"/>
          <w:lang w:val="lt-LT"/>
        </w:rPr>
      </w:pPr>
      <w:bookmarkStart w:id="0" w:name="organizacija"/>
      <w:bookmarkStart w:id="1" w:name="_GoBack"/>
      <w:bookmarkEnd w:id="1"/>
      <w:r>
        <w:rPr>
          <w:rFonts w:ascii="Times New Roman" w:hAnsi="Times New Roman"/>
          <w:sz w:val="20"/>
          <w:lang w:val="lt-LT"/>
        </w:rPr>
        <w:t>Įstatymas skelbtas: Žin., 1999, Nr. 47-1469</w:t>
      </w:r>
    </w:p>
    <w:p w:rsidR="00000000" w:rsidRDefault="00D51AD4">
      <w:pPr>
        <w:jc w:val="both"/>
        <w:rPr>
          <w:rFonts w:ascii="Times New Roman" w:hAnsi="Times New Roman"/>
          <w:sz w:val="20"/>
          <w:lang w:val="lt-LT"/>
        </w:rPr>
      </w:pPr>
      <w:r>
        <w:rPr>
          <w:rFonts w:ascii="Times New Roman" w:hAnsi="Times New Roman"/>
          <w:sz w:val="20"/>
          <w:lang w:val="lt-LT"/>
        </w:rPr>
        <w:t>Neoficialus įstatymo tekstas</w:t>
      </w:r>
    </w:p>
    <w:p w:rsidR="00000000" w:rsidRDefault="00D51AD4">
      <w:pPr>
        <w:pStyle w:val="statymopavad"/>
        <w:spacing w:after="80" w:line="240" w:lineRule="auto"/>
        <w:ind w:firstLine="0"/>
        <w:rPr>
          <w:rFonts w:ascii="Times New Roman" w:hAnsi="Times New Roman"/>
          <w:sz w:val="22"/>
        </w:rPr>
      </w:pPr>
    </w:p>
    <w:p w:rsidR="00000000" w:rsidRDefault="00D51AD4">
      <w:pPr>
        <w:pStyle w:val="statymopavad"/>
        <w:spacing w:after="80" w:line="240" w:lineRule="auto"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fldChar w:fldCharType="begin" w:fldLock="1">
          <w:ffData>
            <w:name w:val="organizacija"/>
            <w:enabled/>
            <w:calcOnExit w:val="0"/>
            <w:textInput>
              <w:default w:val="LIETUVOS RESPUBLIKOS"/>
            </w:textInput>
          </w:ffData>
        </w:fldChar>
      </w:r>
      <w:r>
        <w:rPr>
          <w:rFonts w:ascii="Times New Roman" w:hAnsi="Times New Roman"/>
          <w:sz w:val="22"/>
        </w:rPr>
        <w:instrText xml:space="preserve"> FORMTEXT </w:instrTex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t>LIETUVOS RESPUBLIKOS</w:t>
      </w:r>
      <w:r>
        <w:rPr>
          <w:rFonts w:ascii="Times New Roman" w:hAnsi="Times New Roman"/>
          <w:sz w:val="22"/>
        </w:rPr>
        <w:fldChar w:fldCharType="end"/>
      </w:r>
      <w:bookmarkEnd w:id="0"/>
    </w:p>
    <w:bookmarkStart w:id="2" w:name="antraste"/>
    <w:p w:rsidR="00000000" w:rsidRDefault="00D51AD4">
      <w:pPr>
        <w:pStyle w:val="statymopavad"/>
        <w:spacing w:line="240" w:lineRule="auto"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fldChar w:fldCharType="begin" w:fldLock="1">
          <w:ffData>
            <w:name w:val="antraste"/>
            <w:enabled/>
            <w:calcOnExit w:val="0"/>
            <w:textInput>
              <w:default w:val="PAVADINIMAS"/>
              <w:format w:val="Uppercase"/>
            </w:textInput>
          </w:ffData>
        </w:fldChar>
      </w:r>
      <w:r>
        <w:rPr>
          <w:rFonts w:ascii="Times New Roman" w:hAnsi="Times New Roman"/>
          <w:b/>
          <w:sz w:val="22"/>
        </w:rPr>
        <w:instrText xml:space="preserve"> FORMTEXT </w:instrText>
      </w:r>
      <w:r>
        <w:rPr>
          <w:rFonts w:ascii="Times New Roman" w:hAnsi="Times New Roman"/>
          <w:b/>
          <w:sz w:val="22"/>
        </w:rPr>
      </w:r>
      <w:r>
        <w:rPr>
          <w:rFonts w:ascii="Times New Roman" w:hAnsi="Times New Roman"/>
          <w:b/>
          <w:sz w:val="22"/>
        </w:rPr>
        <w:fldChar w:fldCharType="separate"/>
      </w:r>
      <w:r>
        <w:rPr>
          <w:rFonts w:ascii="Times New Roman" w:hAnsi="Times New Roman"/>
          <w:b/>
          <w:caps w:val="0"/>
          <w:sz w:val="22"/>
        </w:rPr>
        <w:t xml:space="preserve">MOKESČIO UŽ APLINKOS TERŠIMĄ </w:t>
      </w:r>
      <w:r>
        <w:rPr>
          <w:rFonts w:ascii="Times New Roman" w:hAnsi="Times New Roman"/>
          <w:b/>
          <w:sz w:val="22"/>
        </w:rPr>
        <w:fldChar w:fldCharType="end"/>
      </w:r>
      <w:bookmarkEnd w:id="2"/>
    </w:p>
    <w:p w:rsidR="00000000" w:rsidRDefault="00D51AD4">
      <w:pPr>
        <w:pStyle w:val="statymopavad"/>
        <w:spacing w:before="240" w:after="360" w:line="240" w:lineRule="auto"/>
        <w:ind w:firstLine="0"/>
        <w:rPr>
          <w:rFonts w:ascii="Times New Roman" w:hAnsi="Times New Roman"/>
          <w:b/>
          <w:sz w:val="22"/>
        </w:rPr>
      </w:pPr>
      <w:bookmarkStart w:id="3" w:name="dok_tipas"/>
      <w:r>
        <w:rPr>
          <w:rFonts w:ascii="Times New Roman" w:hAnsi="Times New Roman"/>
          <w:b/>
          <w:spacing w:val="20"/>
          <w:sz w:val="22"/>
        </w:rPr>
        <w:t>ĮSTATYMAS</w:t>
      </w:r>
      <w:bookmarkEnd w:id="3"/>
    </w:p>
    <w:bookmarkStart w:id="4" w:name="data_metai"/>
    <w:p w:rsidR="00000000" w:rsidRDefault="00D51AD4">
      <w:pPr>
        <w:spacing w:after="600"/>
        <w:jc w:val="center"/>
        <w:rPr>
          <w:rFonts w:ascii="Times New Roman" w:hAnsi="Times New Roman"/>
          <w:b/>
          <w:sz w:val="22"/>
          <w:lang w:val="lt-LT"/>
        </w:rPr>
      </w:pPr>
      <w:r>
        <w:rPr>
          <w:rStyle w:val="Datametai"/>
          <w:rFonts w:ascii="Times New Roman" w:hAnsi="Times New Roman"/>
          <w:sz w:val="22"/>
          <w:lang w:val="lt-LT"/>
        </w:rPr>
        <w:fldChar w:fldCharType="begin" w:fldLock="1">
          <w:ffData>
            <w:name w:val="data_metai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Style w:val="Datametai"/>
          <w:rFonts w:ascii="Times New Roman" w:hAnsi="Times New Roman"/>
          <w:sz w:val="22"/>
          <w:lang w:val="lt-LT"/>
        </w:rPr>
        <w:instrText xml:space="preserve"> FORMTEXT </w:instrText>
      </w:r>
      <w:r>
        <w:rPr>
          <w:rFonts w:ascii="Times New Roman" w:hAnsi="Times New Roman"/>
          <w:sz w:val="22"/>
          <w:lang w:val="lt-LT"/>
        </w:rPr>
      </w:r>
      <w:r>
        <w:rPr>
          <w:rStyle w:val="Datametai"/>
          <w:rFonts w:ascii="Times New Roman" w:hAnsi="Times New Roman"/>
          <w:sz w:val="22"/>
          <w:lang w:val="lt-LT"/>
        </w:rPr>
        <w:fldChar w:fldCharType="separate"/>
      </w:r>
      <w:r>
        <w:rPr>
          <w:rStyle w:val="Datametai"/>
          <w:rFonts w:ascii="Times New Roman" w:hAnsi="Times New Roman"/>
          <w:sz w:val="22"/>
          <w:lang w:val="lt-LT"/>
        </w:rPr>
        <w:t>1999</w:t>
      </w:r>
      <w:r>
        <w:rPr>
          <w:rStyle w:val="Datametai"/>
          <w:rFonts w:ascii="Times New Roman" w:hAnsi="Times New Roman"/>
          <w:sz w:val="22"/>
          <w:lang w:val="lt-LT"/>
        </w:rPr>
        <w:fldChar w:fldCharType="end"/>
      </w:r>
      <w:bookmarkEnd w:id="4"/>
      <w:r>
        <w:rPr>
          <w:rFonts w:ascii="Times New Roman" w:hAnsi="Times New Roman"/>
          <w:sz w:val="22"/>
          <w:lang w:val="lt-LT"/>
        </w:rPr>
        <w:t xml:space="preserve"> m. </w:t>
      </w:r>
      <w:bookmarkStart w:id="5" w:name="data_menuo"/>
      <w:r>
        <w:rPr>
          <w:rStyle w:val="Datamnuo"/>
          <w:rFonts w:ascii="Times New Roman" w:hAnsi="Times New Roman"/>
          <w:sz w:val="22"/>
          <w:lang w:val="lt-LT"/>
        </w:rPr>
        <w:fldChar w:fldCharType="begin" w:fldLock="1">
          <w:ffData>
            <w:name w:val="data_menuo"/>
            <w:enabled/>
            <w:calcOnExit w:val="0"/>
            <w:textInput>
              <w:default w:val="xxxxxxxxx"/>
              <w:maxLength w:val="9"/>
              <w:format w:val="Lowercase"/>
            </w:textInput>
          </w:ffData>
        </w:fldChar>
      </w:r>
      <w:r>
        <w:rPr>
          <w:rStyle w:val="Datamnuo"/>
          <w:rFonts w:ascii="Times New Roman" w:hAnsi="Times New Roman"/>
          <w:sz w:val="22"/>
          <w:lang w:val="lt-LT"/>
        </w:rPr>
        <w:instrText xml:space="preserve"> FORMTEXT </w:instrText>
      </w:r>
      <w:r>
        <w:rPr>
          <w:rFonts w:ascii="Times New Roman" w:hAnsi="Times New Roman"/>
          <w:sz w:val="22"/>
          <w:lang w:val="lt-LT"/>
        </w:rPr>
      </w:r>
      <w:r>
        <w:rPr>
          <w:rStyle w:val="Datamnuo"/>
          <w:rFonts w:ascii="Times New Roman" w:hAnsi="Times New Roman"/>
          <w:sz w:val="22"/>
          <w:lang w:val="lt-LT"/>
        </w:rPr>
        <w:fldChar w:fldCharType="separate"/>
      </w:r>
      <w:r>
        <w:rPr>
          <w:rStyle w:val="Datamnuo"/>
          <w:rFonts w:ascii="Times New Roman" w:hAnsi="Times New Roman"/>
          <w:sz w:val="22"/>
          <w:lang w:val="lt-LT"/>
        </w:rPr>
        <w:t>gegužės</w:t>
      </w:r>
      <w:r>
        <w:rPr>
          <w:rStyle w:val="Datamnuo"/>
          <w:rFonts w:ascii="Times New Roman" w:hAnsi="Times New Roman"/>
          <w:sz w:val="22"/>
          <w:lang w:val="lt-LT"/>
        </w:rPr>
        <w:fldChar w:fldCharType="end"/>
      </w:r>
      <w:bookmarkEnd w:id="5"/>
      <w:r>
        <w:rPr>
          <w:rFonts w:ascii="Times New Roman" w:hAnsi="Times New Roman"/>
          <w:sz w:val="22"/>
          <w:lang w:val="lt-LT"/>
        </w:rPr>
        <w:t xml:space="preserve"> </w:t>
      </w:r>
      <w:bookmarkStart w:id="6" w:name="data_diena"/>
      <w:r>
        <w:rPr>
          <w:rStyle w:val="Datadiena"/>
          <w:rFonts w:ascii="Times New Roman" w:hAnsi="Times New Roman"/>
          <w:sz w:val="22"/>
          <w:lang w:val="lt-LT"/>
        </w:rPr>
        <w:fldChar w:fldCharType="begin" w:fldLock="1">
          <w:ffData>
            <w:name w:val="data_diena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Style w:val="Datadiena"/>
          <w:rFonts w:ascii="Times New Roman" w:hAnsi="Times New Roman"/>
          <w:sz w:val="22"/>
          <w:lang w:val="lt-LT"/>
        </w:rPr>
        <w:instrText xml:space="preserve"> FORMTEXT </w:instrText>
      </w:r>
      <w:r>
        <w:rPr>
          <w:rFonts w:ascii="Times New Roman" w:hAnsi="Times New Roman"/>
          <w:sz w:val="22"/>
          <w:lang w:val="lt-LT"/>
        </w:rPr>
      </w:r>
      <w:r>
        <w:rPr>
          <w:rStyle w:val="Datadiena"/>
          <w:rFonts w:ascii="Times New Roman" w:hAnsi="Times New Roman"/>
          <w:sz w:val="22"/>
          <w:lang w:val="lt-LT"/>
        </w:rPr>
        <w:fldChar w:fldCharType="separate"/>
      </w:r>
      <w:r>
        <w:rPr>
          <w:rStyle w:val="Datadiena"/>
          <w:rFonts w:ascii="Times New Roman" w:hAnsi="Times New Roman"/>
          <w:sz w:val="22"/>
          <w:lang w:val="lt-LT"/>
        </w:rPr>
        <w:t>13</w:t>
      </w:r>
      <w:r>
        <w:rPr>
          <w:rStyle w:val="Datadiena"/>
          <w:rFonts w:ascii="Times New Roman" w:hAnsi="Times New Roman"/>
          <w:sz w:val="22"/>
          <w:lang w:val="lt-LT"/>
        </w:rPr>
        <w:fldChar w:fldCharType="end"/>
      </w:r>
      <w:bookmarkEnd w:id="6"/>
      <w:r>
        <w:rPr>
          <w:rFonts w:ascii="Times New Roman" w:hAnsi="Times New Roman"/>
          <w:sz w:val="22"/>
          <w:lang w:val="lt-LT"/>
        </w:rPr>
        <w:t xml:space="preserve"> d. Nr. </w:t>
      </w:r>
      <w:bookmarkStart w:id="7" w:name="dok_nr"/>
      <w:r>
        <w:rPr>
          <w:rStyle w:val="statymoNr"/>
          <w:rFonts w:ascii="Times New Roman" w:hAnsi="Times New Roman"/>
          <w:sz w:val="22"/>
          <w:lang w:val="lt-LT"/>
        </w:rPr>
        <w:fldChar w:fldCharType="begin" w:fldLock="1">
          <w:ffData>
            <w:name w:val="dok_nr"/>
            <w:enabled/>
            <w:calcOnExit w:val="0"/>
            <w:textInput>
              <w:default w:val="XXXX"/>
            </w:textInput>
          </w:ffData>
        </w:fldChar>
      </w:r>
      <w:r>
        <w:rPr>
          <w:rStyle w:val="statymoNr"/>
          <w:rFonts w:ascii="Times New Roman" w:hAnsi="Times New Roman"/>
          <w:sz w:val="22"/>
          <w:lang w:val="lt-LT"/>
        </w:rPr>
        <w:instrText xml:space="preserve"> FORMTEXT </w:instrText>
      </w:r>
      <w:r>
        <w:rPr>
          <w:rFonts w:ascii="Times New Roman" w:hAnsi="Times New Roman"/>
          <w:sz w:val="22"/>
          <w:lang w:val="lt-LT"/>
        </w:rPr>
      </w:r>
      <w:r>
        <w:rPr>
          <w:rStyle w:val="statymoNr"/>
          <w:rFonts w:ascii="Times New Roman" w:hAnsi="Times New Roman"/>
          <w:sz w:val="22"/>
          <w:lang w:val="lt-LT"/>
        </w:rPr>
        <w:fldChar w:fldCharType="separate"/>
      </w:r>
      <w:r>
        <w:rPr>
          <w:rStyle w:val="statymoNr"/>
          <w:rFonts w:ascii="Times New Roman" w:hAnsi="Times New Roman"/>
          <w:sz w:val="22"/>
          <w:lang w:val="lt-LT"/>
        </w:rPr>
        <w:t>VIII-1183</w:t>
      </w:r>
      <w:r>
        <w:rPr>
          <w:rStyle w:val="statymoNr"/>
          <w:rFonts w:ascii="Times New Roman" w:hAnsi="Times New Roman"/>
          <w:sz w:val="22"/>
          <w:lang w:val="lt-LT"/>
        </w:rPr>
        <w:fldChar w:fldCharType="end"/>
      </w:r>
      <w:bookmarkEnd w:id="7"/>
      <w:r>
        <w:rPr>
          <w:rFonts w:ascii="Times New Roman" w:hAnsi="Times New Roman"/>
          <w:sz w:val="22"/>
          <w:lang w:val="lt-LT"/>
        </w:rPr>
        <w:br/>
        <w:t>V</w:t>
      </w:r>
      <w:r>
        <w:rPr>
          <w:rFonts w:ascii="Times New Roman" w:hAnsi="Times New Roman"/>
          <w:sz w:val="22"/>
          <w:lang w:val="lt-LT"/>
        </w:rPr>
        <w:t>ilnius</w:t>
      </w:r>
    </w:p>
    <w:p w:rsidR="00000000" w:rsidRDefault="00D51AD4">
      <w:pPr>
        <w:jc w:val="center"/>
        <w:rPr>
          <w:rFonts w:ascii="Times New Roman" w:hAnsi="Times New Roman"/>
          <w:sz w:val="22"/>
          <w:lang w:val="lt-LT"/>
        </w:rPr>
        <w:sectPr w:rsidR="00000000">
          <w:footerReference w:type="default" r:id="rId8"/>
          <w:type w:val="continuous"/>
          <w:pgSz w:w="11907" w:h="16840" w:code="9"/>
          <w:pgMar w:top="1440" w:right="1152" w:bottom="1152" w:left="2016" w:header="706" w:footer="706" w:gutter="0"/>
          <w:cols w:space="1296"/>
          <w:titlePg/>
        </w:sectPr>
      </w:pPr>
    </w:p>
    <w:p w:rsidR="00000000" w:rsidRDefault="00D51AD4">
      <w:pPr>
        <w:ind w:firstLine="720"/>
        <w:jc w:val="both"/>
        <w:rPr>
          <w:rFonts w:ascii="Times New Roman" w:hAnsi="Times New Roman"/>
          <w:b/>
          <w:sz w:val="22"/>
          <w:lang w:val="lt-LT"/>
        </w:rPr>
      </w:pPr>
      <w:r>
        <w:rPr>
          <w:rFonts w:ascii="Times New Roman" w:hAnsi="Times New Roman"/>
          <w:b/>
          <w:sz w:val="22"/>
          <w:lang w:val="lt-LT"/>
        </w:rPr>
        <w:lastRenderedPageBreak/>
        <w:t>1 straipsnis. Įstatymo paskirtis</w:t>
      </w:r>
    </w:p>
    <w:p w:rsidR="00000000" w:rsidRDefault="00D51AD4">
      <w:pPr>
        <w:ind w:firstLine="720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1. Šis įstatymas reglamentuoja mokesčio už aplinkos teršimą mokėjimo tvarką, kontrolę ir atsakomybę.</w:t>
      </w:r>
    </w:p>
    <w:p w:rsidR="00000000" w:rsidRDefault="00D51AD4">
      <w:pPr>
        <w:ind w:firstLine="720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2. Įstatymo paskirtis - ekonominėmis priemonėmis skatinti teršėjus mažinti aplinkos teršimą, neviršyti teršalams n</w:t>
      </w:r>
      <w:r>
        <w:rPr>
          <w:rFonts w:ascii="Times New Roman" w:hAnsi="Times New Roman"/>
          <w:sz w:val="22"/>
          <w:lang w:val="lt-LT"/>
        </w:rPr>
        <w:t>ustatytų išmetimo į aplinką normatyvų, taip pat iš mokesčių kaupti lėšas aplinkosaugos priemonėms įgyvendinti.</w:t>
      </w:r>
    </w:p>
    <w:p w:rsidR="00000000" w:rsidRDefault="00D51AD4">
      <w:pPr>
        <w:ind w:firstLine="720"/>
        <w:jc w:val="both"/>
        <w:rPr>
          <w:rFonts w:ascii="Times New Roman" w:hAnsi="Times New Roman"/>
          <w:b/>
          <w:sz w:val="22"/>
          <w:lang w:val="lt-LT"/>
        </w:rPr>
      </w:pPr>
    </w:p>
    <w:p w:rsidR="00000000" w:rsidRDefault="00D51AD4">
      <w:pPr>
        <w:ind w:firstLine="720"/>
        <w:jc w:val="both"/>
        <w:rPr>
          <w:rFonts w:ascii="Times New Roman" w:hAnsi="Times New Roman"/>
          <w:b/>
          <w:sz w:val="22"/>
          <w:lang w:val="lt-LT"/>
        </w:rPr>
      </w:pPr>
      <w:r>
        <w:rPr>
          <w:rFonts w:ascii="Times New Roman" w:hAnsi="Times New Roman"/>
          <w:b/>
          <w:sz w:val="22"/>
          <w:lang w:val="lt-LT"/>
        </w:rPr>
        <w:t>2 straipsnis. Pagrindinės šio įstatymo sąvokos</w:t>
      </w:r>
    </w:p>
    <w:p w:rsidR="00000000" w:rsidRDefault="00D51AD4">
      <w:pPr>
        <w:ind w:firstLine="720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 xml:space="preserve">1. </w:t>
      </w:r>
      <w:r>
        <w:rPr>
          <w:rFonts w:ascii="Times New Roman" w:hAnsi="Times New Roman"/>
          <w:b/>
          <w:sz w:val="22"/>
          <w:lang w:val="lt-LT"/>
        </w:rPr>
        <w:t xml:space="preserve">Normatyvas </w:t>
      </w:r>
      <w:r>
        <w:rPr>
          <w:rFonts w:ascii="Times New Roman" w:hAnsi="Times New Roman"/>
          <w:sz w:val="22"/>
          <w:lang w:val="lt-LT"/>
        </w:rPr>
        <w:t>- nustatyta tvarka įteisintas tam tikro teršalo kiekio, apmokestinamuoju laikotarpi</w:t>
      </w:r>
      <w:r>
        <w:rPr>
          <w:rFonts w:ascii="Times New Roman" w:hAnsi="Times New Roman"/>
          <w:sz w:val="22"/>
          <w:lang w:val="lt-LT"/>
        </w:rPr>
        <w:t xml:space="preserve">u leidžiamo išmesti į aplinką, rodiklis. </w:t>
      </w:r>
    </w:p>
    <w:p w:rsidR="00000000" w:rsidRDefault="00D51AD4">
      <w:pPr>
        <w:ind w:firstLine="720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 xml:space="preserve">2. </w:t>
      </w:r>
      <w:r>
        <w:rPr>
          <w:rFonts w:ascii="Times New Roman" w:hAnsi="Times New Roman"/>
          <w:b/>
          <w:sz w:val="22"/>
          <w:lang w:val="lt-LT"/>
        </w:rPr>
        <w:t xml:space="preserve">Didžiausios leidžiamos taršos normatyvas </w:t>
      </w:r>
      <w:r>
        <w:rPr>
          <w:rFonts w:ascii="Times New Roman" w:hAnsi="Times New Roman"/>
          <w:sz w:val="22"/>
          <w:lang w:val="lt-LT"/>
        </w:rPr>
        <w:t>- didžiausio tam tikro teršalo kiekio, leidžiamo išmesti į aplinką per laiko vienetą, rodiklis.</w:t>
      </w:r>
    </w:p>
    <w:p w:rsidR="00000000" w:rsidRDefault="00D51AD4">
      <w:pPr>
        <w:ind w:firstLine="720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 xml:space="preserve">3. </w:t>
      </w:r>
      <w:r>
        <w:rPr>
          <w:rFonts w:ascii="Times New Roman" w:hAnsi="Times New Roman"/>
          <w:b/>
          <w:sz w:val="22"/>
          <w:lang w:val="lt-LT"/>
        </w:rPr>
        <w:t xml:space="preserve">Laikinai leidžiamos taršos normatyvas </w:t>
      </w:r>
      <w:r>
        <w:rPr>
          <w:rFonts w:ascii="Times New Roman" w:hAnsi="Times New Roman"/>
          <w:sz w:val="22"/>
          <w:lang w:val="lt-LT"/>
        </w:rPr>
        <w:t>- laikinai leidžiamo išmesti į ap</w:t>
      </w:r>
      <w:r>
        <w:rPr>
          <w:rFonts w:ascii="Times New Roman" w:hAnsi="Times New Roman"/>
          <w:sz w:val="22"/>
          <w:lang w:val="lt-LT"/>
        </w:rPr>
        <w:t>linką per laiko vienetą tam tikro teršalo kiekio, nustatomo konkrečiam objektui, kol bus galima nustatyti didžiausios leidžiamos taršos normatyvą, rodiklis.</w:t>
      </w:r>
    </w:p>
    <w:p w:rsidR="00000000" w:rsidRDefault="00D51AD4">
      <w:pPr>
        <w:ind w:firstLine="720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 xml:space="preserve">4. </w:t>
      </w:r>
      <w:r>
        <w:rPr>
          <w:rFonts w:ascii="Times New Roman" w:hAnsi="Times New Roman"/>
          <w:b/>
          <w:sz w:val="22"/>
          <w:lang w:val="lt-LT"/>
        </w:rPr>
        <w:t>Stacionarus taršos šaltinis</w:t>
      </w:r>
      <w:r>
        <w:rPr>
          <w:rFonts w:ascii="Times New Roman" w:hAnsi="Times New Roman"/>
          <w:sz w:val="22"/>
          <w:lang w:val="lt-LT"/>
        </w:rPr>
        <w:t xml:space="preserve"> - taršos šaltinis, esantis nekintamoje vietoje.</w:t>
      </w:r>
    </w:p>
    <w:p w:rsidR="00000000" w:rsidRDefault="00D51AD4">
      <w:pPr>
        <w:ind w:firstLine="720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 xml:space="preserve">5. </w:t>
      </w:r>
      <w:r>
        <w:rPr>
          <w:rFonts w:ascii="Times New Roman" w:hAnsi="Times New Roman"/>
          <w:b/>
          <w:sz w:val="22"/>
          <w:lang w:val="lt-LT"/>
        </w:rPr>
        <w:t>Mobilus taršos ša</w:t>
      </w:r>
      <w:r>
        <w:rPr>
          <w:rFonts w:ascii="Times New Roman" w:hAnsi="Times New Roman"/>
          <w:b/>
          <w:sz w:val="22"/>
          <w:lang w:val="lt-LT"/>
        </w:rPr>
        <w:t>ltinis</w:t>
      </w:r>
      <w:r>
        <w:rPr>
          <w:rFonts w:ascii="Times New Roman" w:hAnsi="Times New Roman"/>
          <w:sz w:val="22"/>
          <w:lang w:val="lt-LT"/>
        </w:rPr>
        <w:t xml:space="preserve"> - motorinės transporto priemonės ir kiti judantys mechanizmai, naudojantys degalus.</w:t>
      </w:r>
    </w:p>
    <w:p w:rsidR="00000000" w:rsidRDefault="00D51AD4">
      <w:pPr>
        <w:ind w:firstLine="720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 xml:space="preserve">6. </w:t>
      </w:r>
      <w:r>
        <w:rPr>
          <w:rFonts w:ascii="Times New Roman" w:hAnsi="Times New Roman"/>
          <w:b/>
          <w:sz w:val="22"/>
          <w:lang w:val="lt-LT"/>
        </w:rPr>
        <w:t>Asmuo</w:t>
      </w:r>
      <w:r>
        <w:rPr>
          <w:rFonts w:ascii="Times New Roman" w:hAnsi="Times New Roman"/>
          <w:sz w:val="22"/>
          <w:lang w:val="lt-LT"/>
        </w:rPr>
        <w:t xml:space="preserve"> - fizinis asmuo, juridinis asmuo, kitas, neturintis juridinio asmens teisių, asmuo.</w:t>
      </w:r>
    </w:p>
    <w:p w:rsidR="00000000" w:rsidRDefault="00D51AD4">
      <w:pPr>
        <w:ind w:firstLine="720"/>
        <w:jc w:val="both"/>
        <w:rPr>
          <w:rFonts w:ascii="Times New Roman" w:hAnsi="Times New Roman"/>
          <w:b/>
          <w:sz w:val="22"/>
          <w:lang w:val="lt-LT"/>
        </w:rPr>
      </w:pPr>
    </w:p>
    <w:p w:rsidR="00000000" w:rsidRDefault="00D51AD4">
      <w:pPr>
        <w:ind w:firstLine="720"/>
        <w:jc w:val="both"/>
        <w:rPr>
          <w:rFonts w:ascii="Times New Roman" w:hAnsi="Times New Roman"/>
          <w:b/>
          <w:sz w:val="22"/>
          <w:lang w:val="lt-LT"/>
        </w:rPr>
      </w:pPr>
      <w:r>
        <w:rPr>
          <w:rFonts w:ascii="Times New Roman" w:hAnsi="Times New Roman"/>
          <w:b/>
          <w:sz w:val="22"/>
          <w:lang w:val="lt-LT"/>
        </w:rPr>
        <w:t>3 straipsnis. Mokesčio objektas</w:t>
      </w:r>
    </w:p>
    <w:p w:rsidR="00000000" w:rsidRDefault="00D51AD4">
      <w:pPr>
        <w:ind w:firstLine="720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 xml:space="preserve">Mokesčio objektas - išmetami į aplinką </w:t>
      </w:r>
      <w:r>
        <w:rPr>
          <w:rFonts w:ascii="Times New Roman" w:hAnsi="Times New Roman"/>
          <w:sz w:val="22"/>
          <w:lang w:val="lt-LT"/>
        </w:rPr>
        <w:t>neigiamai veikiantys žmogų ir aplinką fizikiniai, biologiniai ir cheminiai teršalai.</w:t>
      </w:r>
    </w:p>
    <w:p w:rsidR="00000000" w:rsidRDefault="00D51AD4">
      <w:pPr>
        <w:ind w:firstLine="720"/>
        <w:jc w:val="both"/>
        <w:rPr>
          <w:rFonts w:ascii="Times New Roman" w:hAnsi="Times New Roman"/>
          <w:sz w:val="22"/>
          <w:lang w:val="lt-LT"/>
        </w:rPr>
      </w:pPr>
    </w:p>
    <w:p w:rsidR="00000000" w:rsidRDefault="00D51AD4">
      <w:pPr>
        <w:ind w:firstLine="720"/>
        <w:jc w:val="both"/>
        <w:rPr>
          <w:rFonts w:ascii="Times New Roman" w:hAnsi="Times New Roman"/>
          <w:b/>
          <w:sz w:val="22"/>
          <w:lang w:val="lt-LT"/>
        </w:rPr>
      </w:pPr>
      <w:r>
        <w:rPr>
          <w:rFonts w:ascii="Times New Roman" w:hAnsi="Times New Roman"/>
          <w:b/>
          <w:sz w:val="22"/>
          <w:lang w:val="lt-LT"/>
        </w:rPr>
        <w:t>4 straipsnis. Mokesčio mokėtojai</w:t>
      </w:r>
    </w:p>
    <w:p w:rsidR="00000000" w:rsidRDefault="00D51AD4">
      <w:pPr>
        <w:ind w:firstLine="720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1. Mokestį už aplinkos teršimą iš stacionarių taršos šaltinių moka aplinką teršiantys asmenys, kuriems Lietuvos Respublikos Vyriausybės a</w:t>
      </w:r>
      <w:r>
        <w:rPr>
          <w:rFonts w:ascii="Times New Roman" w:hAnsi="Times New Roman"/>
          <w:sz w:val="22"/>
          <w:lang w:val="lt-LT"/>
        </w:rPr>
        <w:t xml:space="preserve">r jos įgaliotų institucijų nustatyta tvarka privaloma turėti gamtos išteklių naudojimo leidimą su nurodytais teršalų išmetimo į aplinką normatyvais. </w:t>
      </w:r>
    </w:p>
    <w:p w:rsidR="00000000" w:rsidRDefault="00D51AD4">
      <w:pPr>
        <w:ind w:firstLine="720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2. Mokestį už aplinkos teršimą iš mobilių taršos šaltinių moka asmenys, teršiantys aplinką iš ūkinei-komer</w:t>
      </w:r>
      <w:r>
        <w:rPr>
          <w:rFonts w:ascii="Times New Roman" w:hAnsi="Times New Roman"/>
          <w:sz w:val="22"/>
          <w:lang w:val="lt-LT"/>
        </w:rPr>
        <w:t>cinei veiklai naudojamų mobilių taršos šaltinių, išskyrus žemės ūkio veikla besiverčiančių asmenų transportą.</w:t>
      </w:r>
    </w:p>
    <w:p w:rsidR="00000000" w:rsidRDefault="00D51AD4">
      <w:pPr>
        <w:ind w:firstLine="720"/>
        <w:jc w:val="both"/>
        <w:rPr>
          <w:rFonts w:ascii="Times New Roman" w:hAnsi="Times New Roman"/>
          <w:b/>
          <w:sz w:val="22"/>
          <w:lang w:val="lt-LT"/>
        </w:rPr>
      </w:pPr>
    </w:p>
    <w:p w:rsidR="00000000" w:rsidRDefault="00D51AD4">
      <w:pPr>
        <w:ind w:firstLine="720"/>
        <w:jc w:val="both"/>
        <w:rPr>
          <w:rFonts w:ascii="Times New Roman" w:hAnsi="Times New Roman"/>
          <w:b/>
          <w:sz w:val="22"/>
          <w:lang w:val="lt-LT"/>
        </w:rPr>
      </w:pPr>
      <w:r>
        <w:rPr>
          <w:rFonts w:ascii="Times New Roman" w:hAnsi="Times New Roman"/>
          <w:b/>
          <w:sz w:val="22"/>
          <w:lang w:val="lt-LT"/>
        </w:rPr>
        <w:t>5 straipsnis. Teršiančių medžiagų apmokestinimo ir tarifų nustatymo tvarka</w:t>
      </w:r>
    </w:p>
    <w:p w:rsidR="00000000" w:rsidRDefault="00D51AD4">
      <w:pPr>
        <w:ind w:firstLine="720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1. Mokesčio už aplinkos teršimą tarifai ir tarifų koeficientai nustato</w:t>
      </w:r>
      <w:r>
        <w:rPr>
          <w:rFonts w:ascii="Times New Roman" w:hAnsi="Times New Roman"/>
          <w:sz w:val="22"/>
          <w:lang w:val="lt-LT"/>
        </w:rPr>
        <w:t xml:space="preserve">mi teršalams ir teršalų grupėms pagal jų kenksmingumą aplinkai. </w:t>
      </w:r>
    </w:p>
    <w:p w:rsidR="00000000" w:rsidRDefault="00D51AD4">
      <w:pPr>
        <w:ind w:firstLine="720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2. Mokesčio už aplinkos teršimą tarifai, pateikti šio įstatymo 1 priedėlyje, nustatomi vienai teršalų tonai.</w:t>
      </w:r>
    </w:p>
    <w:p w:rsidR="00000000" w:rsidRDefault="00D51AD4">
      <w:pPr>
        <w:ind w:firstLine="720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3. Stacionarių taršos šaltinių išmetamiems į aplinką teršalams, kuriems nustatytas</w:t>
      </w:r>
      <w:r>
        <w:rPr>
          <w:rFonts w:ascii="Times New Roman" w:hAnsi="Times New Roman"/>
          <w:sz w:val="22"/>
          <w:lang w:val="lt-LT"/>
        </w:rPr>
        <w:t xml:space="preserve"> laikinai leidžiamos taršos normatyvas, mokesčio už aplinkos teršimą tarifai, pateikti šio įstatymo 1 </w:t>
      </w:r>
      <w:r>
        <w:rPr>
          <w:rFonts w:ascii="Times New Roman" w:hAnsi="Times New Roman"/>
          <w:sz w:val="22"/>
          <w:lang w:val="lt-LT"/>
        </w:rPr>
        <w:lastRenderedPageBreak/>
        <w:t>priedėlyje, didinami taikant koeficientą 1,2. Ši nuostata pradedama taikyti po 3 metų nuo įstatymo įsigaliojimo datos.</w:t>
      </w:r>
    </w:p>
    <w:p w:rsidR="00000000" w:rsidRDefault="00D51AD4">
      <w:pPr>
        <w:ind w:firstLine="720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4. Asmenys, įgyvendinantys priemone</w:t>
      </w:r>
      <w:r>
        <w:rPr>
          <w:rFonts w:ascii="Times New Roman" w:hAnsi="Times New Roman"/>
          <w:sz w:val="22"/>
          <w:lang w:val="lt-LT"/>
        </w:rPr>
        <w:t>s, sumažinančias teršalų išmetimą į aplinką ne mažiau kaip 10 procentų skaičiuojant nuo nustatyto didžiausios leidžiamos taršos normatyvo, Lietuvos Respublikos Vyriausybės ar jos įgaliotos institucijos nustatyta tvarka atleidžiami nuo mokesčio už tuos terš</w:t>
      </w:r>
      <w:r>
        <w:rPr>
          <w:rFonts w:ascii="Times New Roman" w:hAnsi="Times New Roman"/>
          <w:sz w:val="22"/>
          <w:lang w:val="lt-LT"/>
        </w:rPr>
        <w:t>alus, kurių kiekis sumažinamas 10 procentų. Atleidimas nuo priemonės įgyvendinimo pradžios galioja ne ilgiau kaip 3 metus.</w:t>
      </w:r>
    </w:p>
    <w:p w:rsidR="00000000" w:rsidRDefault="00D51AD4">
      <w:pPr>
        <w:ind w:firstLine="720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5. Jei teršalų išmetimo sumažinimo priemonė nustatytu laiku neįgyvendinama arba negaunamas planuotas efektas, mokestis už aplinkos te</w:t>
      </w:r>
      <w:r>
        <w:rPr>
          <w:rFonts w:ascii="Times New Roman" w:hAnsi="Times New Roman"/>
          <w:sz w:val="22"/>
          <w:lang w:val="lt-LT"/>
        </w:rPr>
        <w:t>ršimą už visą nesumokėtą laikotarpį sumokamas arba išieškomas Lietuvos Respublikos mokesčių administravimo įstatymo nustatyta tvarka.</w:t>
      </w:r>
    </w:p>
    <w:p w:rsidR="00000000" w:rsidRDefault="00D51AD4">
      <w:pPr>
        <w:ind w:firstLine="720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6. Bauda mokama už stacionarių taršos šaltinių išmetamą į aplinką normatyvus viršijantį teršalų kiekį. Jos dydis apskaičiu</w:t>
      </w:r>
      <w:r>
        <w:rPr>
          <w:rFonts w:ascii="Times New Roman" w:hAnsi="Times New Roman"/>
          <w:sz w:val="22"/>
          <w:lang w:val="lt-LT"/>
        </w:rPr>
        <w:t>ojamas normatyvus viršijantį teršalų kiekį dauginant iš mokesčio už aplinkos teršimą tarifo, nurodyto šio įstatymo 1 priedėlyje, ir šiam teršalui nustatyto koeficiento, nurodyto 2 priedėlyje.</w:t>
      </w:r>
    </w:p>
    <w:p w:rsidR="00000000" w:rsidRDefault="00D51AD4">
      <w:pPr>
        <w:ind w:firstLine="720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7. Įkainius už aplinkos teršimą iš mobilių taršos šaltinių viena</w:t>
      </w:r>
      <w:r>
        <w:rPr>
          <w:rFonts w:ascii="Times New Roman" w:hAnsi="Times New Roman"/>
          <w:sz w:val="22"/>
          <w:lang w:val="lt-LT"/>
        </w:rPr>
        <w:t>i tonai sunaudotų degalų, o lėktuvams - pakilimo ir nusileidimo ciklui nustato Lietuvos Respublikos Vyriausybė ar jos įgaliotos institucijos pagal šio įstatymo 1 priedėlyje nurodytus apmokestinamų teršalų tarifus.</w:t>
      </w:r>
    </w:p>
    <w:p w:rsidR="00000000" w:rsidRDefault="00D51AD4">
      <w:pPr>
        <w:ind w:firstLine="720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 xml:space="preserve">8. Mobiliems taršos šaltiniams įkainis už </w:t>
      </w:r>
      <w:r>
        <w:rPr>
          <w:rFonts w:ascii="Times New Roman" w:hAnsi="Times New Roman"/>
          <w:sz w:val="22"/>
          <w:lang w:val="lt-LT"/>
        </w:rPr>
        <w:t>aplinkos teršimą, atsižvelgiant į taršos šaltinio technines savybes, yra koreguojamas (mažinamas ar didinamas) taikant Lietuvos Respublikos Vyriausybės arba jos įgaliotų institucijų nustatytus koeficientus.</w:t>
      </w:r>
    </w:p>
    <w:p w:rsidR="00000000" w:rsidRDefault="00D51AD4">
      <w:pPr>
        <w:ind w:firstLine="720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 xml:space="preserve">9. Mokesčiu už aplinkos teršimą neapmokestinamos </w:t>
      </w:r>
      <w:r>
        <w:rPr>
          <w:rFonts w:ascii="Times New Roman" w:hAnsi="Times New Roman"/>
          <w:sz w:val="22"/>
          <w:lang w:val="lt-LT"/>
        </w:rPr>
        <w:t xml:space="preserve">transporto priemonės, kuriose įrengtos ir veikia išmetamųjų dujų neutralizavimo sistemos. </w:t>
      </w:r>
    </w:p>
    <w:p w:rsidR="00000000" w:rsidRDefault="00D51AD4">
      <w:pPr>
        <w:ind w:firstLine="720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10. Apmokestinamų teršalų sąrašą ir jų grupes nustato ir tvirtina Lietuvos Respublikos Vyriausybė ar jos įgaliotos institucijos.</w:t>
      </w:r>
    </w:p>
    <w:p w:rsidR="00000000" w:rsidRDefault="00D51AD4">
      <w:pPr>
        <w:ind w:firstLine="720"/>
        <w:jc w:val="both"/>
        <w:rPr>
          <w:rFonts w:ascii="Times New Roman" w:hAnsi="Times New Roman"/>
          <w:b/>
          <w:sz w:val="22"/>
          <w:lang w:val="lt-LT"/>
        </w:rPr>
      </w:pPr>
    </w:p>
    <w:p w:rsidR="00000000" w:rsidRDefault="00D51AD4">
      <w:pPr>
        <w:ind w:firstLine="720"/>
        <w:jc w:val="both"/>
        <w:rPr>
          <w:rFonts w:ascii="Times New Roman" w:hAnsi="Times New Roman"/>
          <w:b/>
          <w:sz w:val="22"/>
          <w:lang w:val="lt-LT"/>
        </w:rPr>
      </w:pPr>
      <w:r>
        <w:rPr>
          <w:rFonts w:ascii="Times New Roman" w:hAnsi="Times New Roman"/>
          <w:b/>
          <w:sz w:val="22"/>
          <w:lang w:val="lt-LT"/>
        </w:rPr>
        <w:t>6</w:t>
      </w:r>
      <w:r>
        <w:rPr>
          <w:rFonts w:ascii="Times New Roman" w:hAnsi="Times New Roman"/>
          <w:sz w:val="22"/>
          <w:lang w:val="lt-LT"/>
        </w:rPr>
        <w:t xml:space="preserve"> </w:t>
      </w:r>
      <w:r>
        <w:rPr>
          <w:rFonts w:ascii="Times New Roman" w:hAnsi="Times New Roman"/>
          <w:b/>
          <w:sz w:val="22"/>
          <w:lang w:val="lt-LT"/>
        </w:rPr>
        <w:t xml:space="preserve">straipsnis. Mokesčio už aplinkos </w:t>
      </w:r>
      <w:r>
        <w:rPr>
          <w:rFonts w:ascii="Times New Roman" w:hAnsi="Times New Roman"/>
          <w:b/>
          <w:sz w:val="22"/>
          <w:lang w:val="lt-LT"/>
        </w:rPr>
        <w:t>teršimą skaičiavimo ir mokėjimo tvarka</w:t>
      </w:r>
    </w:p>
    <w:p w:rsidR="00000000" w:rsidRDefault="00D51AD4">
      <w:pPr>
        <w:ind w:firstLine="720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1. Asmenys, kurie pagal šį įstatymą privalo mokėti mokestį už aplinkos teršimą, Lietuvos Respublikos Vyriausybės ar jos įgaliotų institucijų nustatyta tvarka tvarko teršalų išmetimo į aplinką apskaitą.</w:t>
      </w:r>
    </w:p>
    <w:p w:rsidR="00000000" w:rsidRDefault="00D51AD4">
      <w:pPr>
        <w:ind w:firstLine="720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2. Mokestį už a</w:t>
      </w:r>
      <w:r>
        <w:rPr>
          <w:rFonts w:ascii="Times New Roman" w:hAnsi="Times New Roman"/>
          <w:sz w:val="22"/>
          <w:lang w:val="lt-LT"/>
        </w:rPr>
        <w:t xml:space="preserve">plinkos teršimą apskaičiuoja ir moka mokesčio mokėtojai Lietuvos Respublikos įstatymų nustatyta tvarka. </w:t>
      </w:r>
    </w:p>
    <w:p w:rsidR="00000000" w:rsidRDefault="00D51AD4">
      <w:pPr>
        <w:ind w:firstLine="720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 xml:space="preserve">3. Mokestis už aplinkos teršimą  iš stacionarių taršos šaltinių mokamas pagal faktiškai per ataskaitinį laikotarpį išmestą į aplinką teršalų kiekį, už </w:t>
      </w:r>
      <w:r>
        <w:rPr>
          <w:rFonts w:ascii="Times New Roman" w:hAnsi="Times New Roman"/>
          <w:sz w:val="22"/>
          <w:lang w:val="lt-LT"/>
        </w:rPr>
        <w:t xml:space="preserve">teršimą iš mobilių taršos šaltinių (išskyrus lėktuvus) - pagal sunaudotą per ataskaitinį laikotarpį kuro kiekį, už teršimą iš lėktuvų - pagal nusileidimo ir kilimo ciklų skaičių. </w:t>
      </w:r>
    </w:p>
    <w:p w:rsidR="00000000" w:rsidRDefault="00D51AD4">
      <w:pPr>
        <w:ind w:firstLine="720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4. Mokestis už aplinkos teršimą mokamas kas ketvirtį arba kas pusę metų, sud</w:t>
      </w:r>
      <w:r>
        <w:rPr>
          <w:rFonts w:ascii="Times New Roman" w:hAnsi="Times New Roman"/>
          <w:sz w:val="22"/>
          <w:lang w:val="lt-LT"/>
        </w:rPr>
        <w:t>erinus su Lietuvos Respublikos aplinkos ministerija. Mokestis sumokamas per 30 dienų nuo ataskaitinio laikotarpio pabaigos.</w:t>
      </w:r>
    </w:p>
    <w:p w:rsidR="00000000" w:rsidRDefault="00D51AD4">
      <w:pPr>
        <w:ind w:firstLine="720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5. Naujiems taršos šaltiniams mokestis už aplinkos teršimą skaičiuojamas nuo tos dienos, kurią pradėta aplinką teršianti ūkinė veikl</w:t>
      </w:r>
      <w:r>
        <w:rPr>
          <w:rFonts w:ascii="Times New Roman" w:hAnsi="Times New Roman"/>
          <w:sz w:val="22"/>
          <w:lang w:val="lt-LT"/>
        </w:rPr>
        <w:t xml:space="preserve">a. </w:t>
      </w:r>
    </w:p>
    <w:p w:rsidR="00000000" w:rsidRDefault="00D51AD4">
      <w:pPr>
        <w:ind w:firstLine="720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6. Mokesčio už aplinkos teršimą mokėtojas yra atsakingas už ataskaitoje pateiktus duomenis.</w:t>
      </w:r>
    </w:p>
    <w:p w:rsidR="00000000" w:rsidRDefault="00D51AD4">
      <w:pPr>
        <w:ind w:firstLine="720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7. Lietuvos Respublikos aplinkos ministerija kontroliuoja teršalų išmetimo į aplinką apskaitą, tikrina mokesčio už aplinkos teršimą apskaičiavimą, įstatymų nust</w:t>
      </w:r>
      <w:r>
        <w:rPr>
          <w:rFonts w:ascii="Times New Roman" w:hAnsi="Times New Roman"/>
          <w:sz w:val="22"/>
          <w:lang w:val="lt-LT"/>
        </w:rPr>
        <w:t>atyta tvarka skiria šiame įstatyme numatytas baudas.</w:t>
      </w:r>
    </w:p>
    <w:p w:rsidR="00000000" w:rsidRDefault="00D51AD4">
      <w:pPr>
        <w:ind w:firstLine="720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8. Už nuslėptą teršalų kiekį nustatyta tvarka mokamas mokestis už aplinkos teršimą ir bauda. Baudos dydis apskaičiuojamas nuslėptą teršalų kiekį dauginant iš mokesčio už aplinkos teršimą tarifo, nurodyto</w:t>
      </w:r>
      <w:r>
        <w:rPr>
          <w:rFonts w:ascii="Times New Roman" w:hAnsi="Times New Roman"/>
          <w:sz w:val="22"/>
          <w:lang w:val="lt-LT"/>
        </w:rPr>
        <w:t xml:space="preserve"> šio įstatymo 1 priedėlyje, ir iš šiam teršalui nustatyto koeficiento, nurodyto 2 priedėlyje.</w:t>
      </w:r>
    </w:p>
    <w:p w:rsidR="00000000" w:rsidRDefault="00D51AD4">
      <w:pPr>
        <w:ind w:firstLine="720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9. Asmenims, kurie netvarko privalomos teršalų išmetimo į aplinką apskaitos, apmokestinamų teršalų kiekis nustatomas pagal Lietuvos Respublikos Vyriausybės ar jos</w:t>
      </w:r>
      <w:r>
        <w:rPr>
          <w:rFonts w:ascii="Times New Roman" w:hAnsi="Times New Roman"/>
          <w:sz w:val="22"/>
          <w:lang w:val="lt-LT"/>
        </w:rPr>
        <w:t xml:space="preserve"> įgaliotų institucijų nustatytas metodikas.</w:t>
      </w:r>
    </w:p>
    <w:p w:rsidR="00000000" w:rsidRDefault="00D51AD4">
      <w:pPr>
        <w:ind w:firstLine="720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lastRenderedPageBreak/>
        <w:t>10. Mokesčio už aplinkos teršimą 10 procentų mokama į valstybės biudžetą, 20 procentų - į Lietuvos aplinkos apsaugos investicijų fondą ir 70 procentų - į atitinkamos savivaldybės gamtos apsaugos fondą.</w:t>
      </w:r>
    </w:p>
    <w:p w:rsidR="00000000" w:rsidRDefault="00D51AD4">
      <w:pPr>
        <w:ind w:firstLine="720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11. Baudos</w:t>
      </w:r>
      <w:r>
        <w:rPr>
          <w:rFonts w:ascii="Times New Roman" w:hAnsi="Times New Roman"/>
          <w:sz w:val="22"/>
          <w:lang w:val="lt-LT"/>
        </w:rPr>
        <w:t xml:space="preserve"> mokamos arba išieškomos iš pažeidėjo sąskaitos į Valstybinį gamtos apsaugos fondą. </w:t>
      </w:r>
    </w:p>
    <w:p w:rsidR="00000000" w:rsidRDefault="00D51AD4">
      <w:pPr>
        <w:ind w:firstLine="720"/>
        <w:jc w:val="both"/>
        <w:rPr>
          <w:rFonts w:ascii="Times New Roman" w:hAnsi="Times New Roman"/>
          <w:sz w:val="22"/>
          <w:lang w:val="lt-LT"/>
        </w:rPr>
      </w:pPr>
    </w:p>
    <w:p w:rsidR="00000000" w:rsidRDefault="00D51AD4">
      <w:pPr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[11 dalies redakcija nuo 2001 m. sausio 1 d.:</w:t>
      </w:r>
    </w:p>
    <w:p w:rsidR="00000000" w:rsidRDefault="00D51AD4">
      <w:pPr>
        <w:ind w:firstLine="720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11. Baudos mokamos arba išieškomos iš pažeidėjo sąskaitos į Valstybės iždo sąskaitą, kurioje kaupiamos Aplinkos apsaugos rėm</w:t>
      </w:r>
      <w:r>
        <w:rPr>
          <w:rFonts w:ascii="Times New Roman" w:hAnsi="Times New Roman"/>
          <w:sz w:val="22"/>
          <w:lang w:val="lt-LT"/>
        </w:rPr>
        <w:t>imo programos lėšos. Šios lėšos naudojamos Lietuvos Respublikos aplinkos apsaugos rėmimo programos įstatyme numatytiems tikslams.]</w:t>
      </w:r>
    </w:p>
    <w:p w:rsidR="00000000" w:rsidRDefault="00D51AD4">
      <w:pPr>
        <w:ind w:firstLine="720"/>
        <w:jc w:val="both"/>
        <w:rPr>
          <w:rFonts w:ascii="Times New Roman" w:hAnsi="Times New Roman"/>
          <w:sz w:val="22"/>
          <w:lang w:val="lt-LT"/>
        </w:rPr>
      </w:pPr>
    </w:p>
    <w:p w:rsidR="00000000" w:rsidRDefault="00D51AD4">
      <w:pPr>
        <w:ind w:firstLine="720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12. Nesumokėtas mokestis už aplinkos teršimą ir baudos sumokami arba išieškomi, delspinigiai skaičiuojami, grąžinama permokė</w:t>
      </w:r>
      <w:r>
        <w:rPr>
          <w:rFonts w:ascii="Times New Roman" w:hAnsi="Times New Roman"/>
          <w:sz w:val="22"/>
          <w:lang w:val="lt-LT"/>
        </w:rPr>
        <w:t>ta mokesčio suma Mokesčių administravimo įstatymo nustatyta tvarka.</w:t>
      </w:r>
    </w:p>
    <w:p w:rsidR="00000000" w:rsidRDefault="00D51AD4">
      <w:pPr>
        <w:ind w:firstLine="720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13. Mokesčio už aplinkos teršimą tarifai indeksuojami Lietuvos Respublikos Vyriausybės ar jos įgaliotų institucijų nustatyta tvarka, taikant vartotojų kainų indeksą.</w:t>
      </w:r>
    </w:p>
    <w:p w:rsidR="00000000" w:rsidRDefault="00D51AD4">
      <w:pPr>
        <w:jc w:val="both"/>
        <w:rPr>
          <w:rFonts w:ascii="Times New Roman" w:hAnsi="Times New Roman"/>
          <w:i/>
          <w:sz w:val="20"/>
          <w:lang w:val="lt-LT"/>
        </w:rPr>
      </w:pPr>
      <w:r>
        <w:rPr>
          <w:rFonts w:ascii="Times New Roman" w:hAnsi="Times New Roman"/>
          <w:i/>
          <w:sz w:val="20"/>
          <w:lang w:val="lt-LT"/>
        </w:rPr>
        <w:t>Straipsnio pakeitimai:</w:t>
      </w:r>
    </w:p>
    <w:p w:rsidR="00000000" w:rsidRDefault="00D51AD4">
      <w:pPr>
        <w:widowControl w:val="0"/>
        <w:rPr>
          <w:rFonts w:ascii="Times New Roman" w:hAnsi="Times New Roman"/>
          <w:i/>
          <w:snapToGrid w:val="0"/>
          <w:sz w:val="20"/>
          <w:lang w:val="lt-LT" w:eastAsia="en-US"/>
        </w:rPr>
      </w:pPr>
      <w:r>
        <w:rPr>
          <w:rFonts w:ascii="Times New Roman" w:hAnsi="Times New Roman"/>
          <w:i/>
          <w:snapToGrid w:val="0"/>
          <w:sz w:val="20"/>
          <w:lang w:val="lt-LT" w:eastAsia="en-US"/>
        </w:rPr>
        <w:t xml:space="preserve">Nr. </w:t>
      </w:r>
      <w:hyperlink r:id="rId9" w:history="1">
        <w:r>
          <w:rPr>
            <w:rStyle w:val="Hyperlink"/>
            <w:rFonts w:ascii="Times New Roman" w:hAnsi="Times New Roman"/>
            <w:i/>
            <w:sz w:val="20"/>
          </w:rPr>
          <w:t>VIII-2027</w:t>
        </w:r>
      </w:hyperlink>
      <w:r>
        <w:rPr>
          <w:rFonts w:ascii="Times New Roman" w:hAnsi="Times New Roman"/>
          <w:i/>
          <w:snapToGrid w:val="0"/>
          <w:sz w:val="20"/>
          <w:lang w:val="lt-LT" w:eastAsia="en-US"/>
        </w:rPr>
        <w:t>, 2000 10 12, Žin., 2000, Nr. 90-2774 (2000 10 27), įsigalioja nuo 2001 01 01</w:t>
      </w:r>
    </w:p>
    <w:p w:rsidR="00000000" w:rsidRDefault="00D51AD4">
      <w:pPr>
        <w:ind w:firstLine="720"/>
        <w:jc w:val="both"/>
        <w:rPr>
          <w:rFonts w:ascii="Times New Roman" w:hAnsi="Times New Roman"/>
          <w:b/>
          <w:sz w:val="22"/>
          <w:lang w:val="lt-LT"/>
        </w:rPr>
      </w:pPr>
    </w:p>
    <w:p w:rsidR="00000000" w:rsidRDefault="00D51AD4">
      <w:pPr>
        <w:ind w:firstLine="720"/>
        <w:jc w:val="both"/>
        <w:rPr>
          <w:rFonts w:ascii="Times New Roman" w:hAnsi="Times New Roman"/>
          <w:b/>
          <w:sz w:val="22"/>
          <w:lang w:val="lt-LT"/>
        </w:rPr>
      </w:pPr>
    </w:p>
    <w:p w:rsidR="00000000" w:rsidRDefault="00D51AD4">
      <w:pPr>
        <w:ind w:firstLine="720"/>
        <w:jc w:val="both"/>
        <w:rPr>
          <w:rFonts w:ascii="Times New Roman" w:hAnsi="Times New Roman"/>
          <w:b/>
          <w:sz w:val="22"/>
          <w:lang w:val="lt-LT"/>
        </w:rPr>
      </w:pPr>
      <w:r>
        <w:rPr>
          <w:rFonts w:ascii="Times New Roman" w:hAnsi="Times New Roman"/>
          <w:b/>
          <w:sz w:val="22"/>
          <w:lang w:val="lt-LT"/>
        </w:rPr>
        <w:t xml:space="preserve">7 straipsnis. Mokesčio tarifų galiojimo terminas </w:t>
      </w:r>
    </w:p>
    <w:p w:rsidR="00000000" w:rsidRDefault="00D51AD4">
      <w:pPr>
        <w:ind w:firstLine="720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1. Mokesčio už aplinkos teršimą</w:t>
      </w:r>
      <w:r>
        <w:rPr>
          <w:rFonts w:ascii="Times New Roman" w:hAnsi="Times New Roman"/>
          <w:sz w:val="22"/>
          <w:lang w:val="lt-LT"/>
        </w:rPr>
        <w:t xml:space="preserve"> tarifai nustatomi 5 metams.</w:t>
      </w:r>
    </w:p>
    <w:p w:rsidR="00000000" w:rsidRDefault="00D51AD4">
      <w:pPr>
        <w:ind w:firstLine="720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2. Kiekvienam kitam periodui mokesčio už aplinkos teršimą tarifai nustatomi prieš 2 metus iki jų įsigaliojimo.</w:t>
      </w:r>
    </w:p>
    <w:p w:rsidR="00000000" w:rsidRDefault="00D51AD4">
      <w:pPr>
        <w:ind w:firstLine="720"/>
        <w:jc w:val="both"/>
        <w:rPr>
          <w:rFonts w:ascii="Times New Roman" w:hAnsi="Times New Roman"/>
          <w:sz w:val="22"/>
          <w:lang w:val="lt-LT"/>
        </w:rPr>
      </w:pPr>
    </w:p>
    <w:p w:rsidR="00000000" w:rsidRDefault="00D51AD4">
      <w:pPr>
        <w:ind w:firstLine="720"/>
        <w:jc w:val="both"/>
        <w:rPr>
          <w:rFonts w:ascii="Times New Roman" w:hAnsi="Times New Roman"/>
          <w:b/>
          <w:sz w:val="22"/>
          <w:lang w:val="lt-LT"/>
        </w:rPr>
      </w:pPr>
      <w:r>
        <w:rPr>
          <w:rFonts w:ascii="Times New Roman" w:hAnsi="Times New Roman"/>
          <w:b/>
          <w:sz w:val="22"/>
          <w:lang w:val="lt-LT"/>
        </w:rPr>
        <w:t>8 straipsnis. Įstatymų ir kitų teisės aktų pripažinimas netekusiais galios</w:t>
      </w:r>
    </w:p>
    <w:p w:rsidR="00000000" w:rsidRDefault="00D51AD4">
      <w:pPr>
        <w:ind w:firstLine="720"/>
        <w:jc w:val="both"/>
        <w:rPr>
          <w:rFonts w:ascii="Times New Roman" w:hAnsi="Times New Roman"/>
          <w:b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Pripažinti netekusiais galios:</w:t>
      </w:r>
    </w:p>
    <w:p w:rsidR="00000000" w:rsidRDefault="00D51AD4">
      <w:pPr>
        <w:ind w:firstLine="720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1) Lietuv</w:t>
      </w:r>
      <w:r>
        <w:rPr>
          <w:rFonts w:ascii="Times New Roman" w:hAnsi="Times New Roman"/>
          <w:sz w:val="22"/>
          <w:lang w:val="lt-LT"/>
        </w:rPr>
        <w:t>os Respublikos mokesčių už aplinkos teršimą įstatymą (Žin., 1991, Nr.12-309);</w:t>
      </w:r>
    </w:p>
    <w:p w:rsidR="00000000" w:rsidRDefault="00D51AD4">
      <w:pPr>
        <w:ind w:firstLine="720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2) Lietuvos Respublikos Aukščiausiosios Tarybos 1991 m. balandžio 9 d. nutarimą Nr.I-1205 „Dėl Lietuvos Respublikos mokesčių už aplinkos teršimą įstatymo įsigaliojimo“ (Žin., 199</w:t>
      </w:r>
      <w:r>
        <w:rPr>
          <w:rFonts w:ascii="Times New Roman" w:hAnsi="Times New Roman"/>
          <w:sz w:val="22"/>
          <w:lang w:val="lt-LT"/>
        </w:rPr>
        <w:t>1, Nr.12-310);</w:t>
      </w:r>
    </w:p>
    <w:p w:rsidR="00000000" w:rsidRDefault="00D51AD4">
      <w:pPr>
        <w:ind w:firstLine="720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3) Lietuvos Respublikos įstatymą „Dėl Lietuvos Respublikos mokesčių už aplinkos teršimą įstatymo papildymo“ (Žin., 1994, Nr.30-528);</w:t>
      </w:r>
    </w:p>
    <w:p w:rsidR="00000000" w:rsidRDefault="00D51AD4">
      <w:pPr>
        <w:ind w:firstLine="720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4) Lietuvos Respublikos Seimo 1994 m. balandžio 12 d. nutarimą Nr.I-428 „Dėl Lietuvos Respublikos Aukščiausi</w:t>
      </w:r>
      <w:r>
        <w:rPr>
          <w:rFonts w:ascii="Times New Roman" w:hAnsi="Times New Roman"/>
          <w:sz w:val="22"/>
          <w:lang w:val="lt-LT"/>
        </w:rPr>
        <w:t>osios Tarybos nutarimo „Dėl Lietuvos Respublikos mokesčių už aplinkos teršimą įstatymo įsigaliojimo“ pakeitimo“ (Žin., 1994, Nr.30-529);</w:t>
      </w:r>
    </w:p>
    <w:p w:rsidR="00000000" w:rsidRDefault="00D51AD4">
      <w:pPr>
        <w:ind w:firstLine="720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5) Lietuvos Respublikos Seimo 1995 m. gruodžio 12 d. nutarimą Nr.I-1124 „Dėl Lietuvos Respublikos Aukščiausiosios Taryb</w:t>
      </w:r>
      <w:r>
        <w:rPr>
          <w:rFonts w:ascii="Times New Roman" w:hAnsi="Times New Roman"/>
          <w:sz w:val="22"/>
          <w:lang w:val="lt-LT"/>
        </w:rPr>
        <w:t>os nutarimo „Dėl Lietuvos Respublikos mokesčių už aplinkos teršimą įstatymo įsigaliojimo“ pakeitimo“ (Žin., 1995, Nr.102-2286; 1996, Nr.15);</w:t>
      </w:r>
    </w:p>
    <w:p w:rsidR="00000000" w:rsidRDefault="00D51AD4">
      <w:pPr>
        <w:ind w:firstLine="720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6) Lietuvos Respublikos mokesčių už aplinkos teršimą įstatymo 11, 12, 13 straipsnių pakeitimo įstatymą (Žin., 1996,</w:t>
      </w:r>
      <w:r>
        <w:rPr>
          <w:rFonts w:ascii="Times New Roman" w:hAnsi="Times New Roman"/>
          <w:sz w:val="22"/>
          <w:lang w:val="lt-LT"/>
        </w:rPr>
        <w:t xml:space="preserve"> Nr.46-1110).</w:t>
      </w:r>
    </w:p>
    <w:p w:rsidR="00000000" w:rsidRDefault="00D51AD4">
      <w:pPr>
        <w:ind w:firstLine="720"/>
        <w:jc w:val="both"/>
        <w:rPr>
          <w:rFonts w:ascii="Times New Roman" w:hAnsi="Times New Roman"/>
          <w:b/>
          <w:sz w:val="22"/>
          <w:lang w:val="lt-LT"/>
        </w:rPr>
      </w:pPr>
    </w:p>
    <w:p w:rsidR="00000000" w:rsidRDefault="00D51AD4">
      <w:pPr>
        <w:ind w:firstLine="720"/>
        <w:jc w:val="both"/>
        <w:rPr>
          <w:rFonts w:ascii="Times New Roman" w:hAnsi="Times New Roman"/>
          <w:b/>
          <w:sz w:val="22"/>
          <w:lang w:val="lt-LT"/>
        </w:rPr>
      </w:pPr>
      <w:r>
        <w:rPr>
          <w:rFonts w:ascii="Times New Roman" w:hAnsi="Times New Roman"/>
          <w:b/>
          <w:sz w:val="22"/>
          <w:lang w:val="lt-LT"/>
        </w:rPr>
        <w:t>9 straipsnis. Įstatymo įsigaliojimas</w:t>
      </w:r>
    </w:p>
    <w:p w:rsidR="00000000" w:rsidRDefault="00D51AD4">
      <w:pPr>
        <w:ind w:firstLine="720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Šis įstatymas įsigalioja nuo 2000 m. sausio 1 d.</w:t>
      </w:r>
    </w:p>
    <w:p w:rsidR="00000000" w:rsidRDefault="00D51AD4">
      <w:pPr>
        <w:ind w:firstLine="720"/>
        <w:jc w:val="both"/>
        <w:rPr>
          <w:rFonts w:ascii="Times New Roman" w:hAnsi="Times New Roman"/>
          <w:sz w:val="22"/>
          <w:lang w:val="lt-LT"/>
        </w:rPr>
      </w:pPr>
    </w:p>
    <w:p w:rsidR="00000000" w:rsidRDefault="00D51AD4">
      <w:pPr>
        <w:ind w:firstLine="720"/>
        <w:rPr>
          <w:rFonts w:ascii="Times New Roman" w:hAnsi="Times New Roman"/>
          <w:i/>
          <w:sz w:val="22"/>
          <w:lang w:val="lt-LT"/>
        </w:rPr>
      </w:pPr>
      <w:r>
        <w:rPr>
          <w:rFonts w:ascii="Times New Roman" w:hAnsi="Times New Roman"/>
          <w:i/>
          <w:sz w:val="22"/>
          <w:lang w:val="lt-LT"/>
        </w:rPr>
        <w:t>Skelbiu šį Lietuvos Respublikos Seimo priimtą įstatymą.</w:t>
      </w:r>
    </w:p>
    <w:p w:rsidR="00000000" w:rsidRDefault="00D51AD4">
      <w:pPr>
        <w:ind w:firstLine="720"/>
        <w:rPr>
          <w:rFonts w:ascii="Times New Roman" w:hAnsi="Times New Roman"/>
          <w:sz w:val="22"/>
          <w:lang w:val="lt-LT"/>
        </w:rPr>
      </w:pPr>
    </w:p>
    <w:p w:rsidR="00000000" w:rsidRDefault="00D51AD4">
      <w:pPr>
        <w:ind w:firstLine="720"/>
        <w:rPr>
          <w:rFonts w:ascii="Times New Roman" w:hAnsi="Times New Roman"/>
          <w:sz w:val="22"/>
          <w:lang w:val="lt-LT"/>
        </w:rPr>
      </w:pPr>
    </w:p>
    <w:p w:rsidR="00000000" w:rsidRDefault="00D51AD4">
      <w:pPr>
        <w:ind w:firstLine="720"/>
        <w:rPr>
          <w:rFonts w:ascii="Times New Roman" w:hAnsi="Times New Roman"/>
          <w:sz w:val="22"/>
          <w:lang w:val="lt-LT"/>
        </w:rPr>
      </w:pPr>
    </w:p>
    <w:p w:rsidR="00000000" w:rsidRDefault="00D51AD4">
      <w:pPr>
        <w:ind w:firstLine="720"/>
        <w:rPr>
          <w:rFonts w:ascii="Times New Roman" w:hAnsi="Times New Roman"/>
          <w:sz w:val="22"/>
          <w:lang w:val="lt-LT"/>
        </w:rPr>
      </w:pPr>
    </w:p>
    <w:p w:rsidR="00000000" w:rsidRDefault="00D51AD4">
      <w:pPr>
        <w:ind w:firstLine="720"/>
        <w:rPr>
          <w:rFonts w:ascii="Times New Roman" w:hAnsi="Times New Roman"/>
          <w:sz w:val="22"/>
          <w:lang w:val="lt-LT"/>
        </w:rPr>
      </w:pPr>
    </w:p>
    <w:p w:rsidR="00000000" w:rsidRDefault="00D51AD4">
      <w:pPr>
        <w:ind w:firstLine="720"/>
        <w:rPr>
          <w:rFonts w:ascii="Times New Roman" w:hAnsi="Times New Roman"/>
          <w:sz w:val="22"/>
          <w:lang w:val="lt-LT"/>
        </w:rPr>
      </w:pPr>
    </w:p>
    <w:p w:rsidR="00000000" w:rsidRDefault="00D51AD4">
      <w:pPr>
        <w:tabs>
          <w:tab w:val="right" w:pos="9639"/>
        </w:tabs>
        <w:spacing w:before="360"/>
        <w:ind w:firstLine="720"/>
        <w:rPr>
          <w:rFonts w:ascii="Times New Roman" w:hAnsi="Times New Roman"/>
          <w:sz w:val="22"/>
          <w:lang w:val="lt-LT"/>
        </w:rPr>
        <w:sectPr w:rsidR="00000000">
          <w:type w:val="continuous"/>
          <w:pgSz w:w="11907" w:h="16840" w:code="9"/>
          <w:pgMar w:top="1440" w:right="1152" w:bottom="1152" w:left="2016" w:header="706" w:footer="706" w:gutter="0"/>
          <w:cols w:space="1296"/>
          <w:formProt w:val="0"/>
          <w:titlePg/>
        </w:sectPr>
      </w:pPr>
    </w:p>
    <w:bookmarkStart w:id="8" w:name="pareigos"/>
    <w:p w:rsidR="00000000" w:rsidRDefault="00D51AD4">
      <w:pPr>
        <w:tabs>
          <w:tab w:val="right" w:pos="8730"/>
        </w:tabs>
        <w:spacing w:before="480" w:after="720"/>
        <w:rPr>
          <w:rFonts w:ascii="Times New Roman" w:hAnsi="Times New Roman"/>
          <w:sz w:val="22"/>
          <w:lang w:val="lt-LT"/>
        </w:rPr>
      </w:pPr>
      <w:r>
        <w:rPr>
          <w:rStyle w:val="Pareigos"/>
          <w:rFonts w:ascii="Times New Roman" w:hAnsi="Times New Roman"/>
          <w:sz w:val="22"/>
          <w:lang w:val="lt-LT"/>
        </w:rPr>
        <w:fldChar w:fldCharType="begin" w:fldLock="1">
          <w:ffData>
            <w:name w:val="pareigos"/>
            <w:enabled/>
            <w:calcOnExit w:val="0"/>
            <w:textInput>
              <w:default w:val="RESPUBLIKOS PREZIDENTAS"/>
              <w:format w:val="Uppercase"/>
            </w:textInput>
          </w:ffData>
        </w:fldChar>
      </w:r>
      <w:r>
        <w:rPr>
          <w:rStyle w:val="Pareigos"/>
          <w:rFonts w:ascii="Times New Roman" w:hAnsi="Times New Roman"/>
          <w:sz w:val="22"/>
          <w:lang w:val="lt-LT"/>
        </w:rPr>
        <w:instrText xml:space="preserve"> FORMTEXT </w:instrText>
      </w:r>
      <w:r>
        <w:rPr>
          <w:rFonts w:ascii="Times New Roman" w:hAnsi="Times New Roman"/>
          <w:caps/>
          <w:sz w:val="22"/>
          <w:lang w:val="lt-LT"/>
        </w:rPr>
      </w:r>
      <w:r>
        <w:rPr>
          <w:rStyle w:val="Pareigos"/>
          <w:rFonts w:ascii="Times New Roman" w:hAnsi="Times New Roman"/>
          <w:sz w:val="22"/>
          <w:lang w:val="lt-LT"/>
        </w:rPr>
        <w:fldChar w:fldCharType="separate"/>
      </w:r>
      <w:r>
        <w:rPr>
          <w:rStyle w:val="Pareigos"/>
          <w:rFonts w:ascii="Times New Roman" w:hAnsi="Times New Roman"/>
          <w:sz w:val="22"/>
          <w:lang w:val="lt-LT"/>
        </w:rPr>
        <w:t>RESPUBLIKOS PREZIDENTAS</w:t>
      </w:r>
      <w:r>
        <w:rPr>
          <w:rStyle w:val="Pareigos"/>
          <w:rFonts w:ascii="Times New Roman" w:hAnsi="Times New Roman"/>
          <w:sz w:val="22"/>
          <w:lang w:val="lt-LT"/>
        </w:rPr>
        <w:fldChar w:fldCharType="end"/>
      </w:r>
      <w:bookmarkEnd w:id="8"/>
      <w:r>
        <w:rPr>
          <w:rStyle w:val="Pareigos"/>
          <w:rFonts w:ascii="Times New Roman" w:hAnsi="Times New Roman"/>
          <w:sz w:val="22"/>
          <w:lang w:val="lt-LT"/>
        </w:rPr>
        <w:tab/>
      </w:r>
      <w:bookmarkStart w:id="9" w:name="parasas"/>
      <w:r>
        <w:rPr>
          <w:rFonts w:ascii="Times New Roman" w:hAnsi="Times New Roman"/>
          <w:sz w:val="22"/>
          <w:lang w:val="lt-LT"/>
        </w:rPr>
        <w:fldChar w:fldCharType="begin" w:fldLock="1">
          <w:ffData>
            <w:name w:val="parasas"/>
            <w:enabled/>
            <w:calcOnExit w:val="0"/>
            <w:textInput>
              <w:default w:val="VALDAS ADAMKUS"/>
              <w:format w:val="Uppercase"/>
            </w:textInput>
          </w:ffData>
        </w:fldChar>
      </w:r>
      <w:r>
        <w:rPr>
          <w:rFonts w:ascii="Times New Roman" w:hAnsi="Times New Roman"/>
          <w:sz w:val="22"/>
          <w:lang w:val="lt-LT"/>
        </w:rPr>
        <w:instrText xml:space="preserve"> FORMTEXT </w:instrText>
      </w:r>
      <w:r>
        <w:rPr>
          <w:rFonts w:ascii="Times New Roman" w:hAnsi="Times New Roman"/>
          <w:sz w:val="22"/>
          <w:lang w:val="lt-LT"/>
        </w:rPr>
      </w:r>
      <w:r>
        <w:rPr>
          <w:rFonts w:ascii="Times New Roman" w:hAnsi="Times New Roman"/>
          <w:sz w:val="22"/>
          <w:lang w:val="lt-LT"/>
        </w:rPr>
        <w:fldChar w:fldCharType="separate"/>
      </w:r>
      <w:r>
        <w:rPr>
          <w:rFonts w:ascii="Times New Roman" w:hAnsi="Times New Roman"/>
          <w:sz w:val="22"/>
          <w:lang w:val="lt-LT"/>
        </w:rPr>
        <w:t>VALDAS ADAMKUS</w:t>
      </w:r>
      <w:r>
        <w:rPr>
          <w:rFonts w:ascii="Times New Roman" w:hAnsi="Times New Roman"/>
          <w:sz w:val="22"/>
          <w:lang w:val="lt-LT"/>
        </w:rPr>
        <w:fldChar w:fldCharType="end"/>
      </w:r>
      <w:bookmarkEnd w:id="9"/>
    </w:p>
    <w:p w:rsidR="00000000" w:rsidRDefault="00D51AD4">
      <w:pPr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br w:type="page"/>
        <w:t xml:space="preserve"> </w:t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  <w:t>Lietuvos Respu</w:t>
      </w:r>
      <w:r>
        <w:rPr>
          <w:rFonts w:ascii="Times New Roman" w:hAnsi="Times New Roman"/>
          <w:sz w:val="22"/>
          <w:lang w:val="lt-LT"/>
        </w:rPr>
        <w:t xml:space="preserve">blikos </w:t>
      </w:r>
    </w:p>
    <w:p w:rsidR="00000000" w:rsidRDefault="00D51AD4">
      <w:pPr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 xml:space="preserve"> </w:t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  <w:t>1999 m. gegužės 13 d.</w:t>
      </w:r>
    </w:p>
    <w:p w:rsidR="00000000" w:rsidRDefault="00D51AD4">
      <w:pPr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 xml:space="preserve"> </w:t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  <w:t>įstatymo Nr.VIII-1183</w:t>
      </w:r>
    </w:p>
    <w:p w:rsidR="00000000" w:rsidRDefault="00D51AD4">
      <w:pPr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  <w:t>1 priedėlis</w:t>
      </w:r>
    </w:p>
    <w:p w:rsidR="00000000" w:rsidRDefault="00D51AD4">
      <w:pPr>
        <w:rPr>
          <w:rFonts w:ascii="Times New Roman" w:hAnsi="Times New Roman"/>
          <w:sz w:val="22"/>
          <w:u w:val="single"/>
          <w:lang w:val="lt-LT"/>
        </w:rPr>
      </w:pPr>
    </w:p>
    <w:p w:rsidR="00000000" w:rsidRDefault="00D51AD4">
      <w:pPr>
        <w:jc w:val="center"/>
        <w:rPr>
          <w:rFonts w:ascii="Times New Roman" w:hAnsi="Times New Roman"/>
          <w:b/>
          <w:sz w:val="22"/>
          <w:lang w:val="lt-LT"/>
        </w:rPr>
      </w:pPr>
    </w:p>
    <w:p w:rsidR="00000000" w:rsidRDefault="00D51AD4">
      <w:pPr>
        <w:jc w:val="center"/>
        <w:rPr>
          <w:rFonts w:ascii="Times New Roman" w:hAnsi="Times New Roman"/>
          <w:b/>
          <w:sz w:val="22"/>
          <w:lang w:val="lt-LT"/>
        </w:rPr>
      </w:pPr>
    </w:p>
    <w:p w:rsidR="00000000" w:rsidRDefault="00D51AD4">
      <w:pPr>
        <w:jc w:val="center"/>
        <w:rPr>
          <w:rFonts w:ascii="Times New Roman" w:hAnsi="Times New Roman"/>
          <w:b/>
          <w:sz w:val="22"/>
          <w:lang w:val="lt-LT"/>
        </w:rPr>
      </w:pPr>
      <w:r>
        <w:rPr>
          <w:rFonts w:ascii="Times New Roman" w:hAnsi="Times New Roman"/>
          <w:b/>
          <w:sz w:val="22"/>
          <w:lang w:val="lt-LT"/>
        </w:rPr>
        <w:t>MOKESČIO UŽ APLINKOS TERŠIMĄ TARIFAI</w:t>
      </w:r>
    </w:p>
    <w:p w:rsidR="00000000" w:rsidRDefault="00D51AD4">
      <w:pPr>
        <w:rPr>
          <w:rFonts w:ascii="Times New Roman" w:hAnsi="Times New Roman"/>
          <w:sz w:val="22"/>
          <w:lang w:val="lt-LT"/>
        </w:rPr>
      </w:pPr>
    </w:p>
    <w:p w:rsidR="00000000" w:rsidRDefault="00D51AD4">
      <w:pPr>
        <w:rPr>
          <w:rFonts w:ascii="Times New Roman" w:hAnsi="Times New Roman"/>
          <w:sz w:val="22"/>
          <w:lang w:val="lt-LT"/>
        </w:rPr>
      </w:pPr>
    </w:p>
    <w:p w:rsidR="00000000" w:rsidRDefault="00D51AD4">
      <w:pPr>
        <w:rPr>
          <w:rFonts w:ascii="Times New Roman" w:hAnsi="Times New Roman"/>
          <w:b/>
          <w:sz w:val="22"/>
          <w:lang w:val="lt-LT"/>
        </w:rPr>
      </w:pPr>
      <w:r>
        <w:rPr>
          <w:rFonts w:ascii="Times New Roman" w:hAnsi="Times New Roman"/>
          <w:b/>
          <w:sz w:val="22"/>
          <w:lang w:val="lt-LT"/>
        </w:rPr>
        <w:t>I. Atmosferos teršalai</w:t>
      </w:r>
    </w:p>
    <w:p w:rsidR="00000000" w:rsidRDefault="00D51AD4">
      <w:pPr>
        <w:rPr>
          <w:rFonts w:ascii="Times New Roman" w:hAnsi="Times New Roman"/>
          <w:sz w:val="22"/>
          <w:lang w:val="lt-L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021"/>
        <w:gridCol w:w="1170"/>
        <w:gridCol w:w="1260"/>
        <w:gridCol w:w="12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12" w:space="0" w:color="auto"/>
              <w:left w:val="single" w:sz="12" w:space="0" w:color="000000"/>
              <w:bottom w:val="nil"/>
              <w:right w:val="nil"/>
            </w:tcBorders>
          </w:tcPr>
          <w:p w:rsidR="00000000" w:rsidRDefault="00D51AD4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22"/>
                <w:lang w:val="lt-LT"/>
              </w:rPr>
            </w:pPr>
            <w:r>
              <w:rPr>
                <w:rFonts w:ascii="Times New Roman" w:hAnsi="Times New Roman"/>
                <w:b/>
                <w:i/>
                <w:sz w:val="22"/>
                <w:lang w:val="lt-LT"/>
              </w:rPr>
              <w:t>Teršalai</w:t>
            </w:r>
          </w:p>
        </w:tc>
        <w:tc>
          <w:tcPr>
            <w:tcW w:w="5971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00000" w:rsidRDefault="00D51AD4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22"/>
                <w:lang w:val="lt-LT"/>
              </w:rPr>
            </w:pPr>
            <w:r>
              <w:rPr>
                <w:rFonts w:ascii="Times New Roman" w:hAnsi="Times New Roman"/>
                <w:b/>
                <w:i/>
                <w:sz w:val="22"/>
                <w:lang w:val="lt-LT"/>
              </w:rPr>
              <w:t>Mokesčio tarifai (Lt/t)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left w:val="single" w:sz="12" w:space="0" w:color="000000"/>
              <w:bottom w:val="single" w:sz="12" w:space="0" w:color="auto"/>
              <w:right w:val="single" w:sz="6" w:space="0" w:color="auto"/>
            </w:tcBorders>
          </w:tcPr>
          <w:p w:rsidR="00000000" w:rsidRDefault="00D51AD4">
            <w:pPr>
              <w:spacing w:before="60" w:after="60"/>
              <w:jc w:val="center"/>
              <w:rPr>
                <w:rFonts w:ascii="Times New Roman" w:hAnsi="Times New Roman"/>
                <w:sz w:val="22"/>
                <w:lang w:val="lt-LT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00000" w:rsidRDefault="00D51AD4">
            <w:pPr>
              <w:spacing w:before="60" w:after="60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2000 m.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00000" w:rsidRDefault="00D51AD4">
            <w:pPr>
              <w:spacing w:before="60" w:after="60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2001 m.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00000" w:rsidRDefault="00D51AD4">
            <w:pPr>
              <w:spacing w:before="60" w:after="60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2002 m.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00000" w:rsidRDefault="00D51AD4">
            <w:pPr>
              <w:spacing w:before="60" w:after="60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2003 m.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00000" w:rsidRDefault="00D51AD4">
            <w:pPr>
              <w:spacing w:before="60" w:after="60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2004 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left w:val="single" w:sz="12" w:space="0" w:color="000000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SO</w:t>
            </w:r>
            <w:r>
              <w:rPr>
                <w:rFonts w:ascii="Times New Roman" w:hAnsi="Times New Roman"/>
                <w:sz w:val="22"/>
                <w:vertAlign w:val="subscript"/>
                <w:lang w:val="lt-LT"/>
              </w:rPr>
              <w:t>2</w:t>
            </w:r>
          </w:p>
        </w:tc>
        <w:tc>
          <w:tcPr>
            <w:tcW w:w="1021" w:type="dxa"/>
            <w:tcBorders>
              <w:top w:val="nil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206</w:t>
            </w:r>
          </w:p>
        </w:tc>
        <w:tc>
          <w:tcPr>
            <w:tcW w:w="1170" w:type="dxa"/>
            <w:tcBorders>
              <w:top w:val="nil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225</w:t>
            </w:r>
          </w:p>
        </w:tc>
        <w:tc>
          <w:tcPr>
            <w:tcW w:w="1260" w:type="dxa"/>
            <w:tcBorders>
              <w:top w:val="nil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268</w:t>
            </w:r>
          </w:p>
        </w:tc>
        <w:tc>
          <w:tcPr>
            <w:tcW w:w="1260" w:type="dxa"/>
            <w:tcBorders>
              <w:top w:val="nil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288</w:t>
            </w:r>
          </w:p>
        </w:tc>
        <w:tc>
          <w:tcPr>
            <w:tcW w:w="1260" w:type="dxa"/>
            <w:tcBorders>
              <w:top w:val="nil"/>
              <w:right w:val="single" w:sz="12" w:space="0" w:color="000000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311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left w:val="single" w:sz="12" w:space="0" w:color="000000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NO</w:t>
            </w:r>
            <w:r>
              <w:rPr>
                <w:rFonts w:ascii="Times New Roman" w:hAnsi="Times New Roman"/>
                <w:sz w:val="22"/>
                <w:vertAlign w:val="subscript"/>
                <w:lang w:val="lt-LT"/>
              </w:rPr>
              <w:t>x</w:t>
            </w:r>
          </w:p>
        </w:tc>
        <w:tc>
          <w:tcPr>
            <w:tcW w:w="1021" w:type="dxa"/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386</w:t>
            </w:r>
          </w:p>
        </w:tc>
        <w:tc>
          <w:tcPr>
            <w:tcW w:w="1170" w:type="dxa"/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386</w:t>
            </w:r>
          </w:p>
        </w:tc>
        <w:tc>
          <w:tcPr>
            <w:tcW w:w="1260" w:type="dxa"/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405</w:t>
            </w:r>
          </w:p>
        </w:tc>
        <w:tc>
          <w:tcPr>
            <w:tcW w:w="1260" w:type="dxa"/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479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587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left w:val="single" w:sz="12" w:space="0" w:color="000000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Vanadžio pentoksidas</w:t>
            </w:r>
          </w:p>
        </w:tc>
        <w:tc>
          <w:tcPr>
            <w:tcW w:w="1021" w:type="dxa"/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11485</w:t>
            </w:r>
          </w:p>
        </w:tc>
        <w:tc>
          <w:tcPr>
            <w:tcW w:w="1170" w:type="dxa"/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11485</w:t>
            </w:r>
          </w:p>
        </w:tc>
        <w:tc>
          <w:tcPr>
            <w:tcW w:w="1260" w:type="dxa"/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11485</w:t>
            </w:r>
          </w:p>
        </w:tc>
        <w:tc>
          <w:tcPr>
            <w:tcW w:w="1260" w:type="dxa"/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11485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11485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auto"/>
              <w:left w:val="single" w:sz="12" w:space="0" w:color="000000"/>
              <w:bottom w:val="nil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Kietosios dalelės (organinės ir neorganinės)</w:t>
            </w:r>
            <w:r>
              <w:rPr>
                <w:rFonts w:ascii="Times New Roman" w:hAnsi="Times New Roman"/>
                <w:sz w:val="22"/>
                <w:vertAlign w:val="superscript"/>
                <w:lang w:val="lt-LT"/>
              </w:rPr>
              <w:t>*)</w:t>
            </w:r>
          </w:p>
        </w:tc>
        <w:tc>
          <w:tcPr>
            <w:tcW w:w="1021" w:type="dxa"/>
            <w:tcBorders>
              <w:top w:val="single" w:sz="6" w:space="0" w:color="auto"/>
              <w:bottom w:val="nil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184</w:t>
            </w:r>
          </w:p>
        </w:tc>
        <w:tc>
          <w:tcPr>
            <w:tcW w:w="1170" w:type="dxa"/>
            <w:tcBorders>
              <w:top w:val="single" w:sz="6" w:space="0" w:color="auto"/>
              <w:bottom w:val="nil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184</w:t>
            </w:r>
          </w:p>
        </w:tc>
        <w:tc>
          <w:tcPr>
            <w:tcW w:w="1260" w:type="dxa"/>
            <w:tcBorders>
              <w:top w:val="single" w:sz="6" w:space="0" w:color="auto"/>
              <w:bottom w:val="nil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184</w:t>
            </w:r>
          </w:p>
        </w:tc>
        <w:tc>
          <w:tcPr>
            <w:tcW w:w="1260" w:type="dxa"/>
            <w:tcBorders>
              <w:top w:val="single" w:sz="6" w:space="0" w:color="auto"/>
              <w:bottom w:val="nil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184</w:t>
            </w:r>
          </w:p>
        </w:tc>
        <w:tc>
          <w:tcPr>
            <w:tcW w:w="1260" w:type="dxa"/>
            <w:tcBorders>
              <w:top w:val="single" w:sz="6" w:space="0" w:color="auto"/>
              <w:bottom w:val="nil"/>
              <w:right w:val="single" w:sz="12" w:space="0" w:color="000000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184</w:t>
            </w:r>
          </w:p>
        </w:tc>
      </w:tr>
      <w:tr w:rsidR="000000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51AD4">
            <w:pPr>
              <w:jc w:val="center"/>
              <w:rPr>
                <w:rFonts w:ascii="Times New Roman" w:hAnsi="Times New Roman"/>
                <w:b/>
                <w:i/>
                <w:sz w:val="22"/>
                <w:lang w:val="lt-LT"/>
              </w:rPr>
            </w:pPr>
            <w:r>
              <w:rPr>
                <w:rFonts w:ascii="Times New Roman" w:hAnsi="Times New Roman"/>
                <w:b/>
                <w:i/>
                <w:sz w:val="22"/>
                <w:lang w:val="lt-LT"/>
              </w:rPr>
              <w:t>Teršalų grupės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51AD4">
            <w:pPr>
              <w:rPr>
                <w:rFonts w:ascii="Times New Roman" w:hAnsi="Times New Roman"/>
                <w:b/>
                <w:i/>
                <w:sz w:val="22"/>
                <w:lang w:val="lt-LT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51AD4">
            <w:pPr>
              <w:rPr>
                <w:rFonts w:ascii="Times New Roman" w:hAnsi="Times New Roman"/>
                <w:b/>
                <w:i/>
                <w:sz w:val="22"/>
                <w:lang w:val="lt-LT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51AD4">
            <w:pPr>
              <w:rPr>
                <w:rFonts w:ascii="Times New Roman" w:hAnsi="Times New Roman"/>
                <w:b/>
                <w:i/>
                <w:sz w:val="22"/>
                <w:lang w:val="lt-LT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51AD4">
            <w:pPr>
              <w:rPr>
                <w:rFonts w:ascii="Times New Roman" w:hAnsi="Times New Roman"/>
                <w:b/>
                <w:i/>
                <w:sz w:val="22"/>
                <w:lang w:val="lt-LT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51AD4">
            <w:pPr>
              <w:rPr>
                <w:rFonts w:ascii="Times New Roman" w:hAnsi="Times New Roman"/>
                <w:b/>
                <w:i/>
                <w:sz w:val="22"/>
                <w:lang w:val="lt-LT"/>
              </w:rPr>
            </w:pPr>
          </w:p>
        </w:tc>
      </w:tr>
      <w:tr w:rsidR="000000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D51AD4">
            <w:pPr>
              <w:jc w:val="center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b/>
                <w:sz w:val="22"/>
                <w:lang w:val="lt-LT"/>
              </w:rPr>
              <w:t>I</w:t>
            </w:r>
          </w:p>
        </w:tc>
        <w:tc>
          <w:tcPr>
            <w:tcW w:w="1021" w:type="dxa"/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1210</w:t>
            </w:r>
          </w:p>
        </w:tc>
        <w:tc>
          <w:tcPr>
            <w:tcW w:w="1170" w:type="dxa"/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1210</w:t>
            </w:r>
          </w:p>
        </w:tc>
        <w:tc>
          <w:tcPr>
            <w:tcW w:w="1260" w:type="dxa"/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1210</w:t>
            </w:r>
          </w:p>
        </w:tc>
        <w:tc>
          <w:tcPr>
            <w:tcW w:w="1260" w:type="dxa"/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1210</w:t>
            </w:r>
          </w:p>
        </w:tc>
        <w:tc>
          <w:tcPr>
            <w:tcW w:w="1260" w:type="dxa"/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1210</w:t>
            </w:r>
          </w:p>
        </w:tc>
      </w:tr>
      <w:tr w:rsidR="000000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D51AD4">
            <w:pPr>
              <w:ind w:left="11" w:hanging="11"/>
              <w:jc w:val="center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b/>
                <w:sz w:val="22"/>
                <w:lang w:val="lt-LT"/>
              </w:rPr>
              <w:t>II</w:t>
            </w:r>
          </w:p>
        </w:tc>
        <w:tc>
          <w:tcPr>
            <w:tcW w:w="1021" w:type="dxa"/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570</w:t>
            </w:r>
          </w:p>
        </w:tc>
        <w:tc>
          <w:tcPr>
            <w:tcW w:w="1170" w:type="dxa"/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570</w:t>
            </w:r>
          </w:p>
        </w:tc>
        <w:tc>
          <w:tcPr>
            <w:tcW w:w="1260" w:type="dxa"/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570</w:t>
            </w:r>
          </w:p>
        </w:tc>
        <w:tc>
          <w:tcPr>
            <w:tcW w:w="1260" w:type="dxa"/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570</w:t>
            </w:r>
          </w:p>
        </w:tc>
        <w:tc>
          <w:tcPr>
            <w:tcW w:w="1260" w:type="dxa"/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570</w:t>
            </w:r>
          </w:p>
        </w:tc>
      </w:tr>
      <w:tr w:rsidR="000000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D51AD4">
            <w:pPr>
              <w:jc w:val="center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b/>
                <w:sz w:val="22"/>
                <w:lang w:val="lt-LT"/>
              </w:rPr>
              <w:t>III</w:t>
            </w:r>
          </w:p>
        </w:tc>
        <w:tc>
          <w:tcPr>
            <w:tcW w:w="1021" w:type="dxa"/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74</w:t>
            </w:r>
          </w:p>
        </w:tc>
        <w:tc>
          <w:tcPr>
            <w:tcW w:w="1170" w:type="dxa"/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74</w:t>
            </w:r>
          </w:p>
        </w:tc>
        <w:tc>
          <w:tcPr>
            <w:tcW w:w="1260" w:type="dxa"/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74</w:t>
            </w:r>
          </w:p>
        </w:tc>
        <w:tc>
          <w:tcPr>
            <w:tcW w:w="1260" w:type="dxa"/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74</w:t>
            </w:r>
          </w:p>
        </w:tc>
        <w:tc>
          <w:tcPr>
            <w:tcW w:w="1260" w:type="dxa"/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74</w:t>
            </w:r>
          </w:p>
        </w:tc>
      </w:tr>
      <w:tr w:rsidR="000000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D51AD4">
            <w:pPr>
              <w:jc w:val="center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b/>
                <w:sz w:val="22"/>
                <w:lang w:val="lt-LT"/>
              </w:rPr>
              <w:t>IV</w:t>
            </w:r>
          </w:p>
        </w:tc>
        <w:tc>
          <w:tcPr>
            <w:tcW w:w="1021" w:type="dxa"/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13</w:t>
            </w:r>
          </w:p>
        </w:tc>
        <w:tc>
          <w:tcPr>
            <w:tcW w:w="1170" w:type="dxa"/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13</w:t>
            </w:r>
          </w:p>
        </w:tc>
        <w:tc>
          <w:tcPr>
            <w:tcW w:w="1260" w:type="dxa"/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13</w:t>
            </w:r>
          </w:p>
        </w:tc>
        <w:tc>
          <w:tcPr>
            <w:tcW w:w="1260" w:type="dxa"/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13</w:t>
            </w:r>
          </w:p>
        </w:tc>
        <w:tc>
          <w:tcPr>
            <w:tcW w:w="1260" w:type="dxa"/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13</w:t>
            </w:r>
          </w:p>
        </w:tc>
      </w:tr>
    </w:tbl>
    <w:p w:rsidR="00000000" w:rsidRDefault="00D51AD4">
      <w:pPr>
        <w:spacing w:before="60" w:after="60"/>
        <w:rPr>
          <w:rFonts w:ascii="Times New Roman" w:hAnsi="Times New Roman"/>
          <w:sz w:val="22"/>
          <w:lang w:val="lt-LT"/>
        </w:rPr>
      </w:pPr>
    </w:p>
    <w:p w:rsidR="00000000" w:rsidRDefault="00D51AD4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II. Vandens teršalai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021"/>
        <w:gridCol w:w="1170"/>
        <w:gridCol w:w="1260"/>
        <w:gridCol w:w="12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12" w:space="0" w:color="auto"/>
              <w:left w:val="single" w:sz="12" w:space="0" w:color="000000"/>
              <w:bottom w:val="nil"/>
              <w:right w:val="nil"/>
            </w:tcBorders>
          </w:tcPr>
          <w:p w:rsidR="00000000" w:rsidRDefault="00D51AD4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22"/>
                <w:lang w:val="lt-LT"/>
              </w:rPr>
            </w:pPr>
            <w:r>
              <w:rPr>
                <w:rFonts w:ascii="Times New Roman" w:hAnsi="Times New Roman"/>
                <w:b/>
                <w:i/>
                <w:sz w:val="22"/>
                <w:lang w:val="lt-LT"/>
              </w:rPr>
              <w:t>Teršalai</w:t>
            </w:r>
          </w:p>
        </w:tc>
        <w:tc>
          <w:tcPr>
            <w:tcW w:w="5971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00000" w:rsidRDefault="00D51AD4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22"/>
                <w:lang w:val="lt-LT"/>
              </w:rPr>
            </w:pPr>
            <w:r>
              <w:rPr>
                <w:rFonts w:ascii="Times New Roman" w:hAnsi="Times New Roman"/>
                <w:b/>
                <w:i/>
                <w:sz w:val="22"/>
                <w:lang w:val="lt-LT"/>
              </w:rPr>
              <w:t>Mokesčio tarifai (Lt/t)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left w:val="single" w:sz="12" w:space="0" w:color="000000"/>
              <w:bottom w:val="single" w:sz="12" w:space="0" w:color="auto"/>
              <w:right w:val="single" w:sz="6" w:space="0" w:color="auto"/>
            </w:tcBorders>
          </w:tcPr>
          <w:p w:rsidR="00000000" w:rsidRDefault="00D51AD4">
            <w:pPr>
              <w:spacing w:before="60" w:after="60"/>
              <w:jc w:val="center"/>
              <w:rPr>
                <w:rFonts w:ascii="Times New Roman" w:hAnsi="Times New Roman"/>
                <w:sz w:val="22"/>
                <w:lang w:val="lt-LT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00000" w:rsidRDefault="00D51AD4">
            <w:pPr>
              <w:spacing w:before="60" w:after="60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2000 m.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00000" w:rsidRDefault="00D51AD4">
            <w:pPr>
              <w:spacing w:before="60" w:after="60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2001 m.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00000" w:rsidRDefault="00D51AD4">
            <w:pPr>
              <w:spacing w:before="60" w:after="60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2002 m.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00000" w:rsidRDefault="00D51AD4">
            <w:pPr>
              <w:spacing w:before="60" w:after="60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2003 m.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00000" w:rsidRDefault="00D51AD4">
            <w:pPr>
              <w:spacing w:before="60" w:after="60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2004 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left w:val="single" w:sz="12" w:space="0" w:color="000000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BDS</w:t>
            </w:r>
            <w:r>
              <w:rPr>
                <w:rFonts w:ascii="Times New Roman" w:hAnsi="Times New Roman"/>
                <w:sz w:val="22"/>
                <w:vertAlign w:val="subscript"/>
                <w:lang w:val="lt-LT"/>
              </w:rPr>
              <w:t>7</w:t>
            </w:r>
          </w:p>
        </w:tc>
        <w:tc>
          <w:tcPr>
            <w:tcW w:w="1021" w:type="dxa"/>
            <w:tcBorders>
              <w:top w:val="nil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485</w:t>
            </w:r>
          </w:p>
        </w:tc>
        <w:tc>
          <w:tcPr>
            <w:tcW w:w="1170" w:type="dxa"/>
            <w:tcBorders>
              <w:top w:val="nil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573</w:t>
            </w:r>
          </w:p>
        </w:tc>
        <w:tc>
          <w:tcPr>
            <w:tcW w:w="1260" w:type="dxa"/>
            <w:tcBorders>
              <w:top w:val="nil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649</w:t>
            </w:r>
          </w:p>
        </w:tc>
        <w:tc>
          <w:tcPr>
            <w:tcW w:w="1260" w:type="dxa"/>
            <w:tcBorders>
              <w:top w:val="nil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714</w:t>
            </w:r>
          </w:p>
        </w:tc>
        <w:tc>
          <w:tcPr>
            <w:tcW w:w="1260" w:type="dxa"/>
            <w:tcBorders>
              <w:top w:val="nil"/>
              <w:right w:val="single" w:sz="12" w:space="0" w:color="000000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765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left w:val="single" w:sz="12" w:space="0" w:color="000000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Bendrasis azotas</w:t>
            </w:r>
          </w:p>
        </w:tc>
        <w:tc>
          <w:tcPr>
            <w:tcW w:w="1021" w:type="dxa"/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435</w:t>
            </w:r>
          </w:p>
        </w:tc>
        <w:tc>
          <w:tcPr>
            <w:tcW w:w="1170" w:type="dxa"/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435</w:t>
            </w:r>
          </w:p>
        </w:tc>
        <w:tc>
          <w:tcPr>
            <w:tcW w:w="1260" w:type="dxa"/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435</w:t>
            </w:r>
          </w:p>
        </w:tc>
        <w:tc>
          <w:tcPr>
            <w:tcW w:w="1260" w:type="dxa"/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550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left w:val="single" w:sz="12" w:space="0" w:color="000000"/>
              <w:bottom w:val="nil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Bendrasis fosforas</w:t>
            </w:r>
          </w:p>
        </w:tc>
        <w:tc>
          <w:tcPr>
            <w:tcW w:w="1021" w:type="dxa"/>
            <w:tcBorders>
              <w:bottom w:val="nil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1480</w:t>
            </w:r>
          </w:p>
        </w:tc>
        <w:tc>
          <w:tcPr>
            <w:tcW w:w="1170" w:type="dxa"/>
            <w:tcBorders>
              <w:bottom w:val="nil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1480</w:t>
            </w:r>
          </w:p>
        </w:tc>
        <w:tc>
          <w:tcPr>
            <w:tcW w:w="1260" w:type="dxa"/>
            <w:tcBorders>
              <w:bottom w:val="nil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1480</w:t>
            </w:r>
          </w:p>
        </w:tc>
        <w:tc>
          <w:tcPr>
            <w:tcW w:w="1260" w:type="dxa"/>
            <w:tcBorders>
              <w:bottom w:val="nil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2000</w:t>
            </w:r>
          </w:p>
        </w:tc>
        <w:tc>
          <w:tcPr>
            <w:tcW w:w="1260" w:type="dxa"/>
            <w:tcBorders>
              <w:bottom w:val="nil"/>
              <w:right w:val="single" w:sz="12" w:space="0" w:color="000000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left w:val="single" w:sz="12" w:space="0" w:color="000000"/>
              <w:bottom w:val="nil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Suspenduotos medžiagos</w:t>
            </w:r>
          </w:p>
        </w:tc>
        <w:tc>
          <w:tcPr>
            <w:tcW w:w="1021" w:type="dxa"/>
            <w:tcBorders>
              <w:bottom w:val="nil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86</w:t>
            </w:r>
          </w:p>
        </w:tc>
        <w:tc>
          <w:tcPr>
            <w:tcW w:w="1170" w:type="dxa"/>
            <w:tcBorders>
              <w:bottom w:val="nil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210</w:t>
            </w:r>
          </w:p>
        </w:tc>
        <w:tc>
          <w:tcPr>
            <w:tcW w:w="1260" w:type="dxa"/>
            <w:tcBorders>
              <w:bottom w:val="nil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248</w:t>
            </w:r>
          </w:p>
        </w:tc>
        <w:tc>
          <w:tcPr>
            <w:tcW w:w="1260" w:type="dxa"/>
            <w:tcBorders>
              <w:bottom w:val="nil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281</w:t>
            </w:r>
          </w:p>
        </w:tc>
        <w:tc>
          <w:tcPr>
            <w:tcW w:w="1260" w:type="dxa"/>
            <w:tcBorders>
              <w:bottom w:val="nil"/>
              <w:right w:val="single" w:sz="12" w:space="0" w:color="000000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309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left w:val="single" w:sz="12" w:space="0" w:color="000000"/>
              <w:bottom w:val="nil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Sulf</w:t>
            </w:r>
            <w:r>
              <w:rPr>
                <w:rFonts w:ascii="Times New Roman" w:hAnsi="Times New Roman"/>
                <w:sz w:val="22"/>
                <w:lang w:val="lt-LT"/>
              </w:rPr>
              <w:t>atai</w:t>
            </w:r>
          </w:p>
        </w:tc>
        <w:tc>
          <w:tcPr>
            <w:tcW w:w="1021" w:type="dxa"/>
            <w:tcBorders>
              <w:bottom w:val="nil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2</w:t>
            </w:r>
          </w:p>
        </w:tc>
        <w:tc>
          <w:tcPr>
            <w:tcW w:w="1170" w:type="dxa"/>
            <w:tcBorders>
              <w:bottom w:val="nil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2</w:t>
            </w:r>
          </w:p>
        </w:tc>
        <w:tc>
          <w:tcPr>
            <w:tcW w:w="1260" w:type="dxa"/>
            <w:tcBorders>
              <w:bottom w:val="nil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2</w:t>
            </w:r>
          </w:p>
        </w:tc>
        <w:tc>
          <w:tcPr>
            <w:tcW w:w="1260" w:type="dxa"/>
            <w:tcBorders>
              <w:bottom w:val="nil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2</w:t>
            </w:r>
          </w:p>
        </w:tc>
        <w:tc>
          <w:tcPr>
            <w:tcW w:w="1260" w:type="dxa"/>
            <w:tcBorders>
              <w:bottom w:val="nil"/>
              <w:right w:val="single" w:sz="12" w:space="0" w:color="000000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left w:val="single" w:sz="12" w:space="0" w:color="000000"/>
              <w:bottom w:val="nil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Chloridai</w:t>
            </w:r>
          </w:p>
        </w:tc>
        <w:tc>
          <w:tcPr>
            <w:tcW w:w="1021" w:type="dxa"/>
            <w:tcBorders>
              <w:bottom w:val="nil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9</w:t>
            </w:r>
          </w:p>
        </w:tc>
        <w:tc>
          <w:tcPr>
            <w:tcW w:w="1170" w:type="dxa"/>
            <w:tcBorders>
              <w:bottom w:val="nil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9</w:t>
            </w:r>
          </w:p>
        </w:tc>
        <w:tc>
          <w:tcPr>
            <w:tcW w:w="1260" w:type="dxa"/>
            <w:tcBorders>
              <w:bottom w:val="nil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9</w:t>
            </w:r>
          </w:p>
        </w:tc>
        <w:tc>
          <w:tcPr>
            <w:tcW w:w="1260" w:type="dxa"/>
            <w:tcBorders>
              <w:bottom w:val="nil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9</w:t>
            </w:r>
          </w:p>
        </w:tc>
        <w:tc>
          <w:tcPr>
            <w:tcW w:w="1260" w:type="dxa"/>
            <w:tcBorders>
              <w:bottom w:val="nil"/>
              <w:right w:val="single" w:sz="12" w:space="0" w:color="000000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9</w:t>
            </w:r>
          </w:p>
        </w:tc>
      </w:tr>
      <w:tr w:rsidR="000000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51AD4">
            <w:pPr>
              <w:jc w:val="center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b/>
                <w:i/>
                <w:sz w:val="22"/>
                <w:lang w:val="lt-LT"/>
              </w:rPr>
              <w:t>Teršalų grupės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</w:p>
        </w:tc>
      </w:tr>
      <w:tr w:rsidR="000000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</w:tcBorders>
          </w:tcPr>
          <w:p w:rsidR="00000000" w:rsidRDefault="00D51AD4">
            <w:pPr>
              <w:jc w:val="center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b/>
                <w:sz w:val="22"/>
                <w:lang w:val="lt-LT"/>
              </w:rPr>
              <w:t>I</w:t>
            </w:r>
          </w:p>
        </w:tc>
        <w:tc>
          <w:tcPr>
            <w:tcW w:w="1021" w:type="dxa"/>
            <w:tcBorders>
              <w:top w:val="nil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8700460</w:t>
            </w:r>
          </w:p>
        </w:tc>
        <w:tc>
          <w:tcPr>
            <w:tcW w:w="1170" w:type="dxa"/>
            <w:tcBorders>
              <w:top w:val="nil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8700460</w:t>
            </w:r>
          </w:p>
        </w:tc>
        <w:tc>
          <w:tcPr>
            <w:tcW w:w="1260" w:type="dxa"/>
            <w:tcBorders>
              <w:top w:val="nil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8700460</w:t>
            </w:r>
          </w:p>
        </w:tc>
        <w:tc>
          <w:tcPr>
            <w:tcW w:w="1260" w:type="dxa"/>
            <w:tcBorders>
              <w:top w:val="nil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8700460</w:t>
            </w:r>
          </w:p>
        </w:tc>
        <w:tc>
          <w:tcPr>
            <w:tcW w:w="1260" w:type="dxa"/>
            <w:tcBorders>
              <w:top w:val="nil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8700460</w:t>
            </w:r>
          </w:p>
        </w:tc>
      </w:tr>
      <w:tr w:rsidR="000000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D51AD4">
            <w:pPr>
              <w:jc w:val="center"/>
              <w:rPr>
                <w:rFonts w:ascii="Times New Roman" w:hAnsi="Times New Roman"/>
                <w:b/>
                <w:sz w:val="22"/>
                <w:lang w:val="lt-LT"/>
              </w:rPr>
            </w:pPr>
            <w:r>
              <w:rPr>
                <w:rFonts w:ascii="Times New Roman" w:hAnsi="Times New Roman"/>
                <w:b/>
                <w:sz w:val="22"/>
                <w:lang w:val="lt-LT"/>
              </w:rPr>
              <w:t>II</w:t>
            </w:r>
          </w:p>
        </w:tc>
        <w:tc>
          <w:tcPr>
            <w:tcW w:w="1021" w:type="dxa"/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792710</w:t>
            </w:r>
          </w:p>
        </w:tc>
        <w:tc>
          <w:tcPr>
            <w:tcW w:w="1170" w:type="dxa"/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792710</w:t>
            </w:r>
          </w:p>
        </w:tc>
        <w:tc>
          <w:tcPr>
            <w:tcW w:w="1260" w:type="dxa"/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792710</w:t>
            </w:r>
          </w:p>
        </w:tc>
        <w:tc>
          <w:tcPr>
            <w:tcW w:w="1260" w:type="dxa"/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792710</w:t>
            </w:r>
          </w:p>
        </w:tc>
        <w:tc>
          <w:tcPr>
            <w:tcW w:w="1260" w:type="dxa"/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792710</w:t>
            </w:r>
          </w:p>
        </w:tc>
      </w:tr>
      <w:tr w:rsidR="000000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D51AD4">
            <w:pPr>
              <w:jc w:val="center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b/>
                <w:sz w:val="22"/>
                <w:lang w:val="lt-LT"/>
              </w:rPr>
              <w:t>III</w:t>
            </w:r>
          </w:p>
        </w:tc>
        <w:tc>
          <w:tcPr>
            <w:tcW w:w="1021" w:type="dxa"/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129250</w:t>
            </w:r>
          </w:p>
        </w:tc>
        <w:tc>
          <w:tcPr>
            <w:tcW w:w="1170" w:type="dxa"/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129250</w:t>
            </w:r>
          </w:p>
        </w:tc>
        <w:tc>
          <w:tcPr>
            <w:tcW w:w="1260" w:type="dxa"/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129250</w:t>
            </w:r>
          </w:p>
        </w:tc>
        <w:tc>
          <w:tcPr>
            <w:tcW w:w="1260" w:type="dxa"/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129250</w:t>
            </w:r>
          </w:p>
        </w:tc>
        <w:tc>
          <w:tcPr>
            <w:tcW w:w="1260" w:type="dxa"/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129250</w:t>
            </w:r>
          </w:p>
        </w:tc>
      </w:tr>
      <w:tr w:rsidR="000000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D51AD4">
            <w:pPr>
              <w:jc w:val="center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b/>
                <w:sz w:val="22"/>
                <w:lang w:val="lt-LT"/>
              </w:rPr>
              <w:t>IV</w:t>
            </w:r>
          </w:p>
        </w:tc>
        <w:tc>
          <w:tcPr>
            <w:tcW w:w="1021" w:type="dxa"/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29290</w:t>
            </w:r>
          </w:p>
        </w:tc>
        <w:tc>
          <w:tcPr>
            <w:tcW w:w="1170" w:type="dxa"/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29290</w:t>
            </w:r>
          </w:p>
        </w:tc>
        <w:tc>
          <w:tcPr>
            <w:tcW w:w="1260" w:type="dxa"/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29290</w:t>
            </w:r>
          </w:p>
        </w:tc>
        <w:tc>
          <w:tcPr>
            <w:tcW w:w="1260" w:type="dxa"/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29290</w:t>
            </w:r>
          </w:p>
        </w:tc>
        <w:tc>
          <w:tcPr>
            <w:tcW w:w="1260" w:type="dxa"/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29290</w:t>
            </w:r>
          </w:p>
        </w:tc>
      </w:tr>
      <w:tr w:rsidR="000000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D51AD4">
            <w:pPr>
              <w:pStyle w:val="Heading1"/>
              <w:widowControl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1021" w:type="dxa"/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2871</w:t>
            </w:r>
          </w:p>
        </w:tc>
        <w:tc>
          <w:tcPr>
            <w:tcW w:w="1170" w:type="dxa"/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2871</w:t>
            </w:r>
          </w:p>
        </w:tc>
        <w:tc>
          <w:tcPr>
            <w:tcW w:w="1260" w:type="dxa"/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2871</w:t>
            </w:r>
          </w:p>
        </w:tc>
        <w:tc>
          <w:tcPr>
            <w:tcW w:w="1260" w:type="dxa"/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2871</w:t>
            </w:r>
          </w:p>
        </w:tc>
        <w:tc>
          <w:tcPr>
            <w:tcW w:w="1260" w:type="dxa"/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2871</w:t>
            </w:r>
          </w:p>
        </w:tc>
      </w:tr>
    </w:tbl>
    <w:p w:rsidR="00000000" w:rsidRDefault="00D51AD4">
      <w:pPr>
        <w:spacing w:before="60" w:after="60"/>
        <w:rPr>
          <w:rFonts w:ascii="Times New Roman" w:hAnsi="Times New Roman"/>
          <w:sz w:val="22"/>
          <w:lang w:val="lt-LT"/>
        </w:rPr>
      </w:pPr>
    </w:p>
    <w:p w:rsidR="00000000" w:rsidRDefault="00D51AD4">
      <w:pPr>
        <w:pStyle w:val="EndnoteText"/>
        <w:widowControl/>
        <w:rPr>
          <w:rFonts w:ascii="Times New Roman" w:hAnsi="Times New Roman"/>
          <w:sz w:val="22"/>
          <w:lang w:val="lt-LT"/>
        </w:rPr>
      </w:pPr>
    </w:p>
    <w:p w:rsidR="00000000" w:rsidRDefault="00D51AD4">
      <w:pPr>
        <w:pStyle w:val="EndnoteText"/>
        <w:widowControl/>
        <w:rPr>
          <w:rFonts w:ascii="Times New Roman" w:hAnsi="Times New Roman"/>
          <w:sz w:val="22"/>
          <w:lang w:val="lt-LT"/>
        </w:rPr>
      </w:pPr>
      <w:r>
        <w:rPr>
          <w:rStyle w:val="EndnoteReference"/>
          <w:rFonts w:ascii="Times New Roman" w:hAnsi="Times New Roman"/>
          <w:sz w:val="22"/>
          <w:lang w:val="lt-LT"/>
        </w:rPr>
        <w:t>*)</w:t>
      </w:r>
      <w:r>
        <w:rPr>
          <w:rFonts w:ascii="Times New Roman" w:hAnsi="Times New Roman"/>
          <w:sz w:val="22"/>
          <w:lang w:val="lt-LT"/>
        </w:rPr>
        <w:t xml:space="preserve"> Išskyrus:</w:t>
      </w:r>
    </w:p>
    <w:p w:rsidR="00000000" w:rsidRDefault="00D51AD4">
      <w:pPr>
        <w:pStyle w:val="EndnoteText"/>
        <w:widowControl/>
        <w:numPr>
          <w:ilvl w:val="0"/>
          <w:numId w:val="1"/>
        </w:numPr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kietąsias daleles, susidarančias deginant kietąjį, skystąjį arba dujinį kurą;</w:t>
      </w:r>
    </w:p>
    <w:p w:rsidR="00000000" w:rsidRDefault="00D51AD4">
      <w:pPr>
        <w:pStyle w:val="EndnoteText"/>
        <w:widowControl/>
        <w:numPr>
          <w:ilvl w:val="0"/>
          <w:numId w:val="1"/>
        </w:numPr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asbesto turinčias kietąsias daleles.</w:t>
      </w:r>
    </w:p>
    <w:p w:rsidR="00000000" w:rsidRDefault="00D51AD4">
      <w:pPr>
        <w:jc w:val="right"/>
        <w:rPr>
          <w:rFonts w:ascii="Times New Roman" w:hAnsi="Times New Roman"/>
          <w:sz w:val="22"/>
          <w:lang w:val="lt-LT"/>
        </w:rPr>
      </w:pPr>
    </w:p>
    <w:p w:rsidR="00000000" w:rsidRDefault="00D51AD4">
      <w:pPr>
        <w:jc w:val="right"/>
        <w:rPr>
          <w:rFonts w:ascii="Times New Roman" w:hAnsi="Times New Roman"/>
          <w:sz w:val="22"/>
          <w:lang w:val="lt-LT"/>
        </w:rPr>
      </w:pPr>
    </w:p>
    <w:p w:rsidR="00000000" w:rsidRDefault="00D51AD4">
      <w:pPr>
        <w:rPr>
          <w:rFonts w:ascii="Times New Roman" w:hAnsi="Times New Roman"/>
          <w:sz w:val="22"/>
          <w:lang w:val="lt-LT"/>
        </w:rPr>
      </w:pPr>
    </w:p>
    <w:p w:rsidR="00000000" w:rsidRDefault="00D51AD4">
      <w:pPr>
        <w:rPr>
          <w:rFonts w:ascii="Times New Roman" w:hAnsi="Times New Roman"/>
          <w:sz w:val="22"/>
          <w:lang w:val="lt-LT"/>
        </w:rPr>
      </w:pPr>
    </w:p>
    <w:p w:rsidR="00000000" w:rsidRDefault="00D51AD4">
      <w:pPr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 xml:space="preserve"> </w:t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  <w:t>Lietuvos Respublikos</w:t>
      </w:r>
    </w:p>
    <w:p w:rsidR="00000000" w:rsidRDefault="00D51AD4">
      <w:pPr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 xml:space="preserve"> </w:t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  <w:t>1999 m. gegužės 13 d.</w:t>
      </w:r>
    </w:p>
    <w:p w:rsidR="00000000" w:rsidRDefault="00D51AD4">
      <w:pPr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 xml:space="preserve"> </w:t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  <w:t>įstatymo Nr.VIII-1183</w:t>
      </w:r>
    </w:p>
    <w:p w:rsidR="00000000" w:rsidRDefault="00D51AD4">
      <w:pPr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 xml:space="preserve"> </w:t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  <w:t>2 priedėlis</w:t>
      </w:r>
    </w:p>
    <w:p w:rsidR="00000000" w:rsidRDefault="00D51AD4">
      <w:pPr>
        <w:rPr>
          <w:rFonts w:ascii="Times New Roman" w:hAnsi="Times New Roman"/>
          <w:sz w:val="22"/>
          <w:lang w:val="lt-LT"/>
        </w:rPr>
      </w:pPr>
    </w:p>
    <w:p w:rsidR="00000000" w:rsidRDefault="00D51AD4">
      <w:pPr>
        <w:rPr>
          <w:rFonts w:ascii="Times New Roman" w:hAnsi="Times New Roman"/>
          <w:sz w:val="22"/>
          <w:lang w:val="lt-LT"/>
        </w:rPr>
      </w:pPr>
    </w:p>
    <w:p w:rsidR="00000000" w:rsidRDefault="00D51AD4">
      <w:pPr>
        <w:jc w:val="center"/>
        <w:rPr>
          <w:rFonts w:ascii="Times New Roman" w:hAnsi="Times New Roman"/>
          <w:b/>
          <w:sz w:val="22"/>
          <w:lang w:val="lt-LT"/>
        </w:rPr>
      </w:pPr>
    </w:p>
    <w:p w:rsidR="00000000" w:rsidRDefault="00D51AD4">
      <w:pPr>
        <w:jc w:val="center"/>
        <w:rPr>
          <w:rFonts w:ascii="Times New Roman" w:hAnsi="Times New Roman"/>
          <w:b/>
          <w:sz w:val="22"/>
          <w:lang w:val="lt-LT"/>
        </w:rPr>
      </w:pPr>
      <w:r>
        <w:rPr>
          <w:rFonts w:ascii="Times New Roman" w:hAnsi="Times New Roman"/>
          <w:b/>
          <w:sz w:val="22"/>
          <w:lang w:val="lt-LT"/>
        </w:rPr>
        <w:t>MOKESČIO UŽ APLINKOS</w:t>
      </w:r>
      <w:r>
        <w:rPr>
          <w:rFonts w:ascii="Times New Roman" w:hAnsi="Times New Roman"/>
          <w:b/>
          <w:sz w:val="22"/>
          <w:lang w:val="lt-LT"/>
        </w:rPr>
        <w:t xml:space="preserve"> TERŠIMĄ IŠ STACIONARIŲ TARŠOS ŠALTINIŲ </w:t>
      </w:r>
      <w:r>
        <w:rPr>
          <w:rFonts w:ascii="Times New Roman" w:hAnsi="Times New Roman"/>
          <w:b/>
          <w:sz w:val="22"/>
          <w:lang w:val="lt-LT"/>
        </w:rPr>
        <w:br/>
        <w:t>TARIFŲ KOEFICIENTAI</w:t>
      </w:r>
    </w:p>
    <w:p w:rsidR="00000000" w:rsidRDefault="00D51AD4">
      <w:pPr>
        <w:jc w:val="center"/>
        <w:rPr>
          <w:rFonts w:ascii="Times New Roman" w:hAnsi="Times New Roman"/>
          <w:b/>
          <w:sz w:val="22"/>
          <w:lang w:val="lt-LT"/>
        </w:rPr>
      </w:pPr>
    </w:p>
    <w:p w:rsidR="00000000" w:rsidRDefault="00D51AD4">
      <w:pPr>
        <w:jc w:val="center"/>
        <w:rPr>
          <w:rFonts w:ascii="Times New Roman" w:hAnsi="Times New Roman"/>
          <w:b/>
          <w:sz w:val="22"/>
          <w:lang w:val="lt-LT"/>
        </w:rPr>
      </w:pPr>
    </w:p>
    <w:p w:rsidR="00000000" w:rsidRDefault="00D51AD4">
      <w:pPr>
        <w:rPr>
          <w:rFonts w:ascii="Times New Roman" w:hAnsi="Times New Roman"/>
          <w:b/>
          <w:i/>
          <w:sz w:val="22"/>
          <w:lang w:val="lt-LT"/>
        </w:rPr>
      </w:pPr>
      <w:r>
        <w:rPr>
          <w:rFonts w:ascii="Times New Roman" w:hAnsi="Times New Roman"/>
          <w:b/>
          <w:sz w:val="22"/>
          <w:lang w:val="lt-LT"/>
        </w:rPr>
        <w:t>I. Atmosferos teršalai</w:t>
      </w:r>
    </w:p>
    <w:p w:rsidR="00000000" w:rsidRDefault="00D51AD4">
      <w:pPr>
        <w:rPr>
          <w:rFonts w:ascii="Times New Roman" w:hAnsi="Times New Roman"/>
          <w:b/>
          <w:sz w:val="22"/>
          <w:lang w:val="lt-L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22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6" w:space="0" w:color="auto"/>
            </w:tcBorders>
          </w:tcPr>
          <w:p w:rsidR="00000000" w:rsidRDefault="00D51AD4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22"/>
                <w:lang w:val="lt-LT"/>
              </w:rPr>
            </w:pPr>
            <w:r>
              <w:rPr>
                <w:rFonts w:ascii="Times New Roman" w:hAnsi="Times New Roman"/>
                <w:b/>
                <w:i/>
                <w:sz w:val="22"/>
                <w:lang w:val="lt-LT"/>
              </w:rPr>
              <w:t>Teršalai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6" w:space="0" w:color="auto"/>
              <w:bottom w:val="single" w:sz="12" w:space="0" w:color="000000"/>
              <w:right w:val="single" w:sz="12" w:space="0" w:color="auto"/>
            </w:tcBorders>
          </w:tcPr>
          <w:p w:rsidR="00000000" w:rsidRDefault="00D51AD4">
            <w:pPr>
              <w:spacing w:before="60" w:after="60"/>
              <w:rPr>
                <w:rFonts w:ascii="Times New Roman" w:hAnsi="Times New Roman"/>
                <w:b/>
                <w:i/>
                <w:sz w:val="22"/>
                <w:lang w:val="lt-LT"/>
              </w:rPr>
            </w:pPr>
            <w:r>
              <w:rPr>
                <w:rFonts w:ascii="Times New Roman" w:hAnsi="Times New Roman"/>
                <w:b/>
                <w:i/>
                <w:sz w:val="22"/>
                <w:lang w:val="lt-LT"/>
              </w:rPr>
              <w:t>Koeficientai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8" w:type="dxa"/>
            <w:tcBorders>
              <w:top w:val="nil"/>
              <w:left w:val="single" w:sz="12" w:space="0" w:color="auto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SO</w:t>
            </w:r>
            <w:r>
              <w:rPr>
                <w:rFonts w:ascii="Times New Roman" w:hAnsi="Times New Roman"/>
                <w:sz w:val="22"/>
                <w:vertAlign w:val="subscript"/>
                <w:lang w:val="lt-LT"/>
              </w:rPr>
              <w:t>2</w:t>
            </w:r>
          </w:p>
        </w:tc>
        <w:tc>
          <w:tcPr>
            <w:tcW w:w="2250" w:type="dxa"/>
            <w:tcBorders>
              <w:top w:val="nil"/>
              <w:right w:val="single" w:sz="12" w:space="0" w:color="auto"/>
            </w:tcBorders>
          </w:tcPr>
          <w:p w:rsidR="00000000" w:rsidRDefault="00D51AD4">
            <w:pPr>
              <w:jc w:val="center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8" w:type="dxa"/>
            <w:tcBorders>
              <w:left w:val="single" w:sz="12" w:space="0" w:color="auto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NO</w:t>
            </w:r>
            <w:r>
              <w:rPr>
                <w:rFonts w:ascii="Times New Roman" w:hAnsi="Times New Roman"/>
                <w:sz w:val="22"/>
                <w:vertAlign w:val="subscript"/>
                <w:lang w:val="lt-LT"/>
              </w:rPr>
              <w:t>x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000000" w:rsidRDefault="00D51AD4">
            <w:pPr>
              <w:jc w:val="center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8" w:type="dxa"/>
            <w:tcBorders>
              <w:left w:val="single" w:sz="12" w:space="0" w:color="auto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Vanadžio pentoksidas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000000" w:rsidRDefault="00D51AD4">
            <w:pPr>
              <w:jc w:val="center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8" w:type="dxa"/>
            <w:tcBorders>
              <w:left w:val="single" w:sz="12" w:space="0" w:color="auto"/>
              <w:bottom w:val="single" w:sz="12" w:space="0" w:color="000000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 xml:space="preserve">Kietosios dalelės (organinės ir neorganinės) </w:t>
            </w:r>
            <w:r>
              <w:rPr>
                <w:rFonts w:ascii="Times New Roman" w:hAnsi="Times New Roman"/>
                <w:sz w:val="22"/>
                <w:vertAlign w:val="superscript"/>
                <w:lang w:val="lt-LT"/>
              </w:rPr>
              <w:t>*)</w:t>
            </w:r>
          </w:p>
        </w:tc>
        <w:tc>
          <w:tcPr>
            <w:tcW w:w="2250" w:type="dxa"/>
            <w:tcBorders>
              <w:bottom w:val="single" w:sz="12" w:space="0" w:color="000000"/>
              <w:right w:val="single" w:sz="12" w:space="0" w:color="auto"/>
            </w:tcBorders>
          </w:tcPr>
          <w:p w:rsidR="00000000" w:rsidRDefault="00D51AD4">
            <w:pPr>
              <w:jc w:val="center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1,5</w:t>
            </w:r>
          </w:p>
        </w:tc>
      </w:tr>
      <w:tr w:rsidR="000000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6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51AD4">
            <w:pPr>
              <w:jc w:val="center"/>
              <w:rPr>
                <w:rFonts w:ascii="Times New Roman" w:hAnsi="Times New Roman"/>
                <w:b/>
                <w:sz w:val="22"/>
                <w:lang w:val="lt-LT"/>
              </w:rPr>
            </w:pPr>
            <w:r>
              <w:rPr>
                <w:rFonts w:ascii="Times New Roman" w:hAnsi="Times New Roman"/>
                <w:b/>
                <w:i/>
                <w:sz w:val="22"/>
                <w:lang w:val="lt-LT"/>
              </w:rPr>
              <w:t>Teršalų grupės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51AD4">
            <w:pPr>
              <w:rPr>
                <w:rFonts w:ascii="Times New Roman" w:hAnsi="Times New Roman"/>
                <w:b/>
                <w:sz w:val="22"/>
                <w:lang w:val="lt-LT"/>
              </w:rPr>
            </w:pPr>
          </w:p>
        </w:tc>
      </w:tr>
      <w:tr w:rsidR="000000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CellMar>
            <w:top w:w="0" w:type="dxa"/>
            <w:bottom w:w="0" w:type="dxa"/>
          </w:tblCellMar>
        </w:tblPrEx>
        <w:tc>
          <w:tcPr>
            <w:tcW w:w="6498" w:type="dxa"/>
            <w:tcBorders>
              <w:top w:val="nil"/>
            </w:tcBorders>
          </w:tcPr>
          <w:p w:rsidR="00000000" w:rsidRDefault="00D51AD4">
            <w:pPr>
              <w:jc w:val="center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b/>
                <w:sz w:val="22"/>
                <w:lang w:val="lt-LT"/>
              </w:rPr>
              <w:t>I</w:t>
            </w:r>
          </w:p>
        </w:tc>
        <w:tc>
          <w:tcPr>
            <w:tcW w:w="2250" w:type="dxa"/>
            <w:tcBorders>
              <w:top w:val="nil"/>
            </w:tcBorders>
          </w:tcPr>
          <w:p w:rsidR="00000000" w:rsidRDefault="00D51AD4">
            <w:pPr>
              <w:jc w:val="center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300</w:t>
            </w:r>
          </w:p>
        </w:tc>
      </w:tr>
      <w:tr w:rsidR="000000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CellMar>
            <w:top w:w="0" w:type="dxa"/>
            <w:bottom w:w="0" w:type="dxa"/>
          </w:tblCellMar>
        </w:tblPrEx>
        <w:tc>
          <w:tcPr>
            <w:tcW w:w="6498" w:type="dxa"/>
          </w:tcPr>
          <w:p w:rsidR="00000000" w:rsidRDefault="00D51AD4">
            <w:pPr>
              <w:ind w:left="11" w:hanging="11"/>
              <w:jc w:val="center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b/>
                <w:sz w:val="22"/>
                <w:lang w:val="lt-LT"/>
              </w:rPr>
              <w:t>II</w:t>
            </w:r>
          </w:p>
        </w:tc>
        <w:tc>
          <w:tcPr>
            <w:tcW w:w="2250" w:type="dxa"/>
          </w:tcPr>
          <w:p w:rsidR="00000000" w:rsidRDefault="00D51AD4">
            <w:pPr>
              <w:jc w:val="center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50</w:t>
            </w:r>
          </w:p>
        </w:tc>
      </w:tr>
      <w:tr w:rsidR="000000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CellMar>
            <w:top w:w="0" w:type="dxa"/>
            <w:bottom w:w="0" w:type="dxa"/>
          </w:tblCellMar>
        </w:tblPrEx>
        <w:tc>
          <w:tcPr>
            <w:tcW w:w="6498" w:type="dxa"/>
          </w:tcPr>
          <w:p w:rsidR="00000000" w:rsidRDefault="00D51AD4">
            <w:pPr>
              <w:jc w:val="center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b/>
                <w:sz w:val="22"/>
                <w:lang w:val="lt-LT"/>
              </w:rPr>
              <w:t>III</w:t>
            </w:r>
          </w:p>
        </w:tc>
        <w:tc>
          <w:tcPr>
            <w:tcW w:w="2250" w:type="dxa"/>
          </w:tcPr>
          <w:p w:rsidR="00000000" w:rsidRDefault="00D51AD4">
            <w:pPr>
              <w:jc w:val="center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30</w:t>
            </w:r>
          </w:p>
        </w:tc>
      </w:tr>
      <w:tr w:rsidR="000000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CellMar>
            <w:top w:w="0" w:type="dxa"/>
            <w:bottom w:w="0" w:type="dxa"/>
          </w:tblCellMar>
        </w:tblPrEx>
        <w:tc>
          <w:tcPr>
            <w:tcW w:w="6498" w:type="dxa"/>
          </w:tcPr>
          <w:p w:rsidR="00000000" w:rsidRDefault="00D51AD4">
            <w:pPr>
              <w:pStyle w:val="Heading1"/>
              <w:widowControl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2250" w:type="dxa"/>
          </w:tcPr>
          <w:p w:rsidR="00000000" w:rsidRDefault="00D51AD4">
            <w:pPr>
              <w:jc w:val="center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1,5</w:t>
            </w:r>
          </w:p>
        </w:tc>
      </w:tr>
    </w:tbl>
    <w:p w:rsidR="00000000" w:rsidRDefault="00D51AD4">
      <w:pPr>
        <w:spacing w:before="60" w:after="60"/>
        <w:rPr>
          <w:rFonts w:ascii="Times New Roman" w:hAnsi="Times New Roman"/>
          <w:sz w:val="22"/>
          <w:lang w:val="lt-LT"/>
        </w:rPr>
      </w:pPr>
    </w:p>
    <w:p w:rsidR="00000000" w:rsidRDefault="00D51AD4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I. Vandens teršalai</w:t>
      </w:r>
    </w:p>
    <w:p w:rsidR="00000000" w:rsidRDefault="00D51AD4">
      <w:pPr>
        <w:spacing w:before="60" w:after="60"/>
        <w:rPr>
          <w:rFonts w:ascii="Times New Roman" w:hAnsi="Times New Roman"/>
          <w:sz w:val="22"/>
          <w:lang w:val="lt-L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22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6" w:space="0" w:color="auto"/>
            </w:tcBorders>
          </w:tcPr>
          <w:p w:rsidR="00000000" w:rsidRDefault="00D51AD4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22"/>
                <w:lang w:val="lt-LT"/>
              </w:rPr>
            </w:pPr>
            <w:r>
              <w:rPr>
                <w:rFonts w:ascii="Times New Roman" w:hAnsi="Times New Roman"/>
                <w:b/>
                <w:i/>
                <w:sz w:val="22"/>
                <w:lang w:val="lt-LT"/>
              </w:rPr>
              <w:t>Teršalai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6" w:space="0" w:color="auto"/>
              <w:bottom w:val="single" w:sz="12" w:space="0" w:color="000000"/>
              <w:right w:val="single" w:sz="12" w:space="0" w:color="auto"/>
            </w:tcBorders>
          </w:tcPr>
          <w:p w:rsidR="00000000" w:rsidRDefault="00D51AD4">
            <w:pPr>
              <w:spacing w:before="60" w:after="60"/>
              <w:rPr>
                <w:rFonts w:ascii="Times New Roman" w:hAnsi="Times New Roman"/>
                <w:b/>
                <w:i/>
                <w:sz w:val="22"/>
                <w:lang w:val="lt-LT"/>
              </w:rPr>
            </w:pPr>
            <w:r>
              <w:rPr>
                <w:rFonts w:ascii="Times New Roman" w:hAnsi="Times New Roman"/>
                <w:b/>
                <w:i/>
                <w:sz w:val="22"/>
                <w:lang w:val="lt-LT"/>
              </w:rPr>
              <w:t>Koeficientai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8" w:type="dxa"/>
            <w:tcBorders>
              <w:top w:val="nil"/>
              <w:left w:val="single" w:sz="12" w:space="0" w:color="auto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BDS</w:t>
            </w:r>
            <w:r>
              <w:rPr>
                <w:rFonts w:ascii="Times New Roman" w:hAnsi="Times New Roman"/>
                <w:sz w:val="22"/>
                <w:vertAlign w:val="subscript"/>
                <w:lang w:val="lt-LT"/>
              </w:rPr>
              <w:t>7</w:t>
            </w:r>
            <w:r>
              <w:rPr>
                <w:rFonts w:ascii="Times New Roman" w:hAnsi="Times New Roman"/>
                <w:sz w:val="22"/>
                <w:lang w:val="lt-LT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right w:val="single" w:sz="12" w:space="0" w:color="auto"/>
            </w:tcBorders>
          </w:tcPr>
          <w:p w:rsidR="00000000" w:rsidRDefault="00D51AD4">
            <w:pPr>
              <w:jc w:val="center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8" w:type="dxa"/>
            <w:tcBorders>
              <w:left w:val="single" w:sz="12" w:space="0" w:color="auto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Bendrasis azotas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000000" w:rsidRDefault="00D51AD4">
            <w:pPr>
              <w:jc w:val="center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8" w:type="dxa"/>
            <w:tcBorders>
              <w:left w:val="single" w:sz="12" w:space="0" w:color="auto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Bendrasis fosforas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000000" w:rsidRDefault="00D51AD4">
            <w:pPr>
              <w:jc w:val="center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8" w:type="dxa"/>
            <w:tcBorders>
              <w:left w:val="single" w:sz="12" w:space="0" w:color="auto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Suspenduotos medžiagos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000000" w:rsidRDefault="00D51AD4">
            <w:pPr>
              <w:jc w:val="center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8" w:type="dxa"/>
            <w:tcBorders>
              <w:left w:val="single" w:sz="12" w:space="0" w:color="auto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Sulfatai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000000" w:rsidRDefault="00D51AD4">
            <w:pPr>
              <w:jc w:val="center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8" w:type="dxa"/>
            <w:tcBorders>
              <w:left w:val="single" w:sz="12" w:space="0" w:color="auto"/>
              <w:bottom w:val="single" w:sz="12" w:space="0" w:color="000000"/>
            </w:tcBorders>
          </w:tcPr>
          <w:p w:rsidR="00000000" w:rsidRDefault="00D51AD4">
            <w:pPr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Chloridai</w:t>
            </w:r>
          </w:p>
        </w:tc>
        <w:tc>
          <w:tcPr>
            <w:tcW w:w="2250" w:type="dxa"/>
            <w:tcBorders>
              <w:bottom w:val="single" w:sz="12" w:space="0" w:color="000000"/>
              <w:right w:val="single" w:sz="12" w:space="0" w:color="auto"/>
            </w:tcBorders>
          </w:tcPr>
          <w:p w:rsidR="00000000" w:rsidRDefault="00D51AD4">
            <w:pPr>
              <w:jc w:val="center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1,5</w:t>
            </w:r>
          </w:p>
        </w:tc>
      </w:tr>
      <w:tr w:rsidR="000000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6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51AD4">
            <w:pPr>
              <w:jc w:val="center"/>
              <w:rPr>
                <w:rFonts w:ascii="Times New Roman" w:hAnsi="Times New Roman"/>
                <w:b/>
                <w:i/>
                <w:sz w:val="22"/>
                <w:lang w:val="lt-LT"/>
              </w:rPr>
            </w:pPr>
            <w:r>
              <w:rPr>
                <w:rFonts w:ascii="Times New Roman" w:hAnsi="Times New Roman"/>
                <w:b/>
                <w:i/>
                <w:sz w:val="22"/>
                <w:lang w:val="lt-LT"/>
              </w:rPr>
              <w:t>Teršalų grupės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51AD4">
            <w:pPr>
              <w:rPr>
                <w:rFonts w:ascii="Times New Roman" w:hAnsi="Times New Roman"/>
                <w:b/>
                <w:sz w:val="22"/>
                <w:lang w:val="lt-LT"/>
              </w:rPr>
            </w:pPr>
          </w:p>
        </w:tc>
      </w:tr>
      <w:tr w:rsidR="000000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CellMar>
            <w:top w:w="0" w:type="dxa"/>
            <w:bottom w:w="0" w:type="dxa"/>
          </w:tblCellMar>
        </w:tblPrEx>
        <w:tc>
          <w:tcPr>
            <w:tcW w:w="6498" w:type="dxa"/>
            <w:tcBorders>
              <w:top w:val="nil"/>
            </w:tcBorders>
          </w:tcPr>
          <w:p w:rsidR="00000000" w:rsidRDefault="00D51AD4">
            <w:pPr>
              <w:jc w:val="center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b/>
                <w:sz w:val="22"/>
                <w:lang w:val="lt-LT"/>
              </w:rPr>
              <w:t>I</w:t>
            </w:r>
          </w:p>
        </w:tc>
        <w:tc>
          <w:tcPr>
            <w:tcW w:w="2250" w:type="dxa"/>
            <w:tcBorders>
              <w:top w:val="nil"/>
            </w:tcBorders>
          </w:tcPr>
          <w:p w:rsidR="00000000" w:rsidRDefault="00D51AD4">
            <w:pPr>
              <w:jc w:val="center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100</w:t>
            </w:r>
          </w:p>
        </w:tc>
      </w:tr>
      <w:tr w:rsidR="000000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CellMar>
            <w:top w:w="0" w:type="dxa"/>
            <w:bottom w:w="0" w:type="dxa"/>
          </w:tblCellMar>
        </w:tblPrEx>
        <w:tc>
          <w:tcPr>
            <w:tcW w:w="6498" w:type="dxa"/>
          </w:tcPr>
          <w:p w:rsidR="00000000" w:rsidRDefault="00D51AD4">
            <w:pPr>
              <w:ind w:left="11" w:hanging="11"/>
              <w:jc w:val="center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b/>
                <w:sz w:val="22"/>
                <w:lang w:val="lt-LT"/>
              </w:rPr>
              <w:t>II</w:t>
            </w:r>
          </w:p>
        </w:tc>
        <w:tc>
          <w:tcPr>
            <w:tcW w:w="2250" w:type="dxa"/>
          </w:tcPr>
          <w:p w:rsidR="00000000" w:rsidRDefault="00D51AD4">
            <w:pPr>
              <w:jc w:val="center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50</w:t>
            </w:r>
          </w:p>
        </w:tc>
      </w:tr>
      <w:tr w:rsidR="000000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CellMar>
            <w:top w:w="0" w:type="dxa"/>
            <w:bottom w:w="0" w:type="dxa"/>
          </w:tblCellMar>
        </w:tblPrEx>
        <w:tc>
          <w:tcPr>
            <w:tcW w:w="6498" w:type="dxa"/>
          </w:tcPr>
          <w:p w:rsidR="00000000" w:rsidRDefault="00D51AD4">
            <w:pPr>
              <w:pStyle w:val="Heading1"/>
              <w:widowControl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2250" w:type="dxa"/>
          </w:tcPr>
          <w:p w:rsidR="00000000" w:rsidRDefault="00D51AD4">
            <w:pPr>
              <w:jc w:val="center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10</w:t>
            </w:r>
          </w:p>
        </w:tc>
      </w:tr>
      <w:tr w:rsidR="000000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CellMar>
            <w:top w:w="0" w:type="dxa"/>
            <w:bottom w:w="0" w:type="dxa"/>
          </w:tblCellMar>
        </w:tblPrEx>
        <w:tc>
          <w:tcPr>
            <w:tcW w:w="6498" w:type="dxa"/>
          </w:tcPr>
          <w:p w:rsidR="00000000" w:rsidRDefault="00D51AD4">
            <w:pPr>
              <w:jc w:val="center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b/>
                <w:sz w:val="22"/>
                <w:lang w:val="lt-LT"/>
              </w:rPr>
              <w:t>IV</w:t>
            </w:r>
          </w:p>
        </w:tc>
        <w:tc>
          <w:tcPr>
            <w:tcW w:w="2250" w:type="dxa"/>
          </w:tcPr>
          <w:p w:rsidR="00000000" w:rsidRDefault="00D51AD4">
            <w:pPr>
              <w:jc w:val="center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5</w:t>
            </w:r>
          </w:p>
        </w:tc>
      </w:tr>
      <w:tr w:rsidR="0000000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CellMar>
            <w:top w:w="0" w:type="dxa"/>
            <w:bottom w:w="0" w:type="dxa"/>
          </w:tblCellMar>
        </w:tblPrEx>
        <w:tc>
          <w:tcPr>
            <w:tcW w:w="6498" w:type="dxa"/>
          </w:tcPr>
          <w:p w:rsidR="00000000" w:rsidRDefault="00D51AD4">
            <w:pPr>
              <w:jc w:val="center"/>
              <w:rPr>
                <w:rFonts w:ascii="Times New Roman" w:hAnsi="Times New Roman"/>
                <w:b/>
                <w:sz w:val="22"/>
                <w:lang w:val="lt-LT"/>
              </w:rPr>
            </w:pPr>
            <w:r>
              <w:rPr>
                <w:rFonts w:ascii="Times New Roman" w:hAnsi="Times New Roman"/>
                <w:b/>
                <w:sz w:val="22"/>
                <w:lang w:val="lt-LT"/>
              </w:rPr>
              <w:t>V</w:t>
            </w:r>
          </w:p>
        </w:tc>
        <w:tc>
          <w:tcPr>
            <w:tcW w:w="2250" w:type="dxa"/>
          </w:tcPr>
          <w:p w:rsidR="00000000" w:rsidRDefault="00D51AD4">
            <w:pPr>
              <w:jc w:val="center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2</w:t>
            </w:r>
          </w:p>
        </w:tc>
      </w:tr>
    </w:tbl>
    <w:p w:rsidR="00000000" w:rsidRDefault="00D51AD4">
      <w:pPr>
        <w:pStyle w:val="EndnoteText"/>
        <w:widowControl/>
        <w:rPr>
          <w:rFonts w:ascii="Times New Roman" w:hAnsi="Times New Roman"/>
          <w:sz w:val="22"/>
          <w:lang w:val="lt-LT"/>
        </w:rPr>
      </w:pPr>
    </w:p>
    <w:p w:rsidR="00000000" w:rsidRDefault="00D51AD4">
      <w:pPr>
        <w:pStyle w:val="EndnoteText"/>
        <w:widowControl/>
        <w:rPr>
          <w:rFonts w:ascii="Times New Roman" w:hAnsi="Times New Roman"/>
          <w:sz w:val="22"/>
          <w:lang w:val="lt-LT"/>
        </w:rPr>
      </w:pPr>
    </w:p>
    <w:p w:rsidR="00000000" w:rsidRDefault="00D51AD4">
      <w:pPr>
        <w:pStyle w:val="EndnoteText"/>
        <w:widowControl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vertAlign w:val="superscript"/>
          <w:lang w:val="lt-LT"/>
        </w:rPr>
        <w:t>*)</w:t>
      </w:r>
      <w:r>
        <w:rPr>
          <w:rFonts w:ascii="Times New Roman" w:hAnsi="Times New Roman"/>
          <w:sz w:val="22"/>
          <w:lang w:val="lt-LT"/>
        </w:rPr>
        <w:t>Išskyrus:</w:t>
      </w:r>
    </w:p>
    <w:p w:rsidR="00000000" w:rsidRDefault="00D51AD4">
      <w:pPr>
        <w:pStyle w:val="EndnoteText"/>
        <w:widowControl/>
        <w:numPr>
          <w:ilvl w:val="0"/>
          <w:numId w:val="1"/>
        </w:numPr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kietąsias daleles, susidarančias degin</w:t>
      </w:r>
      <w:r>
        <w:rPr>
          <w:rFonts w:ascii="Times New Roman" w:hAnsi="Times New Roman"/>
          <w:sz w:val="22"/>
          <w:lang w:val="lt-LT"/>
        </w:rPr>
        <w:t>ant kietąjį, skystąjį arba dujinį kurą;</w:t>
      </w:r>
    </w:p>
    <w:p w:rsidR="00000000" w:rsidRDefault="00D51AD4">
      <w:pPr>
        <w:pStyle w:val="EndnoteText"/>
        <w:widowControl/>
        <w:numPr>
          <w:ilvl w:val="0"/>
          <w:numId w:val="1"/>
        </w:numPr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asbesto turinčias kietąsias daleles.</w:t>
      </w:r>
    </w:p>
    <w:p w:rsidR="00000000" w:rsidRDefault="00D51AD4">
      <w:pPr>
        <w:widowControl w:val="0"/>
        <w:rPr>
          <w:rFonts w:ascii="Times New Roman" w:hAnsi="Times New Roman"/>
          <w:snapToGrid w:val="0"/>
          <w:sz w:val="22"/>
          <w:lang w:val="lt-LT" w:eastAsia="en-US"/>
        </w:rPr>
      </w:pPr>
    </w:p>
    <w:p w:rsidR="00000000" w:rsidRDefault="00D51AD4">
      <w:pPr>
        <w:widowControl w:val="0"/>
        <w:jc w:val="center"/>
        <w:rPr>
          <w:rFonts w:ascii="Times New Roman" w:hAnsi="Times New Roman"/>
          <w:snapToGrid w:val="0"/>
          <w:sz w:val="22"/>
          <w:lang w:val="lt-LT" w:eastAsia="en-US"/>
        </w:rPr>
      </w:pPr>
      <w:r>
        <w:rPr>
          <w:rFonts w:ascii="Times New Roman" w:hAnsi="Times New Roman"/>
          <w:snapToGrid w:val="0"/>
          <w:sz w:val="22"/>
          <w:lang w:val="lt-LT" w:eastAsia="en-US"/>
        </w:rPr>
        <w:t>________</w:t>
      </w:r>
    </w:p>
    <w:p w:rsidR="00000000" w:rsidRDefault="00D51AD4">
      <w:pPr>
        <w:widowControl w:val="0"/>
        <w:jc w:val="both"/>
        <w:rPr>
          <w:rFonts w:ascii="Times New Roman" w:hAnsi="Times New Roman"/>
          <w:snapToGrid w:val="0"/>
          <w:sz w:val="20"/>
          <w:lang w:val="lt-LT" w:eastAsia="en-US"/>
        </w:rPr>
      </w:pPr>
    </w:p>
    <w:p w:rsidR="00000000" w:rsidRDefault="00D51AD4">
      <w:pPr>
        <w:widowControl w:val="0"/>
        <w:jc w:val="both"/>
        <w:rPr>
          <w:rFonts w:ascii="Times New Roman" w:hAnsi="Times New Roman"/>
          <w:snapToGrid w:val="0"/>
          <w:sz w:val="20"/>
          <w:lang w:val="lt-LT" w:eastAsia="en-US"/>
        </w:rPr>
      </w:pPr>
      <w:r>
        <w:rPr>
          <w:rFonts w:ascii="Times New Roman" w:hAnsi="Times New Roman"/>
          <w:snapToGrid w:val="0"/>
          <w:sz w:val="20"/>
          <w:lang w:val="lt-LT" w:eastAsia="en-US"/>
        </w:rPr>
        <w:t>Pakeitimai:</w:t>
      </w:r>
    </w:p>
    <w:p w:rsidR="00000000" w:rsidRDefault="00D51AD4">
      <w:pPr>
        <w:widowControl w:val="0"/>
        <w:jc w:val="both"/>
        <w:rPr>
          <w:rFonts w:ascii="Times New Roman" w:hAnsi="Times New Roman"/>
          <w:snapToGrid w:val="0"/>
          <w:sz w:val="20"/>
          <w:lang w:val="lt-LT" w:eastAsia="en-US"/>
        </w:rPr>
      </w:pPr>
    </w:p>
    <w:p w:rsidR="00000000" w:rsidRDefault="00D51AD4">
      <w:pPr>
        <w:widowControl w:val="0"/>
        <w:jc w:val="both"/>
        <w:rPr>
          <w:rFonts w:ascii="Times New Roman" w:hAnsi="Times New Roman"/>
          <w:snapToGrid w:val="0"/>
          <w:sz w:val="20"/>
          <w:lang w:val="lt-LT" w:eastAsia="en-US"/>
        </w:rPr>
      </w:pPr>
      <w:r>
        <w:rPr>
          <w:rFonts w:ascii="Times New Roman" w:hAnsi="Times New Roman"/>
          <w:snapToGrid w:val="0"/>
          <w:sz w:val="20"/>
          <w:lang w:val="lt-LT" w:eastAsia="en-US"/>
        </w:rPr>
        <w:t>1.</w:t>
      </w:r>
    </w:p>
    <w:p w:rsidR="00000000" w:rsidRDefault="00D51AD4">
      <w:pPr>
        <w:widowControl w:val="0"/>
        <w:jc w:val="both"/>
        <w:rPr>
          <w:rFonts w:ascii="Times New Roman" w:hAnsi="Times New Roman"/>
          <w:snapToGrid w:val="0"/>
          <w:sz w:val="20"/>
          <w:lang w:val="lt-LT" w:eastAsia="en-US"/>
        </w:rPr>
      </w:pPr>
      <w:r>
        <w:rPr>
          <w:rFonts w:ascii="Times New Roman" w:hAnsi="Times New Roman"/>
          <w:snapToGrid w:val="0"/>
          <w:sz w:val="20"/>
          <w:lang w:val="lt-LT" w:eastAsia="en-US"/>
        </w:rPr>
        <w:t>Lietuvos Respublikos Seimas, Įstatymas</w:t>
      </w:r>
    </w:p>
    <w:p w:rsidR="00000000" w:rsidRDefault="00D51AD4">
      <w:pPr>
        <w:widowControl w:val="0"/>
        <w:jc w:val="both"/>
        <w:rPr>
          <w:rFonts w:ascii="Times New Roman" w:hAnsi="Times New Roman"/>
          <w:snapToGrid w:val="0"/>
          <w:sz w:val="20"/>
          <w:lang w:val="lt-LT" w:eastAsia="en-US"/>
        </w:rPr>
      </w:pPr>
      <w:r>
        <w:rPr>
          <w:rFonts w:ascii="Times New Roman" w:hAnsi="Times New Roman"/>
          <w:snapToGrid w:val="0"/>
          <w:sz w:val="20"/>
          <w:lang w:val="lt-LT" w:eastAsia="en-US"/>
        </w:rPr>
        <w:t xml:space="preserve">Nr. </w:t>
      </w:r>
      <w:hyperlink r:id="rId10" w:history="1">
        <w:r>
          <w:rPr>
            <w:rStyle w:val="Hyperlink"/>
            <w:rFonts w:ascii="Times New Roman" w:hAnsi="Times New Roman"/>
            <w:sz w:val="20"/>
          </w:rPr>
          <w:t>VIII-2027</w:t>
        </w:r>
      </w:hyperlink>
      <w:r>
        <w:rPr>
          <w:rFonts w:ascii="Times New Roman" w:hAnsi="Times New Roman"/>
          <w:snapToGrid w:val="0"/>
          <w:sz w:val="20"/>
          <w:lang w:val="lt-LT" w:eastAsia="en-US"/>
        </w:rPr>
        <w:t>, 2000 10 12, Žin.,</w:t>
      </w:r>
      <w:r>
        <w:rPr>
          <w:rFonts w:ascii="Times New Roman" w:hAnsi="Times New Roman"/>
          <w:snapToGrid w:val="0"/>
          <w:sz w:val="20"/>
          <w:lang w:val="lt-LT" w:eastAsia="en-US"/>
        </w:rPr>
        <w:t xml:space="preserve"> 2000, Nr. 90-2774 (2000 10 27)</w:t>
      </w:r>
    </w:p>
    <w:p w:rsidR="00000000" w:rsidRDefault="00D51AD4">
      <w:pPr>
        <w:widowControl w:val="0"/>
        <w:jc w:val="both"/>
        <w:rPr>
          <w:rFonts w:ascii="Times New Roman" w:hAnsi="Times New Roman"/>
          <w:snapToGrid w:val="0"/>
          <w:sz w:val="20"/>
          <w:lang w:val="lt-LT" w:eastAsia="en-US"/>
        </w:rPr>
      </w:pPr>
      <w:r>
        <w:rPr>
          <w:rFonts w:ascii="Times New Roman" w:hAnsi="Times New Roman"/>
          <w:snapToGrid w:val="0"/>
          <w:sz w:val="20"/>
          <w:lang w:val="lt-LT" w:eastAsia="en-US"/>
        </w:rPr>
        <w:t>MOKESČIO UŽ APLINKOS TERŠIMĄ ĮSTATYMO 6 STRAIPSNIO PAKEITIMO ĮSTATYMAS</w:t>
      </w:r>
    </w:p>
    <w:p w:rsidR="00000000" w:rsidRDefault="00D51AD4">
      <w:pPr>
        <w:widowControl w:val="0"/>
        <w:jc w:val="both"/>
        <w:rPr>
          <w:rFonts w:ascii="Times New Roman" w:hAnsi="Times New Roman"/>
          <w:sz w:val="20"/>
          <w:lang w:val="lt-LT"/>
        </w:rPr>
      </w:pPr>
      <w:r>
        <w:rPr>
          <w:rFonts w:ascii="Times New Roman" w:hAnsi="Times New Roman"/>
          <w:sz w:val="20"/>
          <w:lang w:val="lt-LT"/>
        </w:rPr>
        <w:t>Šis įstatymas įsigalioja nuo 2001 m. sausio 1 d.</w:t>
      </w:r>
    </w:p>
    <w:p w:rsidR="00000000" w:rsidRDefault="00D51AD4">
      <w:pPr>
        <w:widowControl w:val="0"/>
        <w:jc w:val="both"/>
        <w:rPr>
          <w:rFonts w:ascii="Times New Roman" w:hAnsi="Times New Roman"/>
          <w:snapToGrid w:val="0"/>
          <w:sz w:val="20"/>
          <w:lang w:val="lt-LT" w:eastAsia="en-US"/>
        </w:rPr>
      </w:pPr>
    </w:p>
    <w:p w:rsidR="00000000" w:rsidRDefault="00D51AD4">
      <w:pPr>
        <w:widowControl w:val="0"/>
        <w:jc w:val="both"/>
        <w:rPr>
          <w:rFonts w:ascii="Times New Roman" w:hAnsi="Times New Roman"/>
          <w:snapToGrid w:val="0"/>
          <w:sz w:val="20"/>
          <w:lang w:val="lt-LT" w:eastAsia="en-US"/>
        </w:rPr>
      </w:pPr>
      <w:r>
        <w:rPr>
          <w:rFonts w:ascii="Times New Roman" w:hAnsi="Times New Roman"/>
          <w:snapToGrid w:val="0"/>
          <w:sz w:val="20"/>
          <w:lang w:val="lt-LT" w:eastAsia="en-US"/>
        </w:rPr>
        <w:t>*** Pabaiga ***</w:t>
      </w:r>
    </w:p>
    <w:p w:rsidR="00000000" w:rsidRDefault="00D51AD4">
      <w:pPr>
        <w:widowControl w:val="0"/>
        <w:jc w:val="both"/>
        <w:rPr>
          <w:rFonts w:ascii="Times New Roman" w:hAnsi="Times New Roman"/>
          <w:snapToGrid w:val="0"/>
          <w:sz w:val="20"/>
          <w:lang w:val="lt-LT" w:eastAsia="en-US"/>
        </w:rPr>
      </w:pPr>
    </w:p>
    <w:p w:rsidR="00000000" w:rsidRDefault="00D51AD4">
      <w:pPr>
        <w:widowControl w:val="0"/>
        <w:jc w:val="both"/>
        <w:rPr>
          <w:rFonts w:ascii="Times New Roman" w:hAnsi="Times New Roman"/>
          <w:snapToGrid w:val="0"/>
          <w:sz w:val="20"/>
          <w:lang w:val="lt-LT" w:eastAsia="en-US"/>
        </w:rPr>
      </w:pPr>
    </w:p>
    <w:p w:rsidR="00000000" w:rsidRDefault="00D51AD4">
      <w:pPr>
        <w:widowControl w:val="0"/>
        <w:jc w:val="both"/>
        <w:rPr>
          <w:rFonts w:ascii="Times New Roman" w:hAnsi="Times New Roman"/>
          <w:snapToGrid w:val="0"/>
          <w:sz w:val="20"/>
          <w:lang w:val="lt-LT" w:eastAsia="en-US"/>
        </w:rPr>
      </w:pPr>
      <w:r>
        <w:rPr>
          <w:rFonts w:ascii="Times New Roman" w:hAnsi="Times New Roman"/>
          <w:snapToGrid w:val="0"/>
          <w:sz w:val="20"/>
          <w:lang w:val="lt-LT" w:eastAsia="en-US"/>
        </w:rPr>
        <w:t>Redagavo: Aušrinė Trapinskienė (2000 11 09)</w:t>
      </w:r>
    </w:p>
    <w:p w:rsidR="00000000" w:rsidRDefault="00D51AD4">
      <w:pPr>
        <w:jc w:val="both"/>
        <w:rPr>
          <w:rFonts w:ascii="Times New Roman" w:hAnsi="Times New Roman"/>
          <w:sz w:val="20"/>
          <w:lang w:val="lt-LT"/>
        </w:rPr>
      </w:pPr>
    </w:p>
    <w:sectPr w:rsidR="00000000">
      <w:type w:val="continuous"/>
      <w:pgSz w:w="11907" w:h="16840" w:code="9"/>
      <w:pgMar w:top="1440" w:right="1152" w:bottom="1152" w:left="2016" w:header="706" w:footer="706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51AD4">
      <w:r>
        <w:separator/>
      </w:r>
    </w:p>
  </w:endnote>
  <w:endnote w:type="continuationSeparator" w:id="0">
    <w:p w:rsidR="00000000" w:rsidRDefault="00D5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Helvetica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51AD4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D51A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51AD4">
      <w:r>
        <w:separator/>
      </w:r>
    </w:p>
  </w:footnote>
  <w:footnote w:type="continuationSeparator" w:id="0">
    <w:p w:rsidR="00000000" w:rsidRDefault="00D51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D4"/>
    <w:rsid w:val="00D5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LT" w:hAnsi="TimesLT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60" w:after="60"/>
      <w:jc w:val="center"/>
      <w:outlineLvl w:val="0"/>
    </w:pPr>
    <w:rPr>
      <w:b/>
      <w:sz w:val="22"/>
      <w:lang w:val="lt-LT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b/>
      <w:sz w:val="22"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tymopavad">
    <w:name w:val="?statymo pavad."/>
    <w:basedOn w:val="Normal"/>
    <w:pPr>
      <w:spacing w:line="360" w:lineRule="auto"/>
      <w:ind w:firstLine="720"/>
      <w:jc w:val="center"/>
    </w:pPr>
    <w:rPr>
      <w:caps/>
      <w:lang w:val="lt-LT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spacing w:line="360" w:lineRule="auto"/>
      <w:ind w:firstLine="720"/>
      <w:jc w:val="both"/>
    </w:pPr>
    <w:rPr>
      <w:lang w:val="lt-LT"/>
    </w:rPr>
  </w:style>
  <w:style w:type="character" w:styleId="PageNumber">
    <w:name w:val="page number"/>
    <w:basedOn w:val="DefaultParagraphFont"/>
    <w:semiHidden/>
  </w:style>
  <w:style w:type="character" w:customStyle="1" w:styleId="Datadiena">
    <w:name w:val="Data_diena"/>
    <w:basedOn w:val="DefaultParagraphFont"/>
  </w:style>
  <w:style w:type="character" w:customStyle="1" w:styleId="statymoNr">
    <w:name w:val="?statymo Nr."/>
    <w:basedOn w:val="DefaultParagraphFont"/>
    <w:rPr>
      <w:rFonts w:ascii="HelveticaLT" w:hAnsi="HelveticaLT"/>
    </w:rPr>
  </w:style>
  <w:style w:type="character" w:customStyle="1" w:styleId="Datamnuo">
    <w:name w:val="Data_m?nuo"/>
    <w:basedOn w:val="DefaultParagraphFont"/>
    <w:rPr>
      <w:rFonts w:ascii="HelveticaLT" w:hAnsi="HelveticaLT"/>
      <w:sz w:val="24"/>
    </w:rPr>
  </w:style>
  <w:style w:type="character" w:customStyle="1" w:styleId="Datametai">
    <w:name w:val="Data_metai"/>
    <w:basedOn w:val="DefaultParagraphFont"/>
  </w:style>
  <w:style w:type="character" w:customStyle="1" w:styleId="Pareigos">
    <w:name w:val="Pareigos"/>
    <w:basedOn w:val="DefaultParagraphFont"/>
    <w:rPr>
      <w:rFonts w:ascii="TimesLT" w:hAnsi="TimesLT"/>
      <w:caps/>
      <w:sz w:val="24"/>
    </w:rPr>
  </w:style>
  <w:style w:type="character" w:styleId="EndnoteReference">
    <w:name w:val="endnote reference"/>
    <w:basedOn w:val="DefaultParagraphFont"/>
    <w:semiHidden/>
    <w:rPr>
      <w:sz w:val="20"/>
      <w:vertAlign w:val="superscript"/>
    </w:rPr>
  </w:style>
  <w:style w:type="paragraph" w:styleId="EndnoteText">
    <w:name w:val="endnote text"/>
    <w:basedOn w:val="Normal"/>
    <w:semiHidden/>
    <w:pPr>
      <w:widowControl w:val="0"/>
    </w:pPr>
    <w:rPr>
      <w:sz w:val="20"/>
      <w:lang w:val="en-GB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LT" w:hAnsi="TimesLT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60" w:after="60"/>
      <w:jc w:val="center"/>
      <w:outlineLvl w:val="0"/>
    </w:pPr>
    <w:rPr>
      <w:b/>
      <w:sz w:val="22"/>
      <w:lang w:val="lt-LT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b/>
      <w:sz w:val="22"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tymopavad">
    <w:name w:val="?statymo pavad."/>
    <w:basedOn w:val="Normal"/>
    <w:pPr>
      <w:spacing w:line="360" w:lineRule="auto"/>
      <w:ind w:firstLine="720"/>
      <w:jc w:val="center"/>
    </w:pPr>
    <w:rPr>
      <w:caps/>
      <w:lang w:val="lt-LT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spacing w:line="360" w:lineRule="auto"/>
      <w:ind w:firstLine="720"/>
      <w:jc w:val="both"/>
    </w:pPr>
    <w:rPr>
      <w:lang w:val="lt-LT"/>
    </w:rPr>
  </w:style>
  <w:style w:type="character" w:styleId="PageNumber">
    <w:name w:val="page number"/>
    <w:basedOn w:val="DefaultParagraphFont"/>
    <w:semiHidden/>
  </w:style>
  <w:style w:type="character" w:customStyle="1" w:styleId="Datadiena">
    <w:name w:val="Data_diena"/>
    <w:basedOn w:val="DefaultParagraphFont"/>
  </w:style>
  <w:style w:type="character" w:customStyle="1" w:styleId="statymoNr">
    <w:name w:val="?statymo Nr."/>
    <w:basedOn w:val="DefaultParagraphFont"/>
    <w:rPr>
      <w:rFonts w:ascii="HelveticaLT" w:hAnsi="HelveticaLT"/>
    </w:rPr>
  </w:style>
  <w:style w:type="character" w:customStyle="1" w:styleId="Datamnuo">
    <w:name w:val="Data_m?nuo"/>
    <w:basedOn w:val="DefaultParagraphFont"/>
    <w:rPr>
      <w:rFonts w:ascii="HelveticaLT" w:hAnsi="HelveticaLT"/>
      <w:sz w:val="24"/>
    </w:rPr>
  </w:style>
  <w:style w:type="character" w:customStyle="1" w:styleId="Datametai">
    <w:name w:val="Data_metai"/>
    <w:basedOn w:val="DefaultParagraphFont"/>
  </w:style>
  <w:style w:type="character" w:customStyle="1" w:styleId="Pareigos">
    <w:name w:val="Pareigos"/>
    <w:basedOn w:val="DefaultParagraphFont"/>
    <w:rPr>
      <w:rFonts w:ascii="TimesLT" w:hAnsi="TimesLT"/>
      <w:caps/>
      <w:sz w:val="24"/>
    </w:rPr>
  </w:style>
  <w:style w:type="character" w:styleId="EndnoteReference">
    <w:name w:val="endnote reference"/>
    <w:basedOn w:val="DefaultParagraphFont"/>
    <w:semiHidden/>
    <w:rPr>
      <w:sz w:val="20"/>
      <w:vertAlign w:val="superscript"/>
    </w:rPr>
  </w:style>
  <w:style w:type="paragraph" w:styleId="EndnoteText">
    <w:name w:val="endnote text"/>
    <w:basedOn w:val="Normal"/>
    <w:semiHidden/>
    <w:pPr>
      <w:widowControl w:val="0"/>
    </w:pPr>
    <w:rPr>
      <w:sz w:val="20"/>
      <w:lang w:val="en-GB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3.lrs.lt/cgi-bin/preps2?Condition1=111657&amp;Condition2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lrs.lt/cgi-bin/preps2?Condition1=111657&amp;Condition2=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s\Istaty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Istatym</Template>
  <TotalTime>0</TotalTime>
  <Pages>3</Pages>
  <Words>1516</Words>
  <Characters>9964</Characters>
  <Application>Microsoft Office Word</Application>
  <DocSecurity>4</DocSecurity>
  <Lines>311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Seimas</Company>
  <LinksUpToDate>false</LinksUpToDate>
  <CharactersWithSpaces>11268</CharactersWithSpaces>
  <SharedDoc>false</SharedDoc>
  <HLinks>
    <vt:vector size="12" baseType="variant">
      <vt:variant>
        <vt:i4>6422560</vt:i4>
      </vt:variant>
      <vt:variant>
        <vt:i4>27</vt:i4>
      </vt:variant>
      <vt:variant>
        <vt:i4>0</vt:i4>
      </vt:variant>
      <vt:variant>
        <vt:i4>5</vt:i4>
      </vt:variant>
      <vt:variant>
        <vt:lpwstr>http://www3.lrs.lt/cgi-bin/preps2?Condition1=111657&amp;Condition2=</vt:lpwstr>
      </vt:variant>
      <vt:variant>
        <vt:lpwstr/>
      </vt:variant>
      <vt:variant>
        <vt:i4>6422560</vt:i4>
      </vt:variant>
      <vt:variant>
        <vt:i4>18</vt:i4>
      </vt:variant>
      <vt:variant>
        <vt:i4>0</vt:i4>
      </vt:variant>
      <vt:variant>
        <vt:i4>5</vt:i4>
      </vt:variant>
      <vt:variant>
        <vt:lpwstr>http://www3.lrs.lt/cgi-bin/preps2?Condition1=111657&amp;Condition2=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Seimas</dc:creator>
  <cp:keywords/>
  <cp:lastModifiedBy>Adlib User</cp:lastModifiedBy>
  <cp:revision>2</cp:revision>
  <cp:lastPrinted>8910-05-16T19:52:39Z</cp:lastPrinted>
  <dcterms:created xsi:type="dcterms:W3CDTF">2014-11-27T14:23:00Z</dcterms:created>
  <dcterms:modified xsi:type="dcterms:W3CDTF">2014-11-27T14:23:00Z</dcterms:modified>
</cp:coreProperties>
</file>