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Įsakymas netenka galios 2021-08-01:</w:t>
      </w:r>
    </w:p>
    <w:p>
      <w:pPr>
        <w:jc w:val="both"/>
        <w:rPr>
          <w:rFonts w:ascii="Times New Roman" w:hAnsi="Times New Roman"/>
          <w:i/>
        </w:rPr>
      </w:pPr>
      <w:r>
        <w:rPr>
          <w:rFonts w:ascii="Times New Roman" w:hAnsi="Times New Roman"/>
          <w:sz w:val="20"/>
          <w:i/>
        </w:rPr>
        <w:t>
                    Lietuvos transporto saugos administracija,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c8afbe20c52311eba2bad9a0748ee64d">
        <w:r w:rsidRPr="00532B9F">
          <w:rPr>
            <w:rFonts w:ascii="Times New Roman" w:eastAsia="MS Mincho" w:hAnsi="Times New Roman"/>
            <w:sz w:val="20"/>
            <w:i/>
            <w:iCs/>
            <w:color w:val="0000FF" w:themeColor="hyperlink"/>
            <w:u w:val="single"/>
          </w:rPr>
          <w:t>2BE-151</w:t>
        </w:r>
      </w:fldSimple>
      <w:r>
        <w:rPr>
          <w:rFonts w:ascii="Times New Roman" w:eastAsia="MS Mincho" w:hAnsi="Times New Roman"/>
          <w:sz w:val="20"/>
          <w:iCs/>
          <w:i/>
        </w:rPr>
        <w:t>,
2021-06-04,
paskelbta TAR 2021-06-04, i. k. 2021-12934                </w:t>
      </w:r>
    </w:p>
    <w:p>
      <w:pPr>
        <w:jc w:val="both"/>
        <w:rPr>
          <w:rFonts w:ascii="Times New Roman" w:hAnsi="Times New Roman"/>
          <w:i/>
        </w:rPr>
      </w:pPr>
      <w:r>
        <w:rPr>
          <w:rFonts w:ascii="Times New Roman" w:hAnsi="Times New Roman"/>
          <w:sz w:val="20"/>
          <w:i/>
        </w:rPr>
        <w:t>Dėl Civilinės aviacijos administracijos direktoriaus 2014 m. vasario 27 d. įsakymo Nr. 4R-34 „Dėl kritinių aviacijos situacijų valdymo“ pripažinimo netekusiu galios</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2017-10-10 iki 2021-07-31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2014-03-21, i. k. 2014-03387</w:t>
      </w:r>
    </w:p>
    <w:p>
      <w:pPr>
        <w:jc w:val="both"/>
        <w:rPr>
          <w:rFonts w:ascii="Times New Roman" w:hAnsi="Times New Roman"/>
          <w:sz w:val="20"/>
        </w:rPr>
      </w:pPr>
    </w:p>
    <w:p>
      <w:pPr>
        <w:tabs>
          <w:tab w:val="center" w:pos="4252"/>
          <w:tab w:val="right" w:pos="8504"/>
        </w:tabs>
        <w:overflowPunct w:val="0"/>
        <w:jc w:val="center"/>
        <w:textAlignment w:val="baseline"/>
        <w:rPr>
          <w:sz w:val="20"/>
          <w:lang w:val="en-GB"/>
        </w:rPr>
      </w:pPr>
      <w:r>
        <w:rPr>
          <w:sz w:val="20"/>
          <w:lang w:val="en-GB"/>
        </w:rPr>
        <w:object w:dxaOrig="4534" w:dyaOrig="2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9pt" o:ole="">
            <v:imagedata r:id="rId15" o:title=""/>
          </v:shape>
          <o:OLEObject Type="Embed" ProgID="CorelDRAW.Graphic.10" ShapeID="_x0000_i1025" DrawAspect="Content" ObjectID="_0000000001" r:id="rId16"/>
        </w:object>
      </w:r>
    </w:p>
    <w:p>
      <w:pPr>
        <w:tabs>
          <w:tab w:val="center" w:pos="4252"/>
          <w:tab w:val="right" w:pos="8504"/>
        </w:tabs>
        <w:overflowPunct w:val="0"/>
        <w:jc w:val="center"/>
        <w:textAlignment w:val="baseline"/>
        <w:rPr>
          <w:sz w:val="16"/>
          <w:szCs w:val="16"/>
          <w:lang w:val="en-GB"/>
        </w:rPr>
      </w:pPr>
    </w:p>
    <w:p>
      <w:pPr>
        <w:tabs>
          <w:tab w:val="center" w:pos="4252"/>
          <w:tab w:val="right" w:pos="8504"/>
        </w:tabs>
        <w:overflowPunct w:val="0"/>
        <w:jc w:val="center"/>
        <w:textAlignment w:val="baseline"/>
        <w:rPr>
          <w:sz w:val="26"/>
          <w:szCs w:val="26"/>
          <w:lang w:val="en-GB"/>
        </w:rPr>
      </w:pPr>
      <w:r>
        <w:rPr>
          <w:b/>
          <w:bCs/>
          <w:spacing w:val="20"/>
          <w:sz w:val="26"/>
          <w:szCs w:val="26"/>
          <w:lang w:val="en-GB"/>
        </w:rPr>
        <w:t>CIVILINĖS AVIACIJOS ADMINISTRACIJOS</w:t>
      </w:r>
    </w:p>
    <w:p>
      <w:pPr>
        <w:jc w:val="center"/>
        <w:rPr>
          <w:b/>
          <w:szCs w:val="24"/>
        </w:rPr>
      </w:pPr>
      <w:r>
        <w:rPr>
          <w:b/>
          <w:szCs w:val="24"/>
        </w:rPr>
        <w:t>DIREKTORIUS</w:t>
      </w:r>
    </w:p>
    <w:p>
      <w:pPr>
        <w:jc w:val="center"/>
        <w:rPr>
          <w:b/>
          <w:bCs/>
          <w:szCs w:val="24"/>
        </w:rPr>
      </w:pPr>
    </w:p>
    <w:p>
      <w:pPr>
        <w:jc w:val="center"/>
        <w:rPr>
          <w:b/>
          <w:bCs/>
          <w:szCs w:val="24"/>
        </w:rPr>
      </w:pPr>
      <w:r>
        <w:rPr>
          <w:b/>
          <w:bCs/>
          <w:szCs w:val="24"/>
        </w:rPr>
        <w:t>ĮSAKYMAS</w:t>
      </w:r>
    </w:p>
    <w:p>
      <w:pPr>
        <w:jc w:val="center"/>
        <w:rPr>
          <w:sz w:val="20"/>
          <w:szCs w:val="24"/>
        </w:rPr>
      </w:pPr>
      <w:r>
        <w:rPr>
          <w:b/>
          <w:bCs/>
          <w:szCs w:val="24"/>
        </w:rPr>
        <w:t>DĖL KRITINIŲ AVIACIJOS SITUACIJŲ VALDYMO</w:t>
      </w:r>
    </w:p>
    <w:p>
      <w:pPr>
        <w:jc w:val="center"/>
        <w:rPr>
          <w:szCs w:val="24"/>
        </w:rPr>
      </w:pPr>
    </w:p>
    <w:p>
      <w:pPr>
        <w:jc w:val="center"/>
        <w:rPr>
          <w:szCs w:val="24"/>
        </w:rPr>
      </w:pPr>
      <w:r>
        <w:rPr>
          <w:szCs w:val="24"/>
        </w:rPr>
        <w:t xml:space="preserve">2014 m. vasario27 d  Nr.4R-34</w:t>
      </w:r>
    </w:p>
    <w:p>
      <w:pPr>
        <w:jc w:val="center"/>
        <w:rPr>
          <w:szCs w:val="24"/>
        </w:rPr>
      </w:pPr>
      <w:r>
        <w:rPr>
          <w:szCs w:val="24"/>
        </w:rPr>
        <w:t>Vilnius</w:t>
      </w:r>
    </w:p>
    <w:p>
      <w:pPr>
        <w:jc w:val="center"/>
      </w:pPr>
    </w:p>
    <w:p>
      <w:pPr>
        <w:jc w:val="center"/>
        <w:rPr>
          <w:szCs w:val="24"/>
        </w:rPr>
      </w:pPr>
    </w:p>
    <w:p>
      <w:pPr>
        <w:ind w:firstLine="720"/>
        <w:jc w:val="both"/>
        <w:rPr>
          <w:color w:val="000000"/>
          <w:szCs w:val="24"/>
        </w:rPr>
      </w:pPr>
      <w:r>
        <w:rPr>
          <w:color w:val="000000"/>
          <w:szCs w:val="24"/>
        </w:rPr>
        <w:t>Siekdamas užtikrinti skrydžių saugą ir atsižvelgdamas į Tarptautinės civilinės aviacijos organizacijos parengtą „Nenumatytų veiksmų vulkaninių pelenų atveju Europos ir Šiaurės Atlanto Regionams planą“ (</w:t>
      </w:r>
      <w:smartTag w:uri="schemas-tilde-lv/tildestengine" w:element="currency2">
        <w:smartTagPr>
          <w:attr w:name="currency_id" w:val="16"/>
          <w:attr w:name="currency_key" w:val="EUR"/>
          <w:attr w:name="currency_value" w:val="1"/>
          <w:attr w:name="currency_text" w:val="EUR"/>
        </w:smartTagPr>
        <w:r>
          <w:rPr>
            <w:color w:val="000000"/>
            <w:szCs w:val="24"/>
          </w:rPr>
          <w:t>EUR</w:t>
        </w:r>
      </w:smartTag>
      <w:r>
        <w:rPr>
          <w:color w:val="000000"/>
          <w:szCs w:val="24"/>
        </w:rPr>
        <w:t xml:space="preserve"> dok. 019/NAT dok.006, II dalis) ir Eurokontrolės parengtas „Europos aviacijos krizių valdymo vieneto veiklos procedūras“,</w:t>
      </w:r>
    </w:p>
    <w:p>
      <w:pPr>
        <w:ind w:left="1080" w:hanging="360"/>
        <w:jc w:val="both"/>
        <w:rPr>
          <w:color w:val="000000"/>
          <w:szCs w:val="24"/>
        </w:rPr>
      </w:pPr>
      <w:r>
        <w:rPr>
          <w:color w:val="000000"/>
          <w:szCs w:val="24"/>
        </w:rPr>
        <w:t>1</w:t>
      </w:r>
      <w:r>
        <w:rPr>
          <w:color w:val="000000"/>
          <w:szCs w:val="24"/>
        </w:rPr>
        <w:t>. S k i r i u kontaktiniais asmenimis kritinių aviacijos situacijų valdymui:</w:t>
      </w:r>
    </w:p>
    <w:p>
      <w:pPr>
        <w:ind w:firstLine="723"/>
        <w:jc w:val="both"/>
        <w:rPr>
          <w:color w:val="000000"/>
          <w:szCs w:val="24"/>
        </w:rPr>
      </w:pPr>
      <w:r>
        <w:rPr>
          <w:color w:val="000000"/>
          <w:szCs w:val="24"/>
        </w:rPr>
        <w:t>1.1</w:t>
      </w:r>
      <w:r>
        <w:rPr>
          <w:color w:val="000000"/>
          <w:szCs w:val="24"/>
        </w:rPr>
        <w:t>. Alvydą Šumską, Civilinės aviacijos administracijos (toliau – CAA) direktoriaus pavaduotoją;</w:t>
      </w:r>
    </w:p>
    <w:p>
      <w:pPr>
        <w:tabs>
          <w:tab w:val="left" w:pos="0"/>
        </w:tabs>
        <w:ind w:firstLine="709"/>
        <w:jc w:val="both"/>
        <w:rPr>
          <w:color w:val="000000"/>
          <w:szCs w:val="24"/>
        </w:rPr>
      </w:pPr>
      <w:r>
        <w:rPr>
          <w:szCs w:val="24"/>
        </w:rPr>
        <w:t>1.2</w:t>
      </w:r>
      <w:r>
        <w:rPr>
          <w:szCs w:val="24"/>
        </w:rPr>
        <w:t>.</w:t>
        <w:tab/>
        <w:t>Loretą Kasparaitę, Oro navigacijos paslaugų skyriaus vyriausiąją specialistę, laikinai einančią skyriaus vedėjos pareigas.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3d5410acc711e78a4c904b1afa0332">
        <w:r w:rsidRPr="00532B9F">
          <w:rPr>
            <w:rFonts w:ascii="Times New Roman" w:eastAsia="MS Mincho" w:hAnsi="Times New Roman"/>
            <w:sz w:val="20"/>
            <w:i/>
            <w:iCs/>
            <w:color w:val="0000FF" w:themeColor="hyperlink"/>
            <w:u w:val="single"/>
          </w:rPr>
          <w:t>4R-152</w:t>
        </w:r>
      </w:fldSimple>
      <w:r>
        <w:rPr>
          <w:rFonts w:ascii="Times New Roman" w:eastAsia="MS Mincho" w:hAnsi="Times New Roman"/>
          <w:sz w:val="20"/>
          <w:i/>
          <w:iCs/>
        </w:rPr>
        <w:t>,
2017-10-04,
paskelbta TAR 2017-10-09, i. k. 2017-15987            </w:t>
      </w:r>
    </w:p>
    <w:p/>
    <w:p>
      <w:pPr>
        <w:ind w:left="1080" w:hanging="360"/>
        <w:jc w:val="both"/>
        <w:rPr>
          <w:color w:val="000000"/>
          <w:szCs w:val="24"/>
        </w:rPr>
      </w:pPr>
      <w:r>
        <w:rPr>
          <w:color w:val="000000"/>
          <w:szCs w:val="24"/>
        </w:rPr>
        <w:t>2</w:t>
      </w:r>
      <w:r>
        <w:rPr>
          <w:color w:val="000000"/>
          <w:szCs w:val="24"/>
        </w:rPr>
        <w:t>. Į s a k a u:</w:t>
      </w:r>
    </w:p>
    <w:p>
      <w:pPr>
        <w:tabs>
          <w:tab w:val="left" w:pos="0"/>
        </w:tabs>
        <w:ind w:firstLine="709"/>
        <w:jc w:val="both"/>
        <w:rPr>
          <w:color w:val="000000"/>
          <w:szCs w:val="24"/>
        </w:rPr>
      </w:pPr>
      <w:r>
        <w:rPr>
          <w:szCs w:val="24"/>
        </w:rPr>
        <w:t>2.1</w:t>
      </w:r>
      <w:r>
        <w:rPr>
          <w:szCs w:val="24"/>
        </w:rPr>
        <w:t>. VĮ „Oro navigacija“ Skrydžių srautų planavimo ir duomenų dorojimo skyriui (toliau – SSPDDS) stebėti informaciją Eurokontrolės tinklapyje (Network Operations Portal – NOP) ir, gavus informaciją apie galimą arba įvykusią situaciją, kuri kelia pavojų skrydžiams Europos oro erdvėje (vulkaninių pelenų debesys, branduolinių medžiagų išmetimas, karas, cheminių medžiagų išmetimas, galingas gaisras, pandemija, kelių Oro navigacijos paslaugų teikėjų pramoninis veiksmas, reikšmingas pan-Europinės funkcijos sutrikimas, sudėtingos meteorologinės sąlygos, grėsmė iš kosmoso ir kt.) pranešti apie tai CAA telefonų numeriais: +370-645-67962 arba +370-698-85945.</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3d5410acc711e78a4c904b1afa0332">
        <w:r w:rsidRPr="00532B9F">
          <w:rPr>
            <w:rFonts w:ascii="Times New Roman" w:eastAsia="MS Mincho" w:hAnsi="Times New Roman"/>
            <w:sz w:val="20"/>
            <w:i/>
            <w:iCs/>
            <w:color w:val="0000FF" w:themeColor="hyperlink"/>
            <w:u w:val="single"/>
          </w:rPr>
          <w:t>4R-152</w:t>
        </w:r>
      </w:fldSimple>
      <w:r>
        <w:rPr>
          <w:rFonts w:ascii="Times New Roman" w:eastAsia="MS Mincho" w:hAnsi="Times New Roman"/>
          <w:sz w:val="20"/>
          <w:i/>
          <w:iCs/>
        </w:rPr>
        <w:t>,
2017-10-04,
paskelbta TAR 2017-10-09, i. k. 2017-15987            </w:t>
      </w:r>
    </w:p>
    <w:p/>
    <w:p>
      <w:pPr>
        <w:tabs>
          <w:tab w:val="left" w:pos="567"/>
        </w:tabs>
        <w:ind w:firstLine="709"/>
        <w:jc w:val="both"/>
        <w:rPr>
          <w:szCs w:val="24"/>
        </w:rPr>
      </w:pPr>
      <w:r>
        <w:rPr>
          <w:szCs w:val="24"/>
        </w:rPr>
        <w:t>2.2</w:t>
      </w:r>
      <w:r>
        <w:rPr>
          <w:szCs w:val="24"/>
        </w:rPr>
        <w:t>. Lietuvos hidrometeorologijos tarnybos (toliau – LHMT) prie Aplinkos ministerijos Aviacijos meteorologijos centrui (toliau – AMC) gavus iš nacionalinių ir / ar tarptautinių šaltinių informaciją apie į atmosferą patekusius vulkaninius pelenus, radioaktyviuosius ir toksinius išmetamuosius teršalus, kurie galėtų paveikti Lietuvos Respublikos oro erdvę, sudaryti ir išplatinti atitinkamus SIGMET pranešimus. Apie tokio pobūdžio SIGMET išplatinimą nedelsiant informuoti CAA telefono numeriu +370-645-67962. Pagal CAA paklausimą pateikti kitą reikiamą papildomą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3d5410acc711e78a4c904b1afa0332">
        <w:r w:rsidRPr="00532B9F">
          <w:rPr>
            <w:rFonts w:ascii="Times New Roman" w:eastAsia="MS Mincho" w:hAnsi="Times New Roman"/>
            <w:sz w:val="20"/>
            <w:i/>
            <w:iCs/>
            <w:color w:val="0000FF" w:themeColor="hyperlink"/>
            <w:u w:val="single"/>
          </w:rPr>
          <w:t>4R-152</w:t>
        </w:r>
      </w:fldSimple>
      <w:r>
        <w:rPr>
          <w:rFonts w:ascii="Times New Roman" w:eastAsia="MS Mincho" w:hAnsi="Times New Roman"/>
          <w:sz w:val="20"/>
          <w:i/>
          <w:iCs/>
        </w:rPr>
        <w:t>,
2017-10-04,
paskelbta TAR 2017-10-09, i. k. 2017-15987            </w:t>
      </w:r>
    </w:p>
    <w:p/>
    <w:p>
      <w:pPr>
        <w:tabs>
          <w:tab w:val="left" w:pos="567"/>
        </w:tabs>
        <w:ind w:firstLine="709"/>
        <w:jc w:val="both"/>
        <w:rPr>
          <w:szCs w:val="24"/>
        </w:rPr>
      </w:pPr>
      <w:r>
        <w:rPr>
          <w:szCs w:val="24"/>
        </w:rPr>
        <w:t>2.3</w:t>
      </w:r>
      <w:r>
        <w:rPr>
          <w:szCs w:val="24"/>
        </w:rPr>
        <w:t xml:space="preserve">. AMC gavus prognozes bei informaciją iš LHMT apie stichinį, labai smarkų vėją 28-32 m/s ar katastrofinį, uraganą ≥ 33m/s pranešti CAA elektroniniu paštu </w:t>
      </w:r>
      <w:r>
        <w:rPr>
          <w:szCs w:val="24"/>
          <w:u w:val="single"/>
        </w:rPr>
        <w:t>loreta.kasparaite@caa.lt</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3d5410acc711e78a4c904b1afa0332">
        <w:r w:rsidRPr="00532B9F">
          <w:rPr>
            <w:rFonts w:ascii="Times New Roman" w:eastAsia="MS Mincho" w:hAnsi="Times New Roman"/>
            <w:sz w:val="20"/>
            <w:i/>
            <w:iCs/>
            <w:color w:val="0000FF" w:themeColor="hyperlink"/>
            <w:u w:val="single"/>
          </w:rPr>
          <w:t>4R-152</w:t>
        </w:r>
      </w:fldSimple>
      <w:r>
        <w:rPr>
          <w:rFonts w:ascii="Times New Roman" w:eastAsia="MS Mincho" w:hAnsi="Times New Roman"/>
          <w:sz w:val="20"/>
          <w:i/>
          <w:iCs/>
        </w:rPr>
        <w:t>,
2017-10-04,
paskelbta TAR 2017-10-09, i. k. 2017-15987            </w:t>
      </w:r>
    </w:p>
    <w:p/>
    <w:p>
      <w:pPr>
        <w:tabs>
          <w:tab w:val="left" w:pos="567"/>
        </w:tabs>
        <w:ind w:firstLine="709"/>
        <w:jc w:val="both"/>
        <w:rPr>
          <w:szCs w:val="24"/>
        </w:rPr>
      </w:pPr>
      <w:r>
        <w:rPr>
          <w:szCs w:val="24"/>
        </w:rPr>
        <w:t>2.4</w:t>
      </w:r>
      <w:r>
        <w:rPr>
          <w:szCs w:val="24"/>
        </w:rPr>
        <w:t>. CAA Oro navigacijos paslaugų skyriaus vyriausiajai specialistei, laikinai einančiai skyriaus vedėjos pareigas, analizuoti pateiktus duomenis ir teikti siūlymus CAA direktoriui dėl Lietuvos oro erdvės arba jos dalies paskelbimo neskraidymų zona, skraidymų zona su apribojimais arba be 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3d5410acc711e78a4c904b1afa0332">
        <w:r w:rsidRPr="00532B9F">
          <w:rPr>
            <w:rFonts w:ascii="Times New Roman" w:eastAsia="MS Mincho" w:hAnsi="Times New Roman"/>
            <w:sz w:val="20"/>
            <w:i/>
            <w:iCs/>
            <w:color w:val="0000FF" w:themeColor="hyperlink"/>
            <w:u w:val="single"/>
          </w:rPr>
          <w:t>4R-152</w:t>
        </w:r>
      </w:fldSimple>
      <w:r>
        <w:rPr>
          <w:rFonts w:ascii="Times New Roman" w:eastAsia="MS Mincho" w:hAnsi="Times New Roman"/>
          <w:sz w:val="20"/>
          <w:i/>
          <w:iCs/>
        </w:rPr>
        <w:t>,
2017-10-04,
paskelbta TAR 2017-10-09, i. k. 2017-15987            </w:t>
      </w:r>
    </w:p>
    <w:p/>
    <w:p>
      <w:pPr>
        <w:ind w:firstLine="720"/>
        <w:jc w:val="both"/>
        <w:rPr>
          <w:szCs w:val="24"/>
        </w:rPr>
      </w:pPr>
      <w:r>
        <w:rPr>
          <w:szCs w:val="24"/>
        </w:rPr>
        <w:t>2.5</w:t>
      </w:r>
      <w:r>
        <w:rPr>
          <w:szCs w:val="24"/>
        </w:rPr>
        <w:t>. CAA direktoriaus pavaduotojui analizuoti pateiktus duomenis ir teikti siūlymus CAA direktoriui dėl kitų, neišvardytų 2.4 punkte priemonių, kritinei aviacijos situacijai valdyti.</w:t>
      </w:r>
    </w:p>
    <w:p>
      <w:pPr>
        <w:ind w:firstLine="720"/>
        <w:jc w:val="both"/>
        <w:rPr>
          <w:szCs w:val="24"/>
        </w:rPr>
      </w:pPr>
      <w:r>
        <w:rPr>
          <w:szCs w:val="24"/>
        </w:rPr>
        <w:t>2.6</w:t>
      </w:r>
      <w:r>
        <w:rPr>
          <w:szCs w:val="24"/>
        </w:rPr>
        <w:t xml:space="preserve">. CAA sprendimą apie atitinkamus apribojimus nedelsiant perduoti VĮ „Oro navigacija“ Oro navigacijos informacijos skyriui (toliau – ONIS) ir </w:t>
      </w:r>
      <w:r>
        <w:rPr>
          <w:color w:val="000000"/>
          <w:szCs w:val="24"/>
        </w:rPr>
        <w:t>SSPDDS</w:t>
      </w:r>
      <w:r>
        <w:rPr>
          <w:szCs w:val="24"/>
        </w:rPr>
        <w:t>.</w:t>
      </w:r>
    </w:p>
    <w:p>
      <w:pPr>
        <w:ind w:firstLine="720"/>
        <w:jc w:val="both"/>
        <w:rPr>
          <w:szCs w:val="24"/>
        </w:rPr>
      </w:pPr>
      <w:r>
        <w:rPr>
          <w:szCs w:val="24"/>
        </w:rPr>
        <w:t>2.7</w:t>
      </w:r>
      <w:r>
        <w:rPr>
          <w:szCs w:val="24"/>
        </w:rPr>
        <w:t>. Apie visus priimtus sprendimus oro erdvės naudotojus informuoti NOTAM, kurį išleidžia ONIS.</w:t>
      </w:r>
    </w:p>
    <w:p>
      <w:pPr>
        <w:ind w:firstLine="720"/>
        <w:jc w:val="both"/>
        <w:rPr>
          <w:szCs w:val="24"/>
        </w:rPr>
      </w:pPr>
      <w:r>
        <w:rPr>
          <w:szCs w:val="24"/>
        </w:rPr>
        <w:t>2.8</w:t>
      </w:r>
      <w:r>
        <w:rPr>
          <w:szCs w:val="24"/>
        </w:rPr>
        <w:t xml:space="preserve">. Gavus informaciją iš CAA ir ONIS, </w:t>
      </w:r>
      <w:r>
        <w:rPr>
          <w:color w:val="000000"/>
          <w:szCs w:val="24"/>
        </w:rPr>
        <w:t>SSPDDS</w:t>
      </w:r>
      <w:r>
        <w:rPr>
          <w:szCs w:val="24"/>
        </w:rPr>
        <w:t xml:space="preserve"> nustatyta tvarka parengti pranešimą Eurokontrolės tinklo valdytojui.</w:t>
      </w:r>
    </w:p>
    <w:p>
      <w:pPr>
        <w:ind w:firstLine="720"/>
        <w:jc w:val="both"/>
        <w:rPr>
          <w:szCs w:val="24"/>
        </w:rPr>
      </w:pPr>
      <w:r>
        <w:rPr>
          <w:szCs w:val="24"/>
        </w:rPr>
        <w:t>2.9</w:t>
      </w:r>
      <w:r>
        <w:rPr>
          <w:szCs w:val="24"/>
        </w:rPr>
        <w:t>. CAA kontaktiniams asmenims rengti informaciją Europos aviacijos krizių valdymo vienetui (toliau – EACCC).</w:t>
      </w:r>
    </w:p>
    <w:p>
      <w:pPr>
        <w:ind w:firstLine="720"/>
        <w:jc w:val="both"/>
        <w:rPr>
          <w:szCs w:val="24"/>
        </w:rPr>
      </w:pPr>
      <w:r>
        <w:rPr>
          <w:szCs w:val="24"/>
        </w:rPr>
        <w:t>2.10</w:t>
      </w:r>
      <w:r>
        <w:rPr>
          <w:szCs w:val="24"/>
        </w:rPr>
        <w:t>. VĮ „Oro navigacija“, LHMT AMC ir CAA kontaktiniams asmenims dalyvauti EACCC rengiamose telekonferencijose.</w:t>
      </w:r>
    </w:p>
    <w:p>
      <w:pPr>
        <w:ind w:firstLine="720"/>
        <w:jc w:val="both"/>
        <w:rPr>
          <w:szCs w:val="24"/>
        </w:rPr>
      </w:pPr>
      <w:r>
        <w:rPr>
          <w:szCs w:val="24"/>
        </w:rPr>
        <w:t>3</w:t>
      </w:r>
      <w:r>
        <w:rPr>
          <w:szCs w:val="24"/>
        </w:rPr>
        <w:t>. P r i p a ž i n t i netekusiu galios CAA direktoriaus 2010-04-20 įsakymą Nr. 4R-69 „Dėl veiklos, susijusios su vulkaniniais pelenais, valdymo“.</w:t>
      </w:r>
    </w:p>
    <w:p>
      <w:pPr>
        <w:jc w:val="both"/>
      </w:pPr>
    </w:p>
    <w:p>
      <w:pPr>
        <w:jc w:val="both"/>
      </w:pPr>
    </w:p>
    <w:p>
      <w:pPr>
        <w:jc w:val="both"/>
      </w:pPr>
    </w:p>
    <w:p>
      <w:pPr>
        <w:jc w:val="both"/>
      </w:pPr>
      <w:r>
        <w:rPr>
          <w:szCs w:val="24"/>
        </w:rPr>
        <w:t>Direktorius</w:t>
        <w:tab/>
        <w:tab/>
        <w:tab/>
        <w:tab/>
        <w:tab/>
        <w:tab/>
        <w:t xml:space="preserve"> Kęstutis Auryla</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Civilinės aviacijos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e3d5410acc711e78a4c904b1afa0332">
        <w:r w:rsidRPr="00532B9F">
          <w:rPr>
            <w:rFonts w:ascii="Times New Roman" w:eastAsia="MS Mincho" w:hAnsi="Times New Roman"/>
            <w:sz w:val="20"/>
            <w:iCs/>
            <w:color w:val="0000FF" w:themeColor="hyperlink"/>
            <w:u w:val="single"/>
          </w:rPr>
          <w:t>4R-152</w:t>
        </w:r>
      </w:fldSimple>
      <w:r>
        <w:rPr>
          <w:rFonts w:ascii="Times New Roman" w:eastAsia="MS Mincho" w:hAnsi="Times New Roman"/>
          <w:sz w:val="20"/>
          <w:iCs/>
        </w:rPr>
        <w:t>,
2017-10-04,
paskelbta TAR 2017-10-09, i. k. 2017-15987                </w:t>
      </w:r>
    </w:p>
    <w:p>
      <w:pPr>
        <w:jc w:val="both"/>
        <w:rPr>
          <w:rFonts w:ascii="Times New Roman" w:hAnsi="Times New Roman"/>
        </w:rPr>
      </w:pPr>
      <w:r>
        <w:rPr>
          <w:rFonts w:ascii="Times New Roman" w:hAnsi="Times New Roman"/>
          <w:sz w:val="20"/>
        </w:rPr>
        <w:t>Dėl Civilinės aviacijos administracijos direktoriaus 2014 m. vasario 27 d. įsakymo Nr. 4R-34 „Dėl kritinių aviacijos situacijų valdymo“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701" w:right="567" w:bottom="1134" w:left="1701" w:header="357" w:footer="680"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ind w:firstLine="510"/>
        <w:jc w:val="both"/>
        <w:rPr>
          <w:szCs w:val="24"/>
        </w:rPr>
      </w:pPr>
      <w:r>
        <w:rPr>
          <w:szCs w:val="24"/>
        </w:rPr>
        <w:separator/>
      </w:r>
    </w:p>
  </w:endnote>
  <w:endnote w:type="continuationSeparator" w:id="0">
    <w:p>
      <w:pPr>
        <w:ind w:firstLine="510"/>
        <w:jc w:val="both"/>
        <w:rPr>
          <w:szCs w:val="24"/>
        </w:rPr>
      </w:pPr>
      <w:r>
        <w:rPr>
          <w:szCs w:val="24"/>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252"/>
        <w:tab w:val="right" w:pos="8504"/>
      </w:tabs>
      <w:overflowPunct w:val="0"/>
      <w:ind w:firstLine="510"/>
      <w:jc w:val="both"/>
      <w:textAlignment w:val="baseline"/>
      <w:rPr>
        <w:rFonts w:ascii="Arial" w:hAnsi="Arial"/>
        <w:sz w:val="20"/>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252"/>
        <w:tab w:val="right" w:pos="8504"/>
      </w:tabs>
      <w:overflowPunct w:val="0"/>
      <w:ind w:firstLine="510"/>
      <w:jc w:val="both"/>
      <w:textAlignment w:val="baseline"/>
      <w:rPr>
        <w:rFonts w:ascii="Arial" w:hAnsi="Arial"/>
        <w:sz w:val="20"/>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252"/>
        <w:tab w:val="right" w:pos="8504"/>
      </w:tabs>
      <w:overflowPunct w:val="0"/>
      <w:ind w:firstLine="510"/>
      <w:jc w:val="both"/>
      <w:textAlignment w:val="baseline"/>
      <w:rPr>
        <w:rFonts w:ascii="Arial" w:hAnsi="Arial"/>
        <w:sz w:val="20"/>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ind w:firstLine="510"/>
        <w:jc w:val="both"/>
        <w:rPr>
          <w:szCs w:val="24"/>
        </w:rPr>
      </w:pPr>
      <w:r>
        <w:rPr>
          <w:szCs w:val="24"/>
        </w:rPr>
        <w:separator/>
      </w:r>
    </w:p>
  </w:footnote>
  <w:footnote w:type="continuationSeparator" w:id="0">
    <w:p>
      <w:pPr>
        <w:ind w:firstLine="510"/>
        <w:jc w:val="both"/>
        <w:rPr>
          <w:szCs w:val="24"/>
        </w:rPr>
      </w:pPr>
      <w:r>
        <w:rPr>
          <w:szCs w:val="24"/>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252"/>
        <w:tab w:val="right" w:pos="8504"/>
      </w:tabs>
      <w:overflowPunct w:val="0"/>
      <w:ind w:firstLine="510"/>
      <w:jc w:val="both"/>
      <w:textAlignment w:val="baseline"/>
      <w:rPr>
        <w:rFonts w:ascii="Arial" w:hAnsi="Arial"/>
        <w:sz w:val="20"/>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252"/>
        <w:tab w:val="right" w:pos="8504"/>
      </w:tabs>
      <w:overflowPunct w:val="0"/>
      <w:ind w:firstLine="510"/>
      <w:jc w:val="both"/>
      <w:textAlignment w:val="baseline"/>
      <w:rPr>
        <w:rFonts w:ascii="Arial" w:hAnsi="Arial"/>
        <w:sz w:val="20"/>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252"/>
        <w:tab w:val="right" w:pos="8504"/>
      </w:tabs>
      <w:overflowPunct w:val="0"/>
      <w:ind w:firstLine="510"/>
      <w:jc w:val="both"/>
      <w:textAlignment w:val="baseline"/>
      <w:rPr>
        <w:rFonts w:ascii="Arial" w:hAnsi="Arial"/>
        <w:sz w:val="20"/>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396"/>
  <w:drawingGridHorizontalSpacing w:val="57"/>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currency2"/>
  <w:shapeDefaults>
    <o:shapedefaults v:ext="edit" spidmax="21505"/>
    <o:shapelayout v:ext="edit">
      <o:idmap v:ext="edit" data="1"/>
    </o:shapelayout>
  </w:shapeDefaults>
  <w:decimalSymbol w:val=","/>
  <w:listSeparator w:val=";"/>
  <w14:docId w14:val="31C01BB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260140150">
      <w:marLeft w:val="0"/>
      <w:marRight w:val="0"/>
      <w:marTop w:val="0"/>
      <w:marBottom w:val="0"/>
      <w:divBdr>
        <w:top w:val="none" w:sz="0" w:space="0" w:color="auto"/>
        <w:left w:val="none" w:sz="0" w:space="0" w:color="auto"/>
        <w:bottom w:val="none" w:sz="0" w:space="0" w:color="auto"/>
        <w:right w:val="none" w:sz="0" w:space="0" w:color="auto"/>
      </w:divBdr>
    </w:div>
    <w:div w:id="1260140151">
      <w:marLeft w:val="0"/>
      <w:marRight w:val="0"/>
      <w:marTop w:val="0"/>
      <w:marBottom w:val="0"/>
      <w:divBdr>
        <w:top w:val="none" w:sz="0" w:space="0" w:color="auto"/>
        <w:left w:val="none" w:sz="0" w:space="0" w:color="auto"/>
        <w:bottom w:val="none" w:sz="0" w:space="0" w:color="auto"/>
        <w:right w:val="none" w:sz="0" w:space="0" w:color="auto"/>
      </w:divBdr>
    </w:div>
    <w:div w:id="1260140152">
      <w:marLeft w:val="173"/>
      <w:marRight w:val="173"/>
      <w:marTop w:val="0"/>
      <w:marBottom w:val="0"/>
      <w:divBdr>
        <w:top w:val="none" w:sz="0" w:space="0" w:color="auto"/>
        <w:left w:val="none" w:sz="0" w:space="0" w:color="auto"/>
        <w:bottom w:val="none" w:sz="0" w:space="0" w:color="auto"/>
        <w:right w:val="none" w:sz="0" w:space="0" w:color="auto"/>
      </w:divBdr>
      <w:divsChild>
        <w:div w:id="1260140161">
          <w:marLeft w:val="0"/>
          <w:marRight w:val="0"/>
          <w:marTop w:val="0"/>
          <w:marBottom w:val="0"/>
          <w:divBdr>
            <w:top w:val="none" w:sz="0" w:space="0" w:color="auto"/>
            <w:left w:val="none" w:sz="0" w:space="0" w:color="auto"/>
            <w:bottom w:val="none" w:sz="0" w:space="0" w:color="auto"/>
            <w:right w:val="none" w:sz="0" w:space="0" w:color="auto"/>
          </w:divBdr>
        </w:div>
      </w:divsChild>
    </w:div>
    <w:div w:id="1260140153">
      <w:marLeft w:val="0"/>
      <w:marRight w:val="0"/>
      <w:marTop w:val="0"/>
      <w:marBottom w:val="0"/>
      <w:divBdr>
        <w:top w:val="none" w:sz="0" w:space="0" w:color="auto"/>
        <w:left w:val="none" w:sz="0" w:space="0" w:color="auto"/>
        <w:bottom w:val="none" w:sz="0" w:space="0" w:color="auto"/>
        <w:right w:val="none" w:sz="0" w:space="0" w:color="auto"/>
      </w:divBdr>
    </w:div>
    <w:div w:id="1260140154">
      <w:marLeft w:val="150"/>
      <w:marRight w:val="150"/>
      <w:marTop w:val="0"/>
      <w:marBottom w:val="0"/>
      <w:divBdr>
        <w:top w:val="none" w:sz="0" w:space="0" w:color="auto"/>
        <w:left w:val="none" w:sz="0" w:space="0" w:color="auto"/>
        <w:bottom w:val="none" w:sz="0" w:space="0" w:color="auto"/>
        <w:right w:val="none" w:sz="0" w:space="0" w:color="auto"/>
      </w:divBdr>
      <w:divsChild>
        <w:div w:id="1260140169">
          <w:marLeft w:val="0"/>
          <w:marRight w:val="0"/>
          <w:marTop w:val="0"/>
          <w:marBottom w:val="0"/>
          <w:divBdr>
            <w:top w:val="none" w:sz="0" w:space="0" w:color="auto"/>
            <w:left w:val="none" w:sz="0" w:space="0" w:color="auto"/>
            <w:bottom w:val="none" w:sz="0" w:space="0" w:color="auto"/>
            <w:right w:val="none" w:sz="0" w:space="0" w:color="auto"/>
          </w:divBdr>
        </w:div>
      </w:divsChild>
    </w:div>
    <w:div w:id="1260140155">
      <w:marLeft w:val="173"/>
      <w:marRight w:val="173"/>
      <w:marTop w:val="0"/>
      <w:marBottom w:val="0"/>
      <w:divBdr>
        <w:top w:val="none" w:sz="0" w:space="0" w:color="auto"/>
        <w:left w:val="none" w:sz="0" w:space="0" w:color="auto"/>
        <w:bottom w:val="none" w:sz="0" w:space="0" w:color="auto"/>
        <w:right w:val="none" w:sz="0" w:space="0" w:color="auto"/>
      </w:divBdr>
      <w:divsChild>
        <w:div w:id="1260140175">
          <w:marLeft w:val="0"/>
          <w:marRight w:val="0"/>
          <w:marTop w:val="0"/>
          <w:marBottom w:val="0"/>
          <w:divBdr>
            <w:top w:val="none" w:sz="0" w:space="0" w:color="auto"/>
            <w:left w:val="none" w:sz="0" w:space="0" w:color="auto"/>
            <w:bottom w:val="none" w:sz="0" w:space="0" w:color="auto"/>
            <w:right w:val="none" w:sz="0" w:space="0" w:color="auto"/>
          </w:divBdr>
        </w:div>
      </w:divsChild>
    </w:div>
    <w:div w:id="1260140156">
      <w:marLeft w:val="0"/>
      <w:marRight w:val="0"/>
      <w:marTop w:val="0"/>
      <w:marBottom w:val="0"/>
      <w:divBdr>
        <w:top w:val="none" w:sz="0" w:space="0" w:color="auto"/>
        <w:left w:val="none" w:sz="0" w:space="0" w:color="auto"/>
        <w:bottom w:val="none" w:sz="0" w:space="0" w:color="auto"/>
        <w:right w:val="none" w:sz="0" w:space="0" w:color="auto"/>
      </w:divBdr>
    </w:div>
    <w:div w:id="1260140157">
      <w:marLeft w:val="0"/>
      <w:marRight w:val="0"/>
      <w:marTop w:val="0"/>
      <w:marBottom w:val="0"/>
      <w:divBdr>
        <w:top w:val="none" w:sz="0" w:space="0" w:color="auto"/>
        <w:left w:val="none" w:sz="0" w:space="0" w:color="auto"/>
        <w:bottom w:val="none" w:sz="0" w:space="0" w:color="auto"/>
        <w:right w:val="none" w:sz="0" w:space="0" w:color="auto"/>
      </w:divBdr>
    </w:div>
    <w:div w:id="1260140163">
      <w:marLeft w:val="150"/>
      <w:marRight w:val="150"/>
      <w:marTop w:val="0"/>
      <w:marBottom w:val="0"/>
      <w:divBdr>
        <w:top w:val="none" w:sz="0" w:space="0" w:color="auto"/>
        <w:left w:val="none" w:sz="0" w:space="0" w:color="auto"/>
        <w:bottom w:val="none" w:sz="0" w:space="0" w:color="auto"/>
        <w:right w:val="none" w:sz="0" w:space="0" w:color="auto"/>
      </w:divBdr>
      <w:divsChild>
        <w:div w:id="1260140160">
          <w:marLeft w:val="0"/>
          <w:marRight w:val="0"/>
          <w:marTop w:val="0"/>
          <w:marBottom w:val="0"/>
          <w:divBdr>
            <w:top w:val="none" w:sz="0" w:space="0" w:color="auto"/>
            <w:left w:val="none" w:sz="0" w:space="0" w:color="auto"/>
            <w:bottom w:val="none" w:sz="0" w:space="0" w:color="auto"/>
            <w:right w:val="none" w:sz="0" w:space="0" w:color="auto"/>
          </w:divBdr>
        </w:div>
      </w:divsChild>
    </w:div>
    <w:div w:id="1260140165">
      <w:marLeft w:val="0"/>
      <w:marRight w:val="0"/>
      <w:marTop w:val="0"/>
      <w:marBottom w:val="0"/>
      <w:divBdr>
        <w:top w:val="none" w:sz="0" w:space="0" w:color="auto"/>
        <w:left w:val="none" w:sz="0" w:space="0" w:color="auto"/>
        <w:bottom w:val="none" w:sz="0" w:space="0" w:color="auto"/>
        <w:right w:val="none" w:sz="0" w:space="0" w:color="auto"/>
      </w:divBdr>
    </w:div>
    <w:div w:id="1260140166">
      <w:marLeft w:val="225"/>
      <w:marRight w:val="225"/>
      <w:marTop w:val="0"/>
      <w:marBottom w:val="0"/>
      <w:divBdr>
        <w:top w:val="none" w:sz="0" w:space="0" w:color="auto"/>
        <w:left w:val="none" w:sz="0" w:space="0" w:color="auto"/>
        <w:bottom w:val="none" w:sz="0" w:space="0" w:color="auto"/>
        <w:right w:val="none" w:sz="0" w:space="0" w:color="auto"/>
      </w:divBdr>
      <w:divsChild>
        <w:div w:id="1260140164">
          <w:marLeft w:val="0"/>
          <w:marRight w:val="0"/>
          <w:marTop w:val="0"/>
          <w:marBottom w:val="0"/>
          <w:divBdr>
            <w:top w:val="none" w:sz="0" w:space="0" w:color="auto"/>
            <w:left w:val="none" w:sz="0" w:space="0" w:color="auto"/>
            <w:bottom w:val="none" w:sz="0" w:space="0" w:color="auto"/>
            <w:right w:val="none" w:sz="0" w:space="0" w:color="auto"/>
          </w:divBdr>
        </w:div>
      </w:divsChild>
    </w:div>
    <w:div w:id="1260140168">
      <w:marLeft w:val="0"/>
      <w:marRight w:val="0"/>
      <w:marTop w:val="0"/>
      <w:marBottom w:val="0"/>
      <w:divBdr>
        <w:top w:val="none" w:sz="0" w:space="0" w:color="auto"/>
        <w:left w:val="none" w:sz="0" w:space="0" w:color="auto"/>
        <w:bottom w:val="none" w:sz="0" w:space="0" w:color="auto"/>
        <w:right w:val="none" w:sz="0" w:space="0" w:color="auto"/>
      </w:divBdr>
    </w:div>
    <w:div w:id="1260140170">
      <w:marLeft w:val="225"/>
      <w:marRight w:val="225"/>
      <w:marTop w:val="0"/>
      <w:marBottom w:val="0"/>
      <w:divBdr>
        <w:top w:val="none" w:sz="0" w:space="0" w:color="auto"/>
        <w:left w:val="none" w:sz="0" w:space="0" w:color="auto"/>
        <w:bottom w:val="none" w:sz="0" w:space="0" w:color="auto"/>
        <w:right w:val="none" w:sz="0" w:space="0" w:color="auto"/>
      </w:divBdr>
      <w:divsChild>
        <w:div w:id="1260140183">
          <w:marLeft w:val="0"/>
          <w:marRight w:val="0"/>
          <w:marTop w:val="0"/>
          <w:marBottom w:val="0"/>
          <w:divBdr>
            <w:top w:val="none" w:sz="0" w:space="0" w:color="auto"/>
            <w:left w:val="none" w:sz="0" w:space="0" w:color="auto"/>
            <w:bottom w:val="none" w:sz="0" w:space="0" w:color="auto"/>
            <w:right w:val="none" w:sz="0" w:space="0" w:color="auto"/>
          </w:divBdr>
        </w:div>
      </w:divsChild>
    </w:div>
    <w:div w:id="1260140171">
      <w:marLeft w:val="0"/>
      <w:marRight w:val="0"/>
      <w:marTop w:val="0"/>
      <w:marBottom w:val="0"/>
      <w:divBdr>
        <w:top w:val="none" w:sz="0" w:space="0" w:color="auto"/>
        <w:left w:val="none" w:sz="0" w:space="0" w:color="auto"/>
        <w:bottom w:val="none" w:sz="0" w:space="0" w:color="auto"/>
        <w:right w:val="none" w:sz="0" w:space="0" w:color="auto"/>
      </w:divBdr>
    </w:div>
    <w:div w:id="1260140172">
      <w:marLeft w:val="140"/>
      <w:marRight w:val="140"/>
      <w:marTop w:val="0"/>
      <w:marBottom w:val="0"/>
      <w:divBdr>
        <w:top w:val="none" w:sz="0" w:space="0" w:color="auto"/>
        <w:left w:val="none" w:sz="0" w:space="0" w:color="auto"/>
        <w:bottom w:val="none" w:sz="0" w:space="0" w:color="auto"/>
        <w:right w:val="none" w:sz="0" w:space="0" w:color="auto"/>
      </w:divBdr>
      <w:divsChild>
        <w:div w:id="1260140167">
          <w:marLeft w:val="0"/>
          <w:marRight w:val="0"/>
          <w:marTop w:val="0"/>
          <w:marBottom w:val="0"/>
          <w:divBdr>
            <w:top w:val="none" w:sz="0" w:space="0" w:color="auto"/>
            <w:left w:val="none" w:sz="0" w:space="0" w:color="auto"/>
            <w:bottom w:val="none" w:sz="0" w:space="0" w:color="auto"/>
            <w:right w:val="none" w:sz="0" w:space="0" w:color="auto"/>
          </w:divBdr>
        </w:div>
      </w:divsChild>
    </w:div>
    <w:div w:id="1260140174">
      <w:marLeft w:val="173"/>
      <w:marRight w:val="173"/>
      <w:marTop w:val="0"/>
      <w:marBottom w:val="0"/>
      <w:divBdr>
        <w:top w:val="none" w:sz="0" w:space="0" w:color="auto"/>
        <w:left w:val="none" w:sz="0" w:space="0" w:color="auto"/>
        <w:bottom w:val="none" w:sz="0" w:space="0" w:color="auto"/>
        <w:right w:val="none" w:sz="0" w:space="0" w:color="auto"/>
      </w:divBdr>
      <w:divsChild>
        <w:div w:id="1260140173">
          <w:marLeft w:val="0"/>
          <w:marRight w:val="0"/>
          <w:marTop w:val="0"/>
          <w:marBottom w:val="0"/>
          <w:divBdr>
            <w:top w:val="none" w:sz="0" w:space="0" w:color="auto"/>
            <w:left w:val="none" w:sz="0" w:space="0" w:color="auto"/>
            <w:bottom w:val="none" w:sz="0" w:space="0" w:color="auto"/>
            <w:right w:val="none" w:sz="0" w:space="0" w:color="auto"/>
          </w:divBdr>
        </w:div>
      </w:divsChild>
    </w:div>
    <w:div w:id="1260140177">
      <w:marLeft w:val="0"/>
      <w:marRight w:val="0"/>
      <w:marTop w:val="0"/>
      <w:marBottom w:val="0"/>
      <w:divBdr>
        <w:top w:val="none" w:sz="0" w:space="0" w:color="auto"/>
        <w:left w:val="none" w:sz="0" w:space="0" w:color="auto"/>
        <w:bottom w:val="none" w:sz="0" w:space="0" w:color="auto"/>
        <w:right w:val="none" w:sz="0" w:space="0" w:color="auto"/>
      </w:divBdr>
    </w:div>
    <w:div w:id="1260140178">
      <w:marLeft w:val="140"/>
      <w:marRight w:val="140"/>
      <w:marTop w:val="0"/>
      <w:marBottom w:val="0"/>
      <w:divBdr>
        <w:top w:val="none" w:sz="0" w:space="0" w:color="auto"/>
        <w:left w:val="none" w:sz="0" w:space="0" w:color="auto"/>
        <w:bottom w:val="none" w:sz="0" w:space="0" w:color="auto"/>
        <w:right w:val="none" w:sz="0" w:space="0" w:color="auto"/>
      </w:divBdr>
      <w:divsChild>
        <w:div w:id="1260140158">
          <w:marLeft w:val="0"/>
          <w:marRight w:val="0"/>
          <w:marTop w:val="0"/>
          <w:marBottom w:val="0"/>
          <w:divBdr>
            <w:top w:val="none" w:sz="0" w:space="0" w:color="auto"/>
            <w:left w:val="none" w:sz="0" w:space="0" w:color="auto"/>
            <w:bottom w:val="none" w:sz="0" w:space="0" w:color="auto"/>
            <w:right w:val="none" w:sz="0" w:space="0" w:color="auto"/>
          </w:divBdr>
        </w:div>
      </w:divsChild>
    </w:div>
    <w:div w:id="1260140179">
      <w:marLeft w:val="225"/>
      <w:marRight w:val="225"/>
      <w:marTop w:val="0"/>
      <w:marBottom w:val="0"/>
      <w:divBdr>
        <w:top w:val="none" w:sz="0" w:space="0" w:color="auto"/>
        <w:left w:val="none" w:sz="0" w:space="0" w:color="auto"/>
        <w:bottom w:val="none" w:sz="0" w:space="0" w:color="auto"/>
        <w:right w:val="none" w:sz="0" w:space="0" w:color="auto"/>
      </w:divBdr>
      <w:divsChild>
        <w:div w:id="1260140162">
          <w:marLeft w:val="0"/>
          <w:marRight w:val="0"/>
          <w:marTop w:val="0"/>
          <w:marBottom w:val="0"/>
          <w:divBdr>
            <w:top w:val="none" w:sz="0" w:space="0" w:color="auto"/>
            <w:left w:val="none" w:sz="0" w:space="0" w:color="auto"/>
            <w:bottom w:val="none" w:sz="0" w:space="0" w:color="auto"/>
            <w:right w:val="none" w:sz="0" w:space="0" w:color="auto"/>
          </w:divBdr>
        </w:div>
      </w:divsChild>
    </w:div>
    <w:div w:id="1260140180">
      <w:marLeft w:val="173"/>
      <w:marRight w:val="173"/>
      <w:marTop w:val="0"/>
      <w:marBottom w:val="0"/>
      <w:divBdr>
        <w:top w:val="none" w:sz="0" w:space="0" w:color="auto"/>
        <w:left w:val="none" w:sz="0" w:space="0" w:color="auto"/>
        <w:bottom w:val="none" w:sz="0" w:space="0" w:color="auto"/>
        <w:right w:val="none" w:sz="0" w:space="0" w:color="auto"/>
      </w:divBdr>
      <w:divsChild>
        <w:div w:id="1260140159">
          <w:marLeft w:val="0"/>
          <w:marRight w:val="0"/>
          <w:marTop w:val="0"/>
          <w:marBottom w:val="0"/>
          <w:divBdr>
            <w:top w:val="none" w:sz="0" w:space="0" w:color="auto"/>
            <w:left w:val="none" w:sz="0" w:space="0" w:color="auto"/>
            <w:bottom w:val="none" w:sz="0" w:space="0" w:color="auto"/>
            <w:right w:val="none" w:sz="0" w:space="0" w:color="auto"/>
          </w:divBdr>
        </w:div>
      </w:divsChild>
    </w:div>
    <w:div w:id="1260140181">
      <w:marLeft w:val="173"/>
      <w:marRight w:val="173"/>
      <w:marTop w:val="0"/>
      <w:marBottom w:val="0"/>
      <w:divBdr>
        <w:top w:val="none" w:sz="0" w:space="0" w:color="auto"/>
        <w:left w:val="none" w:sz="0" w:space="0" w:color="auto"/>
        <w:bottom w:val="none" w:sz="0" w:space="0" w:color="auto"/>
        <w:right w:val="none" w:sz="0" w:space="0" w:color="auto"/>
      </w:divBdr>
      <w:divsChild>
        <w:div w:id="1260140176">
          <w:marLeft w:val="0"/>
          <w:marRight w:val="0"/>
          <w:marTop w:val="0"/>
          <w:marBottom w:val="0"/>
          <w:divBdr>
            <w:top w:val="none" w:sz="0" w:space="0" w:color="auto"/>
            <w:left w:val="none" w:sz="0" w:space="0" w:color="auto"/>
            <w:bottom w:val="none" w:sz="0" w:space="0" w:color="auto"/>
            <w:right w:val="none" w:sz="0" w:space="0" w:color="auto"/>
          </w:divBdr>
        </w:div>
      </w:divsChild>
    </w:div>
    <w:div w:id="1260140185">
      <w:marLeft w:val="173"/>
      <w:marRight w:val="173"/>
      <w:marTop w:val="0"/>
      <w:marBottom w:val="0"/>
      <w:divBdr>
        <w:top w:val="none" w:sz="0" w:space="0" w:color="auto"/>
        <w:left w:val="none" w:sz="0" w:space="0" w:color="auto"/>
        <w:bottom w:val="none" w:sz="0" w:space="0" w:color="auto"/>
        <w:right w:val="none" w:sz="0" w:space="0" w:color="auto"/>
      </w:divBdr>
      <w:divsChild>
        <w:div w:id="1260140184">
          <w:marLeft w:val="0"/>
          <w:marRight w:val="0"/>
          <w:marTop w:val="0"/>
          <w:marBottom w:val="0"/>
          <w:divBdr>
            <w:top w:val="none" w:sz="0" w:space="0" w:color="auto"/>
            <w:left w:val="none" w:sz="0" w:space="0" w:color="auto"/>
            <w:bottom w:val="none" w:sz="0" w:space="0" w:color="auto"/>
            <w:right w:val="none" w:sz="0" w:space="0" w:color="auto"/>
          </w:divBdr>
        </w:div>
      </w:divsChild>
    </w:div>
    <w:div w:id="1260140186">
      <w:marLeft w:val="140"/>
      <w:marRight w:val="140"/>
      <w:marTop w:val="0"/>
      <w:marBottom w:val="0"/>
      <w:divBdr>
        <w:top w:val="none" w:sz="0" w:space="0" w:color="auto"/>
        <w:left w:val="none" w:sz="0" w:space="0" w:color="auto"/>
        <w:bottom w:val="none" w:sz="0" w:space="0" w:color="auto"/>
        <w:right w:val="none" w:sz="0" w:space="0" w:color="auto"/>
      </w:divBdr>
      <w:divsChild>
        <w:div w:id="1260140182">
          <w:marLeft w:val="0"/>
          <w:marRight w:val="0"/>
          <w:marTop w:val="0"/>
          <w:marBottom w:val="0"/>
          <w:divBdr>
            <w:top w:val="none" w:sz="0" w:space="0" w:color="auto"/>
            <w:left w:val="none" w:sz="0" w:space="0" w:color="auto"/>
            <w:bottom w:val="none" w:sz="0" w:space="0" w:color="auto"/>
            <w:right w:val="none" w:sz="0" w:space="0" w:color="auto"/>
          </w:divBdr>
        </w:div>
      </w:divsChild>
    </w:div>
    <w:div w:id="1260140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oleObject" Target="embeddings/oleObject2.bin"/>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2</Pages>
  <Words>3370</Words>
  <Characters>1922</Characters>
  <Application>Microsoft Office Word</Application>
  <DocSecurity>0</DocSecurity>
  <Lines>16</Lines>
  <Paragraphs>10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CAA blankas</vt:lpstr>
    </vt:vector>
  </TitlesOfParts>
  <Company/>
  <LinksUpToDate>false</LinksUpToDate>
  <CharactersWithSpaces>5282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2014-03-24T09:39:00Z</dcterms:created>
  <dc:creator>Jolanta</dc:creator>
  <lastModifiedBy>PAVKŠTELO Julita</lastModifiedBy>
  <lastPrinted>2014-01-17T06:51:00Z</lastPrinted>
  <dcterms:modified xsi:type="dcterms:W3CDTF">2017-10-11T09:07:00Z</dcterms:modified>
  <revision>5</revision>
  <dc:title>CAA blankas</dc:title>
</coreProperties>
</file>