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2020-07-17 iki 2020-07-31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2020-02-26, i. k. 2020-04023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2020-06-17:</w:t>
      </w:r>
    </w:p>
    <w:p>
      <w:pPr>
        <w:rPr>
          <w:rFonts w:ascii="Times New Roman" w:hAnsi="Times New Roman"/>
          <w:sz w:val="20"/>
          <w:i/>
        </w:rPr>
      </w:pPr>
      <w:r>
        <w:rPr>
          <w:rFonts w:ascii="Times New Roman" w:hAnsi="Times New Roman"/>
          <w:sz w:val="20"/>
          <w:i/>
        </w:rPr>
        <w:t xml:space="preserve">Nr. </w:t>
      </w:r>
      <w:fldSimple w:instr="HYPERLINK https://www.e-tar.lt/portal/legalAct.html?documentId=9e348ed0abe011eab9d9cd0c85e0b745">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2020-06-10,
paskelbta TAR 2020-06-11, i. k. 2020-12822                </w:t>
      </w:r>
    </w:p>
    <w:p>
      <w:pPr>
        <w:rPr>
          <w:rFonts w:ascii="Times New Roman" w:hAnsi="Times New Roman"/>
          <w:sz w:val="22"/>
        </w:rPr>
      </w:pPr>
    </w:p>
    <w:p>
      <w:pPr>
        <w:jc w:val="center"/>
        <w:rPr>
          <w:szCs w:val="24"/>
        </w:rPr>
      </w:pPr>
      <w:r>
        <w:rPr>
          <w:b/>
          <w:szCs w:val="24"/>
        </w:rPr>
        <w:t>LIETUVOS RESPUBLIKOS VYRIAUSYBĖ</w:t>
      </w:r>
    </w:p>
    <w:p>
      <w:pPr>
        <w:jc w:val="center"/>
        <w:rPr>
          <w:b/>
          <w:szCs w:val="24"/>
        </w:rPr>
      </w:pPr>
    </w:p>
    <w:p>
      <w:pPr>
        <w:jc w:val="center"/>
        <w:rPr>
          <w:b/>
          <w:szCs w:val="24"/>
        </w:rPr>
      </w:pPr>
      <w:r>
        <w:rPr>
          <w:b/>
          <w:szCs w:val="24"/>
        </w:rPr>
        <w:t>NUTARIMAS</w:t>
      </w:r>
    </w:p>
    <w:p>
      <w:pPr>
        <w:jc w:val="center"/>
        <w:rPr>
          <w:b/>
          <w:bCs/>
          <w:color w:val="000000"/>
          <w:szCs w:val="24"/>
        </w:rPr>
      </w:pPr>
      <w:r>
        <w:rPr>
          <w:b/>
          <w:color w:val="000000"/>
          <w:szCs w:val="24"/>
        </w:rPr>
        <w:t xml:space="preserve">DĖL </w:t>
      </w:r>
      <w:r>
        <w:rPr>
          <w:b/>
          <w:bCs/>
          <w:color w:val="000000"/>
          <w:szCs w:val="24"/>
        </w:rPr>
        <w:t>VALSTYBĖS LYGIO EKSTREMALIOSIOS SITUACIJOS PASKELBIMO</w:t>
      </w:r>
    </w:p>
    <w:p>
      <w:pPr>
        <w:jc w:val="center"/>
        <w:rPr>
          <w:b/>
          <w:bCs/>
          <w:color w:val="000000"/>
          <w:szCs w:val="24"/>
        </w:rPr>
      </w:pPr>
    </w:p>
    <w:p>
      <w:pPr>
        <w:jc w:val="center"/>
        <w:rPr>
          <w:b/>
          <w:bCs/>
          <w:color w:val="000000"/>
          <w:szCs w:val="24"/>
        </w:rPr>
      </w:pPr>
      <w:r>
        <w:rPr>
          <w:lang w:eastAsia="lt-LT"/>
        </w:rPr>
        <w:t>2020 m. vasario 26 d. Nr. 152</w:t>
      </w:r>
    </w:p>
    <w:p>
      <w:pPr>
        <w:jc w:val="center"/>
        <w:rPr>
          <w:bCs/>
          <w:color w:val="000000"/>
          <w:szCs w:val="24"/>
        </w:rPr>
      </w:pPr>
      <w:r>
        <w:rPr>
          <w:bCs/>
          <w:color w:val="000000"/>
          <w:szCs w:val="24"/>
        </w:rPr>
        <w:t>Vilnius</w:t>
      </w:r>
    </w:p>
    <w:p>
      <w:pPr>
        <w:ind w:firstLine="851"/>
        <w:jc w:val="both"/>
        <w:rPr>
          <w:color w:val="000000"/>
          <w:szCs w:val="24"/>
        </w:rPr>
      </w:pPr>
    </w:p>
    <w:p>
      <w:pPr>
        <w:tabs>
          <w:tab w:val="left" w:pos="1134"/>
        </w:tabs>
        <w:ind w:firstLine="851"/>
        <w:jc w:val="both"/>
        <w:rPr>
          <w:color w:val="000000"/>
          <w:szCs w:val="24"/>
        </w:rPr>
      </w:pPr>
      <w:r>
        <w:rPr>
          <w:rFonts w:eastAsia="Calibri"/>
          <w:szCs w:val="22"/>
          <w:lang w:eastAsia="lt-LT"/>
        </w:rPr>
        <w:t>Vadovaudamasi 2016 m. kovo 9 d. Europos Parlamento ir Tarybos reglamento (ES) Nr. 2016/399 dėl taisyklių, reglamentuojančių asmenų judėjimą per sienas, Sąjungos kodekso (Šengeno sienų kodeksas) 6 straipsnio 1 dalies e punktu, 25 ir 27 straipsniais, Lietuvos Respublikos civilinės saugos įstatymo 9 straipsnio 11, 19 punktais, 21 straipsnio 2 dalies 1 punktu ir 26 straipsnio 1 dalies 2 punktu, Lietuvos Respublikos valstybės sienos ir jos apsaugos įstatymo 10 straipsniu, atsižvelgdama į Lietuvos Respublikos Vyriausybės ekstremalių situacijų komisijos 2020 m. vasario 24 d. ir 2020 m. birželio 8 d. posėdžių pasiūlymus</w:t>
      </w:r>
      <w:r>
        <w:rPr>
          <w:rFonts w:eastAsia="Calibri"/>
          <w:bCs/>
          <w:szCs w:val="22"/>
          <w:lang w:eastAsia="lt-LT"/>
        </w:rPr>
        <w:t>, 2020 m. birželio 30 d. Tarybos rekomendaciją dėl laikino nebūtinų kelionių į ES apribojimo ir galimo tokio apribojimo panaikinimo</w:t>
      </w:r>
      <w:r>
        <w:rPr>
          <w:rFonts w:eastAsia="Calibri"/>
          <w:b/>
          <w:bCs/>
          <w:szCs w:val="22"/>
          <w:lang w:eastAsia="lt-LT"/>
        </w:rPr>
        <w:t xml:space="preserve"> </w:t>
      </w:r>
      <w:r>
        <w:rPr>
          <w:rFonts w:eastAsia="Calibri"/>
          <w:szCs w:val="22"/>
          <w:lang w:eastAsia="lt-LT"/>
        </w:rPr>
        <w:t>ir siekdama apsaugoti gyventojus ir aplinką nuo COVID-19 ligos (koronaviruso infekcijos) įvežimo ir išplitimo, taip pat išvengti naujo sergamumo COVID-19 liga (koronaviruso infekcija) protrūkio šalies teritorijoje, Lietuvos Respublikos Vyriausybė 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134"/>
        </w:tabs>
        <w:ind w:firstLine="851"/>
        <w:jc w:val="both"/>
        <w:rPr>
          <w:szCs w:val="24"/>
        </w:rPr>
      </w:pPr>
      <w:r>
        <w:rPr>
          <w:color w:val="000000"/>
          <w:szCs w:val="24"/>
        </w:rPr>
        <w:t>1</w:t>
      </w:r>
      <w:r>
        <w:rPr>
          <w:color w:val="000000"/>
          <w:szCs w:val="24"/>
        </w:rPr>
        <w:t>.</w:t>
        <w:tab/>
        <w:t>Paskelbti:</w:t>
      </w:r>
    </w:p>
    <w:p>
      <w:pPr>
        <w:ind w:firstLine="851"/>
        <w:jc w:val="both"/>
        <w:rPr>
          <w:szCs w:val="24"/>
        </w:rPr>
      </w:pPr>
      <w:r>
        <w:rPr>
          <w:szCs w:val="24"/>
        </w:rPr>
        <w:t>1.1</w:t>
      </w:r>
      <w:r>
        <w:rPr>
          <w:szCs w:val="24"/>
        </w:rPr>
        <w:t>.</w:t>
        <w:tab/>
      </w:r>
      <w:r>
        <w:rPr>
          <w:color w:val="000000"/>
          <w:szCs w:val="24"/>
        </w:rPr>
        <w:t>valstybės lygio ekstremaliąją situaciją visoje šalyje dėl COVID-19 ligos (koronaviruso infekcijos) plitimo grėsmės;</w:t>
      </w:r>
    </w:p>
    <w:p>
      <w:pPr>
        <w:ind w:firstLine="851"/>
        <w:jc w:val="both"/>
        <w:rPr>
          <w:szCs w:val="24"/>
        </w:rPr>
      </w:pPr>
      <w:r>
        <w:rPr>
          <w:szCs w:val="24"/>
        </w:rPr>
        <w:t>1.2</w:t>
      </w:r>
      <w:r>
        <w:rPr>
          <w:szCs w:val="24"/>
        </w:rPr>
        <w:t>.</w:t>
        <w:tab/>
      </w:r>
      <w:r>
        <w:rPr>
          <w:color w:val="000000"/>
          <w:szCs w:val="24"/>
        </w:rPr>
        <w:t>trečią (visiškos parengties) civilinės saugos sistemos parengties lygį.</w:t>
      </w:r>
    </w:p>
    <w:p>
      <w:pPr>
        <w:tabs>
          <w:tab w:val="left" w:pos="1134"/>
        </w:tabs>
        <w:ind w:firstLine="851"/>
        <w:jc w:val="both"/>
        <w:rPr>
          <w:color w:val="000000"/>
          <w:szCs w:val="24"/>
          <w:lang w:eastAsia="lt-LT"/>
        </w:rPr>
      </w:pPr>
      <w:r>
        <w:rPr>
          <w:rFonts w:eastAsia="Calibri"/>
          <w:color w:val="000000"/>
          <w:szCs w:val="24"/>
          <w:lang w:eastAsia="lt-LT"/>
        </w:rPr>
        <w:t>2</w:t>
      </w:r>
      <w:r>
        <w:rPr>
          <w:rFonts w:eastAsia="Calibri"/>
          <w:color w:val="000000"/>
          <w:szCs w:val="24"/>
          <w:lang w:eastAsia="lt-LT"/>
        </w:rPr>
        <w:t>. Nuo 2020 m. birželio 17 d. 00:00 val. iki 2020 m. rugpjūčio 15</w:t>
      </w:r>
      <w:r>
        <w:rPr>
          <w:rFonts w:eastAsia="Calibri"/>
          <w:b/>
          <w:color w:val="000000"/>
          <w:szCs w:val="24"/>
          <w:lang w:eastAsia="lt-LT"/>
        </w:rPr>
        <w:t xml:space="preserve"> </w:t>
      </w:r>
      <w:r>
        <w:rPr>
          <w:rFonts w:eastAsia="Calibri"/>
          <w:color w:val="000000"/>
          <w:szCs w:val="24"/>
          <w:lang w:eastAsia="lt-LT"/>
        </w:rPr>
        <w:t>d. 24:00 val. pratęsti laikiną vidaus sienos kontrolę vykdant į Lietuvos Respubliką atvykstančių asmenų patikrinimus prie Europos Sąjungos vidaus sienos:</w:t>
      </w:r>
    </w:p>
    <w:p>
      <w:pPr>
        <w:tabs>
          <w:tab w:val="left" w:pos="1134"/>
        </w:tabs>
        <w:ind w:firstLine="851"/>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ind w:firstLine="851"/>
        <w:rPr>
          <w:color w:val="000000"/>
          <w:szCs w:val="24"/>
          <w:lang w:eastAsia="lt-LT"/>
        </w:rPr>
      </w:pPr>
      <w:r>
        <w:rPr>
          <w:color w:val="000000"/>
          <w:szCs w:val="24"/>
          <w:lang w:eastAsia="lt-LT"/>
        </w:rPr>
        <w:t>2.1</w:t>
      </w:r>
      <w:r>
        <w:rPr>
          <w:color w:val="000000"/>
          <w:szCs w:val="24"/>
          <w:lang w:eastAsia="lt-LT"/>
        </w:rPr>
        <w:t>. tarptautiniuose oro uostuose;</w:t>
      </w:r>
    </w:p>
    <w:p>
      <w:pPr>
        <w:tabs>
          <w:tab w:val="left" w:pos="1560"/>
        </w:tabs>
        <w:ind w:firstLine="851"/>
        <w:rPr>
          <w:color w:val="000000"/>
          <w:szCs w:val="24"/>
          <w:lang w:eastAsia="lt-LT"/>
        </w:rPr>
      </w:pPr>
      <w:r>
        <w:rPr>
          <w:color w:val="000000"/>
          <w:szCs w:val="24"/>
          <w:lang w:eastAsia="lt-LT"/>
        </w:rPr>
        <w:t>2.2</w:t>
      </w:r>
      <w:r>
        <w:rPr>
          <w:color w:val="000000"/>
          <w:szCs w:val="24"/>
          <w:lang w:eastAsia="lt-LT"/>
        </w:rPr>
        <w:t>. Klaipėdos valstybiniame jūrų uoste.</w:t>
      </w:r>
    </w:p>
    <w:p>
      <w:pPr>
        <w:tabs>
          <w:tab w:val="left" w:pos="1134"/>
          <w:tab w:val="left" w:pos="1560"/>
        </w:tabs>
        <w:ind w:firstLine="851"/>
        <w:jc w:val="both"/>
        <w:rPr>
          <w:szCs w:val="24"/>
        </w:rPr>
      </w:pPr>
      <w:r>
        <w:rPr>
          <w:color w:val="000000"/>
          <w:szCs w:val="24"/>
        </w:rPr>
        <w:t>3</w:t>
      </w:r>
      <w:r>
        <w:rPr>
          <w:color w:val="000000"/>
          <w:szCs w:val="24"/>
        </w:rPr>
        <w:t>.</w:t>
        <w:tab/>
      </w:r>
      <w:r>
        <w:rPr>
          <w:bCs/>
          <w:color w:val="000000"/>
          <w:szCs w:val="24"/>
        </w:rPr>
        <w:t>Nustatyti šias laikinas valstybės sienos kirtimo apribojimo ir (ar) nutraukimo sąlygas:</w:t>
      </w:r>
    </w:p>
    <w:p>
      <w:pPr>
        <w:tabs>
          <w:tab w:val="left" w:pos="1276"/>
          <w:tab w:val="left" w:pos="1560"/>
        </w:tabs>
        <w:ind w:firstLine="851"/>
        <w:jc w:val="both"/>
        <w:rPr>
          <w:szCs w:val="24"/>
        </w:rPr>
      </w:pPr>
      <w:r>
        <w:rPr>
          <w:szCs w:val="24"/>
        </w:rPr>
        <w:t>3.1</w:t>
      </w:r>
      <w:r>
        <w:rPr>
          <w:szCs w:val="24"/>
        </w:rPr>
        <w:t>.</w:t>
        <w:tab/>
        <w:t>Nutraukiamas vykimas per šiuos sienos perėjimo punktus:</w:t>
      </w:r>
    </w:p>
    <w:p>
      <w:pPr>
        <w:tabs>
          <w:tab w:val="left" w:pos="1560"/>
        </w:tabs>
        <w:ind w:firstLine="851"/>
        <w:jc w:val="both"/>
        <w:rPr>
          <w:szCs w:val="24"/>
        </w:rPr>
      </w:pPr>
      <w:r>
        <w:rPr>
          <w:szCs w:val="24"/>
        </w:rPr>
        <w:t>3.1.1</w:t>
      </w:r>
      <w:r>
        <w:rPr>
          <w:szCs w:val="24"/>
        </w:rPr>
        <w:t>.</w:t>
        <w:tab/>
        <w:t>Tverečius–Vidžiai;</w:t>
      </w:r>
    </w:p>
    <w:p>
      <w:pPr>
        <w:tabs>
          <w:tab w:val="left" w:pos="1560"/>
        </w:tabs>
        <w:ind w:firstLine="851"/>
        <w:jc w:val="both"/>
        <w:rPr>
          <w:szCs w:val="24"/>
        </w:rPr>
      </w:pPr>
      <w:r>
        <w:rPr>
          <w:szCs w:val="24"/>
        </w:rPr>
        <w:t>3.1.2</w:t>
      </w:r>
      <w:r>
        <w:rPr>
          <w:szCs w:val="24"/>
        </w:rPr>
        <w:t>.</w:t>
        <w:tab/>
        <w:t>Lavoriškės–Kotlovka;</w:t>
      </w:r>
    </w:p>
    <w:p>
      <w:pPr>
        <w:tabs>
          <w:tab w:val="left" w:pos="1560"/>
        </w:tabs>
        <w:ind w:firstLine="851"/>
        <w:jc w:val="both"/>
        <w:rPr>
          <w:szCs w:val="24"/>
        </w:rPr>
      </w:pPr>
      <w:r>
        <w:rPr>
          <w:szCs w:val="24"/>
        </w:rPr>
        <w:t>3.1.3</w:t>
      </w:r>
      <w:r>
        <w:rPr>
          <w:szCs w:val="24"/>
        </w:rPr>
        <w:t>.</w:t>
        <w:tab/>
        <w:t>Šumskas–Loša;</w:t>
      </w:r>
    </w:p>
    <w:p>
      <w:pPr>
        <w:tabs>
          <w:tab w:val="left" w:pos="1560"/>
        </w:tabs>
        <w:ind w:firstLine="851"/>
        <w:jc w:val="both"/>
        <w:rPr>
          <w:szCs w:val="24"/>
        </w:rPr>
      </w:pPr>
      <w:r>
        <w:rPr>
          <w:szCs w:val="24"/>
        </w:rPr>
        <w:t>3.1.4</w:t>
      </w:r>
      <w:r>
        <w:rPr>
          <w:szCs w:val="24"/>
        </w:rPr>
        <w:t>.</w:t>
        <w:tab/>
        <w:t>Ramoniškiai–Pograničnyj;</w:t>
      </w:r>
    </w:p>
    <w:p>
      <w:pPr>
        <w:tabs>
          <w:tab w:val="left" w:pos="1560"/>
        </w:tabs>
        <w:ind w:firstLine="851"/>
        <w:jc w:val="both"/>
        <w:rPr>
          <w:szCs w:val="24"/>
        </w:rPr>
      </w:pPr>
      <w:r>
        <w:rPr>
          <w:szCs w:val="24"/>
        </w:rPr>
        <w:t>3.1.5</w:t>
      </w:r>
      <w:r>
        <w:rPr>
          <w:szCs w:val="24"/>
        </w:rPr>
        <w:t>.</w:t>
        <w:tab/>
        <w:t>Nida–Morskoje;</w:t>
      </w:r>
    </w:p>
    <w:p>
      <w:pPr>
        <w:tabs>
          <w:tab w:val="left" w:pos="1560"/>
        </w:tabs>
        <w:ind w:firstLine="851"/>
        <w:jc w:val="both"/>
        <w:rPr>
          <w:szCs w:val="24"/>
        </w:rPr>
      </w:pPr>
      <w:r>
        <w:rPr>
          <w:szCs w:val="24"/>
        </w:rPr>
        <w:t>3.1.6</w:t>
      </w:r>
      <w:r>
        <w:rPr>
          <w:szCs w:val="24"/>
        </w:rPr>
        <w:t>.</w:t>
        <w:tab/>
        <w:t>Adutiškis–Moldevičiai;</w:t>
      </w:r>
    </w:p>
    <w:p>
      <w:pPr>
        <w:tabs>
          <w:tab w:val="left" w:pos="1560"/>
        </w:tabs>
        <w:ind w:firstLine="851"/>
        <w:jc w:val="both"/>
        <w:rPr>
          <w:szCs w:val="24"/>
        </w:rPr>
      </w:pPr>
      <w:r>
        <w:rPr>
          <w:szCs w:val="24"/>
        </w:rPr>
        <w:t>3.1.7</w:t>
      </w:r>
      <w:r>
        <w:rPr>
          <w:szCs w:val="24"/>
        </w:rPr>
        <w:t>.</w:t>
        <w:tab/>
        <w:t>Papelekis–Lentupis;</w:t>
      </w:r>
    </w:p>
    <w:p>
      <w:pPr>
        <w:tabs>
          <w:tab w:val="left" w:pos="1560"/>
        </w:tabs>
        <w:ind w:firstLine="851"/>
        <w:jc w:val="both"/>
        <w:rPr>
          <w:szCs w:val="24"/>
        </w:rPr>
      </w:pPr>
      <w:r>
        <w:rPr>
          <w:szCs w:val="24"/>
        </w:rPr>
        <w:t>3.1.8</w:t>
      </w:r>
      <w:r>
        <w:rPr>
          <w:szCs w:val="24"/>
        </w:rPr>
        <w:t>.</w:t>
        <w:tab/>
        <w:t>Krakūnai–Geranainys;</w:t>
      </w:r>
    </w:p>
    <w:p>
      <w:pPr>
        <w:tabs>
          <w:tab w:val="left" w:pos="1560"/>
        </w:tabs>
        <w:ind w:firstLine="851"/>
        <w:jc w:val="both"/>
        <w:rPr>
          <w:szCs w:val="24"/>
        </w:rPr>
      </w:pPr>
      <w:r>
        <w:rPr>
          <w:szCs w:val="24"/>
        </w:rPr>
        <w:t>3.1.9</w:t>
      </w:r>
      <w:r>
        <w:rPr>
          <w:szCs w:val="24"/>
        </w:rPr>
        <w:t>.</w:t>
        <w:tab/>
        <w:t>Eišiškės–Dotiškės;</w:t>
      </w:r>
    </w:p>
    <w:p>
      <w:pPr>
        <w:tabs>
          <w:tab w:val="left" w:pos="1560"/>
        </w:tabs>
        <w:ind w:firstLine="851"/>
        <w:jc w:val="both"/>
        <w:rPr>
          <w:szCs w:val="24"/>
        </w:rPr>
      </w:pPr>
      <w:r>
        <w:rPr>
          <w:szCs w:val="24"/>
        </w:rPr>
        <w:t>3.1.10</w:t>
      </w:r>
      <w:r>
        <w:rPr>
          <w:szCs w:val="24"/>
        </w:rPr>
        <w:t>.</w:t>
        <w:tab/>
        <w:t>Rakai–Petiulevcai;</w:t>
      </w:r>
    </w:p>
    <w:p>
      <w:pPr>
        <w:tabs>
          <w:tab w:val="left" w:pos="1560"/>
        </w:tabs>
        <w:ind w:firstLine="851"/>
        <w:jc w:val="both"/>
        <w:rPr>
          <w:szCs w:val="24"/>
        </w:rPr>
      </w:pPr>
      <w:r>
        <w:rPr>
          <w:szCs w:val="24"/>
        </w:rPr>
        <w:t>3.1.11</w:t>
      </w:r>
      <w:r>
        <w:rPr>
          <w:szCs w:val="24"/>
        </w:rPr>
        <w:t>.</w:t>
        <w:tab/>
        <w:t>Norviliškės–Pickūnai;</w:t>
      </w:r>
    </w:p>
    <w:p>
      <w:pPr>
        <w:tabs>
          <w:tab w:val="left" w:pos="1560"/>
        </w:tabs>
        <w:ind w:firstLine="851"/>
        <w:jc w:val="both"/>
        <w:rPr>
          <w:szCs w:val="24"/>
        </w:rPr>
      </w:pPr>
      <w:r>
        <w:rPr>
          <w:szCs w:val="24"/>
        </w:rPr>
        <w:t>3.1.12</w:t>
      </w:r>
      <w:r>
        <w:rPr>
          <w:szCs w:val="24"/>
        </w:rPr>
        <w:t>.</w:t>
        <w:tab/>
        <w:t>Latežeris–Pariečė.</w:t>
      </w:r>
    </w:p>
    <w:p>
      <w:pPr>
        <w:tabs>
          <w:tab w:val="left" w:pos="1276"/>
          <w:tab w:val="left" w:pos="1560"/>
        </w:tabs>
        <w:ind w:firstLine="851"/>
        <w:jc w:val="both"/>
        <w:rPr>
          <w:szCs w:val="24"/>
        </w:rPr>
      </w:pPr>
      <w:r>
        <w:rPr>
          <w:szCs w:val="24"/>
        </w:rPr>
        <w:t>3.2</w:t>
      </w:r>
      <w:r>
        <w:rPr>
          <w:szCs w:val="24"/>
        </w:rPr>
        <w:t>.</w:t>
        <w:tab/>
        <w:t>Apribojamas vykimas per šiuos sienos perėjimo punktus:</w:t>
      </w:r>
    </w:p>
    <w:p>
      <w:pPr>
        <w:tabs>
          <w:tab w:val="left" w:pos="1560"/>
        </w:tabs>
        <w:ind w:firstLine="851"/>
        <w:jc w:val="both"/>
        <w:rPr>
          <w:szCs w:val="24"/>
        </w:rPr>
      </w:pPr>
      <w:r>
        <w:rPr>
          <w:szCs w:val="24"/>
        </w:rPr>
        <w:t>3.2.1</w:t>
      </w:r>
      <w:r>
        <w:rPr>
          <w:szCs w:val="24"/>
        </w:rPr>
        <w:t>.</w:t>
        <w:tab/>
        <w:t>automobilių kelių:</w:t>
      </w:r>
    </w:p>
    <w:p>
      <w:pPr>
        <w:tabs>
          <w:tab w:val="left" w:pos="1701"/>
        </w:tabs>
        <w:ind w:firstLine="851"/>
        <w:jc w:val="both"/>
        <w:rPr>
          <w:szCs w:val="24"/>
        </w:rPr>
      </w:pPr>
      <w:r>
        <w:rPr>
          <w:szCs w:val="24"/>
        </w:rPr>
        <w:t>3.2.1.1</w:t>
      </w:r>
      <w:r>
        <w:rPr>
          <w:szCs w:val="24"/>
        </w:rPr>
        <w:t>.</w:t>
        <w:tab/>
        <w:t>Medininkai–Kamenyj Log;</w:t>
      </w:r>
    </w:p>
    <w:p>
      <w:pPr>
        <w:tabs>
          <w:tab w:val="left" w:pos="1701"/>
        </w:tabs>
        <w:ind w:firstLine="851"/>
        <w:jc w:val="both"/>
        <w:rPr>
          <w:szCs w:val="24"/>
        </w:rPr>
      </w:pPr>
      <w:r>
        <w:rPr>
          <w:szCs w:val="24"/>
        </w:rPr>
        <w:t>3.2.1.2</w:t>
      </w:r>
      <w:r>
        <w:rPr>
          <w:szCs w:val="24"/>
        </w:rPr>
        <w:t>.</w:t>
        <w:tab/>
        <w:t>Šalčininkai–Benekainys;</w:t>
      </w:r>
    </w:p>
    <w:p>
      <w:pPr>
        <w:tabs>
          <w:tab w:val="left" w:pos="1701"/>
        </w:tabs>
        <w:ind w:firstLine="851"/>
        <w:jc w:val="both"/>
        <w:rPr>
          <w:szCs w:val="24"/>
        </w:rPr>
      </w:pPr>
      <w:r>
        <w:rPr>
          <w:szCs w:val="24"/>
        </w:rPr>
        <w:t>3.2.1.3</w:t>
      </w:r>
      <w:r>
        <w:rPr>
          <w:szCs w:val="24"/>
        </w:rPr>
        <w:t>.</w:t>
        <w:tab/>
        <w:t>Raigardas–Privalka;</w:t>
      </w:r>
    </w:p>
    <w:p>
      <w:pPr>
        <w:tabs>
          <w:tab w:val="left" w:pos="1701"/>
        </w:tabs>
        <w:ind w:firstLine="851"/>
        <w:jc w:val="both"/>
        <w:rPr>
          <w:szCs w:val="24"/>
        </w:rPr>
      </w:pPr>
      <w:r>
        <w:rPr>
          <w:szCs w:val="24"/>
        </w:rPr>
        <w:t>3.2.1.4</w:t>
      </w:r>
      <w:r>
        <w:rPr>
          <w:szCs w:val="24"/>
        </w:rPr>
        <w:t>.</w:t>
        <w:tab/>
        <w:t>Kybartai–Černiševskoje;</w:t>
      </w:r>
    </w:p>
    <w:p>
      <w:pPr>
        <w:tabs>
          <w:tab w:val="left" w:pos="1701"/>
        </w:tabs>
        <w:ind w:firstLine="851"/>
        <w:jc w:val="both"/>
        <w:rPr>
          <w:szCs w:val="24"/>
        </w:rPr>
      </w:pPr>
      <w:r>
        <w:rPr>
          <w:szCs w:val="24"/>
        </w:rPr>
        <w:t>3.2.1.5</w:t>
      </w:r>
      <w:r>
        <w:rPr>
          <w:szCs w:val="24"/>
        </w:rPr>
        <w:t>.</w:t>
        <w:tab/>
        <w:t>Panemunė–Sovetsk;</w:t>
      </w:r>
    </w:p>
    <w:p>
      <w:pPr>
        <w:tabs>
          <w:tab w:val="left" w:pos="1560"/>
        </w:tabs>
        <w:ind w:firstLine="851"/>
        <w:jc w:val="both"/>
        <w:rPr>
          <w:szCs w:val="24"/>
        </w:rPr>
      </w:pPr>
      <w:r>
        <w:rPr>
          <w:szCs w:val="24"/>
        </w:rPr>
        <w:t>3.2.2</w:t>
      </w:r>
      <w:r>
        <w:rPr>
          <w:szCs w:val="24"/>
        </w:rPr>
        <w:t>.</w:t>
        <w:tab/>
        <w:t>geležinkelio:</w:t>
      </w:r>
    </w:p>
    <w:p>
      <w:pPr>
        <w:tabs>
          <w:tab w:val="left" w:pos="1701"/>
        </w:tabs>
        <w:ind w:firstLine="851"/>
        <w:jc w:val="both"/>
        <w:rPr>
          <w:szCs w:val="24"/>
        </w:rPr>
      </w:pPr>
      <w:r>
        <w:rPr>
          <w:szCs w:val="24"/>
        </w:rPr>
        <w:t>3.2.2.1</w:t>
      </w:r>
      <w:r>
        <w:rPr>
          <w:szCs w:val="24"/>
        </w:rPr>
        <w:t>.</w:t>
        <w:tab/>
        <w:t>Kena–Gudagojis;</w:t>
      </w:r>
    </w:p>
    <w:p>
      <w:pPr>
        <w:tabs>
          <w:tab w:val="left" w:pos="1701"/>
        </w:tabs>
        <w:ind w:firstLine="851"/>
        <w:jc w:val="both"/>
        <w:rPr>
          <w:szCs w:val="24"/>
        </w:rPr>
      </w:pPr>
      <w:r>
        <w:rPr>
          <w:szCs w:val="24"/>
        </w:rPr>
        <w:t>3.2.2.2</w:t>
      </w:r>
      <w:r>
        <w:rPr>
          <w:szCs w:val="24"/>
        </w:rPr>
        <w:t>.</w:t>
        <w:tab/>
        <w:t>Vilniaus geležinkelio stoties pasienio kontrolės punktą;</w:t>
      </w:r>
    </w:p>
    <w:p>
      <w:pPr>
        <w:tabs>
          <w:tab w:val="left" w:pos="1701"/>
        </w:tabs>
        <w:ind w:firstLine="851"/>
        <w:jc w:val="both"/>
        <w:rPr>
          <w:szCs w:val="24"/>
        </w:rPr>
      </w:pPr>
      <w:r>
        <w:rPr>
          <w:szCs w:val="24"/>
        </w:rPr>
        <w:t>3.2.2.3</w:t>
      </w:r>
      <w:r>
        <w:rPr>
          <w:szCs w:val="24"/>
        </w:rPr>
        <w:t>.</w:t>
        <w:tab/>
        <w:t>Stasylos–Benekainys;</w:t>
      </w:r>
    </w:p>
    <w:p>
      <w:pPr>
        <w:tabs>
          <w:tab w:val="left" w:pos="1701"/>
        </w:tabs>
        <w:ind w:firstLine="851"/>
        <w:jc w:val="both"/>
        <w:rPr>
          <w:szCs w:val="24"/>
        </w:rPr>
      </w:pPr>
      <w:r>
        <w:rPr>
          <w:szCs w:val="24"/>
        </w:rPr>
        <w:t>3.2.2.4</w:t>
      </w:r>
      <w:r>
        <w:rPr>
          <w:szCs w:val="24"/>
        </w:rPr>
        <w:t>.</w:t>
        <w:tab/>
        <w:t>Kybartai–Nesterov;</w:t>
      </w:r>
    </w:p>
    <w:p>
      <w:pPr>
        <w:tabs>
          <w:tab w:val="left" w:pos="1701"/>
        </w:tabs>
        <w:ind w:firstLine="851"/>
        <w:jc w:val="both"/>
        <w:rPr>
          <w:szCs w:val="24"/>
        </w:rPr>
      </w:pPr>
      <w:r>
        <w:rPr>
          <w:szCs w:val="24"/>
        </w:rPr>
        <w:t>3.2.2.5</w:t>
      </w:r>
      <w:r>
        <w:rPr>
          <w:szCs w:val="24"/>
        </w:rPr>
        <w:t>.</w:t>
        <w:tab/>
        <w:t>Pagėgiai–Sovetsk;</w:t>
      </w:r>
    </w:p>
    <w:p>
      <w:pPr>
        <w:tabs>
          <w:tab w:val="left" w:pos="1560"/>
        </w:tabs>
        <w:ind w:firstLine="851"/>
        <w:jc w:val="both"/>
        <w:rPr>
          <w:szCs w:val="24"/>
        </w:rPr>
      </w:pPr>
      <w:r>
        <w:rPr>
          <w:szCs w:val="24"/>
        </w:rPr>
        <w:t>3.2.3</w:t>
      </w:r>
      <w:r>
        <w:rPr>
          <w:szCs w:val="24"/>
        </w:rPr>
        <w:t>.</w:t>
        <w:tab/>
      </w:r>
      <w:r>
        <w:rPr>
          <w:color w:val="000000"/>
          <w:szCs w:val="24"/>
        </w:rPr>
        <w:t>tarptautinių</w:t>
      </w:r>
      <w:r>
        <w:rPr>
          <w:szCs w:val="24"/>
        </w:rPr>
        <w:t xml:space="preserve"> oro uostų </w:t>
      </w:r>
      <w:r>
        <w:rPr>
          <w:color w:val="000000"/>
          <w:szCs w:val="24"/>
        </w:rPr>
        <w:t>pasienio kontrolės punktus</w:t>
      </w:r>
      <w:r>
        <w:rPr>
          <w:szCs w:val="24"/>
        </w:rPr>
        <w:t>:</w:t>
      </w:r>
    </w:p>
    <w:p>
      <w:pPr>
        <w:tabs>
          <w:tab w:val="left" w:pos="1701"/>
        </w:tabs>
        <w:ind w:firstLine="851"/>
        <w:jc w:val="both"/>
        <w:rPr>
          <w:szCs w:val="24"/>
        </w:rPr>
      </w:pPr>
      <w:r>
        <w:rPr>
          <w:szCs w:val="24"/>
        </w:rPr>
        <w:t>3.2.3.1</w:t>
      </w:r>
      <w:r>
        <w:rPr>
          <w:szCs w:val="24"/>
        </w:rPr>
        <w:t>.</w:t>
        <w:tab/>
      </w:r>
      <w:r>
        <w:rPr>
          <w:color w:val="000000"/>
          <w:szCs w:val="24"/>
        </w:rPr>
        <w:t>Vilniaus;</w:t>
      </w:r>
    </w:p>
    <w:p>
      <w:pPr>
        <w:tabs>
          <w:tab w:val="left" w:pos="1701"/>
        </w:tabs>
        <w:ind w:firstLine="851"/>
        <w:jc w:val="both"/>
        <w:rPr>
          <w:szCs w:val="24"/>
        </w:rPr>
      </w:pPr>
      <w:r>
        <w:rPr>
          <w:szCs w:val="24"/>
        </w:rPr>
        <w:t>3.2.3.2</w:t>
      </w:r>
      <w:r>
        <w:rPr>
          <w:szCs w:val="24"/>
        </w:rPr>
        <w:t>.</w:t>
        <w:tab/>
      </w:r>
      <w:r>
        <w:rPr>
          <w:color w:val="000000"/>
          <w:szCs w:val="24"/>
        </w:rPr>
        <w:t>Kauno;</w:t>
      </w:r>
    </w:p>
    <w:p>
      <w:pPr>
        <w:tabs>
          <w:tab w:val="left" w:pos="1701"/>
        </w:tabs>
        <w:ind w:firstLine="851"/>
        <w:jc w:val="both"/>
        <w:rPr>
          <w:szCs w:val="24"/>
        </w:rPr>
      </w:pPr>
      <w:r>
        <w:rPr>
          <w:szCs w:val="24"/>
        </w:rPr>
        <w:t>3.2.3.3</w:t>
      </w:r>
      <w:r>
        <w:rPr>
          <w:szCs w:val="24"/>
        </w:rPr>
        <w:t>.</w:t>
        <w:tab/>
      </w:r>
      <w:r>
        <w:rPr>
          <w:color w:val="000000"/>
          <w:szCs w:val="24"/>
        </w:rPr>
        <w:t>Palangos;</w:t>
      </w:r>
    </w:p>
    <w:p>
      <w:pPr>
        <w:tabs>
          <w:tab w:val="left" w:pos="1701"/>
        </w:tabs>
        <w:ind w:firstLine="851"/>
        <w:jc w:val="both"/>
        <w:rPr>
          <w:szCs w:val="24"/>
        </w:rPr>
      </w:pPr>
      <w:r>
        <w:rPr>
          <w:szCs w:val="24"/>
        </w:rPr>
        <w:t>3.2.3.4</w:t>
      </w:r>
      <w:r>
        <w:rPr>
          <w:szCs w:val="24"/>
        </w:rPr>
        <w:t>.</w:t>
        <w:tab/>
      </w:r>
      <w:r>
        <w:rPr>
          <w:color w:val="000000"/>
          <w:szCs w:val="24"/>
        </w:rPr>
        <w:t>Šiaulių;</w:t>
      </w:r>
    </w:p>
    <w:p>
      <w:pPr>
        <w:tabs>
          <w:tab w:val="left" w:pos="1560"/>
        </w:tabs>
        <w:ind w:firstLine="851"/>
        <w:jc w:val="both"/>
        <w:rPr>
          <w:szCs w:val="24"/>
        </w:rPr>
      </w:pPr>
      <w:r>
        <w:rPr>
          <w:szCs w:val="24"/>
        </w:rPr>
        <w:t>3.2.4</w:t>
      </w:r>
      <w:r>
        <w:rPr>
          <w:szCs w:val="24"/>
        </w:rPr>
        <w:t>.</w:t>
        <w:tab/>
        <w:t xml:space="preserve">jūrų uostų </w:t>
      </w:r>
      <w:r>
        <w:rPr>
          <w:color w:val="000000"/>
          <w:szCs w:val="24"/>
        </w:rPr>
        <w:t>pasienio kontrolės punktus</w:t>
      </w:r>
      <w:r>
        <w:rPr>
          <w:szCs w:val="24"/>
        </w:rPr>
        <w:t>:</w:t>
      </w:r>
    </w:p>
    <w:p>
      <w:pPr>
        <w:tabs>
          <w:tab w:val="left" w:pos="1701"/>
        </w:tabs>
        <w:ind w:firstLine="851"/>
        <w:jc w:val="both"/>
        <w:rPr>
          <w:szCs w:val="24"/>
        </w:rPr>
      </w:pPr>
      <w:r>
        <w:rPr>
          <w:szCs w:val="24"/>
        </w:rPr>
        <w:t>3.2.4.1</w:t>
      </w:r>
      <w:r>
        <w:rPr>
          <w:szCs w:val="24"/>
        </w:rPr>
        <w:t>.</w:t>
        <w:tab/>
      </w:r>
      <w:r>
        <w:rPr>
          <w:color w:val="000000"/>
          <w:szCs w:val="24"/>
        </w:rPr>
        <w:t>Pilies;</w:t>
      </w:r>
    </w:p>
    <w:p>
      <w:pPr>
        <w:tabs>
          <w:tab w:val="left" w:pos="1701"/>
        </w:tabs>
        <w:ind w:firstLine="851"/>
        <w:jc w:val="both"/>
        <w:rPr>
          <w:szCs w:val="24"/>
        </w:rPr>
      </w:pPr>
      <w:r>
        <w:rPr>
          <w:szCs w:val="24"/>
        </w:rPr>
        <w:t>3.2.4.2</w:t>
      </w:r>
      <w:r>
        <w:rPr>
          <w:szCs w:val="24"/>
        </w:rPr>
        <w:t>.</w:t>
        <w:tab/>
      </w:r>
      <w:r>
        <w:rPr>
          <w:color w:val="000000"/>
          <w:szCs w:val="24"/>
        </w:rPr>
        <w:t>Malkų įlankos;</w:t>
      </w:r>
    </w:p>
    <w:p>
      <w:pPr>
        <w:tabs>
          <w:tab w:val="left" w:pos="1701"/>
        </w:tabs>
        <w:ind w:firstLine="851"/>
        <w:jc w:val="both"/>
        <w:rPr>
          <w:szCs w:val="24"/>
        </w:rPr>
      </w:pPr>
      <w:r>
        <w:rPr>
          <w:szCs w:val="24"/>
        </w:rPr>
        <w:t>3.2.4.3</w:t>
      </w:r>
      <w:r>
        <w:rPr>
          <w:szCs w:val="24"/>
        </w:rPr>
        <w:t>.</w:t>
        <w:tab/>
      </w:r>
      <w:r>
        <w:rPr>
          <w:color w:val="000000"/>
          <w:szCs w:val="24"/>
        </w:rPr>
        <w:t>Būtingės naftos terminalo;</w:t>
      </w:r>
    </w:p>
    <w:p>
      <w:pPr>
        <w:tabs>
          <w:tab w:val="left" w:pos="1701"/>
        </w:tabs>
        <w:ind w:firstLine="851"/>
        <w:jc w:val="both"/>
        <w:rPr>
          <w:szCs w:val="24"/>
        </w:rPr>
      </w:pPr>
      <w:r>
        <w:rPr>
          <w:szCs w:val="24"/>
        </w:rPr>
        <w:t>3.2.4.4</w:t>
      </w:r>
      <w:r>
        <w:rPr>
          <w:szCs w:val="24"/>
        </w:rPr>
        <w:t>.</w:t>
        <w:tab/>
      </w:r>
      <w:r>
        <w:rPr>
          <w:color w:val="000000"/>
          <w:szCs w:val="24"/>
        </w:rPr>
        <w:t>Molo.</w:t>
      </w:r>
    </w:p>
    <w:p>
      <w:pPr>
        <w:tabs>
          <w:tab w:val="left" w:pos="1276"/>
        </w:tabs>
        <w:ind w:firstLine="851"/>
        <w:jc w:val="both"/>
        <w:rPr>
          <w:szCs w:val="24"/>
        </w:rPr>
      </w:pPr>
      <w:r>
        <w:rPr>
          <w:szCs w:val="24"/>
        </w:rPr>
        <w:t>3.3</w:t>
      </w:r>
      <w:r>
        <w:rPr>
          <w:szCs w:val="24"/>
        </w:rPr>
        <w:t>.</w:t>
        <w:tab/>
      </w:r>
      <w:r>
        <w:rPr>
          <w:bCs/>
          <w:color w:val="000000"/>
          <w:szCs w:val="24"/>
        </w:rPr>
        <w:t>Valstybės sienos kirtimas apribojamas uždraudžiant užsieniečiams atvykti į Lietuvos Respubliką. Šis draudimas netaikomas:</w:t>
      </w:r>
    </w:p>
    <w:p>
      <w:pPr>
        <w:tabs>
          <w:tab w:val="left" w:pos="1560"/>
        </w:tabs>
        <w:ind w:firstLine="851"/>
        <w:jc w:val="both"/>
        <w:rPr>
          <w:szCs w:val="24"/>
        </w:rPr>
      </w:pPr>
      <w:r>
        <w:rPr>
          <w:szCs w:val="24"/>
        </w:rPr>
        <w:t>3.3.1</w:t>
      </w:r>
      <w:r>
        <w:rPr>
          <w:szCs w:val="24"/>
        </w:rPr>
        <w:t>.</w:t>
        <w:tab/>
        <w:t xml:space="preserve">Europos ekonominės erdvės valstybių, Šveicarijos Konfederacijos, Jungtinės Didžiosios Britanijos ir Šiaurės Airijos Karalystės piliečiams ir šiose valstybėse teisėtai gyvenantiems asmenims, atvykstantiems iš šių valstybių, jeigu valstybėje, kurioje jie teisėtai gyvena, sergamumas </w:t>
      </w:r>
      <w:r>
        <w:rPr>
          <w:color w:val="000000"/>
          <w:szCs w:val="24"/>
        </w:rPr>
        <w:t>COVID-19 liga (koronaviruso infekcija) per pastarąsias 14 kalendorinių dienų neviršijo 25 atvejų 100 tūkst. gyventojų</w:t>
      </w:r>
      <w:r>
        <w:rPr>
          <w:szCs w:val="24"/>
        </w:rPr>
        <w:t>. Tokių valstybių sąrašą kiekvieną pirmadienį skelbia valstybės lygio ekstremaliosios situacijos operacijų vadovas;</w:t>
      </w:r>
    </w:p>
    <w:p>
      <w:pPr>
        <w:tabs>
          <w:tab w:val="left" w:pos="1560"/>
        </w:tabs>
        <w:ind w:firstLine="851"/>
        <w:jc w:val="both"/>
        <w:rPr>
          <w:szCs w:val="24"/>
        </w:rPr>
      </w:pPr>
      <w:r>
        <w:rPr>
          <w:rFonts w:eastAsia="Calibri"/>
          <w:color w:val="000000"/>
          <w:szCs w:val="22"/>
          <w:lang w:eastAsia="lt-LT"/>
        </w:rPr>
        <w:t>3.3.2</w:t>
      </w:r>
      <w:r>
        <w:rPr>
          <w:rFonts w:eastAsia="Calibri"/>
          <w:color w:val="000000"/>
          <w:szCs w:val="22"/>
          <w:lang w:eastAsia="lt-LT"/>
        </w:rPr>
        <w:t>. užsieniečiams, turintiems teisę gyventi Lietuvos Respublikoje patvirtinantį dokumentą,</w:t>
      </w:r>
      <w:r>
        <w:rPr>
          <w:rFonts w:eastAsia="Calibri"/>
          <w:b/>
          <w:bCs/>
          <w:color w:val="000000"/>
          <w:szCs w:val="22"/>
          <w:lang w:eastAsia="lt-LT"/>
        </w:rPr>
        <w:t xml:space="preserve"> </w:t>
      </w:r>
      <w:r>
        <w:rPr>
          <w:rFonts w:eastAsia="Calibri"/>
          <w:bCs/>
          <w:color w:val="000000"/>
          <w:szCs w:val="22"/>
          <w:lang w:eastAsia="lt-LT"/>
        </w:rPr>
        <w:t xml:space="preserve">ar dėl kurių </w:t>
      </w:r>
      <w:r>
        <w:rPr>
          <w:rFonts w:eastAsia="Calibri"/>
          <w:bCs/>
          <w:szCs w:val="22"/>
          <w:lang w:eastAsia="lt-LT"/>
        </w:rPr>
        <w:t>Migracijos departamentas prie Lietuvos Respublikos vidaus reikalų ministerijos</w:t>
      </w:r>
      <w:r>
        <w:rPr>
          <w:rFonts w:eastAsia="Calibri"/>
          <w:bCs/>
          <w:color w:val="000000"/>
          <w:szCs w:val="22"/>
          <w:lang w:eastAsia="lt-LT"/>
        </w:rPr>
        <w:t xml:space="preserve"> priėmė sprendimą išduoti teisę gyventi Lietuvos Respublikoje patvirtinantį dokument</w:t>
      </w:r>
      <w:r>
        <w:rPr>
          <w:rFonts w:eastAsia="Calibri"/>
          <w:bCs/>
          <w:szCs w:val="22"/>
          <w:lang w:eastAsia="lt-LT"/>
        </w:rPr>
        <w:t>ą</w:t>
      </w:r>
      <w:r>
        <w:rPr>
          <w:rFonts w:eastAsia="Calibri"/>
          <w:b/>
          <w:bCs/>
          <w:szCs w:val="22"/>
          <w:lang w:eastAsia="lt-LT"/>
        </w:rPr>
        <w:t xml:space="preserve"> </w:t>
      </w:r>
      <w:r>
        <w:rPr>
          <w:rFonts w:eastAsia="Calibri"/>
          <w:szCs w:val="22"/>
          <w:lang w:eastAsia="lt-LT"/>
        </w:rPr>
        <w:t xml:space="preserve">ir </w:t>
      </w:r>
      <w:r>
        <w:rPr>
          <w:rFonts w:eastAsia="Calibri"/>
          <w:color w:val="000000"/>
          <w:szCs w:val="22"/>
          <w:lang w:eastAsia="lt-LT"/>
        </w:rPr>
        <w:t>užsieniečiams, kurie yra Lietuvos Respublikos piliečių ir užsieniečių, turinčių teisę nuolat gyventi Lietuvos Respublikoje patvirtinančius dokumentus, šeimos nariai (tėvai (įtėviai), vaikai (įvaikiai), sutuoktiniai, globėjai);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418"/>
        </w:tabs>
        <w:ind w:firstLine="851"/>
        <w:jc w:val="both"/>
        <w:rPr>
          <w:szCs w:val="24"/>
        </w:rPr>
      </w:pPr>
      <w:r>
        <w:rPr>
          <w:rFonts w:eastAsia="Calibri"/>
          <w:color w:val="000000"/>
          <w:szCs w:val="22"/>
          <w:lang w:eastAsia="lt-LT"/>
        </w:rPr>
        <w:t>3.3.3</w:t>
      </w:r>
      <w:r>
        <w:rPr>
          <w:rFonts w:eastAsia="Calibri"/>
          <w:color w:val="000000"/>
          <w:szCs w:val="22"/>
          <w:lang w:eastAsia="lt-LT"/>
        </w:rPr>
        <w:t xml:space="preserve">. užsieniečiams, turintiems Lietuvos Respublikos nacionalinę vizą </w:t>
      </w:r>
      <w:r>
        <w:rPr>
          <w:rFonts w:eastAsia="Calibri"/>
          <w:bCs/>
          <w:color w:val="000000"/>
          <w:szCs w:val="22"/>
          <w:lang w:eastAsia="lt-LT"/>
        </w:rPr>
        <w:t>ar dėl kurių Migracijos departamentas prie Lietuvos Respublikos vidaus reikalų ministerijos priėmė sprendimą išduoti nacionalinę vizą</w:t>
      </w:r>
      <w:r>
        <w:rPr>
          <w:rFonts w:eastAsia="Calibri"/>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keepNext/>
        <w:tabs>
          <w:tab w:val="left" w:pos="1701"/>
        </w:tabs>
        <w:ind w:firstLine="851"/>
        <w:jc w:val="both"/>
        <w:rPr>
          <w:szCs w:val="24"/>
        </w:rPr>
      </w:pPr>
      <w:r>
        <w:rPr>
          <w:rFonts w:eastAsia="Calibri"/>
          <w:szCs w:val="22"/>
          <w:lang w:eastAsia="lt-LT"/>
        </w:rPr>
        <w:t>3.3.4</w:t>
      </w:r>
      <w:r>
        <w:rPr>
          <w:rFonts w:eastAsia="Calibri"/>
          <w:szCs w:val="22"/>
          <w:lang w:eastAsia="lt-LT"/>
        </w:rPr>
        <w:t>.</w:t>
        <w:tab/>
        <w:t xml:space="preserve">užsieniečiams, teisėtai gyvenantiems valstybėse, nenurodytose šio nutarimo 3.3.1 papunktyje ir </w:t>
      </w:r>
      <w:r>
        <w:rPr>
          <w:rFonts w:eastAsia="Calibri"/>
          <w:bCs/>
          <w:szCs w:val="22"/>
          <w:lang w:eastAsia="lt-LT"/>
        </w:rPr>
        <w:t>kurios įtrauktos į Europos Sąjungos lygmeniu nustatytą trečiųjų šalių, kurių gyventojams laikinas išorės sienų kirtimo apribojimas nebūtinų kelionių į ES tikslais turėtų būti netaikomas, sąrašą, nebent</w:t>
      </w:r>
      <w:r>
        <w:rPr>
          <w:rFonts w:eastAsia="Calibri"/>
          <w:b/>
          <w:bCs/>
          <w:szCs w:val="22"/>
          <w:lang w:eastAsia="lt-LT"/>
        </w:rPr>
        <w:t xml:space="preserve"> </w:t>
      </w:r>
      <w:r>
        <w:rPr>
          <w:rFonts w:eastAsia="Calibri"/>
          <w:szCs w:val="22"/>
          <w:lang w:eastAsia="lt-LT"/>
        </w:rPr>
        <w:t>sergamumas COVID-19 liga (koronaviruso infekcija) šiose valstybėse</w:t>
      </w:r>
      <w:r>
        <w:rPr>
          <w:rFonts w:eastAsia="Calibri"/>
          <w:b/>
          <w:szCs w:val="22"/>
          <w:lang w:eastAsia="lt-LT"/>
        </w:rPr>
        <w:t xml:space="preserve"> </w:t>
      </w:r>
      <w:r>
        <w:rPr>
          <w:rFonts w:eastAsia="Calibri"/>
          <w:szCs w:val="22"/>
          <w:lang w:eastAsia="lt-LT"/>
        </w:rPr>
        <w:t>neatitinka</w:t>
      </w:r>
      <w:r>
        <w:rPr>
          <w:rFonts w:eastAsia="Calibri"/>
          <w:b/>
          <w:szCs w:val="22"/>
          <w:lang w:eastAsia="lt-LT"/>
        </w:rPr>
        <w:t xml:space="preserve"> </w:t>
      </w:r>
      <w:r>
        <w:rPr>
          <w:rFonts w:eastAsia="Calibri"/>
          <w:szCs w:val="22"/>
          <w:lang w:eastAsia="lt-LT"/>
        </w:rPr>
        <w:t>šio nutarimo 3.3.1 papunktyje nustatytų</w:t>
      </w:r>
      <w:r>
        <w:rPr>
          <w:rFonts w:eastAsia="Calibri"/>
          <w:b/>
          <w:szCs w:val="22"/>
          <w:lang w:eastAsia="lt-LT"/>
        </w:rPr>
        <w:t xml:space="preserve"> </w:t>
      </w:r>
      <w:r>
        <w:rPr>
          <w:rFonts w:eastAsia="Calibri"/>
          <w:szCs w:val="22"/>
          <w:lang w:eastAsia="lt-LT"/>
        </w:rPr>
        <w:t>sergamumo kriterijų;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560"/>
        </w:tabs>
        <w:ind w:firstLine="851"/>
        <w:jc w:val="both"/>
        <w:rPr>
          <w:szCs w:val="24"/>
        </w:rPr>
      </w:pPr>
      <w:r>
        <w:rPr>
          <w:szCs w:val="24"/>
        </w:rPr>
        <w:t>3.3.5</w:t>
      </w:r>
      <w:r>
        <w:rPr>
          <w:szCs w:val="24"/>
        </w:rPr>
        <w:t>.</w:t>
        <w:tab/>
        <w:t>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tabs>
          <w:tab w:val="left" w:pos="1560"/>
        </w:tabs>
        <w:ind w:firstLine="851"/>
        <w:jc w:val="both"/>
        <w:rPr>
          <w:szCs w:val="24"/>
        </w:rPr>
      </w:pPr>
      <w:r>
        <w:rPr>
          <w:szCs w:val="24"/>
        </w:rPr>
        <w:t>3.3.6</w:t>
      </w:r>
      <w:r>
        <w:rPr>
          <w:szCs w:val="24"/>
        </w:rPr>
        <w:t>.</w:t>
        <w:tab/>
        <w:t>NATO ir NATO šalių kariniuose vienetuose tarnaujantiems asmenims ir juos aptarnaujančiam personalui bei jų šeimos nariams;</w:t>
      </w:r>
    </w:p>
    <w:p>
      <w:pPr>
        <w:tabs>
          <w:tab w:val="left" w:pos="1134"/>
        </w:tabs>
        <w:ind w:firstLine="851"/>
        <w:jc w:val="both"/>
        <w:rPr>
          <w:szCs w:val="24"/>
        </w:rPr>
      </w:pPr>
      <w:r>
        <w:rPr>
          <w:rFonts w:eastAsia="Calibri"/>
          <w:szCs w:val="24"/>
          <w:lang w:eastAsia="lt-LT"/>
        </w:rPr>
        <w:t>3.3.7</w:t>
      </w:r>
      <w:r>
        <w:rPr>
          <w:rFonts w:eastAsia="Calibri"/>
          <w:szCs w:val="24"/>
          <w:lang w:eastAsia="lt-LT"/>
        </w:rPr>
        <w:t>. 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560"/>
        </w:tabs>
        <w:ind w:firstLine="851"/>
        <w:jc w:val="both"/>
      </w:pPr>
      <w:r>
        <w:rPr>
          <w:szCs w:val="24"/>
        </w:rPr>
        <w:t>3.3.8</w:t>
      </w:r>
      <w:r>
        <w:rPr>
          <w:szCs w:val="24"/>
        </w:rPr>
        <w:t>. sveikatos priežiūros specialistams, atvykstantiems į Lietuvos Respubliką teikti sveikatos priežiūros paslaugų;</w:t>
      </w:r>
    </w:p>
    <w:p>
      <w:pPr>
        <w:tabs>
          <w:tab w:val="left" w:pos="1701"/>
        </w:tabs>
        <w:ind w:firstLine="851"/>
        <w:jc w:val="both"/>
        <w:rPr>
          <w:szCs w:val="24"/>
        </w:rPr>
      </w:pPr>
      <w:r>
        <w:rPr>
          <w:rFonts w:eastAsia="Calibri"/>
          <w:bCs/>
          <w:color w:val="000000"/>
          <w:szCs w:val="24"/>
          <w:lang w:eastAsia="lt-LT"/>
        </w:rPr>
        <w:t>3.3.9</w:t>
      </w:r>
      <w:r>
        <w:rPr>
          <w:rFonts w:eastAsia="Calibri"/>
          <w:bCs/>
          <w:color w:val="000000"/>
          <w:szCs w:val="24"/>
          <w:lang w:eastAsia="lt-LT"/>
        </w:rPr>
        <w:t>. aukšto meistriškumo sportininkams, aukšto meistriškumo sporto ir fizinio aktyvumo specialistams, aukšto meistriškumo sporto ir fizinio aktyvumo instruktoriams ir jų šeimų nariams, atvykstantiems į Lietuvos Respubliką švietimo, mokslo ir sporto ministro leidimu ruoštis aukšto meistriškumo sporto varžyboms ir dalyvauti 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3.3.10</w:t>
      </w:r>
      <w:r>
        <w:rPr>
          <w:szCs w:val="24"/>
        </w:rPr>
        <w:t>.</w:t>
        <w:tab/>
        <w:t>menininkams, atvykstantiems į Lietuvos Respubliką kultūros ministro leidimu dalyvauti profesionaliojo meno renginiuose, ir juos aptarnaujančiam personalui;</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3.3.11</w:t>
      </w:r>
      <w:r>
        <w:rPr>
          <w:szCs w:val="24"/>
        </w:rPr>
        <w:t>.</w:t>
        <w:tab/>
        <w:t>žurnalistams, atvykstantiems į Lietuvos Respubliką užsienio reikalų ministro leidimu;</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3.3.12</w:t>
      </w:r>
      <w:r>
        <w:rPr>
          <w:szCs w:val="24"/>
        </w:rPr>
        <w:t>.</w:t>
        <w:tab/>
        <w:t>kitais išimtiniais atvejais, kai užsieniečiams leidžiama atvykti į Lietuvos Respubliką atskiru atitinkamos valdymo srities ministro leidimu ir jų atvykimui pritaria Vyriausybė;</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 w:val="left" w:pos="1843"/>
        </w:tabs>
        <w:ind w:firstLine="851"/>
        <w:jc w:val="both"/>
        <w:rPr>
          <w:szCs w:val="24"/>
        </w:rPr>
      </w:pPr>
      <w:r>
        <w:rPr>
          <w:szCs w:val="24"/>
        </w:rPr>
        <w:t>3.3.13</w:t>
      </w:r>
      <w:r>
        <w:rPr>
          <w:szCs w:val="24"/>
        </w:rPr>
        <w:t>.</w:t>
        <w:tab/>
        <w:t>tranzitu per Lietuvos Respublikos teritoriją vykstantiems asmenims: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843"/>
        </w:tabs>
        <w:ind w:firstLine="851"/>
        <w:jc w:val="both"/>
        <w:rPr>
          <w:szCs w:val="24"/>
        </w:rPr>
      </w:pPr>
      <w:r>
        <w:rPr>
          <w:szCs w:val="24"/>
        </w:rPr>
        <w:t>3.3.13.1</w:t>
      </w:r>
      <w:r>
        <w:rPr>
          <w:szCs w:val="24"/>
        </w:rPr>
        <w:t>.</w:t>
        <w:tab/>
        <w:t>grįžtantiems į savo gyvenamosios vietos valstybę;</w:t>
      </w:r>
    </w:p>
    <w:p>
      <w:pPr>
        <w:tabs>
          <w:tab w:val="left" w:pos="1843"/>
        </w:tabs>
        <w:ind w:firstLine="851"/>
        <w:jc w:val="both"/>
        <w:rPr>
          <w:szCs w:val="24"/>
        </w:rPr>
      </w:pPr>
      <w:r>
        <w:rPr>
          <w:szCs w:val="24"/>
        </w:rPr>
        <w:t>3.3.13.2</w:t>
      </w:r>
      <w:r>
        <w:rPr>
          <w:szCs w:val="24"/>
        </w:rPr>
        <w:t>.</w:t>
        <w:tab/>
        <w:t>dėl kurių yra motyvuotas užsienio valstybės prašymas;</w:t>
      </w:r>
    </w:p>
    <w:p>
      <w:pPr>
        <w:pStyle w:val="PlainText"/>
        <w:ind w:firstLine="567"/>
        <w:jc w:val="both"/>
        <w:rPr>
          <w:rFonts w:ascii="Times New Roman" w:hAnsi="Times New Roman"/>
          <w:b/>
          <w:bCs/>
          <w:sz w:val="22"/>
        </w:rPr>
      </w:pPr>
      <w:r>
        <w:rPr>
          <w:rFonts w:ascii="Times New Roman" w:hAnsi="Times New Roman"/>
          <w:sz w:val="22"/>
        </w:rPr>
        <w:t>3.3.13.3</w:t>
      </w:r>
      <w:r>
        <w:rPr>
          <w:rFonts w:ascii="Times New Roman" w:hAnsi="Times New Roman"/>
          <w:sz w:val="22"/>
        </w:rPr>
        <w:t>.</w:t>
      </w:r>
      <w:r>
        <w:rPr>
          <w:rFonts w:ascii="Times New Roman" w:eastAsia="MS Mincho" w:hAnsi="Times New Roman"/>
          <w:sz w:val="20"/>
          <w:i/>
          <w:iCs/>
        </w:rPr>
        <w:t xml:space="preserve"> Neteko galios nuo 2020-07-16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843"/>
        </w:tabs>
        <w:ind w:firstLine="851"/>
        <w:jc w:val="both"/>
        <w:rPr>
          <w:szCs w:val="24"/>
        </w:rPr>
      </w:pPr>
      <w:r>
        <w:rPr>
          <w:szCs w:val="24"/>
        </w:rPr>
        <w:t>3.3.13.4</w:t>
      </w:r>
      <w:r>
        <w:rPr>
          <w:szCs w:val="24"/>
        </w:rPr>
        <w:t>.</w:t>
        <w:tab/>
        <w:t>besinaudojantiems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ind w:firstLine="851"/>
        <w:jc w:val="both"/>
        <w:rPr>
          <w:szCs w:val="24"/>
        </w:rPr>
      </w:pPr>
      <w:r>
        <w:rPr>
          <w:szCs w:val="24"/>
          <w:lang w:eastAsia="lt-LT"/>
        </w:rPr>
        <w:t>3.3</w:t>
      </w:r>
      <w:r>
        <w:rPr>
          <w:szCs w:val="24"/>
          <w:vertAlign w:val="superscript"/>
          <w:lang w:eastAsia="lt-LT"/>
        </w:rPr>
        <w:t>1</w:t>
      </w:r>
      <w:r>
        <w:rPr>
          <w:szCs w:val="24"/>
          <w:lang w:eastAsia="lt-LT"/>
        </w:rPr>
        <w:t>. Užsieniečiai, atvykstantys ne iš  Europos ekonominės erdvės valstybių, Šveicarijos Konfederacijos, Jungtinės Didžiosios Britanijos ir Šiaurės Airijos Karalystės, išskyrus nurodytus 3.3.5, 3.3.6, 3.3.13 papunkčiuose, privalo laikytis valstybės lygio ekstremaliosios situacijos operacijų vadovo nustatytų izoliavimo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276"/>
          <w:tab w:val="left" w:pos="1985"/>
        </w:tabs>
        <w:ind w:firstLine="851"/>
        <w:jc w:val="both"/>
        <w:rPr>
          <w:szCs w:val="24"/>
        </w:rPr>
      </w:pPr>
      <w:r>
        <w:rPr>
          <w:szCs w:val="24"/>
        </w:rPr>
        <w:t>3.4</w:t>
      </w:r>
      <w:r>
        <w:rPr>
          <w:szCs w:val="24"/>
        </w:rPr>
        <w:t>.</w:t>
        <w:tab/>
        <w:t>Asmenys, kuriems netaikomas valstybės sienos kirtimo ribojimas, valstybės sieną kerta tik per šio nutarimo 3.2 papunktyje nurodytus sienos perėjimo punktus.</w:t>
      </w:r>
    </w:p>
    <w:p>
      <w:pPr>
        <w:tabs>
          <w:tab w:val="left" w:pos="1134"/>
        </w:tabs>
        <w:ind w:firstLine="851"/>
        <w:jc w:val="both"/>
        <w:rPr>
          <w:szCs w:val="24"/>
        </w:rPr>
      </w:pPr>
      <w:r>
        <w:rPr>
          <w:color w:val="000000"/>
          <w:szCs w:val="24"/>
        </w:rPr>
        <w:t>4</w:t>
      </w:r>
      <w:r>
        <w:rPr>
          <w:color w:val="000000"/>
          <w:szCs w:val="24"/>
        </w:rPr>
        <w:t>.</w:t>
        <w:tab/>
        <w:t>Nustatyti šias valstybės lygio ekstremaliosios situacijos likvidavimo ir pasekmių šalinimo priemones:</w:t>
      </w:r>
    </w:p>
    <w:p>
      <w:pPr>
        <w:tabs>
          <w:tab w:val="left" w:pos="1276"/>
        </w:tabs>
        <w:ind w:firstLine="851"/>
        <w:jc w:val="both"/>
        <w:rPr>
          <w:szCs w:val="24"/>
        </w:rPr>
      </w:pPr>
      <w:r>
        <w:rPr>
          <w:szCs w:val="24"/>
        </w:rPr>
        <w:t>4.1</w:t>
      </w:r>
      <w:r>
        <w:rPr>
          <w:szCs w:val="24"/>
        </w:rPr>
        <w:t>.</w:t>
        <w:tab/>
      </w:r>
      <w:r>
        <w:rPr>
          <w:bCs/>
          <w:color w:val="000000"/>
          <w:szCs w:val="24"/>
        </w:rPr>
        <w:t>ūkinės veiklos apribojimo priemones:</w:t>
      </w:r>
    </w:p>
    <w:p>
      <w:pPr>
        <w:tabs>
          <w:tab w:val="left" w:pos="1134"/>
        </w:tabs>
        <w:ind w:firstLine="851"/>
        <w:jc w:val="both"/>
        <w:rPr>
          <w:szCs w:val="24"/>
        </w:rPr>
      </w:pPr>
      <w:r>
        <w:rPr>
          <w:color w:val="000000"/>
          <w:szCs w:val="24"/>
          <w:lang w:eastAsia="lt-LT"/>
        </w:rPr>
        <w:t>4.1.1</w:t>
      </w:r>
      <w:r>
        <w:rPr>
          <w:color w:val="000000"/>
          <w:szCs w:val="24"/>
          <w:lang w:eastAsia="lt-LT"/>
        </w:rPr>
        <w:t>.   paslaugos teikiamos, prekyba, veikla laisvalaikio ir pramogų vietose, viešojo maitinimo įstaigų, restoranų, kavinių, barų, naktinių klubų ir kitų pasilinksminimo vietų, lošimo namų (kazino) ir lošimo automatų, bingo salonų darbo veikla vykdoma, kultūros, pramogų, sporto ar kiti renginiai (toliau – renginys) organizuojami ir vykdomi užtikrinant valstybės lygio ekstremaliosios situacijos operacijų vadovo nustatytas asmenų srautų valdymo, saugaus atstumo laikymosi</w:t>
      </w:r>
      <w:r>
        <w:rPr>
          <w:b/>
          <w:bCs/>
          <w:color w:val="000000"/>
          <w:szCs w:val="24"/>
          <w:lang w:eastAsia="lt-LT"/>
        </w:rPr>
        <w:t xml:space="preserve"> </w:t>
      </w:r>
      <w:r>
        <w:rPr>
          <w:color w:val="000000"/>
          <w:szCs w:val="24"/>
          <w:lang w:eastAsia="lt-LT"/>
        </w:rPr>
        <w:t>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ind w:firstLine="851"/>
        <w:jc w:val="both"/>
        <w:rPr>
          <w:color w:val="000000"/>
          <w:szCs w:val="24"/>
          <w:lang w:eastAsia="lt-LT"/>
        </w:rPr>
      </w:pPr>
      <w:r>
        <w:rPr>
          <w:color w:val="000000"/>
          <w:szCs w:val="24"/>
          <w:lang w:eastAsia="lt-LT"/>
        </w:rPr>
        <w:t>4.1.2</w:t>
      </w:r>
      <w:r>
        <w:rPr>
          <w:color w:val="000000"/>
          <w:szCs w:val="24"/>
          <w:lang w:eastAsia="lt-LT"/>
        </w:rPr>
        <w:t>. renginiai organizuojami ir vykdomi:</w:t>
      </w:r>
    </w:p>
    <w:p>
      <w:pPr>
        <w:ind w:firstLine="851"/>
        <w:jc w:val="both"/>
        <w:rPr>
          <w:color w:val="000000"/>
          <w:szCs w:val="24"/>
          <w:lang w:eastAsia="lt-LT"/>
        </w:rPr>
      </w:pPr>
      <w:r>
        <w:rPr>
          <w:color w:val="000000"/>
          <w:szCs w:val="24"/>
          <w:lang w:eastAsia="lt-LT"/>
        </w:rPr>
        <w:t>4.1.2.1</w:t>
      </w:r>
      <w:r>
        <w:rPr>
          <w:color w:val="000000"/>
          <w:szCs w:val="24"/>
          <w:lang w:eastAsia="lt-LT"/>
        </w:rPr>
        <w:t>. nuo 2020 m. liepos 17 d. iki 2020 m. liepos 31 d.:</w:t>
      </w:r>
    </w:p>
    <w:p>
      <w:pPr>
        <w:ind w:left="142" w:firstLine="709"/>
        <w:jc w:val="both"/>
        <w:rPr>
          <w:color w:val="000000"/>
          <w:szCs w:val="24"/>
          <w:lang w:eastAsia="lt-LT"/>
        </w:rPr>
      </w:pPr>
      <w:r>
        <w:rPr>
          <w:color w:val="000000"/>
          <w:szCs w:val="24"/>
          <w:lang w:eastAsia="lt-LT"/>
        </w:rPr>
        <w:t>4.1.2.1.1</w:t>
      </w:r>
      <w:r>
        <w:rPr>
          <w:color w:val="000000"/>
          <w:szCs w:val="24"/>
          <w:lang w:eastAsia="lt-LT"/>
        </w:rPr>
        <w:t>. atvirose erdvėse, kai renginyje dalyvauja ne daugiau nei 1000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ind w:left="142" w:firstLine="709"/>
        <w:jc w:val="both"/>
        <w:rPr>
          <w:color w:val="000000"/>
          <w:szCs w:val="24"/>
          <w:lang w:eastAsia="lt-LT"/>
        </w:rPr>
      </w:pPr>
      <w:r>
        <w:rPr>
          <w:color w:val="000000"/>
          <w:szCs w:val="24"/>
          <w:lang w:eastAsia="lt-LT"/>
        </w:rPr>
        <w:t>4.1.2.1.2</w:t>
      </w:r>
      <w:r>
        <w:rPr>
          <w:color w:val="000000"/>
          <w:szCs w:val="24"/>
          <w:lang w:eastAsia="lt-LT"/>
        </w:rPr>
        <w:t>. uždarose erdvėse, kai renginyje dalyvauja ne daugiau nei 400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ind w:firstLine="851"/>
        <w:jc w:val="both"/>
        <w:rPr>
          <w:color w:val="000000"/>
          <w:szCs w:val="24"/>
          <w:lang w:eastAsia="lt-LT"/>
        </w:rPr>
      </w:pPr>
      <w:r>
        <w:rPr>
          <w:color w:val="000000"/>
          <w:szCs w:val="24"/>
          <w:lang w:eastAsia="lt-LT"/>
        </w:rPr>
        <w:t>4.1.2.2</w:t>
      </w:r>
      <w:r>
        <w:rPr>
          <w:color w:val="000000"/>
          <w:szCs w:val="24"/>
          <w:lang w:eastAsia="lt-LT"/>
        </w:rPr>
        <w:t>. nuo 2020 m. rugpjūčio 1 d. iki 2020 m. rugpjūčio 15 d.:</w:t>
      </w:r>
    </w:p>
    <w:p>
      <w:pPr>
        <w:ind w:firstLine="851"/>
        <w:jc w:val="both"/>
        <w:rPr>
          <w:color w:val="000000"/>
          <w:szCs w:val="24"/>
          <w:lang w:eastAsia="lt-LT"/>
        </w:rPr>
      </w:pPr>
      <w:r>
        <w:rPr>
          <w:color w:val="000000"/>
          <w:szCs w:val="24"/>
          <w:lang w:eastAsia="lt-LT"/>
        </w:rPr>
        <w:t>4.1.2.2.1</w:t>
      </w:r>
      <w:r>
        <w:rPr>
          <w:color w:val="000000"/>
          <w:szCs w:val="24"/>
          <w:lang w:eastAsia="lt-LT"/>
        </w:rPr>
        <w:t>. atvirose erdvėse, kai renginyje dalyvauja ne daugiau nei 1 000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ind w:firstLine="851"/>
        <w:jc w:val="both"/>
        <w:rPr>
          <w:color w:val="000000"/>
          <w:szCs w:val="24"/>
        </w:rPr>
      </w:pPr>
      <w:r>
        <w:rPr>
          <w:color w:val="000000"/>
          <w:szCs w:val="24"/>
          <w:lang w:eastAsia="lt-LT"/>
        </w:rPr>
        <w:t>4.1.2.2.2</w:t>
      </w:r>
      <w:r>
        <w:rPr>
          <w:color w:val="000000"/>
          <w:szCs w:val="24"/>
          <w:lang w:eastAsia="lt-LT"/>
        </w:rPr>
        <w:t>. uždarose erdvėse, kai renginyje dalyvauja ne daugiau nei 500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276"/>
        </w:tabs>
        <w:ind w:firstLine="851"/>
        <w:jc w:val="both"/>
        <w:rPr>
          <w:color w:val="000000"/>
          <w:szCs w:val="24"/>
        </w:rPr>
      </w:pPr>
      <w:r>
        <w:rPr>
          <w:color w:val="000000"/>
          <w:szCs w:val="24"/>
        </w:rPr>
        <w:t>4.2</w:t>
      </w:r>
      <w:r>
        <w:rPr>
          <w:color w:val="000000"/>
          <w:szCs w:val="24"/>
        </w:rPr>
        <w:t>.</w:t>
        <w:tab/>
        <w:t>viešųjų ir administracinių paslaugų teikimo apribojimo priemones:</w:t>
      </w:r>
    </w:p>
    <w:p>
      <w:pPr>
        <w:tabs>
          <w:tab w:val="left" w:pos="1418"/>
        </w:tabs>
        <w:ind w:firstLine="851"/>
        <w:jc w:val="both"/>
        <w:rPr>
          <w:color w:val="000000"/>
          <w:szCs w:val="24"/>
        </w:rPr>
      </w:pPr>
      <w:r>
        <w:rPr>
          <w:color w:val="000000"/>
          <w:szCs w:val="24"/>
        </w:rPr>
        <w:t>4.2.1</w:t>
      </w:r>
      <w:r>
        <w:rPr>
          <w:color w:val="000000"/>
          <w:szCs w:val="24"/>
        </w:rPr>
        <w:t>.</w:t>
        <w:tab/>
        <w:t>švietimo veiklos organizavimo ir vykdymo srityje:</w:t>
      </w:r>
    </w:p>
    <w:p>
      <w:pPr>
        <w:tabs>
          <w:tab w:val="left" w:pos="1134"/>
        </w:tabs>
        <w:ind w:firstLine="851"/>
        <w:jc w:val="both"/>
        <w:rPr>
          <w:color w:val="000000"/>
          <w:szCs w:val="24"/>
        </w:rPr>
      </w:pPr>
      <w:r>
        <w:rPr>
          <w:rFonts w:eastAsia="Calibri"/>
          <w:iCs/>
          <w:szCs w:val="22"/>
          <w:lang w:eastAsia="lt-LT"/>
        </w:rPr>
        <w:t>4.2.1.1</w:t>
      </w:r>
      <w:r>
        <w:rPr>
          <w:rFonts w:eastAsia="Calibri"/>
          <w:iCs/>
          <w:szCs w:val="22"/>
          <w:lang w:eastAsia="lt-LT"/>
        </w:rPr>
        <w:t xml:space="preserve">.  nuo 2020 m. birželio 17 d. iki </w:t>
      </w:r>
      <w:r>
        <w:rPr>
          <w:rFonts w:eastAsia="Calibri"/>
          <w:bCs/>
          <w:color w:val="000000"/>
          <w:szCs w:val="22"/>
          <w:lang w:eastAsia="lt-LT"/>
        </w:rPr>
        <w:t>2020 m. rugpjūčio 15 d.</w:t>
      </w:r>
      <w:r>
        <w:rPr>
          <w:rFonts w:eastAsia="Calibri"/>
          <w:iCs/>
          <w:szCs w:val="22"/>
          <w:lang w:eastAsia="lt-LT"/>
        </w:rPr>
        <w:t> ikimokyklinis, priešmokyklinis ugdymas bei neformalusis vaikų švietimas vykdomi mokyklose ir kitų švietimo teikėjų, jeigu užtikrinamos valstybės lygio ekstremaliosios situacijos operacijų vadovo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701"/>
        </w:tabs>
        <w:ind w:firstLine="851"/>
        <w:jc w:val="both"/>
        <w:rPr>
          <w:color w:val="000000"/>
          <w:szCs w:val="24"/>
        </w:rPr>
      </w:pPr>
      <w:r>
        <w:rPr>
          <w:color w:val="000000"/>
          <w:szCs w:val="24"/>
        </w:rPr>
        <w:t>4.2.1.2</w:t>
      </w:r>
      <w:r>
        <w:rPr>
          <w:color w:val="000000"/>
          <w:szCs w:val="24"/>
        </w:rPr>
        <w:t>.</w:t>
        <w:tab/>
        <w:t xml:space="preserve">ikimokyklinis, priešmokyklinis ugdymas bei neformalusis vaikų švietimas, jeigu nevykdomi šio </w:t>
      </w:r>
      <w:r>
        <w:rPr>
          <w:szCs w:val="24"/>
        </w:rPr>
        <w:t xml:space="preserve">nutarimo 4.2.1.1 papunktyje </w:t>
      </w:r>
      <w:r>
        <w:rPr>
          <w:color w:val="000000"/>
          <w:szCs w:val="24"/>
        </w:rPr>
        <w:t>nurodyti reikalavimai, tęsiamas nuotoliniu būdu;</w:t>
      </w:r>
    </w:p>
    <w:p>
      <w:pPr>
        <w:tabs>
          <w:tab w:val="left" w:pos="1560"/>
        </w:tabs>
        <w:ind w:firstLine="851"/>
        <w:jc w:val="both"/>
        <w:rPr>
          <w:color w:val="000000"/>
          <w:szCs w:val="24"/>
        </w:rPr>
      </w:pPr>
      <w:r>
        <w:rPr>
          <w:color w:val="000000"/>
          <w:szCs w:val="24"/>
        </w:rPr>
        <w:t>4.2.2</w:t>
      </w:r>
      <w:r>
        <w:rPr>
          <w:color w:val="000000"/>
          <w:szCs w:val="24"/>
        </w:rPr>
        <w:t>.</w:t>
        <w:tab/>
        <w:t>socialinių paslaugų įstaigų veiklos organizavimo srityje:</w:t>
      </w:r>
    </w:p>
    <w:p>
      <w:pPr>
        <w:tabs>
          <w:tab w:val="left" w:pos="1701"/>
        </w:tabs>
        <w:ind w:firstLine="851"/>
        <w:jc w:val="both"/>
        <w:rPr>
          <w:color w:val="000000"/>
          <w:szCs w:val="24"/>
        </w:rPr>
      </w:pPr>
      <w:r>
        <w:rPr>
          <w:color w:val="000000"/>
          <w:szCs w:val="24"/>
        </w:rPr>
        <w:t>4.2.2.1</w:t>
      </w:r>
      <w:r>
        <w:rPr>
          <w:color w:val="000000"/>
          <w:szCs w:val="24"/>
        </w:rPr>
        <w:t>.</w:t>
        <w:tab/>
        <w:t>lankant asmenis stacionariose socialinių paslaugų įstaigose, skirtose senyvo amžiaus ir neįgaliems,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p>
    <w:p>
      <w:pPr>
        <w:tabs>
          <w:tab w:val="left" w:pos="1701"/>
        </w:tabs>
        <w:ind w:firstLine="851"/>
        <w:jc w:val="both"/>
        <w:rPr>
          <w:color w:val="000000"/>
          <w:szCs w:val="24"/>
        </w:rPr>
      </w:pPr>
      <w:r>
        <w:rPr>
          <w:color w:val="000000"/>
          <w:szCs w:val="24"/>
        </w:rPr>
        <w:t>4.2.2.2</w:t>
      </w:r>
      <w:r>
        <w:rPr>
          <w:color w:val="000000"/>
          <w:szCs w:val="24"/>
        </w:rPr>
        <w:t>.</w:t>
        <w:tab/>
        <w:t>teikiant dienos ir trumpalaikės socialinės globos ar socialinės priežiūros (užimtumo) paslaugas senyvo amžiaus asmenims, nestacionariose socialinių paslaugų įstaigose užtikrinamos valstybės lygio ekstremaliosios situacijos operacijų vadovo nustatytos būtinos visuomenės sveikatos saugos, higienos, asmenų aprūpinimo būtinosiomis asmeninėmis apsaugos priemonėmis sąlygos;</w:t>
      </w:r>
    </w:p>
    <w:p>
      <w:pPr>
        <w:tabs>
          <w:tab w:val="left" w:pos="1134"/>
        </w:tabs>
        <w:ind w:firstLine="851"/>
        <w:jc w:val="both"/>
        <w:rPr>
          <w:color w:val="000000"/>
          <w:szCs w:val="24"/>
        </w:rPr>
      </w:pPr>
      <w:r>
        <w:rPr>
          <w:rFonts w:eastAsia="Calibri"/>
          <w:szCs w:val="24"/>
          <w:lang w:eastAsia="lt-LT"/>
        </w:rPr>
        <w:t>4.2.2.3</w:t>
      </w:r>
      <w:r>
        <w:rPr>
          <w:rFonts w:eastAsia="Calibri"/>
          <w:szCs w:val="24"/>
          <w:lang w:eastAsia="lt-LT"/>
        </w:rPr>
        <w:t xml:space="preserve">. </w:t>
      </w:r>
      <w:r>
        <w:rPr>
          <w:rFonts w:eastAsia="Calibri"/>
          <w:color w:val="000000"/>
          <w:szCs w:val="24"/>
          <w:lang w:eastAsia="lt-LT"/>
        </w:rPr>
        <w:t xml:space="preserve">iki 2020 m. rugpjūčio 1 d. </w:t>
      </w:r>
      <w:r>
        <w:rPr>
          <w:rFonts w:eastAsia="Calibri"/>
          <w:szCs w:val="24"/>
          <w:lang w:eastAsia="lt-LT"/>
        </w:rPr>
        <w:t>teikiant socialinės globos paslaugas stacionariose socialinių paslaugų įstaigose, skirtose senyvo amžiaus ir neįgaliems asmenims,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color w:val="000000"/>
          <w:szCs w:val="24"/>
        </w:rPr>
      </w:pPr>
      <w:r>
        <w:rPr>
          <w:color w:val="000000"/>
          <w:szCs w:val="24"/>
        </w:rPr>
        <w:t>4.2.3</w:t>
      </w:r>
      <w:r>
        <w:rPr>
          <w:color w:val="000000"/>
          <w:szCs w:val="24"/>
        </w:rPr>
        <w:t>.</w:t>
        <w:tab/>
        <w:t>sveikatos priežiūros įstaigų, nepaisant jų pavaldumo ir teisinės formos, veiklos organizavimo srityje:</w:t>
      </w:r>
    </w:p>
    <w:p>
      <w:pPr>
        <w:tabs>
          <w:tab w:val="left" w:pos="1701"/>
        </w:tabs>
        <w:ind w:firstLine="851"/>
        <w:jc w:val="both"/>
        <w:rPr>
          <w:color w:val="000000"/>
          <w:szCs w:val="24"/>
        </w:rPr>
      </w:pPr>
      <w:r>
        <w:rPr>
          <w:color w:val="000000"/>
          <w:szCs w:val="24"/>
        </w:rPr>
        <w:t>4.2.3.1</w:t>
      </w:r>
      <w:r>
        <w:rPr>
          <w:color w:val="000000"/>
          <w:szCs w:val="24"/>
        </w:rPr>
        <w:t>.</w:t>
        <w:tab/>
        <w:t>užtikrinamas pacientų bei lankytojų srautų, infrastruktūros ir materialiųjų bei žmogiškųjų išteklių valdymas;</w:t>
      </w:r>
    </w:p>
    <w:p>
      <w:pPr>
        <w:tabs>
          <w:tab w:val="left" w:pos="1701"/>
        </w:tabs>
        <w:ind w:left="142" w:firstLine="709"/>
        <w:jc w:val="both"/>
        <w:rPr>
          <w:color w:val="000000"/>
          <w:szCs w:val="24"/>
        </w:rPr>
      </w:pPr>
      <w:r>
        <w:rPr>
          <w:color w:val="000000"/>
          <w:szCs w:val="24"/>
        </w:rPr>
        <w:t>4.2.3.2</w:t>
      </w:r>
      <w:r>
        <w:rPr>
          <w:color w:val="000000"/>
          <w:szCs w:val="24"/>
        </w:rPr>
        <w:t>.</w:t>
        <w:tab/>
        <w:t xml:space="preserve">teikiant ambulatorines asmens sveikatos priežiūros paslaugas, prioritetas teikiamas nuotoliniam asmens sveikatos priežiūros paslaugų teikimo būdui. Sveikatos priežiūros įstaigos pasirenka paciento interesą </w:t>
      </w:r>
      <w:r>
        <w:rPr>
          <w:bCs/>
          <w:color w:val="000000"/>
          <w:szCs w:val="24"/>
        </w:rPr>
        <w:t>labiausiai</w:t>
      </w:r>
      <w:r>
        <w:rPr>
          <w:color w:val="000000"/>
          <w:szCs w:val="24"/>
        </w:rPr>
        <w:t xml:space="preserve"> atitinkantį sveikatos priežiūros paslaugos teikimo būdą;</w:t>
      </w:r>
    </w:p>
    <w:p>
      <w:pPr>
        <w:tabs>
          <w:tab w:val="left" w:pos="1701"/>
        </w:tabs>
        <w:ind w:firstLine="851"/>
        <w:jc w:val="both"/>
        <w:rPr>
          <w:szCs w:val="24"/>
        </w:rPr>
      </w:pPr>
      <w:r>
        <w:rPr>
          <w:szCs w:val="24"/>
        </w:rPr>
        <w:t>4.2.3.3</w:t>
      </w:r>
      <w:r>
        <w:rPr>
          <w:szCs w:val="24"/>
        </w:rPr>
        <w:t>.</w:t>
        <w:tab/>
        <w:t xml:space="preserve">sveikatos priežiūros įstaigos vadovai užtikrina, kad įstaigoje asmens sveikatos priežiūros paslaugos teikiamos pagal patvirtiną planinių stacionarinių ir (ar) planinių ambulatorinių asmens sveikatos priežiūros paslaugų planą, kuris parengtas pagal sveikatos apsaugos ministro nustatytus reikalavimus ir pateiktas Nacionaliniam visuomenės sveikatos centrui prie Sveikatos apsaugos ministerijos;  </w:t>
      </w:r>
    </w:p>
    <w:p>
      <w:pPr>
        <w:tabs>
          <w:tab w:val="left" w:pos="1560"/>
          <w:tab w:val="left" w:pos="1701"/>
        </w:tabs>
        <w:ind w:firstLine="851"/>
        <w:jc w:val="both"/>
      </w:pPr>
      <w:r>
        <w:rPr>
          <w:color w:val="000000"/>
          <w:szCs w:val="24"/>
        </w:rPr>
        <w:t>4.2.3.4</w:t>
      </w:r>
      <w:r>
        <w:rPr>
          <w:color w:val="000000"/>
          <w:szCs w:val="24"/>
        </w:rPr>
        <w:t>.</w:t>
        <w:tab/>
        <w:t>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t xml:space="preserve"> </w:t>
      </w:r>
    </w:p>
    <w:p>
      <w:pPr>
        <w:tabs>
          <w:tab w:val="left" w:pos="1134"/>
        </w:tabs>
        <w:ind w:firstLine="851"/>
        <w:jc w:val="both"/>
      </w:pPr>
      <w:r>
        <w:rPr>
          <w:rFonts w:eastAsia="Calibri"/>
          <w:bCs/>
          <w:szCs w:val="24"/>
          <w:lang w:eastAsia="lt-LT"/>
        </w:rPr>
        <w:t>4.2.4</w:t>
      </w:r>
      <w:r>
        <w:rPr>
          <w:rFonts w:eastAsia="Calibri"/>
          <w:bCs/>
          <w:szCs w:val="24"/>
          <w:lang w:eastAsia="lt-LT"/>
        </w:rPr>
        <w:t>. viešojo transporto paslaugos teikiamos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276"/>
        </w:tabs>
        <w:ind w:firstLine="851"/>
        <w:jc w:val="both"/>
      </w:pPr>
      <w:r>
        <w:rPr>
          <w:szCs w:val="24"/>
          <w:lang w:eastAsia="lt-LT"/>
        </w:rPr>
        <w:t>5</w:t>
      </w:r>
      <w:r>
        <w:rPr>
          <w:szCs w:val="24"/>
          <w:lang w:eastAsia="lt-LT"/>
        </w:rPr>
        <w:t>.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
    <w:p/>
    <w:p>
      <w:pPr>
        <w:rPr>
          <w:szCs w:val="24"/>
          <w:lang w:eastAsia="lt-LT"/>
        </w:rPr>
      </w:pPr>
      <w:r>
        <w:rPr>
          <w:szCs w:val="24"/>
          <w:lang w:eastAsia="lt-LT"/>
        </w:rPr>
        <w:t xml:space="preserve">Ministrą Pirmininką pavaduojantis </w:t>
      </w:r>
    </w:p>
    <w:p>
      <w:pPr>
        <w:rPr>
          <w:szCs w:val="24"/>
          <w:lang w:eastAsia="lt-LT"/>
        </w:rPr>
      </w:pPr>
      <w:r>
        <w:rPr>
          <w:szCs w:val="24"/>
          <w:lang w:eastAsia="lt-LT"/>
        </w:rPr>
        <w:t xml:space="preserve">energetikos ministras, laikinai einantis </w:t>
        <w:tab/>
        <w:t xml:space="preserve"> </w:t>
      </w:r>
    </w:p>
    <w:p>
      <w:pPr>
        <w:rPr>
          <w:szCs w:val="24"/>
          <w:lang w:eastAsia="lt-LT"/>
        </w:rPr>
      </w:pPr>
      <w:r>
        <w:rPr>
          <w:szCs w:val="24"/>
          <w:lang w:eastAsia="lt-LT"/>
        </w:rPr>
        <w:t xml:space="preserve">ekonomikos ir inovacijų ministro pareigas </w:t>
        <w:tab/>
        <w:tab/>
        <w:tab/>
        <w:tab/>
        <w:tab/>
        <w:t>Žygimantas Vaičiūnas</w:t>
        <w:tab/>
      </w:r>
    </w:p>
    <w:p>
      <w:pPr>
        <w:rPr>
          <w:szCs w:val="24"/>
          <w:lang w:eastAsia="lt-LT"/>
        </w:rPr>
      </w:pPr>
    </w:p>
    <w:p>
      <w:pPr>
        <w:rPr>
          <w:szCs w:val="24"/>
          <w:lang w:eastAsia="lt-LT"/>
        </w:rPr>
      </w:pPr>
    </w:p>
    <w:p>
      <w:pPr>
        <w:rPr>
          <w:szCs w:val="24"/>
          <w:lang w:eastAsia="lt-LT"/>
        </w:rPr>
      </w:pPr>
    </w:p>
    <w:p>
      <w:pPr>
        <w:tabs>
          <w:tab w:val="center" w:pos="-7800"/>
          <w:tab w:val="left" w:pos="6237"/>
          <w:tab w:val="right" w:pos="8306"/>
        </w:tabs>
        <w:rPr>
          <w:szCs w:val="24"/>
          <w:lang w:eastAsia="lt-LT"/>
        </w:rPr>
      </w:pPr>
      <w:r>
        <w:rPr>
          <w:lang w:eastAsia="lt-LT"/>
        </w:rPr>
        <w:t>Vidaus reikalų ministrė</w:t>
      </w:r>
      <w:r>
        <w:rPr>
          <w:szCs w:val="24"/>
          <w:lang w:eastAsia="lt-LT"/>
        </w:rPr>
        <w:tab/>
        <w:tab/>
        <w:t xml:space="preserve">                 Rita Tamašunienė</w:t>
        <w:tab/>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348ed0abe011eab9d9cd0c85e0b745">
        <w:r w:rsidRPr="00532B9F">
          <w:rPr>
            <w:rFonts w:ascii="Times New Roman" w:eastAsia="MS Mincho" w:hAnsi="Times New Roman"/>
            <w:sz w:val="20"/>
            <w:iCs/>
            <w:color w:val="0000FF" w:themeColor="hyperlink"/>
            <w:u w:val="single"/>
          </w:rPr>
          <w:t>588</w:t>
        </w:r>
      </w:fldSimple>
      <w:r>
        <w:rPr>
          <w:rFonts w:ascii="Times New Roman" w:eastAsia="MS Mincho" w:hAnsi="Times New Roman"/>
          <w:sz w:val="20"/>
          <w:iCs/>
        </w:rPr>
        <w:t>,
2020-06-10,
paskelbta TAR 2020-06-11, i. k. 2020-12822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58480c0b51111eab9d9cd0c85e0b745">
        <w:r w:rsidRPr="00532B9F">
          <w:rPr>
            <w:rFonts w:ascii="Times New Roman" w:eastAsia="MS Mincho" w:hAnsi="Times New Roman"/>
            <w:sz w:val="20"/>
            <w:iCs/>
            <w:color w:val="0000FF" w:themeColor="hyperlink"/>
            <w:u w:val="single"/>
          </w:rPr>
          <w:t>649</w:t>
        </w:r>
      </w:fldSimple>
      <w:r>
        <w:rPr>
          <w:rFonts w:ascii="Times New Roman" w:eastAsia="MS Mincho" w:hAnsi="Times New Roman"/>
          <w:sz w:val="20"/>
          <w:iCs/>
        </w:rPr>
        <w:t>,
2020-06-22,
paskelbta TAR 2020-06-23, i. k. 2020-13681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d2113b0c1be11ea9815f635b9c0dcef">
        <w:r w:rsidRPr="00532B9F">
          <w:rPr>
            <w:rFonts w:ascii="Times New Roman" w:eastAsia="MS Mincho" w:hAnsi="Times New Roman"/>
            <w:sz w:val="20"/>
            <w:iCs/>
            <w:color w:val="0000FF" w:themeColor="hyperlink"/>
            <w:u w:val="single"/>
          </w:rPr>
          <w:t>749</w:t>
        </w:r>
      </w:fldSimple>
      <w:r>
        <w:rPr>
          <w:rFonts w:ascii="Times New Roman" w:eastAsia="MS Mincho" w:hAnsi="Times New Roman"/>
          <w:sz w:val="20"/>
          <w:iCs/>
        </w:rPr>
        <w:t>,
2020-07-08,
paskelbta TAR 2020-07-09, i. k. 2020-15359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9f6b4c0c77011ea997c9ee767e856b4">
        <w:r w:rsidRPr="00532B9F">
          <w:rPr>
            <w:rFonts w:ascii="Times New Roman" w:eastAsia="MS Mincho" w:hAnsi="Times New Roman"/>
            <w:sz w:val="20"/>
            <w:iCs/>
            <w:color w:val="0000FF" w:themeColor="hyperlink"/>
            <w:u w:val="single"/>
          </w:rPr>
          <w:t>795</w:t>
        </w:r>
      </w:fldSimple>
      <w:r>
        <w:rPr>
          <w:rFonts w:ascii="Times New Roman" w:eastAsia="MS Mincho" w:hAnsi="Times New Roman"/>
          <w:sz w:val="20"/>
          <w:iCs/>
        </w:rPr>
        <w:t>,
2020-07-16,
paskelbta TAR 2020-07-16, i. k. 2020-15914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991" w:bottom="1701" w:left="1276" w:header="851"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6</w:t>
    </w:r>
    <w:r>
      <w:rPr>
        <w:lang w:val="en-US"/>
      </w:rPr>
      <w:fldChar w:fldCharType="end"/>
    </w:r>
  </w:p>
  <w:p>
    <w:pPr>
      <w:tabs>
        <w:tab w:val="center" w:pos="4153"/>
        <w:tab w:val="right" w:pos="8306"/>
      </w:tabs>
      <w:spacing w:after="200" w:line="276" w:lineRule="auto"/>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0EF099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37483453">
      <w:bodyDiv w:val="1"/>
      <w:marLeft w:val="0"/>
      <w:marRight w:val="0"/>
      <w:marTop w:val="0"/>
      <w:marBottom w:val="0"/>
      <w:divBdr>
        <w:top w:val="none" w:sz="0" w:space="0" w:color="auto"/>
        <w:left w:val="none" w:sz="0" w:space="0" w:color="auto"/>
        <w:bottom w:val="none" w:sz="0" w:space="0" w:color="auto"/>
        <w:right w:val="none" w:sz="0" w:space="0" w:color="auto"/>
      </w:divBdr>
      <w:divsChild>
        <w:div w:id="1816406867">
          <w:marLeft w:val="0"/>
          <w:marRight w:val="0"/>
          <w:marTop w:val="0"/>
          <w:marBottom w:val="0"/>
          <w:divBdr>
            <w:top w:val="none" w:sz="0" w:space="0" w:color="auto"/>
            <w:left w:val="none" w:sz="0" w:space="0" w:color="auto"/>
            <w:bottom w:val="none" w:sz="0" w:space="0" w:color="auto"/>
            <w:right w:val="none" w:sz="0" w:space="0" w:color="auto"/>
          </w:divBdr>
        </w:div>
        <w:div w:id="524712656">
          <w:marLeft w:val="0"/>
          <w:marRight w:val="0"/>
          <w:marTop w:val="0"/>
          <w:marBottom w:val="0"/>
          <w:divBdr>
            <w:top w:val="none" w:sz="0" w:space="0" w:color="auto"/>
            <w:left w:val="none" w:sz="0" w:space="0" w:color="auto"/>
            <w:bottom w:val="none" w:sz="0" w:space="0" w:color="auto"/>
            <w:right w:val="none" w:sz="0" w:space="0" w:color="auto"/>
          </w:divBdr>
        </w:div>
      </w:divsChild>
    </w:div>
    <w:div w:id="447704145">
      <w:bodyDiv w:val="1"/>
      <w:marLeft w:val="0"/>
      <w:marRight w:val="0"/>
      <w:marTop w:val="0"/>
      <w:marBottom w:val="0"/>
      <w:divBdr>
        <w:top w:val="none" w:sz="0" w:space="0" w:color="auto"/>
        <w:left w:val="none" w:sz="0" w:space="0" w:color="auto"/>
        <w:bottom w:val="none" w:sz="0" w:space="0" w:color="auto"/>
        <w:right w:val="none" w:sz="0" w:space="0" w:color="auto"/>
      </w:divBdr>
      <w:divsChild>
        <w:div w:id="972638053">
          <w:marLeft w:val="0"/>
          <w:marRight w:val="0"/>
          <w:marTop w:val="0"/>
          <w:marBottom w:val="0"/>
          <w:divBdr>
            <w:top w:val="none" w:sz="0" w:space="0" w:color="auto"/>
            <w:left w:val="none" w:sz="0" w:space="0" w:color="auto"/>
            <w:bottom w:val="none" w:sz="0" w:space="0" w:color="auto"/>
            <w:right w:val="none" w:sz="0" w:space="0" w:color="auto"/>
          </w:divBdr>
          <w:divsChild>
            <w:div w:id="580605830">
              <w:marLeft w:val="0"/>
              <w:marRight w:val="0"/>
              <w:marTop w:val="0"/>
              <w:marBottom w:val="0"/>
              <w:divBdr>
                <w:top w:val="none" w:sz="0" w:space="0" w:color="auto"/>
                <w:left w:val="none" w:sz="0" w:space="0" w:color="auto"/>
                <w:bottom w:val="none" w:sz="0" w:space="0" w:color="auto"/>
                <w:right w:val="none" w:sz="0" w:space="0" w:color="auto"/>
              </w:divBdr>
              <w:divsChild>
                <w:div w:id="1171215483">
                  <w:marLeft w:val="0"/>
                  <w:marRight w:val="0"/>
                  <w:marTop w:val="0"/>
                  <w:marBottom w:val="0"/>
                  <w:divBdr>
                    <w:top w:val="none" w:sz="0" w:space="0" w:color="auto"/>
                    <w:left w:val="none" w:sz="0" w:space="0" w:color="auto"/>
                    <w:bottom w:val="none" w:sz="0" w:space="0" w:color="auto"/>
                    <w:right w:val="none" w:sz="0" w:space="0" w:color="auto"/>
                  </w:divBdr>
                  <w:divsChild>
                    <w:div w:id="849873846">
                      <w:marLeft w:val="0"/>
                      <w:marRight w:val="0"/>
                      <w:marTop w:val="0"/>
                      <w:marBottom w:val="0"/>
                      <w:divBdr>
                        <w:top w:val="none" w:sz="0" w:space="0" w:color="auto"/>
                        <w:left w:val="none" w:sz="0" w:space="0" w:color="auto"/>
                        <w:bottom w:val="none" w:sz="0" w:space="0" w:color="auto"/>
                        <w:right w:val="none" w:sz="0" w:space="0" w:color="auto"/>
                      </w:divBdr>
                      <w:divsChild>
                        <w:div w:id="1122766996">
                          <w:marLeft w:val="0"/>
                          <w:marRight w:val="0"/>
                          <w:marTop w:val="0"/>
                          <w:marBottom w:val="0"/>
                          <w:divBdr>
                            <w:top w:val="none" w:sz="0" w:space="0" w:color="auto"/>
                            <w:left w:val="none" w:sz="0" w:space="0" w:color="auto"/>
                            <w:bottom w:val="none" w:sz="0" w:space="0" w:color="auto"/>
                            <w:right w:val="none" w:sz="0" w:space="0" w:color="auto"/>
                          </w:divBdr>
                        </w:div>
                        <w:div w:id="479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000">
              <w:marLeft w:val="0"/>
              <w:marRight w:val="0"/>
              <w:marTop w:val="0"/>
              <w:marBottom w:val="0"/>
              <w:divBdr>
                <w:top w:val="none" w:sz="0" w:space="0" w:color="auto"/>
                <w:left w:val="none" w:sz="0" w:space="0" w:color="auto"/>
                <w:bottom w:val="none" w:sz="0" w:space="0" w:color="auto"/>
                <w:right w:val="none" w:sz="0" w:space="0" w:color="auto"/>
              </w:divBdr>
            </w:div>
            <w:div w:id="426272593">
              <w:marLeft w:val="0"/>
              <w:marRight w:val="0"/>
              <w:marTop w:val="0"/>
              <w:marBottom w:val="0"/>
              <w:divBdr>
                <w:top w:val="none" w:sz="0" w:space="0" w:color="auto"/>
                <w:left w:val="none" w:sz="0" w:space="0" w:color="auto"/>
                <w:bottom w:val="none" w:sz="0" w:space="0" w:color="auto"/>
                <w:right w:val="none" w:sz="0" w:space="0" w:color="auto"/>
              </w:divBdr>
            </w:div>
          </w:divsChild>
        </w:div>
        <w:div w:id="458840081">
          <w:marLeft w:val="0"/>
          <w:marRight w:val="0"/>
          <w:marTop w:val="0"/>
          <w:marBottom w:val="0"/>
          <w:divBdr>
            <w:top w:val="none" w:sz="0" w:space="0" w:color="auto"/>
            <w:left w:val="none" w:sz="0" w:space="0" w:color="auto"/>
            <w:bottom w:val="none" w:sz="0" w:space="0" w:color="auto"/>
            <w:right w:val="none" w:sz="0" w:space="0" w:color="auto"/>
          </w:divBdr>
        </w:div>
      </w:divsChild>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8492502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13234106">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1938439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86949934">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1971194">
      <w:bodyDiv w:val="1"/>
      <w:marLeft w:val="0"/>
      <w:marRight w:val="0"/>
      <w:marTop w:val="0"/>
      <w:marBottom w:val="0"/>
      <w:divBdr>
        <w:top w:val="none" w:sz="0" w:space="0" w:color="auto"/>
        <w:left w:val="none" w:sz="0" w:space="0" w:color="auto"/>
        <w:bottom w:val="none" w:sz="0" w:space="0" w:color="auto"/>
        <w:right w:val="none" w:sz="0" w:space="0" w:color="auto"/>
      </w:divBdr>
      <w:divsChild>
        <w:div w:id="812648063">
          <w:marLeft w:val="0"/>
          <w:marRight w:val="0"/>
          <w:marTop w:val="0"/>
          <w:marBottom w:val="0"/>
          <w:divBdr>
            <w:top w:val="none" w:sz="0" w:space="0" w:color="auto"/>
            <w:left w:val="none" w:sz="0" w:space="0" w:color="auto"/>
            <w:bottom w:val="none" w:sz="0" w:space="0" w:color="auto"/>
            <w:right w:val="none" w:sz="0" w:space="0" w:color="auto"/>
          </w:divBdr>
        </w:div>
        <w:div w:id="840390205">
          <w:marLeft w:val="0"/>
          <w:marRight w:val="0"/>
          <w:marTop w:val="0"/>
          <w:marBottom w:val="0"/>
          <w:divBdr>
            <w:top w:val="none" w:sz="0" w:space="0" w:color="auto"/>
            <w:left w:val="none" w:sz="0" w:space="0" w:color="auto"/>
            <w:bottom w:val="none" w:sz="0" w:space="0" w:color="auto"/>
            <w:right w:val="none" w:sz="0" w:space="0" w:color="auto"/>
          </w:divBdr>
        </w:div>
        <w:div w:id="194124337">
          <w:marLeft w:val="0"/>
          <w:marRight w:val="0"/>
          <w:marTop w:val="0"/>
          <w:marBottom w:val="0"/>
          <w:divBdr>
            <w:top w:val="none" w:sz="0" w:space="0" w:color="auto"/>
            <w:left w:val="none" w:sz="0" w:space="0" w:color="auto"/>
            <w:bottom w:val="none" w:sz="0" w:space="0" w:color="auto"/>
            <w:right w:val="none" w:sz="0" w:space="0" w:color="auto"/>
          </w:divBdr>
        </w:div>
      </w:divsChild>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5933546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49</TotalTime>
  <Pages>5</Pages>
  <Words>9845</Words>
  <Characters>5613</Characters>
  <Application>Microsoft Office Word</Application>
  <DocSecurity>0</DocSecurity>
  <Lines>46</Lines>
  <Paragraphs>30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15428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2020-02-26T14:09:00Z</dcterms:created>
  <dc:creator>lrvk</dc:creator>
  <lastModifiedBy>BODIN Aušra</lastModifiedBy>
  <lastPrinted>2018-07-16T12:42:00Z</lastPrinted>
  <dcterms:modified xsi:type="dcterms:W3CDTF">2020-07-17T13:41:00Z</dcterms:modified>
  <revision>17</revision>
</coreProperties>
</file>