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2017-11-28, i. k. 2017-18883</w:t>
      </w:r>
    </w:p>
    <w:p>
      <w:pPr>
        <w:jc w:val="both"/>
        <w:rPr>
          <w:rFonts w:ascii="Times New Roman" w:hAnsi="Times New Roman"/>
          <w:sz w:val="20"/>
        </w:rPr>
      </w:pPr>
    </w:p>
    <w:p>
      <w:pPr>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Dėl Valstybinių universitetų tinklo optimizavimo plano ĮGYVENDINIMO PRIEMONIŲ patvirtinimo</w:t>
      </w:r>
    </w:p>
    <w:p>
      <w:pPr>
        <w:tabs>
          <w:tab w:val="center" w:pos="4153"/>
          <w:tab w:val="right" w:pos="8306"/>
        </w:tabs>
        <w:rPr>
          <w:lang w:eastAsia="lt-LT"/>
        </w:rPr>
      </w:pPr>
    </w:p>
    <w:p>
      <w:pPr>
        <w:ind w:firstLine="62"/>
        <w:jc w:val="center"/>
        <w:rPr>
          <w:lang w:eastAsia="lt-LT"/>
        </w:rPr>
      </w:pPr>
      <w:r>
        <w:rPr>
          <w:lang w:eastAsia="lt-LT"/>
        </w:rPr>
        <w:t>2017 m. lapkričio 22 d. Nr. 947</w:t>
      </w:r>
    </w:p>
    <w:p>
      <w:pPr>
        <w:jc w:val="center"/>
        <w:rPr>
          <w:lang w:eastAsia="lt-LT"/>
        </w:rPr>
      </w:pPr>
      <w:r>
        <w:rPr>
          <w:lang w:eastAsia="lt-LT"/>
        </w:rPr>
        <w:t>Vilnius</w:t>
      </w:r>
    </w:p>
    <w:p>
      <w:pPr>
        <w:jc w:val="center"/>
        <w:rPr>
          <w:lang w:eastAsia="lt-LT"/>
        </w:rPr>
      </w:pPr>
    </w:p>
    <w:p>
      <w:pPr>
        <w:jc w:val="center"/>
        <w:rPr>
          <w:lang w:eastAsia="lt-LT"/>
        </w:rPr>
      </w:pPr>
    </w:p>
    <w:p>
      <w:pPr>
        <w:ind w:firstLine="851"/>
        <w:jc w:val="both"/>
        <w:rPr>
          <w:szCs w:val="24"/>
          <w:lang w:eastAsia="lt-LT"/>
        </w:rPr>
      </w:pPr>
      <w:r>
        <w:rPr>
          <w:szCs w:val="24"/>
          <w:lang w:eastAsia="lt-LT"/>
        </w:rPr>
        <w:t>Įgyvendindama Lietuvos Respublikos Seimo 2017 m. birželio 29 d. nutarimo Nr. XIII-533 „Dėl Valstybinių universitetų tinklo optimizavimo plano patvirtinimo“ 2 straipsnį, Lietuvos Respublikos Vyriausybė n u t a r i a:</w:t>
      </w:r>
    </w:p>
    <w:p>
      <w:pPr>
        <w:tabs>
          <w:tab w:val="left" w:pos="6237"/>
          <w:tab w:val="right" w:pos="8306"/>
        </w:tabs>
        <w:ind w:firstLine="851"/>
        <w:jc w:val="both"/>
        <w:rPr>
          <w:szCs w:val="24"/>
          <w:lang w:eastAsia="lt-LT"/>
        </w:rPr>
      </w:pPr>
      <w:r>
        <w:rPr>
          <w:szCs w:val="24"/>
          <w:lang w:eastAsia="lt-LT"/>
        </w:rPr>
        <w:t>1</w:t>
      </w:r>
      <w:r>
        <w:rPr>
          <w:szCs w:val="24"/>
          <w:lang w:eastAsia="lt-LT"/>
        </w:rPr>
        <w:t xml:space="preserve">. Patvirtinti Valstybinių universitetų tinklo optimizavimo plano įgyvendinimo priemones (toliau – Priemonės) (pridedama). </w:t>
      </w:r>
    </w:p>
    <w:p>
      <w:pPr>
        <w:tabs>
          <w:tab w:val="left" w:pos="6237"/>
          <w:tab w:val="right" w:pos="8306"/>
        </w:tabs>
        <w:ind w:firstLine="851"/>
        <w:jc w:val="both"/>
        <w:rPr>
          <w:szCs w:val="24"/>
          <w:lang w:eastAsia="lt-LT"/>
        </w:rPr>
      </w:pPr>
      <w:r>
        <w:rPr>
          <w:szCs w:val="24"/>
          <w:lang w:eastAsia="lt-LT"/>
        </w:rPr>
        <w:t>2</w:t>
      </w:r>
      <w:r>
        <w:rPr>
          <w:szCs w:val="24"/>
          <w:lang w:eastAsia="lt-LT"/>
        </w:rPr>
        <w:t>. Siūlyti valstybinių universitetų taryboms kartu su senatais iki 2017 m. gruodžio 15 d. priimti sprendimus dėl Priemonėse pateiktų siūlymų dalyvauti valstybinių universitetų tinklo pertvarkoje ir pateikti juos Švietimo ir mokslo ministerijai.</w:t>
      </w:r>
    </w:p>
    <w:p>
      <w:pPr>
        <w:tabs>
          <w:tab w:val="left" w:pos="6237"/>
          <w:tab w:val="right" w:pos="8306"/>
        </w:tabs>
        <w:ind w:firstLine="851"/>
        <w:jc w:val="both"/>
        <w:rPr>
          <w:lang w:eastAsia="lt-LT"/>
        </w:rPr>
      </w:pPr>
      <w:r>
        <w:rPr>
          <w:szCs w:val="24"/>
          <w:lang w:eastAsia="lt-LT"/>
        </w:rPr>
        <w:t>3</w:t>
      </w:r>
      <w:r>
        <w:rPr>
          <w:szCs w:val="24"/>
          <w:lang w:eastAsia="lt-LT"/>
        </w:rPr>
        <w:t>. Nustatyti, kad valstybės biudžeto ir Europos Sąjungos struktūrinių fondų 2014–2020 metų periodo ir bendro finansavimo lėšos, kurios lieka nepanaudotos dėl valstybinių universitetų sprendimų nepritarti Priemonių 2 punkte nurodytiems siūlymams, iki 2017 m. gruodžio 31 d. perskirstomos valstybiniams universitetams, kurie priima sprendimus dalyvauti valstybinių universitetų tinklo pertvarkoje.</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Švietimo ir mokslo ministrė</w:t>
        <w:tab/>
        <w:t>Jurgita Petrauskienė</w:t>
      </w:r>
    </w:p>
    <w:p>
      <w:pPr>
        <w:jc w:val="both"/>
        <w:rPr>
          <w:szCs w:val="24"/>
          <w:lang w:eastAsia="lt-LT"/>
        </w:rP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ind w:left="10490"/>
        <w:rPr>
          <w:lang w:eastAsia="ar-SA"/>
        </w:rPr>
      </w:pPr>
      <w:r>
        <w:rPr>
          <w:lang w:eastAsia="ar-SA"/>
        </w:rPr>
        <w:t>PATVIRTINTA</w:t>
        <w:br/>
        <w:t>Lietuvos Respublikos Vyriausybės</w:t>
      </w:r>
    </w:p>
    <w:p>
      <w:pPr>
        <w:ind w:left="10490"/>
        <w:rPr>
          <w:lang w:eastAsia="ar-SA"/>
        </w:rPr>
      </w:pPr>
      <w:r>
        <w:rPr>
          <w:lang w:eastAsia="ar-SA"/>
        </w:rPr>
        <w:t>2017 m. lapkričio 22 d. nutarimu Nr. 947</w:t>
      </w:r>
    </w:p>
    <w:p>
      <w:pPr>
        <w:ind w:left="9194" w:firstLine="1296"/>
        <w:rPr>
          <w:lang w:eastAsia="ar-SA"/>
        </w:rPr>
      </w:pPr>
      <w:r>
        <w:rPr>
          <w:lang w:eastAsia="ar-SA"/>
        </w:rPr>
        <w:t xml:space="preserve">(Lietuvos Respublikos Vyriausybės </w:t>
      </w:r>
    </w:p>
    <w:p>
      <w:pPr>
        <w:ind w:left="10490"/>
        <w:rPr>
          <w:lang w:eastAsia="ar-SA"/>
        </w:rPr>
      </w:pPr>
      <w:r>
        <w:rPr>
          <w:lang w:eastAsia="lt-LT"/>
        </w:rPr>
        <w:t xml:space="preserve">2019 m. rugsėjo 11 d. </w:t>
      </w:r>
      <w:r>
        <w:rPr>
          <w:lang w:eastAsia="ar-SA"/>
        </w:rPr>
        <w:t xml:space="preserve">nutarimo Nr. </w:t>
      </w:r>
      <w:r>
        <w:rPr>
          <w:lang w:eastAsia="lt-LT"/>
        </w:rPr>
        <w:t>945</w:t>
      </w:r>
    </w:p>
    <w:p>
      <w:pPr>
        <w:ind w:left="10490"/>
        <w:rPr>
          <w:lang w:eastAsia="ar-SA"/>
        </w:rPr>
      </w:pPr>
      <w:r>
        <w:rPr>
          <w:lang w:eastAsia="ar-SA"/>
        </w:rPr>
        <w:t>redakcija)</w:t>
      </w:r>
    </w:p>
    <w:p>
      <w:pPr>
        <w:ind w:left="9360" w:firstLine="720"/>
        <w:rPr>
          <w:lang w:eastAsia="ar-SA"/>
        </w:rPr>
      </w:pPr>
    </w:p>
    <w:p>
      <w:pPr>
        <w:pStyle w:val="Antrats"/>
        <w:tabs>
          <w:tab w:val="clear" w:pos="4153"/>
          <w:tab w:val="clear" w:pos="8306"/>
          <w:tab w:val="left" w:pos="10694"/>
        </w:tabs>
      </w:pPr>
    </w:p>
    <w:p>
      <w:pPr>
        <w:pStyle w:val="Antrats"/>
        <w:tabs>
          <w:tab w:val="clear" w:pos="4153"/>
          <w:tab w:val="clear" w:pos="8306"/>
          <w:tab w:val="left" w:pos="10694"/>
        </w:tabs>
      </w:pPr>
    </w:p>
    <w:p>
      <w:pPr>
        <w:jc w:val="center"/>
        <w:rPr>
          <w:b/>
          <w:color w:val="000000"/>
          <w:szCs w:val="24"/>
        </w:rPr>
      </w:pPr>
      <w:r>
        <w:rPr>
          <w:b/>
          <w:color w:val="000000"/>
          <w:szCs w:val="24"/>
        </w:rPr>
        <w:t>VALSTYBINIŲ UNIVERSITETŲ TINKLO OPTIMIZAVIMO PLANO ĮGYVENDINIMO PRIEMONĖS</w:t>
      </w:r>
    </w:p>
    <w:p>
      <w:pPr>
        <w:jc w:val="center"/>
        <w:rPr>
          <w:b/>
          <w:color w:val="000000"/>
          <w:szCs w:val="24"/>
        </w:rPr>
      </w:pPr>
    </w:p>
    <w:p>
      <w:pPr>
        <w:pStyle w:val="Antrats"/>
        <w:tabs>
          <w:tab w:val="clear" w:pos="4153"/>
          <w:tab w:val="clear" w:pos="8306"/>
          <w:tab w:val="left" w:pos="10694"/>
        </w:tab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056"/>
        <w:gridCol w:w="2014"/>
        <w:gridCol w:w="1440"/>
        <w:gridCol w:w="1295"/>
        <w:gridCol w:w="2123"/>
      </w:tblGrid>
      <w:tr>
        <w:tc>
          <w:tcPr>
            <w:tcW w:w="290"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Eil. Nr.</w:t>
            </w:r>
          </w:p>
        </w:tc>
        <w:tc>
          <w:tcPr>
            <w:tcW w:w="2386"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Priemonės ir veiksmai</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Veiksmų vykdytojai</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Įvykdymo terminai</w:t>
            </w:r>
          </w:p>
        </w:tc>
        <w:tc>
          <w:tcPr>
            <w:tcW w:w="1156" w:type="pct"/>
            <w:gridSpan w:val="2"/>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Preliminarus finansavimas, mln. eurų</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 xml:space="preserve">Valstybės biudžeto lėšos </w:t>
            </w:r>
          </w:p>
          <w:p>
            <w:pPr>
              <w:jc w:val="center"/>
              <w:rPr>
                <w:b/>
                <w:szCs w:val="24"/>
              </w:rPr>
            </w:pPr>
            <w:r>
              <w:rPr>
                <w:b/>
                <w:szCs w:val="24"/>
              </w:rPr>
              <w:t>(mln. eurų)</w:t>
            </w:r>
          </w:p>
        </w:tc>
        <w:tc>
          <w:tcPr>
            <w:tcW w:w="718" w:type="pct"/>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ES struktūrinių fondų 2014–2020 metų periodo ir bendrojo finansavimo lėšos</w:t>
            </w:r>
          </w:p>
          <w:p>
            <w:pPr>
              <w:jc w:val="center"/>
              <w:rPr>
                <w:b/>
                <w:szCs w:val="24"/>
              </w:rPr>
            </w:pPr>
            <w:r>
              <w:rPr>
                <w:b/>
                <w:szCs w:val="24"/>
              </w:rPr>
              <w:t>(mln. eurų)</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1.</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pPr>
              <w:rPr>
                <w:b/>
                <w:szCs w:val="24"/>
              </w:rPr>
            </w:pPr>
            <w:r>
              <w:rPr>
                <w:b/>
                <w:szCs w:val="24"/>
              </w:rPr>
              <w:t>1 priemonė. Finansų ir turto panaudojimas valstybinių universitetų tinklui optimizuoti</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1.1.</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szCs w:val="24"/>
              </w:rPr>
              <w:t xml:space="preserve">Sutelkti Europos Sąjungos struktūrinių fondų lėšas, skiriamas valstybinėms aukštosioms mokykloms, įgyvendinančioms Lietuvos Respublikos Vyriausybės siūlymus dėl valstybinių  universitetų tinklo pertvarkos</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pPr>
              <w:rPr>
                <w:szCs w:val="24"/>
              </w:rPr>
            </w:pPr>
            <w:r>
              <w:rPr>
                <w:szCs w:val="24"/>
              </w:rPr>
              <w:t>Švietimo, mokslo ir sporto ministerija, Finansų ministerija</w:t>
            </w:r>
          </w:p>
          <w:p>
            <w:pP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2017–</w:t>
            </w:r>
          </w:p>
          <w:p>
            <w:pPr>
              <w:jc w:val="center"/>
              <w:rPr>
                <w:szCs w:val="24"/>
              </w:rPr>
            </w:pPr>
            <w:r>
              <w:rPr>
                <w:szCs w:val="24"/>
              </w:rPr>
              <w:t>2020 m.</w:t>
            </w: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106,39</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1.2.</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szCs w:val="24"/>
              </w:rPr>
              <w:t>Paskirstyti valstybiniams universitetams, įgyvendinantiems Lietuvos Respublikos Vyriausybės siūlymus dėl valstybinių universitetų tinklo pertvarkos, Švietimo, mokslo ir sporto ministerijos asignavimuose 2018 metams numatytas valstybės biudžeto lėšas, skirtas tyrėjų ir dėstytojų darbo užmokesčiui didinti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87" w:type="pc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2018 m. </w:t>
            </w:r>
          </w:p>
          <w:p>
            <w:pPr>
              <w:jc w:val="center"/>
              <w:rPr>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 xml:space="preserve">16,9 </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color w:val="000000"/>
              </w:rPr>
              <w:t>–</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1.3.</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color w:val="000000"/>
                <w:szCs w:val="24"/>
              </w:rPr>
            </w:pPr>
            <w:r>
              <w:rPr>
                <w:szCs w:val="24"/>
              </w:rPr>
              <w:t xml:space="preserve">Lietuvos Respublikos Vyriausybei pateikti nutarimų projektus dėl valstybės turto investavimo į tuos valstybinius  universitetus, kurie vykdo V</w:t>
            </w:r>
            <w:r>
              <w:rPr>
                <w:color w:val="000000"/>
                <w:szCs w:val="24"/>
              </w:rPr>
              <w:t xml:space="preserve">alstybinių universitetų tinklo optimizavimo plano įgyvendinimo priemones </w:t>
            </w:r>
            <w:r>
              <w:rPr>
                <w:szCs w:val="24"/>
              </w:rPr>
              <w:t>ir siekia padengti su šių priemonių įgyvendinimu susijusius kaštus</w:t>
            </w:r>
          </w:p>
        </w:tc>
        <w:tc>
          <w:tcPr>
            <w:tcW w:w="681"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Švietimo, mokslo ir sporto, Finansų ministerija,</w:t>
            </w:r>
          </w:p>
          <w:p>
            <w:pPr>
              <w:rPr>
                <w:szCs w:val="24"/>
              </w:rPr>
            </w:pPr>
            <w:r>
              <w:rPr>
                <w:szCs w:val="24"/>
              </w:rPr>
              <w:t>Lietuvos Respublikos konkurencijos taryba,</w:t>
            </w:r>
          </w:p>
          <w:p>
            <w:pPr>
              <w:rPr>
                <w:szCs w:val="24"/>
              </w:rPr>
            </w:pPr>
            <w:r>
              <w:rPr>
                <w:szCs w:val="24"/>
              </w:rPr>
              <w:t>valstybės įmonė Turto bankas</w:t>
            </w:r>
          </w:p>
        </w:tc>
        <w:tc>
          <w:tcPr>
            <w:tcW w:w="487"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val="en-US"/>
              </w:rPr>
            </w:pPr>
            <w:r>
              <w:rPr>
                <w:szCs w:val="24"/>
                <w:lang w:val="en-US"/>
              </w:rPr>
              <w:t>2018–</w:t>
            </w:r>
          </w:p>
          <w:p>
            <w:pPr>
              <w:jc w:val="center"/>
              <w:rPr>
                <w:szCs w:val="24"/>
                <w:lang w:val="en-US"/>
              </w:rPr>
            </w:pPr>
            <w:r>
              <w:rPr>
                <w:szCs w:val="24"/>
                <w:lang w:val="en-US"/>
              </w:rPr>
              <w:t>2022 m.</w:t>
            </w: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val="en-US"/>
              </w:rPr>
            </w:pPr>
            <w:r>
              <w:rPr>
                <w:szCs w:val="24"/>
              </w:rPr>
              <w:t>–</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lang w:val="en-US"/>
              </w:rPr>
            </w:pPr>
            <w:r>
              <w:rPr>
                <w:szCs w:val="24"/>
              </w:rPr>
              <w:t>–</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pPr>
              <w:rPr>
                <w:b/>
                <w:szCs w:val="24"/>
              </w:rPr>
            </w:pPr>
            <w:r>
              <w:rPr>
                <w:b/>
                <w:szCs w:val="24"/>
              </w:rPr>
              <w:t>2 priemonė. Siūlymai valstybiniams universitetams dėl tinklo optimizavimo</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2.1.</w:t>
            </w:r>
          </w:p>
        </w:tc>
        <w:tc>
          <w:tcPr>
            <w:tcW w:w="2386" w:type="pct"/>
            <w:tcBorders>
              <w:top w:val="single" w:sz="4" w:space="0" w:color="auto"/>
              <w:left w:val="single" w:sz="4" w:space="0" w:color="auto"/>
              <w:bottom w:val="single" w:sz="4" w:space="0" w:color="auto"/>
              <w:right w:val="single" w:sz="4" w:space="0" w:color="auto"/>
            </w:tcBorders>
            <w:vAlign w:val="center"/>
            <w:hideMark/>
          </w:tcPr>
          <w:p>
            <w:pPr>
              <w:rPr>
                <w:rFonts w:eastAsia="Arial Unicode MS"/>
                <w:color w:val="000000"/>
                <w:szCs w:val="24"/>
              </w:rPr>
            </w:pPr>
            <w:r>
              <w:rPr>
                <w:rFonts w:eastAsia="Arial Unicode MS"/>
                <w:color w:val="000000"/>
                <w:szCs w:val="24"/>
              </w:rPr>
              <w:t>Vilniuje ir Šiauliuose esančių valstybinių universitetų tinklo optimizavimas:</w:t>
            </w:r>
          </w:p>
        </w:tc>
        <w:tc>
          <w:tcPr>
            <w:tcW w:w="681" w:type="pct"/>
            <w:tcBorders>
              <w:top w:val="single" w:sz="4" w:space="0" w:color="auto"/>
              <w:left w:val="single" w:sz="4" w:space="0" w:color="auto"/>
              <w:bottom w:val="single" w:sz="4" w:space="0" w:color="auto"/>
              <w:right w:val="single" w:sz="4" w:space="0" w:color="auto"/>
            </w:tcBorders>
            <w:vAlign w:val="center"/>
          </w:tcPr>
          <w:p>
            <w:pPr>
              <w:rPr>
                <w:szCs w:val="24"/>
              </w:rPr>
            </w:pPr>
          </w:p>
        </w:tc>
        <w:tc>
          <w:tcPr>
            <w:tcW w:w="487" w:type="pct"/>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438" w:type="pct"/>
            <w:tcBorders>
              <w:top w:val="single" w:sz="4" w:space="0" w:color="auto"/>
              <w:left w:val="single" w:sz="4" w:space="0" w:color="auto"/>
              <w:bottom w:val="single" w:sz="4" w:space="0" w:color="auto"/>
              <w:right w:val="single" w:sz="4" w:space="0" w:color="auto"/>
            </w:tcBorders>
            <w:vAlign w:val="center"/>
          </w:tcPr>
          <w:p>
            <w:pPr>
              <w:jc w:val="center"/>
              <w:rPr>
                <w:szCs w:val="24"/>
              </w:rPr>
            </w:pPr>
          </w:p>
        </w:tc>
        <w:tc>
          <w:tcPr>
            <w:tcW w:w="718" w:type="pct"/>
            <w:tcBorders>
              <w:top w:val="single" w:sz="4" w:space="0" w:color="auto"/>
              <w:left w:val="single" w:sz="4" w:space="0" w:color="auto"/>
              <w:bottom w:val="single" w:sz="4" w:space="0" w:color="auto"/>
              <w:right w:val="single" w:sz="4" w:space="0" w:color="auto"/>
            </w:tcBorders>
            <w:vAlign w:val="center"/>
          </w:tcPr>
          <w:p>
            <w:pPr>
              <w:jc w:val="cente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2.1.1.</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lang w:eastAsia="lt-LT"/>
              </w:rPr>
            </w:pPr>
            <w:r>
              <w:rPr>
                <w:rFonts w:eastAsia="Arial Unicode MS"/>
                <w:color w:val="000000"/>
                <w:szCs w:val="24"/>
                <w:lang w:eastAsia="lt-LT"/>
              </w:rPr>
              <w:t xml:space="preserve">Optimizuoti </w:t>
            </w:r>
            <w:r>
              <w:rPr>
                <w:color w:val="000000"/>
                <w:lang w:eastAsia="lt-LT"/>
              </w:rPr>
              <w:t>Vilniaus Gedimino technikos universitetą, koncentruojant technologijų mokslų srities potencialą Vilniaus Gedimino technikos universiteto Saulėtekio miestelyje</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pPr>
              <w:rPr>
                <w:szCs w:val="24"/>
              </w:rPr>
            </w:pPr>
          </w:p>
          <w:p>
            <w:pPr>
              <w:rPr>
                <w:szCs w:val="24"/>
              </w:rPr>
            </w:pPr>
          </w:p>
          <w:p>
            <w:pPr>
              <w:rPr>
                <w:szCs w:val="24"/>
              </w:rPr>
            </w:pPr>
          </w:p>
          <w:p>
            <w:pPr>
              <w:rPr>
                <w:szCs w:val="24"/>
              </w:rPr>
            </w:pPr>
            <w:r>
              <w:rPr>
                <w:szCs w:val="24"/>
              </w:rPr>
              <w:t xml:space="preserve">Švietimo, mokslo ir sporto ministerija </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2017– </w:t>
            </w:r>
          </w:p>
          <w:p>
            <w:pPr>
              <w:jc w:val="center"/>
              <w:rPr>
                <w:szCs w:val="24"/>
              </w:rPr>
            </w:pPr>
            <w:r>
              <w:rPr>
                <w:szCs w:val="24"/>
              </w:rPr>
              <w:t xml:space="preserve">   2020 m.</w:t>
            </w:r>
          </w:p>
          <w:p>
            <w:pPr>
              <w:jc w:val="center"/>
              <w:rPr>
                <w:szCs w:val="24"/>
              </w:rPr>
            </w:pPr>
          </w:p>
        </w:tc>
        <w:tc>
          <w:tcPr>
            <w:tcW w:w="438" w:type="pct"/>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p>
            <w:pPr>
              <w:jc w:val="center"/>
              <w:rPr>
                <w:szCs w:val="24"/>
              </w:rPr>
            </w:pPr>
            <w:r>
              <w:rPr>
                <w:szCs w:val="24"/>
              </w:rPr>
              <w:t>7,92</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jc w:val="center"/>
              <w:rPr>
                <w:color w:val="000000"/>
              </w:rPr>
            </w:pPr>
          </w:p>
          <w:p>
            <w:pPr>
              <w:jc w:val="center"/>
              <w:rPr>
                <w:color w:val="000000"/>
              </w:rPr>
            </w:pPr>
            <w:r>
              <w:rPr>
                <w:color w:val="000000"/>
              </w:rPr>
              <w:t>49,08</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2.1.2.</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lang w:eastAsia="lt-LT"/>
              </w:rPr>
            </w:pPr>
            <w:r>
              <w:rPr>
                <w:rFonts w:eastAsia="Arial Unicode MS"/>
                <w:color w:val="000000"/>
                <w:szCs w:val="24"/>
                <w:lang w:eastAsia="lt-LT"/>
              </w:rPr>
              <w:t>Siekiant sutelkti pedagogų rengimą plačios aprėpties universitetuose, siūlyti Vilniaus universitetui įsteigti struktūrinį padalinį Vilniuje, vykdantį švietimo ir ugdymo krypčių mokslo ir studijų veiklas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2.1.3.</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lang w:eastAsia="lt-LT"/>
              </w:rPr>
            </w:pPr>
            <w:r>
              <w:rPr>
                <w:rFonts w:eastAsia="Arial Unicode MS"/>
                <w:color w:val="000000"/>
                <w:szCs w:val="24"/>
                <w:lang w:eastAsia="lt-LT"/>
              </w:rPr>
              <w:t xml:space="preserve">Siekiant sustiprinti mokslo ir studijų potencialą Šiauliuose ir pagerinti jo atitiktį miesto ir regiono visuomenės ir darbo rinkos poreikiams, 2020 metais reorganizuoti Šiaulių universitetą prijungimo prie Vilniaus universiteto būdu ir jo pagrindu suformuoti Vilniaus universiteto struktūrinį padalinį (filialą) Šiauliuose, suteikiant jam </w:t>
            </w:r>
            <w:r>
              <w:rPr>
                <w:i/>
                <w:lang w:eastAsia="lt-LT"/>
              </w:rPr>
              <w:t>sui</w:t>
            </w:r>
            <w:r>
              <w:rPr>
                <w:lang w:eastAsia="lt-LT"/>
              </w:rPr>
              <w:t xml:space="preserve"> </w:t>
            </w:r>
            <w:r>
              <w:rPr>
                <w:i/>
                <w:lang w:eastAsia="lt-LT"/>
              </w:rPr>
              <w:t>generis</w:t>
            </w:r>
            <w:r>
              <w:rPr>
                <w:lang w:eastAsia="lt-LT"/>
              </w:rPr>
              <w:t xml:space="preserve"> akademinio padalinio teises Vilniaus universiteto Šiaulių akademijos pavadinimu, </w:t>
            </w:r>
            <w:r>
              <w:rPr>
                <w:rFonts w:eastAsia="Arial Unicode MS"/>
                <w:color w:val="000000"/>
                <w:szCs w:val="24"/>
                <w:lang w:eastAsia="lt-LT"/>
              </w:rPr>
              <w:t>šiame padalinyje įsteigti pedagogų rengimo centrą ir šio padalinio tarybos sudėtyje užtikrinti Šiaulių miesto savivaldybės, Šiaulių miesto ir regiono asocijuotų verslo struktūrų dalyvavimą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2.1.4.</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b/>
                <w:color w:val="000000"/>
                <w:szCs w:val="24"/>
                <w:lang w:eastAsia="lt-LT"/>
              </w:rPr>
            </w:pPr>
            <w:r>
              <w:rPr>
                <w:rFonts w:eastAsia="Arial Unicode MS"/>
                <w:color w:val="000000"/>
                <w:szCs w:val="24"/>
                <w:lang w:eastAsia="lt-LT"/>
              </w:rPr>
              <w:t>Stiprinti menų aukštąsias mokyklas – Lietuvos muzikos ir teatro akademiją, Vilniaus dailės akademiją, sutelkiant studijų, meno ir mokslo potencialą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color w:val="000000"/>
              </w:rPr>
            </w:pPr>
            <w:r>
              <w:rPr>
                <w:color w:val="000000"/>
              </w:rPr>
              <w:t>1,24</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16,65</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pPr>
              <w:rPr>
                <w:color w:val="000000"/>
              </w:rPr>
            </w:pPr>
            <w:r>
              <w:rPr>
                <w:szCs w:val="24"/>
              </w:rPr>
              <w:t>Kauno apskrityje veikiančių valstybinių universitetų tinklo optimizavimas:</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2.2.1.</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rPr>
            </w:pPr>
            <w:r>
              <w:rPr>
                <w:rFonts w:eastAsia="Arial Unicode MS"/>
                <w:color w:val="000000"/>
                <w:szCs w:val="24"/>
              </w:rPr>
              <w:t xml:space="preserve">Siekiant </w:t>
            </w:r>
            <w:r>
              <w:rPr>
                <w:color w:val="000000"/>
              </w:rPr>
              <w:t xml:space="preserve">sutelkti mokslo ir studijų potencialą Kaune ir </w:t>
            </w:r>
            <w:r>
              <w:rPr>
                <w:rFonts w:eastAsia="Arial Unicode MS"/>
                <w:color w:val="000000"/>
                <w:szCs w:val="24"/>
              </w:rPr>
              <w:t>pedagogus rengti plačios aprėpties universitetuose, 2018 metais reorganizuoti Vytauto Didžiojo universitetą, Aleksandro Stulginskio universitetą ir Lietuvos edukologijos universitetą sujungimo būdu į Vytauto Didžiojo universitetą, reorganizuotų universitetų veiklas vykdant Kaune, o reorganizuoto Lietuvos edukologijos universiteto studentams sudaryti sąlygas baigti studijas Vilniuje</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pPr>
              <w:rPr>
                <w:szCs w:val="24"/>
              </w:rPr>
            </w:pPr>
          </w:p>
          <w:p>
            <w:pPr>
              <w:rPr>
                <w:szCs w:val="24"/>
              </w:rPr>
            </w:pPr>
          </w:p>
          <w:p>
            <w:pPr>
              <w:rPr>
                <w:szCs w:val="24"/>
              </w:rPr>
            </w:pPr>
          </w:p>
          <w:p>
            <w:pPr>
              <w:rPr>
                <w:szCs w:val="24"/>
              </w:rPr>
            </w:pPr>
          </w:p>
          <w:p>
            <w:pPr>
              <w:rPr>
                <w:szCs w:val="24"/>
              </w:rPr>
            </w:pPr>
            <w:r>
              <w:rPr>
                <w:szCs w:val="24"/>
              </w:rPr>
              <w:t xml:space="preserve">Švietimo, mokslo ir sporto ministerija </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p>
            <w:pPr>
              <w:jc w:val="center"/>
              <w:rPr>
                <w:szCs w:val="24"/>
              </w:rPr>
            </w:pPr>
          </w:p>
          <w:p>
            <w:pPr>
              <w:jc w:val="center"/>
              <w:rPr>
                <w:szCs w:val="24"/>
              </w:rPr>
            </w:pPr>
          </w:p>
          <w:p>
            <w:pPr>
              <w:jc w:val="center"/>
              <w:rPr>
                <w:szCs w:val="24"/>
              </w:rPr>
            </w:pPr>
          </w:p>
          <w:p>
            <w:pPr>
              <w:jc w:val="center"/>
              <w:rPr>
                <w:szCs w:val="24"/>
              </w:rPr>
            </w:pPr>
            <w:r>
              <w:rPr>
                <w:szCs w:val="24"/>
              </w:rPr>
              <w:t xml:space="preserve">2017– </w:t>
            </w:r>
          </w:p>
          <w:p>
            <w:pPr>
              <w:jc w:val="center"/>
              <w:rPr>
                <w:szCs w:val="24"/>
              </w:rPr>
            </w:pPr>
            <w:r>
              <w:rPr>
                <w:szCs w:val="24"/>
              </w:rPr>
              <w:t>2019 m.</w:t>
            </w:r>
          </w:p>
          <w:p>
            <w:pPr>
              <w:jc w:val="center"/>
              <w:rPr>
                <w:szCs w:val="24"/>
              </w:rPr>
            </w:pPr>
          </w:p>
          <w:p>
            <w:pPr>
              <w:jc w:val="center"/>
              <w:rPr>
                <w:szCs w:val="24"/>
              </w:rPr>
            </w:pPr>
          </w:p>
        </w:tc>
        <w:tc>
          <w:tcPr>
            <w:tcW w:w="438" w:type="pct"/>
            <w:vMerge w:val="restart"/>
            <w:tcBorders>
              <w:top w:val="single" w:sz="4" w:space="0" w:color="auto"/>
              <w:left w:val="single" w:sz="4" w:space="0" w:color="auto"/>
              <w:bottom w:val="single" w:sz="4" w:space="0" w:color="auto"/>
              <w:right w:val="single" w:sz="4" w:space="0" w:color="auto"/>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szCs w:val="24"/>
              </w:rPr>
            </w:pPr>
            <w:r>
              <w:rPr>
                <w:color w:val="000000"/>
              </w:rPr>
              <w:t>6,84</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jc w:val="center"/>
              <w:rPr>
                <w:szCs w:val="24"/>
              </w:rPr>
            </w:pPr>
          </w:p>
          <w:p>
            <w:pPr>
              <w:jc w:val="center"/>
              <w:rPr>
                <w:szCs w:val="24"/>
              </w:rPr>
            </w:pPr>
          </w:p>
          <w:p>
            <w:pPr>
              <w:jc w:val="center"/>
              <w:rPr>
                <w:szCs w:val="24"/>
              </w:rPr>
            </w:pPr>
          </w:p>
          <w:p>
            <w:pPr>
              <w:jc w:val="center"/>
              <w:rPr>
                <w:szCs w:val="24"/>
              </w:rPr>
            </w:pPr>
          </w:p>
          <w:p>
            <w:pPr>
              <w:jc w:val="center"/>
              <w:rPr>
                <w:szCs w:val="24"/>
              </w:rPr>
            </w:pPr>
            <w:r>
              <w:rPr>
                <w:szCs w:val="24"/>
              </w:rPr>
              <w:t>37,78</w:t>
            </w:r>
          </w:p>
          <w:p>
            <w:pPr>
              <w:jc w:val="cente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2.2.2.</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strike/>
                <w:color w:val="000000"/>
                <w:szCs w:val="24"/>
              </w:rPr>
            </w:pPr>
            <w:r>
              <w:rPr>
                <w:szCs w:val="24"/>
              </w:rPr>
              <w:t>Stiprinti Lietuvos sveikatos mokslų universitetą, jame sutelkiant medicinos ir sveikatos mokslų, gamtos mokslų sričių potencialą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2.2.3.</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szCs w:val="24"/>
              </w:rPr>
            </w:pPr>
            <w:r>
              <w:rPr>
                <w:szCs w:val="24"/>
              </w:rPr>
              <w:t>Stiprinti Kauno technologijos universitetą, jame sutelkiant technologijos ir gamtos</w:t>
            </w:r>
            <w:r>
              <w:rPr>
                <w:b/>
                <w:szCs w:val="24"/>
              </w:rPr>
              <w:t xml:space="preserve"> </w:t>
            </w:r>
            <w:r>
              <w:rPr>
                <w:szCs w:val="24"/>
              </w:rPr>
              <w:t>mokslų sričių potencialą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color w:val="000000"/>
              </w:rPr>
            </w:pP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2.2.4.</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color w:val="000000"/>
              </w:rPr>
            </w:pPr>
            <w:r>
              <w:rPr>
                <w:color w:val="000000"/>
              </w:rPr>
              <w:t xml:space="preserve">Siekiant sutelkti mokslo (meno) ir studijų potencialą Kaune ir išvengti studijų </w:t>
            </w:r>
            <w:r>
              <w:rPr>
                <w:rFonts w:eastAsia="Arial Unicode MS"/>
                <w:color w:val="000000"/>
                <w:szCs w:val="24"/>
              </w:rPr>
              <w:t>dubliavimo miesto mastu</w:t>
            </w:r>
            <w:r>
              <w:rPr>
                <w:color w:val="000000"/>
              </w:rPr>
              <w:t>, siūlyti Vilniaus universitetui pakeisti struktūrą, atsisakant Kauno fakulteto</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highlight w:val="yellow"/>
              </w:rPr>
            </w:pPr>
            <w:r>
              <w:rPr>
                <w:szCs w:val="24"/>
              </w:rPr>
              <w:t>–</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highlight w:val="yellow"/>
              </w:rPr>
            </w:pPr>
            <w:r>
              <w:rPr>
                <w:szCs w:val="24"/>
              </w:rPr>
              <w:t>–</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lang w:val="en-US"/>
              </w:rPr>
            </w:pPr>
            <w:r>
              <w:rPr>
                <w:szCs w:val="24"/>
              </w:rPr>
              <w:t>2.3.</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pPr>
              <w:rPr>
                <w:color w:val="000000"/>
              </w:rPr>
            </w:pPr>
            <w:r>
              <w:rPr>
                <w:rFonts w:eastAsia="Arial Unicode MS"/>
                <w:color w:val="000000"/>
                <w:szCs w:val="24"/>
              </w:rPr>
              <w:t>Klaipėdos universiteto veiklos optimizavimas:</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2.3.1.</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rPr>
            </w:pPr>
            <w:r>
              <w:rPr>
                <w:rFonts w:eastAsia="Arial Unicode MS"/>
                <w:szCs w:val="24"/>
              </w:rPr>
              <w:t xml:space="preserve">Stiprinti Klaipėdos universitetą, užtikrinant studijų ir mokslo kokybę, atitiktį miesto ir regiono visuomenės ir darbo rinkos poreikiams, Klaipėdos miesto ir regiono savivaldybių, asocijuotų verslo struktūrų dalyvavimą universiteto </w:t>
            </w:r>
            <w:r>
              <w:t>tarybos sudėtyje</w:t>
            </w:r>
          </w:p>
        </w:tc>
        <w:tc>
          <w:tcPr>
            <w:tcW w:w="681"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 xml:space="preserve">Švietimo, mokslo ir sporto ministerija </w:t>
            </w:r>
          </w:p>
        </w:tc>
        <w:tc>
          <w:tcPr>
            <w:tcW w:w="487" w:type="pc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2017– </w:t>
            </w:r>
          </w:p>
          <w:p>
            <w:pPr>
              <w:jc w:val="center"/>
              <w:rPr>
                <w:szCs w:val="24"/>
              </w:rPr>
            </w:pPr>
            <w:r>
              <w:rPr>
                <w:szCs w:val="24"/>
              </w:rPr>
              <w:t xml:space="preserve"> 2019 m.</w:t>
            </w:r>
          </w:p>
          <w:p>
            <w:pPr>
              <w:jc w:val="center"/>
              <w:rPr>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w:t>
            </w:r>
          </w:p>
        </w:tc>
      </w:tr>
      <w:tr>
        <w:tc>
          <w:tcPr>
            <w:tcW w:w="290" w:type="pc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2.3.2.</w:t>
            </w:r>
          </w:p>
        </w:tc>
        <w:tc>
          <w:tcPr>
            <w:tcW w:w="2386" w:type="pct"/>
            <w:tcBorders>
              <w:top w:val="single" w:sz="4" w:space="0" w:color="auto"/>
              <w:left w:val="single" w:sz="4" w:space="0" w:color="auto"/>
              <w:bottom w:val="single" w:sz="4" w:space="0" w:color="auto"/>
              <w:right w:val="single" w:sz="4" w:space="0" w:color="auto"/>
            </w:tcBorders>
            <w:vAlign w:val="center"/>
            <w:hideMark/>
          </w:tcPr>
          <w:p>
            <w:pPr>
              <w:jc w:val="both"/>
              <w:rPr>
                <w:rFonts w:eastAsia="Arial Unicode MS"/>
                <w:color w:val="000000"/>
                <w:szCs w:val="24"/>
              </w:rPr>
            </w:pPr>
            <w:r>
              <w:rPr>
                <w:rFonts w:eastAsia="Arial Unicode MS"/>
                <w:color w:val="000000"/>
                <w:szCs w:val="24"/>
              </w:rPr>
              <w:t xml:space="preserve">Klaipėdos universitetui kartu su Klaipėdos miesto savivaldybe, kitomis savivaldybėmis bei asocijuotomis verslo struktūromis parengti ir pateikti Lietuvos Respublikos Vyriausybei </w:t>
            </w:r>
            <w:r>
              <w:rPr>
                <w:bCs/>
              </w:rPr>
              <w:t>veiksmų planą, skirtą šio universiteto veiklai optimizuoti, kuriame būtų numatyti Klaipėdos miesto savivaldybės, kitų regiono savivaldybių, asocijuotų verslo struktūrų finansiniai ir kiti įsipareigojimai</w:t>
            </w:r>
          </w:p>
        </w:tc>
        <w:tc>
          <w:tcPr>
            <w:tcW w:w="681" w:type="pct"/>
            <w:tcBorders>
              <w:top w:val="single" w:sz="4" w:space="0" w:color="auto"/>
              <w:left w:val="single" w:sz="4" w:space="0" w:color="auto"/>
              <w:bottom w:val="single" w:sz="4" w:space="0" w:color="auto"/>
              <w:right w:val="single" w:sz="4" w:space="0" w:color="auto"/>
            </w:tcBorders>
            <w:vAlign w:val="center"/>
            <w:hideMark/>
          </w:tcPr>
          <w:p>
            <w:pPr>
              <w:rPr>
                <w:szCs w:val="24"/>
              </w:rPr>
            </w:pPr>
            <w:r>
              <w:rPr>
                <w:rFonts w:eastAsia="Arial Unicode MS"/>
                <w:color w:val="000000"/>
                <w:szCs w:val="24"/>
              </w:rPr>
              <w:t>Klaipėdos universitetas</w:t>
            </w:r>
          </w:p>
        </w:tc>
        <w:tc>
          <w:tcPr>
            <w:tcW w:w="487" w:type="pct"/>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 xml:space="preserve">2018 m. vasario </w:t>
            </w:r>
          </w:p>
          <w:p>
            <w:pPr>
              <w:jc w:val="center"/>
              <w:rPr>
                <w:szCs w:val="24"/>
              </w:rPr>
            </w:pPr>
            <w:r>
              <w:rPr>
                <w:szCs w:val="24"/>
              </w:rPr>
              <w:t>15 d.</w:t>
            </w:r>
          </w:p>
          <w:p>
            <w:pPr>
              <w:jc w:val="center"/>
              <w:rPr>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0,9</w:t>
            </w:r>
          </w:p>
        </w:tc>
        <w:tc>
          <w:tcPr>
            <w:tcW w:w="718" w:type="pc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2,88</w:t>
            </w:r>
          </w:p>
        </w:tc>
      </w:tr>
    </w:tbl>
    <w:p>
      <w:pPr>
        <w:pStyle w:val="Antrats"/>
        <w:tabs>
          <w:tab w:val="clear" w:pos="4153"/>
          <w:tab w:val="clear" w:pos="8306"/>
          <w:tab w:val="left" w:pos="10694"/>
        </w:tabs>
        <w:rPr>
          <w:color w:val="000000"/>
        </w:rPr>
      </w:pPr>
    </w:p>
    <w:p>
      <w:pPr>
        <w:pStyle w:val="Antrats"/>
        <w:tabs>
          <w:tab w:val="clear" w:pos="4153"/>
          <w:tab w:val="left" w:pos="6237"/>
        </w:tabs>
        <w:rPr>
          <w:color w:val="000000"/>
        </w:rPr>
      </w:pPr>
    </w:p>
    <w:p>
      <w:pPr>
        <w:pStyle w:val="Antrats"/>
        <w:tabs>
          <w:tab w:val="left" w:pos="6237"/>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3370b04f2711ea931dbf3357b5b1c0">
        <w:r w:rsidRPr="00532B9F">
          <w:rPr>
            <w:rFonts w:ascii="Times New Roman" w:eastAsia="MS Mincho" w:hAnsi="Times New Roman"/>
            <w:sz w:val="20"/>
            <w:i/>
            <w:iCs/>
            <w:color w:val="0000FF" w:themeColor="hyperlink"/>
            <w:u w:val="single"/>
          </w:rPr>
          <w:t>122</w:t>
        </w:r>
      </w:fldSimple>
      <w:r>
        <w:rPr>
          <w:rFonts w:ascii="Times New Roman" w:eastAsia="MS Mincho" w:hAnsi="Times New Roman"/>
          <w:sz w:val="20"/>
          <w:i/>
          <w:iCs/>
        </w:rPr>
        <w:t>,
2020-02-12,
paskelbta TAR 2020-02-14, i. k. 2020-03419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fabc230d94b11e99681cd81dcdca52c">
        <w:r w:rsidRPr="00532B9F">
          <w:rPr>
            <w:rFonts w:ascii="Times New Roman" w:eastAsia="MS Mincho" w:hAnsi="Times New Roman"/>
            <w:sz w:val="20"/>
            <w:iCs/>
            <w:color w:val="0000FF" w:themeColor="hyperlink"/>
            <w:u w:val="single"/>
          </w:rPr>
          <w:t>945</w:t>
        </w:r>
      </w:fldSimple>
      <w:r>
        <w:rPr>
          <w:rFonts w:ascii="Times New Roman" w:eastAsia="MS Mincho" w:hAnsi="Times New Roman"/>
          <w:sz w:val="20"/>
          <w:iCs/>
        </w:rPr>
        <w:t>,
2019-09-11,
paskelbta TAR 2019-09-17, i. k. 2019-14702                </w:t>
      </w:r>
    </w:p>
    <w:p>
      <w:pPr>
        <w:jc w:val="both"/>
        <w:rPr>
          <w:rFonts w:ascii="Times New Roman" w:hAnsi="Times New Roman"/>
        </w:rPr>
      </w:pPr>
      <w:r>
        <w:rPr>
          <w:rFonts w:ascii="Times New Roman" w:hAnsi="Times New Roman"/>
          <w:sz w:val="20"/>
        </w:rPr>
        <w:t>Dėl Lietuvos Respublikos Vyriausybės 2017 m. lapkričio 22 d. nutarimo Nr. 947 „Dėl Valstybinių universitetų tinklo optimizavimo plano įgyvendinimo priemonių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a3370b04f2711ea931dbf3357b5b1c0">
        <w:r w:rsidRPr="00532B9F">
          <w:rPr>
            <w:rFonts w:ascii="Times New Roman" w:eastAsia="MS Mincho" w:hAnsi="Times New Roman"/>
            <w:sz w:val="20"/>
            <w:iCs/>
            <w:color w:val="0000FF" w:themeColor="hyperlink"/>
            <w:u w:val="single"/>
          </w:rPr>
          <w:t>122</w:t>
        </w:r>
      </w:fldSimple>
      <w:r>
        <w:rPr>
          <w:rFonts w:ascii="Times New Roman" w:eastAsia="MS Mincho" w:hAnsi="Times New Roman"/>
          <w:sz w:val="20"/>
          <w:iCs/>
        </w:rPr>
        <w:t>,
2020-02-12,
paskelbta TAR 2020-02-14, i. k. 2020-03419                </w:t>
      </w:r>
    </w:p>
    <w:p>
      <w:pPr>
        <w:jc w:val="both"/>
        <w:rPr>
          <w:rFonts w:ascii="Times New Roman" w:hAnsi="Times New Roman"/>
        </w:rPr>
      </w:pPr>
      <w:r>
        <w:rPr>
          <w:rFonts w:ascii="Times New Roman" w:hAnsi="Times New Roman"/>
          <w:sz w:val="20"/>
        </w:rPr>
        <w:t>Dėl Lietuvos Respublikos Vyriausybės 2017 m. lapkričio 22 d. nutarimo Nr. 947 „Dėl Valstybinių universitetų tinklo optimizavimo plano įgyvendinimo priemonių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701"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69F8F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sDiagrama">
    <w:name w:val="Antraštės Diagrama"/>
    <w:aliases w:val="Char Diagrama,Diagrama Diagrama"/>
    <w:basedOn w:val="Numatytasispastraiposriftas"/>
    <w:link w:val="Antrats"/>
    <w:locked/>
    <w:rPr>
      <w:lang w:eastAsia="lt-LT"/>
    </w:rPr>
  </w:style>
  <w:style w:type="paragraph" w:styleId="Antrats">
    <w:name w:val="header"/>
    <w:aliases w:val="Char,Diagrama"/>
    <w:basedOn w:val="prastasis"/>
    <w:link w:val="AntratsDiagrama"/>
    <w:unhideWhenUsed/>
    <w:pPr>
      <w:tabs>
        <w:tab w:val="center" w:pos="4153"/>
        <w:tab w:val="right" w:pos="8306"/>
      </w:tabs>
    </w:pPr>
    <w:rPr>
      <w:lang w:eastAsia="lt-LT"/>
    </w:rPr>
  </w:style>
  <w:style w:type="character" w:customStyle="1" w:styleId="AntratsDiagrama1">
    <w:name w:val="Antraštės Diagrama1"/>
    <w:basedOn w:val="Numatytasispastraiposrifta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customStyle="1" w:styleId="AntratsDiagrama">
    <w:name w:val="Antraštės Diagrama"/>
    <w:aliases w:val="Char Diagrama,Diagrama Diagrama"/>
    <w:basedOn w:val="Numatytasispastraiposriftas"/>
    <w:link w:val="Antrats"/>
    <w:locked/>
    <w:rPr>
      <w:lang w:eastAsia="lt-LT"/>
    </w:rPr>
  </w:style>
  <w:style w:type="paragraph" w:styleId="Antrats">
    <w:name w:val="header"/>
    <w:aliases w:val="Char,Diagrama"/>
    <w:basedOn w:val="prastasis"/>
    <w:link w:val="AntratsDiagrama"/>
    <w:unhideWhenUsed/>
    <w:pPr>
      <w:tabs>
        <w:tab w:val="center" w:pos="4153"/>
        <w:tab w:val="right" w:pos="8306"/>
      </w:tabs>
    </w:pPr>
    <w:rPr>
      <w:lang w:eastAsia="lt-LT"/>
    </w:rPr>
  </w:style>
  <w:style w:type="character" w:customStyle="1" w:styleId="AntratsDiagrama1">
    <w:name w:val="Antraštės Diagrama1"/>
    <w:basedOn w:val="Numatytasispastraiposrifta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2168198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1305799-1628-48B9-92AF-DA1A548A321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BE"/>
    <w:rsid w:val="00B663E2"/>
    <w:rsid w:val="00F35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13B8055"/>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354BE"/>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354BE"/>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11</Pages>
  <Words>7130</Words>
  <Characters>4065</Characters>
  <Application>Microsoft Office Word</Application>
  <DocSecurity>0</DocSecurity>
  <Lines>33</Lines>
  <Paragraphs>22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11173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2017-11-28T13:05:00Z</dcterms:created>
  <dc:creator>lrvk</dc:creator>
  <lastModifiedBy>BODIN Aušra</lastModifiedBy>
  <lastPrinted>2017-11-24T06:45:00Z</lastPrinted>
  <dcterms:modified xsi:type="dcterms:W3CDTF">2020-02-17T11:31:00Z</dcterms:modified>
  <revision>9</revision>
</coreProperties>
</file>