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2021-04-20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2019-09-10, i. k. 2019-14406</w:t>
      </w:r>
    </w:p>
    <w:p>
      <w:pPr>
        <w:jc w:val="both"/>
        <w:rPr>
          <w:rFonts w:ascii="Times New Roman" w:hAnsi="Times New Roman"/>
          <w:sz w:val="20"/>
        </w:rPr>
      </w:pPr>
    </w:p>
    <w:p>
      <w:pPr>
        <w:tabs>
          <w:tab w:val="center" w:pos="4819"/>
          <w:tab w:val="right" w:pos="9638"/>
        </w:tabs>
      </w:pPr>
    </w:p>
    <w:p>
      <w:pPr>
        <w:overflowPunct w:val="0"/>
        <w:jc w:val="center"/>
        <w:textAlignment w:val="baseline"/>
        <w:rPr>
          <w:b/>
          <w:sz w:val="28"/>
          <w:szCs w:val="28"/>
        </w:rPr>
      </w:pPr>
      <w:r>
        <w:rPr>
          <w:b/>
          <w:sz w:val="28"/>
          <w:szCs w:val="28"/>
          <w:lang w:eastAsia="lt-LT"/>
        </w:rPr>
        <w:drawing>
          <wp:inline distT="0" distB="0" distL="0" distR="0">
            <wp:extent cx="1061085" cy="725170"/>
            <wp:effectExtent l="0" t="0" r="571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sz w:val="28"/>
          <w:szCs w:val="28"/>
        </w:rPr>
      </w:pPr>
    </w:p>
    <w:p>
      <w:pPr>
        <w:overflowPunct w:val="0"/>
        <w:jc w:val="center"/>
        <w:textAlignment w:val="baseline"/>
        <w:rPr>
          <w:b/>
          <w:sz w:val="28"/>
          <w:szCs w:val="28"/>
        </w:rPr>
      </w:pPr>
      <w:r>
        <w:rPr>
          <w:b/>
          <w:sz w:val="28"/>
          <w:szCs w:val="28"/>
        </w:rPr>
        <w:t>LIETUVOS RESPUBLIKOS ŽEMĖS ŪKIO 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caps/>
          <w:lang w:val="en-GB"/>
        </w:rPr>
      </w:pPr>
      <w:r>
        <w:rPr>
          <w:b/>
          <w:caps/>
          <w:lang w:val="en-GB"/>
        </w:rPr>
        <w:t xml:space="preserve">DĖL PARAMOS LIETUVOS BITININKYSTĖS SEKTORIUI 2020–2022 METŲ PROGRAMOS PATVIRTINIMO </w:t>
      </w:r>
    </w:p>
    <w:p>
      <w:pPr>
        <w:overflowPunct w:val="0"/>
        <w:jc w:val="center"/>
        <w:textAlignment w:val="baseline"/>
      </w:pPr>
    </w:p>
    <w:p>
      <w:pPr>
        <w:overflowPunct w:val="0"/>
        <w:spacing w:line="360" w:lineRule="auto"/>
        <w:jc w:val="center"/>
        <w:textAlignment w:val="baseline"/>
      </w:pPr>
      <w:r>
        <w:t>2019 m. rugsėjo 10 d. Nr. 3D-507</w:t>
      </w:r>
    </w:p>
    <w:p>
      <w:pPr>
        <w:overflowPunct w:val="0"/>
        <w:spacing w:line="360" w:lineRule="auto"/>
        <w:jc w:val="center"/>
        <w:textAlignment w:val="baseline"/>
      </w:pPr>
      <w:r>
        <w:t>Vilnius</w:t>
      </w:r>
    </w:p>
    <w:p>
      <w:pPr>
        <w:overflowPunct w:val="0"/>
        <w:jc w:val="center"/>
        <w:textAlignment w:val="baseline"/>
      </w:pPr>
    </w:p>
    <w:p>
      <w:pPr>
        <w:overflowPunct w:val="0"/>
        <w:jc w:val="center"/>
        <w:textAlignment w:val="baseline"/>
      </w:pPr>
    </w:p>
    <w:p>
      <w:pPr>
        <w:overflowPunct w:val="0"/>
        <w:spacing w:line="360" w:lineRule="auto"/>
        <w:ind w:firstLine="720"/>
        <w:jc w:val="both"/>
        <w:textAlignment w:val="baseline"/>
      </w:pPr>
      <w:r>
        <w:t xml:space="preserve">Vadovaudamasis Lietuvos Respublikos žemės ūkio, maisto ūkio ir kaimo plėtros įstatymo 7 straipsniu ir atsižvelgdamas </w:t>
      </w:r>
      <w:r>
        <w:rPr>
          <w:color w:val="000000"/>
          <w:szCs w:val="24"/>
          <w:lang w:val="en-GB"/>
        </w:rPr>
        <w:t xml:space="preserve">į </w:t>
      </w:r>
      <w:r>
        <w:rPr>
          <w:szCs w:val="24"/>
          <w:lang w:val="en-GB"/>
        </w:rPr>
        <w:t xml:space="preserve">2019 m. </w:t>
      </w:r>
      <w:r>
        <w:rPr>
          <w:color w:val="000000"/>
          <w:szCs w:val="24"/>
          <w:lang w:val="en-GB"/>
        </w:rPr>
        <w:t>birželio 12 d. Komisijos įgyvendinimo sprendimą (ES), kuriuo patvirtinamos valstybių narių pagal Europos Parlamento ir Tarybos reglamentą (ES) Nr. 1308/2013 pateiktos nacionalinės bitininkystės produktų gamybos ir pardavimo gerinimo programos (Nr. C(2019) 4177) ir nustatomas Sąjungos įnašo į šias programas dydis</w:t>
      </w:r>
      <w:r>
        <w:t xml:space="preserve">, </w:t>
      </w:r>
    </w:p>
    <w:p>
      <w:pPr>
        <w:overflowPunct w:val="0"/>
        <w:spacing w:line="360" w:lineRule="auto"/>
        <w:ind w:firstLine="720"/>
        <w:jc w:val="both"/>
        <w:textAlignment w:val="baseline"/>
      </w:pPr>
      <w:r>
        <w:t>t v i r t i n u Paramos Lietuvos bitininkystės sektoriui 2020–2022 metų programą (pridedama).</w:t>
      </w:r>
    </w:p>
    <w:p>
      <w:pPr>
        <w:overflowPunct w:val="0"/>
        <w:spacing w:line="360" w:lineRule="auto"/>
        <w:jc w:val="both"/>
        <w:textAlignment w:val="baseline"/>
      </w:pPr>
    </w:p>
    <w:p>
      <w:pPr>
        <w:overflowPunct w:val="0"/>
        <w:spacing w:line="360" w:lineRule="auto"/>
        <w:jc w:val="both"/>
        <w:textAlignment w:val="baseline"/>
      </w:pPr>
    </w:p>
    <w:p>
      <w:pPr>
        <w:overflowPunct w:val="0"/>
        <w:spacing w:line="360" w:lineRule="auto"/>
        <w:jc w:val="both"/>
        <w:textAlignment w:val="baseline"/>
      </w:pPr>
    </w:p>
    <w:p>
      <w:pPr>
        <w:overflowPunct w:val="0"/>
        <w:spacing w:line="360" w:lineRule="auto"/>
        <w:jc w:val="both"/>
        <w:textAlignment w:val="baseline"/>
      </w:pPr>
      <w:r>
        <w:t xml:space="preserve">Žemės ūkio ministras                                                                                                   Andrius Palionis</w:t>
      </w:r>
    </w:p>
    <w:p>
      <w:pPr>
        <w:overflowPunct w:val="0"/>
        <w:spacing w:line="360" w:lineRule="auto"/>
        <w:jc w:val="both"/>
        <w:textAlignment w:val="baseline"/>
      </w:pPr>
    </w:p>
    <w:p>
      <w:pPr>
        <w:keepLines/>
        <w:tabs>
          <w:tab w:val="left" w:pos="1304"/>
          <w:tab w:val="left" w:pos="1457"/>
          <w:tab w:val="left" w:pos="1604"/>
          <w:tab w:val="left" w:pos="1757"/>
        </w:tabs>
        <w:suppressAutoHyphens/>
        <w:ind w:left="5103"/>
        <w:jc w:val="both"/>
        <w:textAlignment w:val="center"/>
        <w:sectPr>
          <w:headerReference w:type="even" r:id="rId10"/>
          <w:headerReference w:type="default" r:id="rId11"/>
          <w:footerReference w:type="even" r:id="rId12"/>
          <w:footerReference w:type="default" r:id="rId13"/>
          <w:headerReference w:type="first" r:id="rId14"/>
          <w:footerReference w:type="first" r:id="rId15"/>
          <w:pgSz w:w="11907" w:h="16840"/>
          <w:pgMar w:top="1247" w:right="567" w:bottom="1134" w:left="1418" w:header="567" w:footer="567" w:gutter="0"/>
          <w:cols w:space="1296"/>
          <w:titlePg/>
          <w:docGrid w:linePitch="326"/>
        </w:sectPr>
      </w:pPr>
    </w:p>
    <w:p>
      <w:pPr>
        <w:keepLines/>
        <w:tabs>
          <w:tab w:val="left" w:pos="1304"/>
          <w:tab w:val="left" w:pos="1457"/>
          <w:tab w:val="left" w:pos="1604"/>
          <w:tab w:val="left" w:pos="1757"/>
        </w:tabs>
        <w:suppressAutoHyphens/>
        <w:ind w:left="5103"/>
        <w:jc w:val="both"/>
        <w:textAlignment w:val="center"/>
        <w:rPr>
          <w:color w:val="000000"/>
          <w:szCs w:val="24"/>
        </w:rPr>
      </w:pPr>
      <w:r>
        <w:rPr>
          <w:color w:val="000000"/>
          <w:szCs w:val="24"/>
        </w:rPr>
        <w:t>PATVIRTINTA</w:t>
      </w:r>
    </w:p>
    <w:p>
      <w:pPr>
        <w:keepLines/>
        <w:tabs>
          <w:tab w:val="left" w:pos="1304"/>
          <w:tab w:val="left" w:pos="1457"/>
          <w:tab w:val="left" w:pos="1604"/>
          <w:tab w:val="left" w:pos="1757"/>
        </w:tabs>
        <w:suppressAutoHyphens/>
        <w:ind w:left="5103"/>
        <w:textAlignment w:val="center"/>
        <w:rPr>
          <w:color w:val="000000"/>
          <w:szCs w:val="24"/>
        </w:rPr>
      </w:pPr>
      <w:r>
        <w:rPr>
          <w:color w:val="000000"/>
          <w:szCs w:val="24"/>
        </w:rPr>
        <w:t>Lietuvos Respublikos žemės ūkio ministro</w:t>
      </w:r>
    </w:p>
    <w:p>
      <w:pPr>
        <w:keepLines/>
        <w:tabs>
          <w:tab w:val="left" w:pos="1304"/>
          <w:tab w:val="left" w:pos="1457"/>
          <w:tab w:val="left" w:pos="1604"/>
          <w:tab w:val="left" w:pos="1757"/>
        </w:tabs>
        <w:suppressAutoHyphens/>
        <w:ind w:left="5103"/>
        <w:textAlignment w:val="center"/>
        <w:rPr>
          <w:color w:val="000000"/>
          <w:szCs w:val="24"/>
        </w:rPr>
      </w:pPr>
      <w:r>
        <w:rPr>
          <w:color w:val="000000"/>
          <w:szCs w:val="24"/>
        </w:rPr>
        <w:t>2019 m. rugsėjo 10 d. įsakymu Nr. 3D-507</w:t>
      </w:r>
    </w:p>
    <w:p>
      <w:pPr>
        <w:keepLines/>
        <w:suppressAutoHyphens/>
        <w:ind w:firstLine="851"/>
        <w:jc w:val="center"/>
        <w:textAlignment w:val="center"/>
        <w:rPr>
          <w:b/>
          <w:bCs/>
          <w:caps/>
          <w:color w:val="000000"/>
          <w:szCs w:val="24"/>
        </w:rPr>
      </w:pPr>
    </w:p>
    <w:p>
      <w:pPr>
        <w:keepLines/>
        <w:suppressAutoHyphens/>
        <w:ind w:firstLine="851"/>
        <w:jc w:val="center"/>
        <w:textAlignment w:val="center"/>
        <w:rPr>
          <w:b/>
          <w:bCs/>
          <w:caps/>
          <w:color w:val="000000"/>
          <w:szCs w:val="24"/>
        </w:rPr>
      </w:pPr>
      <w:r>
        <w:rPr>
          <w:b/>
          <w:bCs/>
          <w:caps/>
          <w:color w:val="000000"/>
          <w:szCs w:val="24"/>
        </w:rPr>
        <w:t>PARAMOS LIETUVOS BITININKYSTĖS SEKTORIUI 2020–2022 METŲ PROGRAMA</w:t>
      </w:r>
    </w:p>
    <w:p>
      <w:pPr>
        <w:keepLines/>
        <w:suppressAutoHyphens/>
        <w:spacing w:line="360" w:lineRule="auto"/>
        <w:ind w:firstLine="851"/>
        <w:jc w:val="both"/>
        <w:textAlignment w:val="center"/>
        <w:rPr>
          <w:b/>
          <w:bCs/>
          <w:caps/>
          <w:color w:val="000000"/>
          <w:szCs w:val="24"/>
        </w:rPr>
      </w:pPr>
    </w:p>
    <w:p>
      <w:pPr>
        <w:keepLines/>
        <w:suppressAutoHyphens/>
        <w:ind w:firstLine="851"/>
        <w:jc w:val="center"/>
        <w:textAlignment w:val="center"/>
        <w:rPr>
          <w:b/>
          <w:bCs/>
          <w:caps/>
          <w:color w:val="000000"/>
          <w:szCs w:val="24"/>
        </w:rPr>
      </w:pPr>
      <w:r>
        <w:rPr>
          <w:b/>
          <w:bCs/>
          <w:caps/>
          <w:color w:val="000000"/>
          <w:szCs w:val="24"/>
        </w:rPr>
        <w:t>I</w:t>
      </w:r>
      <w:r>
        <w:rPr>
          <w:b/>
          <w:bCs/>
          <w:caps/>
          <w:color w:val="000000"/>
          <w:szCs w:val="24"/>
        </w:rPr>
        <w:t xml:space="preserve"> SKYRIUS</w:t>
      </w:r>
    </w:p>
    <w:p>
      <w:pPr>
        <w:keepLines/>
        <w:suppressAutoHyphens/>
        <w:ind w:firstLine="913"/>
        <w:jc w:val="center"/>
        <w:textAlignment w:val="center"/>
        <w:rPr>
          <w:b/>
          <w:bCs/>
          <w:caps/>
          <w:color w:val="000000"/>
          <w:szCs w:val="24"/>
        </w:rPr>
      </w:pPr>
      <w:r>
        <w:rPr>
          <w:b/>
          <w:bCs/>
          <w:caps/>
          <w:color w:val="000000"/>
          <w:szCs w:val="24"/>
        </w:rPr>
        <w:t>BENDROSIOS NUOSTATOS</w:t>
      </w:r>
    </w:p>
    <w:p>
      <w:pPr>
        <w:suppressAutoHyphens/>
        <w:spacing w:line="360" w:lineRule="auto"/>
        <w:ind w:firstLine="851"/>
        <w:jc w:val="both"/>
        <w:textAlignment w:val="center"/>
        <w:rPr>
          <w:color w:val="000000"/>
          <w:szCs w:val="24"/>
        </w:rPr>
      </w:pPr>
    </w:p>
    <w:p>
      <w:pPr>
        <w:tabs>
          <w:tab w:val="left" w:pos="1276"/>
        </w:tabs>
        <w:overflowPunct w:val="0"/>
        <w:spacing w:line="360" w:lineRule="auto"/>
        <w:ind w:firstLine="851"/>
        <w:jc w:val="both"/>
        <w:textAlignment w:val="center"/>
        <w:rPr>
          <w:color w:val="000000"/>
          <w:szCs w:val="24"/>
        </w:rPr>
      </w:pPr>
      <w:r>
        <w:rPr>
          <w:color w:val="000000"/>
          <w:szCs w:val="24"/>
        </w:rPr>
        <w:t>1</w:t>
      </w:r>
      <w:r>
        <w:rPr>
          <w:color w:val="000000"/>
          <w:szCs w:val="24"/>
        </w:rPr>
        <w:t>.</w:t>
        <w:tab/>
        <w:t xml:space="preserve">Paramos Lietuvos bitininkystės sektoriui 2020–2022 metų programa (toliau – </w:t>
      </w:r>
      <w:r>
        <w:rPr>
          <w:szCs w:val="24"/>
        </w:rPr>
        <w:t xml:space="preserve">Bitininkystės programa) parengta vadovaujantis 2013 m. gruodžio 17 d. Europos Parlamento ir Tarybos reglamentu (ES) Nr. 1308/2013, kuriuo </w:t>
      </w:r>
      <w:r>
        <w:rPr>
          <w:color w:val="000000"/>
          <w:szCs w:val="24"/>
        </w:rPr>
        <w:t xml:space="preserve">nustatomas bendras žemės ūkio produktų rinkų organizavimas ir panaikinami Tarybos reglamentai (EEB) Nr. 922/72, (EEB) Nr. 234/79, (EB) Nr. </w:t>
      </w:r>
      <w:r>
        <w:rPr>
          <w:szCs w:val="24"/>
        </w:rPr>
        <w:t xml:space="preserve">1037/2001 ir (EB) Nr. 1234/2007, su paskutiniais pakeitimais, padarytais </w:t>
      </w:r>
      <w:r>
        <w:rPr>
          <w:szCs w:val="24"/>
          <w:shd w:val="clear" w:color="auto" w:fill="FFFFFF"/>
        </w:rPr>
        <w:t xml:space="preserve">2020 m. gruodžio 23 d. </w:t>
      </w:r>
      <w:r>
        <w:rPr>
          <w:szCs w:val="24"/>
        </w:rPr>
        <w:t xml:space="preserve">Europos Parlamento ir Tarybos reglamentu (ES) Nr. </w:t>
      </w:r>
      <w:r>
        <w:rPr>
          <w:szCs w:val="24"/>
          <w:shd w:val="clear" w:color="auto" w:fill="FFFFFF"/>
        </w:rPr>
        <w:t>2020/2220</w:t>
      </w:r>
      <w:r>
        <w:rPr>
          <w:b/>
          <w:bCs/>
          <w:sz w:val="27"/>
          <w:szCs w:val="27"/>
          <w:shd w:val="clear" w:color="auto" w:fill="FFFFFF"/>
        </w:rPr>
        <w:t xml:space="preserve"> </w:t>
      </w:r>
      <w:r>
        <w:rPr>
          <w:szCs w:val="24"/>
        </w:rPr>
        <w:t xml:space="preserve">2013 m. gruodžio 17 d. Europos Parlamento ir Tarybos reglamentu (ES) Nr. 1306/2013 dėl bendros žemės ūkio politikos finansavimo, valdymo ir stebėsenos, kuriuo panaikinami Tarybos reglamentai (EEB) Nr. 352/78, (EB) Nr. 165/94, (EB) Nr. 2799/98, (EB) Nr. 814/2000, (EB) Nr. 1290/2005 ir (EB) Nr. 485/2008, su paskutiniais pakeitimais, padarytais </w:t>
      </w:r>
      <w:r>
        <w:rPr>
          <w:szCs w:val="24"/>
          <w:shd w:val="clear" w:color="auto" w:fill="FFFFFF"/>
        </w:rPr>
        <w:t xml:space="preserve">2020 m. gruodžio 23 d. </w:t>
      </w:r>
      <w:r>
        <w:rPr>
          <w:szCs w:val="24"/>
        </w:rPr>
        <w:t xml:space="preserve">Europos Parlamento ir Tarybos reglamentu (ES) Nr. </w:t>
      </w:r>
      <w:r>
        <w:rPr>
          <w:szCs w:val="24"/>
          <w:shd w:val="clear" w:color="auto" w:fill="FFFFFF"/>
        </w:rPr>
        <w:t>2020/2220</w:t>
      </w:r>
      <w:r>
        <w:rPr>
          <w:szCs w:val="24"/>
        </w:rPr>
        <w:t xml:space="preserve">, 2015 m. gegužės 11 d. Komisijos deleguotuoju reglamentu (ES) Nr. 2015/1366, kuriuo papildomos Europos Parlamento ir Tarybos reglamento (ES) Nr. 1308/2013 nuostatos dėl pagalbos bitininkystės sektoriuje, su paskutiniais pakeitimais, padarytais 2021 m. vasario 1 d. Komisijos deleguotuoju reglamentu (ES) Nr. 2021/580, 2015 m. rugpjūčio 6 d. Komisijos įgyvendinimo reglamentu (ES) 2015/1368, kuriuo nustatomos Europos Parlamento ir Tarybos reglamento (ES) Nr. 1308/2013 nuostatų dėl pagalbos bitininkystės sektoriuje taikymo taisyklės, su paskutiniais pakeitimais, padarytais 2021 m. vasario 1 d. Komisijos įgyvendinimo  reglamentu (ES) Nr.</w:t>
      </w:r>
      <w:r>
        <w:rPr>
          <w:b/>
          <w:bCs/>
          <w:sz w:val="27"/>
          <w:szCs w:val="27"/>
          <w:shd w:val="clear" w:color="auto" w:fill="FFFFFF"/>
        </w:rPr>
        <w:t xml:space="preserve"> </w:t>
      </w:r>
      <w:r>
        <w:rPr>
          <w:szCs w:val="24"/>
          <w:shd w:val="clear" w:color="auto" w:fill="FFFFFF"/>
        </w:rPr>
        <w:t>2021/166</w:t>
      </w:r>
      <w:r>
        <w:rPr>
          <w:szCs w:val="24"/>
        </w:rPr>
        <w:t xml:space="preserve">, Lietuvos Respublikos žemės ūkio, maisto ūkio ir kaimo plėtros įstatymu ir atsižvelgiant į 2019 m. birželio 12 d. Komisijos įgyvendinimo sprendimą (ES), kuriuo patvirtinamos valstybių narių pagal Europos Parlamento ir Tarybos reglamentą (ES) Nr. 1308/2013 pateiktos nacionalinės bitininkystės produktų gamybos ir pardavimo gerinimo programos (Nr. C(2019) 4177) ir nustatomas Sąjungos įnašo į šias programas dydis, ir Bitynų, bitininkystės produktų ir bičių užkrečiamųjų ligų kontrolės reikalavimus, patvirtintus  Lietuvos Respublikos valstybinės maisto ir veterinarijos tarnybos direktoriaus 2005 m. kovo 18 d. įsakymu Nr. B1-180 „Dėl Bitynų, bičių produktų ir bičių užkrečiamųjų ligų kontrolės reikalavimų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8daad0a0d411eb9fecb5ecd3bd711c">
        <w:r w:rsidRPr="00532B9F">
          <w:rPr>
            <w:rFonts w:ascii="Times New Roman" w:eastAsia="MS Mincho" w:hAnsi="Times New Roman"/>
            <w:sz w:val="20"/>
            <w:i/>
            <w:iCs/>
            <w:color w:val="0000FF" w:themeColor="hyperlink"/>
            <w:u w:val="single"/>
          </w:rPr>
          <w:t>3D-249</w:t>
        </w:r>
      </w:fldSimple>
      <w:r>
        <w:rPr>
          <w:rFonts w:ascii="Times New Roman" w:eastAsia="MS Mincho" w:hAnsi="Times New Roman"/>
          <w:sz w:val="20"/>
          <w:i/>
          <w:iCs/>
        </w:rPr>
        <w:t>,
2021-04-19,
paskelbta TAR 2021-04-19, i. k. 2021-08037            </w:t>
      </w:r>
    </w:p>
    <w:p/>
    <w:p>
      <w:pPr>
        <w:tabs>
          <w:tab w:val="left" w:pos="1134"/>
        </w:tabs>
        <w:overflowPunct w:val="0"/>
        <w:spacing w:line="360" w:lineRule="auto"/>
        <w:ind w:firstLine="851"/>
        <w:jc w:val="both"/>
        <w:textAlignment w:val="baseline"/>
        <w:rPr>
          <w:rFonts w:eastAsia="Calibri"/>
          <w:szCs w:val="24"/>
        </w:rPr>
      </w:pPr>
      <w:r>
        <w:rPr>
          <w:rFonts w:eastAsia="Calibri"/>
          <w:color w:val="000000"/>
          <w:szCs w:val="24"/>
        </w:rPr>
        <w:t>2</w:t>
      </w:r>
      <w:r>
        <w:rPr>
          <w:rFonts w:eastAsia="Calibri"/>
          <w:color w:val="000000"/>
          <w:szCs w:val="24"/>
        </w:rPr>
        <w:t>.</w:t>
        <w:tab/>
      </w:r>
      <w:r>
        <w:rPr>
          <w:rFonts w:eastAsia="Calibri"/>
          <w:szCs w:val="24"/>
        </w:rPr>
        <w:t xml:space="preserve">Bitininkystės programos paskirtis – nustatyti bitininkystės sektoriaus plėtros tikslus, įgyvendinimo priemones ir veiksmus, kad būtų sukurta palanki aplinka plėsti bitininkystės ūkius, kelti bitininkų kvalifikaciją, didinti bičių šeimų sveikatingumą, </w:t>
      </w:r>
      <w:r>
        <w:rPr>
          <w:bCs/>
          <w:color w:val="000000"/>
          <w:szCs w:val="24"/>
        </w:rPr>
        <w:t>diegti bitininkystės ūkiuose mokslo laimėjimus ir inovacijas,</w:t>
      </w:r>
      <w:r>
        <w:rPr>
          <w:rFonts w:eastAsia="Calibri"/>
          <w:szCs w:val="24"/>
        </w:rPr>
        <w:t xml:space="preserve"> kuriamas patrauklus bitininkystės produktų įvaizdis šalyje ir užsienyje. Bitininkystės programa parengta laikotarpiui nuo 2019 m. rugpjūčio 1 d. iki 2022 m. gruodžio 31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8daad0a0d411eb9fecb5ecd3bd711c">
        <w:r w:rsidRPr="00532B9F">
          <w:rPr>
            <w:rFonts w:ascii="Times New Roman" w:eastAsia="MS Mincho" w:hAnsi="Times New Roman"/>
            <w:sz w:val="20"/>
            <w:i/>
            <w:iCs/>
            <w:color w:val="0000FF" w:themeColor="hyperlink"/>
            <w:u w:val="single"/>
          </w:rPr>
          <w:t>3D-249</w:t>
        </w:r>
      </w:fldSimple>
      <w:r>
        <w:rPr>
          <w:rFonts w:ascii="Times New Roman" w:eastAsia="MS Mincho" w:hAnsi="Times New Roman"/>
          <w:sz w:val="20"/>
          <w:i/>
          <w:iCs/>
        </w:rPr>
        <w:t>,
2021-04-19,
paskelbta TAR 2021-04-19, i. k. 2021-08037            </w:t>
      </w:r>
    </w:p>
    <w:p/>
    <w:p>
      <w:pPr>
        <w:suppressAutoHyphens/>
        <w:spacing w:line="360" w:lineRule="auto"/>
        <w:ind w:firstLine="851"/>
        <w:jc w:val="both"/>
        <w:textAlignment w:val="center"/>
        <w:rPr>
          <w:color w:val="000000"/>
          <w:szCs w:val="24"/>
        </w:rPr>
      </w:pPr>
      <w:r>
        <w:rPr>
          <w:color w:val="000000"/>
          <w:szCs w:val="24"/>
        </w:rPr>
        <w:t>3</w:t>
      </w:r>
      <w:r>
        <w:rPr>
          <w:color w:val="000000"/>
          <w:szCs w:val="24"/>
        </w:rPr>
        <w:t>. Institucijos, rengusios Bitininkystės programą ar prisidėjusios prie jos rengimo:</w:t>
      </w:r>
    </w:p>
    <w:p>
      <w:pPr>
        <w:suppressAutoHyphens/>
        <w:spacing w:line="360" w:lineRule="auto"/>
        <w:ind w:firstLine="851"/>
        <w:jc w:val="both"/>
        <w:textAlignment w:val="center"/>
        <w:rPr>
          <w:color w:val="000000"/>
          <w:szCs w:val="24"/>
        </w:rPr>
      </w:pPr>
      <w:r>
        <w:rPr>
          <w:color w:val="000000"/>
          <w:szCs w:val="24"/>
        </w:rPr>
        <w:t>3.1</w:t>
      </w:r>
      <w:r>
        <w:rPr>
          <w:color w:val="000000"/>
          <w:szCs w:val="24"/>
        </w:rPr>
        <w:t>. Lietuvos Respublikos žemės ūkio ministerija;</w:t>
      </w:r>
    </w:p>
    <w:p>
      <w:pPr>
        <w:suppressAutoHyphens/>
        <w:spacing w:line="360" w:lineRule="auto"/>
        <w:ind w:firstLine="851"/>
        <w:jc w:val="both"/>
        <w:textAlignment w:val="center"/>
        <w:rPr>
          <w:color w:val="000000"/>
          <w:szCs w:val="24"/>
        </w:rPr>
      </w:pPr>
      <w:r>
        <w:rPr>
          <w:color w:val="000000"/>
          <w:szCs w:val="24"/>
        </w:rPr>
        <w:t>3.2</w:t>
      </w:r>
      <w:r>
        <w:rPr>
          <w:color w:val="000000"/>
          <w:szCs w:val="24"/>
        </w:rPr>
        <w:t>. bitininkus vienijančios asociacijos;</w:t>
      </w:r>
    </w:p>
    <w:p>
      <w:pPr>
        <w:suppressAutoHyphens/>
        <w:spacing w:line="360" w:lineRule="auto"/>
        <w:ind w:firstLine="851"/>
        <w:jc w:val="both"/>
        <w:textAlignment w:val="center"/>
        <w:rPr>
          <w:color w:val="000000"/>
          <w:szCs w:val="24"/>
        </w:rPr>
      </w:pPr>
      <w:r>
        <w:rPr>
          <w:color w:val="000000"/>
          <w:szCs w:val="24"/>
        </w:rPr>
        <w:t>3.3</w:t>
      </w:r>
      <w:r>
        <w:rPr>
          <w:color w:val="000000"/>
          <w:szCs w:val="24"/>
        </w:rPr>
        <w:t>. Nacionalinė mokėjimo agentūra prie Žemės ūkio ministerijos (toliau – Agentūra).</w:t>
      </w:r>
    </w:p>
    <w:p>
      <w:pPr>
        <w:overflowPunct w:val="0"/>
        <w:spacing w:line="360" w:lineRule="auto"/>
        <w:ind w:firstLine="851"/>
        <w:jc w:val="both"/>
        <w:textAlignment w:val="baseline"/>
        <w:rPr>
          <w:rFonts w:eastAsia="Calibri"/>
          <w:szCs w:val="24"/>
        </w:rPr>
      </w:pPr>
      <w:r>
        <w:t>4</w:t>
      </w:r>
      <w:r>
        <w:t xml:space="preserve">. </w:t>
      </w:r>
      <w:r>
        <w:rPr>
          <w:b/>
          <w:bCs/>
        </w:rPr>
        <w:t>Bitininkystės metai</w:t>
      </w:r>
      <w:r>
        <w:t xml:space="preserve"> – </w:t>
      </w:r>
      <w:r>
        <w:rPr>
          <w:rFonts w:eastAsia="Calibri"/>
          <w:szCs w:val="24"/>
        </w:rPr>
        <w:t>dvylikos mėnesių laikotarpis</w:t>
      </w:r>
      <w:r>
        <w:t xml:space="preserve"> nuo rugpjūčio 1 d. iki kitų metų liepos 31 d., </w:t>
      </w:r>
      <w:r>
        <w:rPr>
          <w:rFonts w:eastAsia="Calibri"/>
          <w:szCs w:val="24"/>
        </w:rPr>
        <w:t>per kurį įgyvendinama Bitininkystės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8827b0a61c11ea9515f752ff221ec9">
        <w:r w:rsidRPr="00532B9F">
          <w:rPr>
            <w:rFonts w:ascii="Times New Roman" w:eastAsia="MS Mincho" w:hAnsi="Times New Roman"/>
            <w:sz w:val="20"/>
            <w:i/>
            <w:iCs/>
            <w:color w:val="0000FF" w:themeColor="hyperlink"/>
            <w:u w:val="single"/>
          </w:rPr>
          <w:t>3D-420</w:t>
        </w:r>
      </w:fldSimple>
      <w:r>
        <w:rPr>
          <w:rFonts w:ascii="Times New Roman" w:eastAsia="MS Mincho" w:hAnsi="Times New Roman"/>
          <w:sz w:val="20"/>
          <w:i/>
          <w:iCs/>
        </w:rPr>
        <w:t>,
2020-06-04,
paskelbta TAR 2020-06-04, i. k. 2020-12264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8daad0a0d411eb9fecb5ecd3bd711c">
        <w:r w:rsidRPr="00532B9F">
          <w:rPr>
            <w:rFonts w:ascii="Times New Roman" w:eastAsia="MS Mincho" w:hAnsi="Times New Roman"/>
            <w:sz w:val="20"/>
            <w:i/>
            <w:iCs/>
            <w:color w:val="0000FF" w:themeColor="hyperlink"/>
            <w:u w:val="single"/>
          </w:rPr>
          <w:t>3D-249</w:t>
        </w:r>
      </w:fldSimple>
      <w:r>
        <w:rPr>
          <w:rFonts w:ascii="Times New Roman" w:eastAsia="MS Mincho" w:hAnsi="Times New Roman"/>
          <w:sz w:val="20"/>
          <w:i/>
          <w:iCs/>
        </w:rPr>
        <w:t>,
2021-04-19,
paskelbta TAR 2021-04-19, i. k. 2021-08037            </w:t>
      </w:r>
    </w:p>
    <w:p/>
    <w:p>
      <w:pPr>
        <w:keepLines/>
        <w:suppressAutoHyphens/>
        <w:jc w:val="center"/>
        <w:textAlignment w:val="center"/>
        <w:rPr>
          <w:b/>
          <w:bCs/>
          <w:caps/>
          <w:color w:val="000000"/>
          <w:szCs w:val="24"/>
        </w:rPr>
      </w:pPr>
      <w:r>
        <w:rPr>
          <w:b/>
          <w:bCs/>
          <w:caps/>
          <w:color w:val="000000"/>
          <w:szCs w:val="24"/>
        </w:rPr>
        <w:t>II</w:t>
      </w:r>
      <w:r>
        <w:rPr>
          <w:b/>
          <w:bCs/>
          <w:caps/>
          <w:color w:val="000000"/>
          <w:szCs w:val="24"/>
        </w:rPr>
        <w:t xml:space="preserve"> SKYRIUS</w:t>
      </w:r>
    </w:p>
    <w:p>
      <w:pPr>
        <w:keepLines/>
        <w:suppressAutoHyphens/>
        <w:ind w:firstLine="913"/>
        <w:jc w:val="center"/>
        <w:textAlignment w:val="center"/>
        <w:rPr>
          <w:b/>
          <w:bCs/>
          <w:caps/>
          <w:color w:val="000000"/>
          <w:szCs w:val="24"/>
        </w:rPr>
      </w:pPr>
      <w:r>
        <w:rPr>
          <w:b/>
          <w:bCs/>
          <w:caps/>
          <w:color w:val="000000"/>
          <w:szCs w:val="24"/>
        </w:rPr>
        <w:t>BITININKYSTĖS PROGRAMOS tikslas IR ĮGYVENDINIMO PRIEMONĖS IR VEIKSMAI, VERTINIMO KRITERIJAI ir JŲ REIKŠMĖS</w:t>
      </w:r>
    </w:p>
    <w:p>
      <w:pPr>
        <w:spacing w:line="360" w:lineRule="auto"/>
        <w:ind w:firstLine="851"/>
        <w:jc w:val="both"/>
        <w:rPr>
          <w:rFonts w:eastAsia="Calibri"/>
          <w:color w:val="0070C0"/>
          <w:szCs w:val="24"/>
        </w:rPr>
      </w:pPr>
    </w:p>
    <w:p>
      <w:pPr>
        <w:suppressAutoHyphens/>
        <w:spacing w:line="360" w:lineRule="auto"/>
        <w:ind w:firstLine="851"/>
        <w:jc w:val="both"/>
        <w:textAlignment w:val="center"/>
        <w:rPr>
          <w:color w:val="000000"/>
          <w:szCs w:val="24"/>
        </w:rPr>
      </w:pPr>
      <w:r>
        <w:rPr>
          <w:color w:val="000000"/>
          <w:szCs w:val="24"/>
        </w:rPr>
        <w:t>5</w:t>
      </w:r>
      <w:r>
        <w:rPr>
          <w:color w:val="000000"/>
          <w:szCs w:val="24"/>
        </w:rPr>
        <w:t>. Bitininkystės programos tikslas – gerinti bendrąsias bitininkystės produktų gamybos ir prekybos jais sąlygas, užtikrinti bitininkystės sektoriaus tvarumą ir plėtrą.</w:t>
      </w:r>
    </w:p>
    <w:p>
      <w:pPr>
        <w:shd w:val="clear" w:color="auto" w:fill="FFFFFF"/>
        <w:spacing w:line="360" w:lineRule="auto"/>
        <w:ind w:firstLine="851"/>
        <w:jc w:val="both"/>
        <w:rPr>
          <w:rFonts w:ascii="TimesNewRomanPSMT" w:eastAsia="Calibri" w:hAnsi="TimesNewRomanPSMT" w:cs="TimesNewRomanPSMT"/>
          <w:szCs w:val="24"/>
          <w:lang w:eastAsia="lt-LT"/>
        </w:rPr>
      </w:pPr>
      <w:r>
        <w:rPr>
          <w:rFonts w:eastAsia="Calibri"/>
          <w:szCs w:val="24"/>
        </w:rPr>
        <w:t>6</w:t>
      </w:r>
      <w:r>
        <w:rPr>
          <w:rFonts w:eastAsia="Calibri"/>
          <w:szCs w:val="24"/>
        </w:rPr>
        <w:t xml:space="preserve">. Lietuvoje bitininkystės programos įgyvendinamos nuo įstojimo į Europos Sąjungą 2004 m. </w:t>
      </w:r>
      <w:r>
        <w:rPr>
          <w:rFonts w:ascii="TimesNewRomanPSMT" w:eastAsia="Calibri" w:hAnsi="TimesNewRomanPSMT" w:cs="TimesNewRomanPSMT"/>
          <w:color w:val="000000"/>
          <w:szCs w:val="24"/>
          <w:lang w:eastAsia="lt-LT"/>
        </w:rPr>
        <w:t>Parama Lietuvos bitininkystės sektoriui yra labai reikšminga: ji padėjo kelti</w:t>
      </w:r>
      <w:r>
        <w:rPr>
          <w:rFonts w:eastAsia="Calibri"/>
          <w:color w:val="000000"/>
          <w:szCs w:val="24"/>
        </w:rPr>
        <w:t xml:space="preserve"> bitininkų kvalifikaciją, gerinti bičių šeimų sveikatingumą, įsigyti bičių avilių gabenimo įrenginių, pakeisti dalį pasenusių </w:t>
      </w:r>
      <w:r>
        <w:rPr>
          <w:rFonts w:eastAsia="Calibri"/>
          <w:szCs w:val="24"/>
        </w:rPr>
        <w:t>ir susidėvėjusių avilių į naujus ir kokybiškesnius bei įsigyti modernios ir didinančios darbo našumą technikos, taip pat</w:t>
      </w:r>
      <w:r>
        <w:rPr>
          <w:rFonts w:ascii="TimesNewRomanPSMT" w:eastAsia="Calibri" w:hAnsi="TimesNewRomanPSMT" w:cs="TimesNewRomanPSMT"/>
          <w:szCs w:val="24"/>
          <w:lang w:eastAsia="lt-LT"/>
        </w:rPr>
        <w:t xml:space="preserve"> atlikti nemažai kitų svarbių darbų. Nors įgyvendinant bitininkystės programas buvo daug padaryta, bet dar yra likę nemažai problemų.</w:t>
      </w:r>
    </w:p>
    <w:p>
      <w:pPr>
        <w:spacing w:line="360" w:lineRule="auto"/>
        <w:ind w:firstLine="851"/>
        <w:jc w:val="both"/>
        <w:textAlignment w:val="center"/>
        <w:rPr>
          <w:rFonts w:eastAsia="Calibri"/>
          <w:szCs w:val="24"/>
        </w:rPr>
      </w:pPr>
      <w:r>
        <w:rPr>
          <w:rFonts w:eastAsia="Calibri"/>
          <w:szCs w:val="24"/>
        </w:rPr>
        <w:t>7</w:t>
      </w:r>
      <w:r>
        <w:rPr>
          <w:rFonts w:eastAsia="Calibri"/>
          <w:szCs w:val="24"/>
        </w:rPr>
        <w:t>.</w:t>
        <w:tab/>
        <w:t xml:space="preserve">Bitininkavimas apima eilę įvairių darbų – bičių šeimų priežiūrą, medaus kopimą, kitų bitininkystės produktų rinkimą (vaško, pikio, bičių nuodų, augalų žiedadulkių bei bičių duonos), jų realizavimą ir t. t. Bitininkai turi žinoti bičių šeimų gyvenimą, jų ligas, gydymo būdus, bičių veislininkystę, medinguosius augalus ir pan. Dėl nuolat besikeičiančių </w:t>
      </w:r>
      <w:r>
        <w:rPr>
          <w:shd w:val="clear" w:color="auto" w:fill="FFFFFF"/>
        </w:rPr>
        <w:t xml:space="preserve">klimato ir agrarinių sąlygų, reikia prisitaikyti ir diegti technologines naujoves, kad būtų padidintas veiklos pelningumas, darbo našumas. </w:t>
      </w:r>
      <w:r>
        <w:rPr>
          <w:rFonts w:eastAsia="Calibri"/>
          <w:szCs w:val="24"/>
        </w:rPr>
        <w:t xml:space="preserve">Dėl to labai svarbu įvairiais būdais skleisti informaciją bitininkams apie </w:t>
      </w:r>
      <w:r>
        <w:rPr>
          <w:szCs w:val="24"/>
          <w:shd w:val="clear" w:color="auto" w:fill="FFFFFF"/>
        </w:rPr>
        <w:t xml:space="preserve">naujas bitininkystės ir bičių produktų perdirbimo technologijas, </w:t>
      </w:r>
      <w:r>
        <w:rPr>
          <w:rFonts w:eastAsia="Calibri"/>
          <w:szCs w:val="24"/>
        </w:rPr>
        <w:t>kitas bitininkavimo naujoves bei iškylančias problemas, apie bičių produktų naudą, remti leidinių bitininkams parengimą ir išleidimą.</w:t>
      </w:r>
    </w:p>
    <w:p>
      <w:pPr>
        <w:spacing w:line="360" w:lineRule="auto"/>
        <w:ind w:firstLine="851"/>
        <w:jc w:val="both"/>
        <w:textAlignment w:val="center"/>
        <w:rPr>
          <w:rFonts w:eastAsia="Calibri"/>
          <w:szCs w:val="24"/>
        </w:rPr>
      </w:pPr>
      <w:r>
        <w:rPr>
          <w:rFonts w:eastAsia="Calibri"/>
          <w:szCs w:val="24"/>
        </w:rPr>
        <w:t>8</w:t>
      </w:r>
      <w:r>
        <w:rPr>
          <w:rFonts w:eastAsia="Calibri"/>
          <w:szCs w:val="24"/>
        </w:rPr>
        <w:t>.</w:t>
        <w:tab/>
        <w:t xml:space="preserve">Lietuvoje nemažai bitininkų yra garbingo amžiaus (vidutinis bitininkų amžius 2016 m. ir 2017 m. buvo 59 metai), jų naudojamas inventorius yra pasenęs, jiems trūksta teorinių žinių apie bitininkavimą, bičių sveikatingumą. Vienas iš bitininkystės srityje dirbančių asmenų senėjimo problemų sprendimo būdų – skatinti jaunimo susidomėjimą šia žemės ūkio šaka, remti Lietuvos ir kitų šalių jaunųjų bitininkų bendravimą (dalyvauti tarptautiniuose jaunųjų bitininkų konkursuose). Taip pat labai svarbus pačių bitininkų aktyvus dalyvavimas tiek šalies (bitininkus vienijančių organizacijų), tiek užsienio bitininkų veikloje. </w:t>
      </w:r>
    </w:p>
    <w:p>
      <w:pPr>
        <w:spacing w:line="360" w:lineRule="auto"/>
        <w:ind w:firstLine="851"/>
        <w:jc w:val="both"/>
        <w:textAlignment w:val="center"/>
        <w:rPr>
          <w:rFonts w:eastAsia="Calibri"/>
          <w:strike/>
          <w:szCs w:val="24"/>
        </w:rPr>
      </w:pPr>
      <w:r>
        <w:rPr>
          <w:rFonts w:eastAsia="Calibri"/>
          <w:szCs w:val="24"/>
        </w:rPr>
        <w:t>9</w:t>
      </w:r>
      <w:r>
        <w:rPr>
          <w:rFonts w:eastAsia="Calibri"/>
          <w:szCs w:val="24"/>
        </w:rPr>
        <w:t>.</w:t>
        <w:tab/>
        <w:t xml:space="preserve">Nors sukeliančių varoatozę Lietuvoje labai paplitusių erkių (lot. </w:t>
      </w:r>
      <w:r>
        <w:rPr>
          <w:rFonts w:eastAsia="Calibri"/>
          <w:i/>
          <w:szCs w:val="24"/>
        </w:rPr>
        <w:t>Varroa destructor</w:t>
      </w:r>
      <w:r>
        <w:rPr>
          <w:rFonts w:eastAsia="Calibri"/>
          <w:szCs w:val="24"/>
        </w:rPr>
        <w:t>) naikinimui skiriama daug dėmesio ir jau ne vienus metus iš dalies kompensuojamos su tuo susijusios išlaidos, tačiau iki šiol nepavyksta išspręsti šios problemos ir išvengti jos padarinių, ypač sustabdyti įvairių ligų ir kitų kenkėjų rūšių plitimo. Todėl ši problema Lietuvos bitininkams yra dar labai aktuali.</w:t>
      </w:r>
      <w:r>
        <w:rPr>
          <w:rFonts w:eastAsia="Calibri"/>
          <w:color w:val="FF0000"/>
          <w:szCs w:val="24"/>
        </w:rPr>
        <w:t xml:space="preserve"> </w:t>
      </w:r>
      <w:r>
        <w:rPr>
          <w:rFonts w:eastAsia="Calibri"/>
          <w:szCs w:val="24"/>
        </w:rPr>
        <w:t>Siekiant pagerinti bičių sveikatingumą Lietuvoje, būtina didesnį dėmesį skirti ir profilaktikai: informacijai apie priemones, padedančias išvengti bičių ligų ir kenkėjų, bei kaip nuo jų apsisaugoti, ką duoda bičių šeimų sveikatingumui teisingas varoatozės erkių naikinimas ir t. t.</w:t>
      </w:r>
    </w:p>
    <w:p>
      <w:pPr>
        <w:spacing w:line="360" w:lineRule="auto"/>
        <w:ind w:firstLine="851"/>
        <w:jc w:val="both"/>
        <w:textAlignment w:val="center"/>
        <w:rPr>
          <w:rFonts w:eastAsia="Calibri"/>
          <w:szCs w:val="24"/>
        </w:rPr>
      </w:pPr>
      <w:r>
        <w:rPr>
          <w:rFonts w:eastAsia="Calibri"/>
          <w:szCs w:val="24"/>
        </w:rPr>
        <w:t>10</w:t>
      </w:r>
      <w:r>
        <w:rPr>
          <w:rFonts w:eastAsia="Calibri"/>
          <w:szCs w:val="24"/>
        </w:rPr>
        <w:t>.</w:t>
        <w:tab/>
        <w:t xml:space="preserve">Lietuvoje kasmet gaunama apie 4 000 t medaus </w:t>
      </w:r>
      <w:r>
        <w:rPr>
          <w:rFonts w:eastAsia="Calibri"/>
          <w:color w:val="000000"/>
          <w:szCs w:val="24"/>
        </w:rPr>
        <w:t>(2016 m. buvo pagaminta 3852 t, o 2017 m. – 3715 t medaus, vidutiniškai iš vieno bičių avilio per metus</w:t>
      </w:r>
      <w:r>
        <w:rPr>
          <w:rFonts w:eastAsia="Calibri"/>
          <w:szCs w:val="24"/>
        </w:rPr>
        <w:t xml:space="preserve"> gaunama apie 30–35 kg medaus). Siekiant didinti bičių šeimų produktyvumą, gauti įvairesnio medaus, svarbu kuo efektyviau panaudoti natūralias bičių ganyklas. </w:t>
      </w:r>
      <w:r>
        <w:rPr>
          <w:shd w:val="clear" w:color="auto" w:fill="FFFFFF"/>
        </w:rPr>
        <w:t>Daugėjant ūkyje bičių šeimų, bitininkai turi vežioti bičių šeimas prie žydinčių augalų. Tai daug laiko ir investicijų reikalaujantis fiziškai sunkus darbas, todėl tikslinga ir toliau teikti</w:t>
      </w:r>
      <w:r>
        <w:rPr>
          <w:rFonts w:eastAsia="Calibri"/>
          <w:szCs w:val="24"/>
        </w:rPr>
        <w:t xml:space="preserve"> finansinę paramą bičių laikytojams, įsigyjantiems bičių avilių pervežimo įrangą ir priedus.</w:t>
      </w:r>
    </w:p>
    <w:p>
      <w:pPr>
        <w:suppressAutoHyphens/>
        <w:spacing w:line="360" w:lineRule="auto"/>
        <w:ind w:firstLine="851"/>
        <w:jc w:val="both"/>
        <w:textAlignment w:val="center"/>
        <w:rPr>
          <w:rFonts w:eastAsia="Calibri"/>
          <w:szCs w:val="24"/>
        </w:rPr>
      </w:pPr>
      <w:r>
        <w:rPr>
          <w:rFonts w:eastAsia="Calibri"/>
          <w:szCs w:val="24"/>
        </w:rPr>
        <w:t>11</w:t>
      </w:r>
      <w:r>
        <w:rPr>
          <w:rFonts w:eastAsia="Calibri"/>
          <w:szCs w:val="24"/>
        </w:rPr>
        <w:t>.</w:t>
        <w:tab/>
        <w:t xml:space="preserve">Vartotojams patiekiamas medus privalo atitikti medui keliamus reikalavimus. Medaus tyrimo išlaidos yra pakankamai didelės, todėl būtina kompensuoti dalį </w:t>
      </w:r>
      <w:r>
        <w:rPr>
          <w:szCs w:val="24"/>
        </w:rPr>
        <w:t xml:space="preserve">medaus mėginio kokybę ir natūralumą (tikrumą) atspindinčių kriterijų (medaus drėgnumas, diastazės aktyvumas, hidroksimetilfurfurolo bendrasis kiekis meduje, medaus botaninė sudėtis (žiedadulkių kiekiai ir jų rūšys) ištyrimo išlaidų.  </w:t>
      </w:r>
      <w:r>
        <w:rPr>
          <w:rFonts w:eastAsia="Calibri"/>
          <w:szCs w:val="24"/>
        </w:rPr>
        <w:t>Todėl tikslinga sumažinti medaus kokybės tyrimų išlaidas bitininkams, modernizuoti laboratorinę įrangą medaus kokybę tiriančiose laboratorijose.</w:t>
      </w:r>
    </w:p>
    <w:p>
      <w:pPr>
        <w:suppressAutoHyphens/>
        <w:spacing w:line="360" w:lineRule="auto"/>
        <w:ind w:firstLine="851"/>
        <w:jc w:val="both"/>
        <w:textAlignment w:val="center"/>
        <w:rPr>
          <w:rFonts w:eastAsia="Calibri"/>
          <w:szCs w:val="24"/>
        </w:rPr>
      </w:pPr>
      <w:r>
        <w:rPr>
          <w:rFonts w:eastAsia="Calibri"/>
          <w:szCs w:val="24"/>
        </w:rPr>
        <w:t>12</w:t>
      </w:r>
      <w:r>
        <w:rPr>
          <w:rFonts w:eastAsia="Calibri"/>
          <w:szCs w:val="24"/>
        </w:rPr>
        <w:t>.</w:t>
        <w:tab/>
        <w:t xml:space="preserve">Kitaip nei kitos ūkinių gyvūnų rūšys, medų nešančios bitės nėra laikomos griežtai kontroliuojamoje aplinkoje, jų priežiūra sudėtingesnė, jas veikia daugiau išorės veiksnių. Todėl labai svarbu, kad kuo daugiau bitininkų laikytų stiprias, aukštos veislinės vertės bičių šeimas. Tikslinga kompensuoti bitininkams dalį aukštos veislinės vertės bičių motinų / bičių šeimų įsigijimo išlaidų.  Siekiant plėsti bitynus, skatinti bitininkus bičių šeimas laikyti iš medienos pagamintuose aviliuose.</w:t>
      </w:r>
    </w:p>
    <w:p>
      <w:pPr>
        <w:spacing w:line="360" w:lineRule="auto"/>
        <w:ind w:firstLine="851"/>
        <w:jc w:val="both"/>
        <w:rPr>
          <w:rFonts w:eastAsia="Calibri"/>
          <w:highlight w:val="yellow"/>
        </w:rPr>
      </w:pPr>
      <w:r>
        <w:rPr>
          <w:rFonts w:eastAsia="Calibri"/>
          <w:lang w:eastAsia="lt-LT"/>
        </w:rPr>
        <w:t>13</w:t>
      </w:r>
      <w:r>
        <w:rPr>
          <w:rFonts w:eastAsia="Calibri"/>
          <w:lang w:eastAsia="lt-LT"/>
        </w:rPr>
        <w:t>. Taikomieji moksliniai tyrimai skatina bitininkystės sektoriaus pažangą. Svarbu, kad mokslo laimėjimai būtų sėkmingai taikomi praktikoje, atliktų mokslinių tyrimų rezultatai skleidžiami bitininkams. Būtina vykdyti tyrimus, susijusius su bitininkavimu ir jo specifika Lietuvoje. Moksliškai pagrįstas bičių produktų gamybos ir prekybos sąlygų pagerinimas turi vykti pagal bitininkams aktualias temas.</w:t>
      </w:r>
      <w:r>
        <w:rPr>
          <w:rFonts w:eastAsia="Calibri"/>
          <w:highlight w:val="yellow"/>
        </w:rPr>
        <w:t xml:space="preserve"> </w:t>
      </w:r>
    </w:p>
    <w:p>
      <w:pPr>
        <w:spacing w:line="360" w:lineRule="auto"/>
        <w:ind w:firstLine="851"/>
        <w:jc w:val="both"/>
        <w:rPr>
          <w:rFonts w:eastAsia="Calibri"/>
          <w:szCs w:val="24"/>
        </w:rPr>
      </w:pPr>
      <w:r>
        <w:rPr>
          <w:rFonts w:eastAsia="Calibri"/>
          <w:szCs w:val="24"/>
        </w:rPr>
        <w:t>14</w:t>
      </w:r>
      <w:r>
        <w:rPr>
          <w:rFonts w:eastAsia="Calibri"/>
          <w:szCs w:val="24"/>
        </w:rPr>
        <w:t>.</w:t>
        <w:tab/>
        <w:t>Oficialiai skelbiami statistiniai duomenys apie Lietuvos bitininkystės sektorių nevisiškai atspindi tikrąją padėtį – būtina rinkti informaciją apie Lietuvos bitynų dydžius, gaminamos produkcijos rūšis, surenkamą produkciją, bičių sveikatingumą, bitynų apsirūpinimą inventoriumi, bitininkų amžių, jų kvalifikaciją ir kt. Tai leistų daryti tikslesnes išvadas ir prognozes dėl bitininkystės sektoriaus vystymo tendencijų.</w:t>
      </w:r>
    </w:p>
    <w:p>
      <w:pPr>
        <w:spacing w:line="360" w:lineRule="auto"/>
        <w:ind w:firstLine="851"/>
        <w:jc w:val="both"/>
        <w:textAlignment w:val="center"/>
        <w:rPr>
          <w:rFonts w:eastAsia="Calibri"/>
          <w:szCs w:val="24"/>
        </w:rPr>
      </w:pPr>
      <w:r>
        <w:rPr>
          <w:rFonts w:eastAsia="Calibri"/>
          <w:szCs w:val="24"/>
        </w:rPr>
        <w:t>15</w:t>
      </w:r>
      <w:r>
        <w:rPr>
          <w:rFonts w:eastAsia="Calibri"/>
          <w:szCs w:val="24"/>
        </w:rPr>
        <w:t>.</w:t>
        <w:tab/>
        <w:t>Bitininkystės produktai tampa vis populiaresni, todėl bitininkams labai aktualu išlaikyti ir gerinti bitininkystės produktų kokybę, kuri labai priklauso nuo bitininkystės inventoriaus, todėl tikslinga ir toliau teikti paramą pasenusiam bitininkavimo inventoriui atnaujinti ir (ar) naujam įsigyti.</w:t>
      </w:r>
    </w:p>
    <w:p>
      <w:pPr>
        <w:spacing w:line="360" w:lineRule="auto"/>
        <w:ind w:firstLine="851"/>
        <w:jc w:val="both"/>
        <w:textAlignment w:val="center"/>
        <w:rPr>
          <w:rFonts w:eastAsia="Calibri"/>
          <w:szCs w:val="24"/>
        </w:rPr>
      </w:pPr>
      <w:r>
        <w:rPr>
          <w:rFonts w:eastAsia="Calibri"/>
          <w:szCs w:val="24"/>
        </w:rPr>
        <w:t>16</w:t>
      </w:r>
      <w:r>
        <w:rPr>
          <w:rFonts w:eastAsia="Calibri"/>
          <w:szCs w:val="24"/>
        </w:rPr>
        <w:t>. Bitininkystės programos tikslui įgyvendinti numatytos šios priemonės:</w:t>
      </w:r>
    </w:p>
    <w:p>
      <w:pPr>
        <w:spacing w:line="360" w:lineRule="auto"/>
        <w:ind w:firstLine="851"/>
        <w:jc w:val="both"/>
        <w:textAlignment w:val="center"/>
        <w:rPr>
          <w:rFonts w:eastAsia="Calibri"/>
          <w:bCs/>
          <w:szCs w:val="24"/>
        </w:rPr>
      </w:pPr>
      <w:r>
        <w:rPr>
          <w:rFonts w:eastAsia="Calibri"/>
          <w:szCs w:val="24"/>
        </w:rPr>
        <w:t>16.1</w:t>
      </w:r>
      <w:r>
        <w:rPr>
          <w:rFonts w:eastAsia="Calibri"/>
          <w:szCs w:val="24"/>
        </w:rPr>
        <w:t xml:space="preserve">. </w:t>
      </w:r>
      <w:r>
        <w:rPr>
          <w:rFonts w:eastAsia="Calibri"/>
          <w:bCs/>
          <w:szCs w:val="24"/>
        </w:rPr>
        <w:t xml:space="preserve">techninė pagalba bitininkams ir jų grupėms; </w:t>
      </w:r>
    </w:p>
    <w:p>
      <w:pPr>
        <w:spacing w:line="360" w:lineRule="auto"/>
        <w:ind w:firstLine="851"/>
        <w:jc w:val="both"/>
        <w:textAlignment w:val="center"/>
        <w:rPr>
          <w:rFonts w:eastAsia="Calibri"/>
          <w:szCs w:val="24"/>
        </w:rPr>
      </w:pPr>
      <w:r>
        <w:rPr>
          <w:rFonts w:eastAsia="Calibri"/>
          <w:bCs/>
          <w:szCs w:val="24"/>
        </w:rPr>
        <w:t>16.2</w:t>
      </w:r>
      <w:r>
        <w:rPr>
          <w:rFonts w:eastAsia="Calibri"/>
          <w:bCs/>
          <w:szCs w:val="24"/>
        </w:rPr>
        <w:t>. k</w:t>
      </w:r>
      <w:r>
        <w:rPr>
          <w:rFonts w:eastAsia="Calibri"/>
          <w:szCs w:val="24"/>
        </w:rPr>
        <w:t>ova su avilių kenkėjais ir bičių ligomis, ypač varoatoze;</w:t>
      </w:r>
    </w:p>
    <w:p>
      <w:pPr>
        <w:spacing w:line="360" w:lineRule="auto"/>
        <w:ind w:firstLine="851"/>
        <w:jc w:val="both"/>
        <w:textAlignment w:val="center"/>
        <w:rPr>
          <w:rFonts w:eastAsia="Calibri"/>
          <w:bCs/>
          <w:color w:val="000000"/>
          <w:szCs w:val="24"/>
        </w:rPr>
      </w:pPr>
      <w:r>
        <w:rPr>
          <w:rFonts w:eastAsia="Calibri"/>
          <w:szCs w:val="24"/>
        </w:rPr>
        <w:t>16.3</w:t>
      </w:r>
      <w:r>
        <w:rPr>
          <w:rFonts w:eastAsia="Calibri"/>
          <w:szCs w:val="24"/>
        </w:rPr>
        <w:t>. b</w:t>
      </w:r>
      <w:r>
        <w:rPr>
          <w:rFonts w:eastAsia="Calibri"/>
          <w:color w:val="000000"/>
          <w:szCs w:val="24"/>
        </w:rPr>
        <w:t xml:space="preserve">ičių </w:t>
      </w:r>
      <w:r>
        <w:rPr>
          <w:rFonts w:eastAsia="Calibri"/>
          <w:bCs/>
          <w:color w:val="000000"/>
          <w:szCs w:val="24"/>
        </w:rPr>
        <w:t>avilių transportavimo į ganyklas racionalizavimas;</w:t>
      </w:r>
    </w:p>
    <w:p>
      <w:pPr>
        <w:spacing w:line="360" w:lineRule="auto"/>
        <w:ind w:firstLine="851"/>
        <w:jc w:val="both"/>
        <w:textAlignment w:val="center"/>
        <w:rPr>
          <w:rFonts w:eastAsia="Calibri"/>
          <w:szCs w:val="24"/>
        </w:rPr>
      </w:pPr>
      <w:r>
        <w:rPr>
          <w:rFonts w:eastAsia="Calibri"/>
          <w:bCs/>
          <w:color w:val="000000"/>
          <w:szCs w:val="24"/>
        </w:rPr>
        <w:t>16.4</w:t>
      </w:r>
      <w:r>
        <w:rPr>
          <w:rFonts w:eastAsia="Calibri"/>
          <w:bCs/>
          <w:color w:val="000000"/>
          <w:szCs w:val="24"/>
        </w:rPr>
        <w:t xml:space="preserve">. </w:t>
      </w:r>
      <w:r>
        <w:rPr>
          <w:rFonts w:eastAsia="Calibri"/>
          <w:bCs/>
          <w:szCs w:val="24"/>
        </w:rPr>
        <w:t>medaus ir bičių produktų fizinių ir cheminių savybių analizė, siekiant nustatyti jų kokybines savybes</w:t>
      </w:r>
      <w:r>
        <w:rPr>
          <w:rFonts w:eastAsia="Calibri"/>
          <w:szCs w:val="24"/>
        </w:rPr>
        <w:t>;</w:t>
      </w:r>
    </w:p>
    <w:p>
      <w:pPr>
        <w:spacing w:line="360" w:lineRule="auto"/>
        <w:ind w:firstLine="851"/>
        <w:jc w:val="both"/>
        <w:textAlignment w:val="center"/>
        <w:rPr>
          <w:rFonts w:eastAsia="Calibri"/>
          <w:bCs/>
          <w:szCs w:val="24"/>
        </w:rPr>
      </w:pPr>
      <w:r>
        <w:rPr>
          <w:rFonts w:eastAsia="Calibri"/>
          <w:szCs w:val="24"/>
        </w:rPr>
        <w:t>16.5</w:t>
      </w:r>
      <w:r>
        <w:rPr>
          <w:rFonts w:eastAsia="Calibri"/>
          <w:szCs w:val="24"/>
        </w:rPr>
        <w:t xml:space="preserve">. </w:t>
      </w:r>
      <w:r>
        <w:rPr>
          <w:rFonts w:eastAsia="Calibri"/>
          <w:bCs/>
          <w:szCs w:val="24"/>
        </w:rPr>
        <w:t>bičių šeimų atnaujinimas;</w:t>
      </w:r>
    </w:p>
    <w:p>
      <w:pPr>
        <w:spacing w:line="360" w:lineRule="auto"/>
        <w:ind w:firstLine="851"/>
        <w:jc w:val="both"/>
        <w:textAlignment w:val="center"/>
        <w:rPr>
          <w:rFonts w:eastAsia="Calibri"/>
          <w:bCs/>
          <w:szCs w:val="24"/>
        </w:rPr>
      </w:pPr>
      <w:r>
        <w:rPr>
          <w:rFonts w:eastAsia="Calibri"/>
          <w:bCs/>
          <w:szCs w:val="24"/>
        </w:rPr>
        <w:t>16.6</w:t>
      </w:r>
      <w:r>
        <w:rPr>
          <w:rFonts w:eastAsia="Calibri"/>
          <w:bCs/>
          <w:szCs w:val="24"/>
        </w:rPr>
        <w:t>. bitininkystei ir bitininkystės produktams skirtos taikomųjų mokslinių tyrimų programos;</w:t>
      </w:r>
    </w:p>
    <w:p>
      <w:pPr>
        <w:spacing w:line="360" w:lineRule="auto"/>
        <w:ind w:firstLine="851"/>
        <w:jc w:val="both"/>
        <w:textAlignment w:val="center"/>
        <w:rPr>
          <w:rFonts w:eastAsia="Calibri"/>
          <w:szCs w:val="24"/>
        </w:rPr>
      </w:pPr>
      <w:r>
        <w:rPr>
          <w:rFonts w:eastAsia="Calibri"/>
          <w:bCs/>
          <w:szCs w:val="24"/>
        </w:rPr>
        <w:t>16.7</w:t>
      </w:r>
      <w:r>
        <w:rPr>
          <w:rFonts w:eastAsia="Calibri"/>
          <w:bCs/>
          <w:szCs w:val="24"/>
        </w:rPr>
        <w:t xml:space="preserve">. </w:t>
      </w:r>
      <w:r>
        <w:rPr>
          <w:rFonts w:eastAsia="Calibri"/>
          <w:szCs w:val="24"/>
        </w:rPr>
        <w:t>rinkos stebėsena;</w:t>
      </w:r>
    </w:p>
    <w:p>
      <w:pPr>
        <w:spacing w:line="360" w:lineRule="auto"/>
        <w:ind w:firstLine="851"/>
        <w:jc w:val="both"/>
        <w:textAlignment w:val="center"/>
        <w:rPr>
          <w:rFonts w:eastAsia="Calibri"/>
          <w:szCs w:val="24"/>
        </w:rPr>
      </w:pPr>
      <w:r>
        <w:rPr>
          <w:rFonts w:eastAsia="Calibri"/>
          <w:szCs w:val="24"/>
        </w:rPr>
        <w:t>16.8</w:t>
      </w:r>
      <w:r>
        <w:rPr>
          <w:rFonts w:eastAsia="Calibri"/>
          <w:szCs w:val="24"/>
        </w:rPr>
        <w:t>. bitininkystės produktų kokybės gerinimas, siekiant didinti jų vertę rinkoje.</w:t>
      </w:r>
    </w:p>
    <w:p>
      <w:pPr>
        <w:shd w:val="clear" w:color="auto" w:fill="FFFFFF"/>
        <w:spacing w:line="360" w:lineRule="auto"/>
        <w:ind w:firstLine="851"/>
        <w:jc w:val="center"/>
        <w:rPr>
          <w:rFonts w:eastAsia="Calibri"/>
          <w:b/>
          <w:szCs w:val="24"/>
        </w:rPr>
      </w:pPr>
    </w:p>
    <w:p>
      <w:pPr>
        <w:shd w:val="clear" w:color="auto" w:fill="FFFFFF"/>
        <w:spacing w:line="360" w:lineRule="auto"/>
        <w:ind w:firstLine="851"/>
        <w:jc w:val="center"/>
        <w:rPr>
          <w:rFonts w:eastAsia="Calibri"/>
          <w:b/>
          <w:szCs w:val="24"/>
        </w:rPr>
      </w:pPr>
      <w:r>
        <w:rPr>
          <w:rFonts w:eastAsia="Calibri"/>
          <w:b/>
          <w:szCs w:val="24"/>
        </w:rPr>
        <w:t>III</w:t>
      </w:r>
      <w:r>
        <w:rPr>
          <w:rFonts w:eastAsia="Calibri"/>
          <w:b/>
          <w:szCs w:val="24"/>
        </w:rPr>
        <w:t xml:space="preserve"> SKYRIUS</w:t>
      </w:r>
    </w:p>
    <w:p>
      <w:pPr>
        <w:keepLines/>
        <w:suppressAutoHyphens/>
        <w:ind w:firstLine="851"/>
        <w:jc w:val="center"/>
        <w:textAlignment w:val="center"/>
        <w:rPr>
          <w:b/>
          <w:bCs/>
          <w:caps/>
          <w:color w:val="000000"/>
          <w:szCs w:val="24"/>
        </w:rPr>
      </w:pPr>
      <w:r>
        <w:rPr>
          <w:b/>
          <w:bCs/>
          <w:caps/>
          <w:color w:val="000000"/>
          <w:szCs w:val="24"/>
        </w:rPr>
        <w:t>BITININKYSTĖS PROGRAMOS ĮGYVENDINIMO PRIEMONIŲ VEIKSMAI, VERTINIMO KRITERIJAI ir JŲ REIKŠMĖS</w:t>
      </w:r>
    </w:p>
    <w:p>
      <w:pPr>
        <w:shd w:val="clear" w:color="auto" w:fill="FFFFFF"/>
        <w:spacing w:line="360" w:lineRule="auto"/>
        <w:ind w:firstLine="851"/>
        <w:jc w:val="both"/>
        <w:rPr>
          <w:rFonts w:eastAsia="Calibri"/>
          <w:szCs w:val="24"/>
        </w:rPr>
      </w:pPr>
    </w:p>
    <w:p>
      <w:pPr>
        <w:shd w:val="clear" w:color="auto" w:fill="FFFFFF"/>
        <w:spacing w:line="360" w:lineRule="auto"/>
        <w:ind w:firstLine="851"/>
        <w:jc w:val="both"/>
        <w:rPr>
          <w:rFonts w:eastAsia="Calibri"/>
          <w:szCs w:val="24"/>
        </w:rPr>
      </w:pPr>
      <w:r>
        <w:rPr>
          <w:rFonts w:eastAsia="Calibri"/>
          <w:szCs w:val="24"/>
        </w:rPr>
        <w:t>17</w:t>
      </w:r>
      <w:r>
        <w:rPr>
          <w:rFonts w:eastAsia="Calibri"/>
          <w:szCs w:val="24"/>
        </w:rPr>
        <w:t>. Numatomi šie bitininkystės priemonių įgyvendinimo veiksmai:</w:t>
      </w:r>
    </w:p>
    <w:p>
      <w:pPr>
        <w:shd w:val="clear" w:color="auto" w:fill="FFFFFF"/>
        <w:spacing w:line="360" w:lineRule="auto"/>
        <w:ind w:firstLine="851"/>
        <w:jc w:val="both"/>
        <w:rPr>
          <w:rFonts w:eastAsia="Calibri"/>
          <w:bCs/>
          <w:szCs w:val="24"/>
        </w:rPr>
      </w:pPr>
      <w:r>
        <w:rPr>
          <w:rFonts w:eastAsia="Calibri"/>
          <w:szCs w:val="24"/>
        </w:rPr>
        <w:t>17.1</w:t>
      </w:r>
      <w:r>
        <w:rPr>
          <w:rFonts w:eastAsia="Calibri"/>
          <w:szCs w:val="24"/>
        </w:rPr>
        <w:t>. t</w:t>
      </w:r>
      <w:r>
        <w:rPr>
          <w:rFonts w:eastAsia="Calibri"/>
          <w:bCs/>
          <w:szCs w:val="24"/>
        </w:rPr>
        <w:t>echninė pagalba bitininkams ir jų grupėms:</w:t>
      </w:r>
    </w:p>
    <w:p>
      <w:pPr>
        <w:shd w:val="clear" w:color="auto" w:fill="FFFFFF"/>
        <w:tabs>
          <w:tab w:val="left" w:pos="709"/>
        </w:tabs>
        <w:spacing w:line="360" w:lineRule="auto"/>
        <w:ind w:firstLine="851"/>
        <w:jc w:val="both"/>
        <w:rPr>
          <w:rFonts w:eastAsia="Calibri"/>
          <w:szCs w:val="24"/>
        </w:rPr>
      </w:pPr>
      <w:r>
        <w:rPr>
          <w:rFonts w:eastAsia="Calibri"/>
          <w:szCs w:val="24"/>
        </w:rPr>
        <w:t>17.1.1</w:t>
      </w:r>
      <w:r>
        <w:rPr>
          <w:rFonts w:eastAsia="Calibri"/>
          <w:szCs w:val="24"/>
        </w:rPr>
        <w:t xml:space="preserve">. konferencijos, seminarai, mokymai bitininkams; </w:t>
      </w:r>
    </w:p>
    <w:p>
      <w:pPr>
        <w:shd w:val="clear" w:color="auto" w:fill="FFFFFF"/>
        <w:tabs>
          <w:tab w:val="left" w:pos="709"/>
        </w:tabs>
        <w:spacing w:line="360" w:lineRule="auto"/>
        <w:ind w:firstLine="851"/>
        <w:jc w:val="both"/>
        <w:rPr>
          <w:rFonts w:eastAsia="Calibri"/>
          <w:szCs w:val="24"/>
        </w:rPr>
      </w:pPr>
      <w:r>
        <w:rPr>
          <w:rFonts w:eastAsia="Calibri"/>
          <w:szCs w:val="24"/>
        </w:rPr>
        <w:t>17.1.2</w:t>
      </w:r>
      <w:r>
        <w:rPr>
          <w:rFonts w:eastAsia="Calibri"/>
          <w:szCs w:val="24"/>
        </w:rPr>
        <w:t>. bitininkų ryšių stiprinimas per bitininkų asociacijas;</w:t>
      </w:r>
    </w:p>
    <w:p>
      <w:pPr>
        <w:shd w:val="clear" w:color="auto" w:fill="FFFFFF"/>
        <w:tabs>
          <w:tab w:val="left" w:pos="709"/>
        </w:tabs>
        <w:spacing w:line="360" w:lineRule="auto"/>
        <w:ind w:firstLine="851"/>
        <w:jc w:val="both"/>
        <w:rPr>
          <w:rFonts w:eastAsia="Calibri"/>
          <w:szCs w:val="24"/>
        </w:rPr>
      </w:pPr>
      <w:r>
        <w:rPr>
          <w:rFonts w:eastAsia="Calibri"/>
          <w:szCs w:val="24"/>
        </w:rPr>
        <w:t>17.1.3</w:t>
      </w:r>
      <w:r>
        <w:rPr>
          <w:rFonts w:eastAsia="Calibri"/>
          <w:szCs w:val="24"/>
        </w:rPr>
        <w:t>. informacijos sklaida bitininkams apie bitininkystės sektoriaus naujoves, problemas, bičių produktų naudą ir kt.;</w:t>
      </w:r>
    </w:p>
    <w:p>
      <w:pPr>
        <w:shd w:val="clear" w:color="auto" w:fill="FFFFFF"/>
        <w:tabs>
          <w:tab w:val="left" w:pos="709"/>
        </w:tabs>
        <w:spacing w:line="360" w:lineRule="auto"/>
        <w:ind w:firstLine="851"/>
        <w:jc w:val="both"/>
        <w:rPr>
          <w:rFonts w:eastAsia="Calibri"/>
          <w:szCs w:val="24"/>
        </w:rPr>
      </w:pPr>
      <w:r>
        <w:rPr>
          <w:rFonts w:eastAsia="Calibri"/>
          <w:szCs w:val="24"/>
        </w:rPr>
        <w:t>17.1.4</w:t>
      </w:r>
      <w:r>
        <w:rPr>
          <w:rFonts w:eastAsia="Calibri"/>
          <w:szCs w:val="24"/>
        </w:rPr>
        <w:t>. tarptautinių ryšių tarp bitininkų stiprinimas (tarptautinės parodos, kelionės į kitas šalis, dalyvavimas tarptautiniuose renginiuose);</w:t>
      </w:r>
    </w:p>
    <w:p>
      <w:pPr>
        <w:shd w:val="clear" w:color="auto" w:fill="FFFFFF"/>
        <w:tabs>
          <w:tab w:val="left" w:pos="1560"/>
        </w:tabs>
        <w:spacing w:line="360" w:lineRule="auto"/>
        <w:ind w:firstLine="851"/>
        <w:jc w:val="both"/>
        <w:rPr>
          <w:rFonts w:eastAsia="Calibri"/>
          <w:szCs w:val="24"/>
        </w:rPr>
      </w:pPr>
      <w:r>
        <w:rPr>
          <w:rFonts w:eastAsia="Calibri"/>
          <w:szCs w:val="24"/>
        </w:rPr>
        <w:t>17.2</w:t>
      </w:r>
      <w:r>
        <w:rPr>
          <w:rFonts w:eastAsia="Calibri"/>
          <w:szCs w:val="24"/>
        </w:rPr>
        <w:t xml:space="preserve">. kova su bičių avilių ir bičių kenkėjais ir ligomis, ypač varoatoze: </w:t>
      </w:r>
    </w:p>
    <w:p>
      <w:pPr>
        <w:shd w:val="clear" w:color="auto" w:fill="FFFFFF"/>
        <w:tabs>
          <w:tab w:val="left" w:pos="1560"/>
        </w:tabs>
        <w:spacing w:line="360" w:lineRule="auto"/>
        <w:ind w:firstLine="851"/>
        <w:jc w:val="both"/>
        <w:rPr>
          <w:rFonts w:eastAsia="Calibri"/>
        </w:rPr>
      </w:pPr>
      <w:r>
        <w:rPr>
          <w:rFonts w:eastAsia="Calibri"/>
          <w:szCs w:val="24"/>
        </w:rPr>
        <w:t>17.2.1</w:t>
      </w:r>
      <w:r>
        <w:rPr>
          <w:rFonts w:eastAsia="Calibri"/>
          <w:szCs w:val="24"/>
        </w:rPr>
        <w:t xml:space="preserve">. vaistų varoatozei gydyti ir kovai su bičių avilių ir bičių kenkėjais priemonių įsigijimo kaštai bei informacijos teikimas (konsultavimas); </w:t>
      </w:r>
    </w:p>
    <w:p>
      <w:pPr>
        <w:spacing w:line="360" w:lineRule="auto"/>
        <w:ind w:firstLine="851"/>
        <w:jc w:val="both"/>
        <w:rPr>
          <w:rFonts w:eastAsia="Calibri"/>
        </w:rPr>
      </w:pPr>
      <w:r>
        <w:rPr>
          <w:rFonts w:eastAsia="Calibri"/>
        </w:rPr>
        <w:t>17.2.2</w:t>
      </w:r>
      <w:r>
        <w:rPr>
          <w:rFonts w:eastAsia="Calibri"/>
        </w:rPr>
        <w:t>. biologinių, ekologinių ir zootechninių priemonių įsigijimas ir informacijos teikimas (konsultavimas);</w:t>
      </w:r>
    </w:p>
    <w:p>
      <w:pPr>
        <w:spacing w:line="360" w:lineRule="auto"/>
        <w:ind w:firstLine="851"/>
        <w:jc w:val="both"/>
        <w:rPr>
          <w:rFonts w:eastAsia="Calibri"/>
          <w:szCs w:val="24"/>
        </w:rPr>
      </w:pPr>
      <w:r>
        <w:rPr>
          <w:rFonts w:eastAsia="Calibri"/>
        </w:rPr>
        <w:t>17.3</w:t>
      </w:r>
      <w:r>
        <w:rPr>
          <w:rFonts w:eastAsia="Calibri"/>
        </w:rPr>
        <w:t>. bičių avilių</w:t>
      </w:r>
      <w:r>
        <w:rPr>
          <w:rFonts w:eastAsia="Calibri"/>
          <w:bCs/>
        </w:rPr>
        <w:t xml:space="preserve"> transportavimo į ganyklas racionalizavimas – s</w:t>
      </w:r>
      <w:r>
        <w:rPr>
          <w:rFonts w:eastAsia="Calibri"/>
          <w:szCs w:val="24"/>
        </w:rPr>
        <w:t>pecialios bičių avilių transportavimo į ganyklas techninės įrangos bei priedų įsigijimas;</w:t>
      </w:r>
    </w:p>
    <w:p>
      <w:pPr>
        <w:shd w:val="clear" w:color="auto" w:fill="FFFFFF"/>
        <w:tabs>
          <w:tab w:val="left" w:pos="851"/>
        </w:tabs>
        <w:spacing w:line="360" w:lineRule="auto"/>
        <w:ind w:firstLine="851"/>
        <w:jc w:val="both"/>
        <w:rPr>
          <w:rFonts w:eastAsia="Calibri"/>
          <w:bCs/>
          <w:szCs w:val="24"/>
        </w:rPr>
      </w:pPr>
      <w:r>
        <w:rPr>
          <w:rFonts w:eastAsia="Calibri"/>
          <w:szCs w:val="24"/>
        </w:rPr>
        <w:t>17.4</w:t>
      </w:r>
      <w:r>
        <w:rPr>
          <w:rFonts w:eastAsia="Calibri"/>
          <w:szCs w:val="24"/>
        </w:rPr>
        <w:t>. m</w:t>
      </w:r>
      <w:r>
        <w:rPr>
          <w:rFonts w:eastAsia="Calibri"/>
          <w:bCs/>
          <w:szCs w:val="24"/>
        </w:rPr>
        <w:t>edaus fizinių ir cheminių savybių analizė:</w:t>
      </w:r>
    </w:p>
    <w:p>
      <w:pPr>
        <w:shd w:val="clear" w:color="auto" w:fill="FFFFFF"/>
        <w:tabs>
          <w:tab w:val="left" w:pos="851"/>
        </w:tabs>
        <w:spacing w:line="360" w:lineRule="auto"/>
        <w:ind w:firstLine="851"/>
        <w:jc w:val="both"/>
        <w:rPr>
          <w:rFonts w:eastAsia="Calibri"/>
          <w:szCs w:val="24"/>
        </w:rPr>
      </w:pPr>
      <w:r>
        <w:rPr>
          <w:rFonts w:eastAsia="Calibri"/>
          <w:szCs w:val="24"/>
        </w:rPr>
        <w:t>17.4.1</w:t>
      </w:r>
      <w:r>
        <w:rPr>
          <w:rFonts w:eastAsia="Calibri"/>
          <w:szCs w:val="24"/>
        </w:rPr>
        <w:t>. laboratorinės įrangos įsigijimas;</w:t>
      </w:r>
    </w:p>
    <w:p>
      <w:pPr>
        <w:shd w:val="clear" w:color="auto" w:fill="FFFFFF"/>
        <w:tabs>
          <w:tab w:val="left" w:pos="851"/>
        </w:tabs>
        <w:spacing w:line="360" w:lineRule="auto"/>
        <w:ind w:firstLine="851"/>
        <w:jc w:val="both"/>
        <w:rPr>
          <w:rFonts w:eastAsia="Calibri"/>
          <w:szCs w:val="24"/>
        </w:rPr>
      </w:pPr>
      <w:r>
        <w:rPr>
          <w:rFonts w:eastAsia="Calibri"/>
          <w:szCs w:val="24"/>
        </w:rPr>
        <w:t>17.4.2</w:t>
      </w:r>
      <w:r>
        <w:rPr>
          <w:rFonts w:eastAsia="Calibri"/>
          <w:szCs w:val="24"/>
        </w:rPr>
        <w:t>. medaus kokybės tyrimų kaštų kompensavimas;</w:t>
      </w:r>
    </w:p>
    <w:p>
      <w:pPr>
        <w:shd w:val="clear" w:color="auto" w:fill="FFFFFF"/>
        <w:tabs>
          <w:tab w:val="left" w:pos="851"/>
        </w:tabs>
        <w:spacing w:line="360" w:lineRule="auto"/>
        <w:ind w:firstLine="851"/>
        <w:jc w:val="both"/>
        <w:rPr>
          <w:rFonts w:eastAsia="Calibri"/>
          <w:bCs/>
          <w:szCs w:val="24"/>
        </w:rPr>
      </w:pPr>
      <w:r>
        <w:rPr>
          <w:rFonts w:eastAsia="Calibri"/>
          <w:szCs w:val="24"/>
        </w:rPr>
        <w:t>17.5</w:t>
      </w:r>
      <w:r>
        <w:rPr>
          <w:rFonts w:eastAsia="Calibri"/>
          <w:szCs w:val="24"/>
        </w:rPr>
        <w:t>. b</w:t>
      </w:r>
      <w:r>
        <w:rPr>
          <w:rFonts w:eastAsia="Calibri"/>
          <w:bCs/>
          <w:szCs w:val="24"/>
        </w:rPr>
        <w:t>ičių šeimų atnaujinimas:</w:t>
      </w:r>
    </w:p>
    <w:p>
      <w:pPr>
        <w:shd w:val="clear" w:color="auto" w:fill="FFFFFF"/>
        <w:tabs>
          <w:tab w:val="left" w:pos="851"/>
        </w:tabs>
        <w:spacing w:line="360" w:lineRule="auto"/>
        <w:ind w:firstLine="851"/>
        <w:jc w:val="both"/>
        <w:rPr>
          <w:rFonts w:eastAsia="Calibri"/>
          <w:szCs w:val="24"/>
        </w:rPr>
      </w:pPr>
      <w:r>
        <w:rPr>
          <w:rFonts w:eastAsia="Calibri"/>
          <w:szCs w:val="24"/>
        </w:rPr>
        <w:t>17.5.1</w:t>
      </w:r>
      <w:r>
        <w:rPr>
          <w:rFonts w:eastAsia="Calibri"/>
          <w:szCs w:val="24"/>
        </w:rPr>
        <w:t>. aukštos kokybės bičių motinų įsigijimas;</w:t>
      </w:r>
    </w:p>
    <w:p>
      <w:pPr>
        <w:shd w:val="clear" w:color="auto" w:fill="FFFFFF"/>
        <w:tabs>
          <w:tab w:val="left" w:pos="851"/>
        </w:tabs>
        <w:spacing w:line="360" w:lineRule="auto"/>
        <w:ind w:firstLine="851"/>
        <w:jc w:val="both"/>
        <w:rPr>
          <w:rFonts w:eastAsia="Calibri"/>
          <w:szCs w:val="24"/>
        </w:rPr>
      </w:pPr>
      <w:r>
        <w:rPr>
          <w:rFonts w:eastAsia="Calibri"/>
          <w:szCs w:val="24"/>
        </w:rPr>
        <w:t>17.5.2</w:t>
      </w:r>
      <w:r>
        <w:rPr>
          <w:rFonts w:eastAsia="Calibri"/>
          <w:szCs w:val="24"/>
        </w:rPr>
        <w:t>. aukštos kokybės bičių šeimų įsigijimas;</w:t>
      </w:r>
    </w:p>
    <w:p>
      <w:pPr>
        <w:shd w:val="clear" w:color="auto" w:fill="FFFFFF"/>
        <w:tabs>
          <w:tab w:val="left" w:pos="851"/>
        </w:tabs>
        <w:spacing w:line="360" w:lineRule="auto"/>
        <w:ind w:firstLine="851"/>
        <w:jc w:val="both"/>
        <w:rPr>
          <w:rFonts w:eastAsia="Calibri"/>
          <w:szCs w:val="24"/>
        </w:rPr>
      </w:pPr>
      <w:r>
        <w:rPr>
          <w:rFonts w:eastAsia="Calibri"/>
          <w:szCs w:val="24"/>
        </w:rPr>
        <w:t>17.5.3</w:t>
      </w:r>
      <w:r>
        <w:rPr>
          <w:rFonts w:eastAsia="Calibri"/>
          <w:szCs w:val="24"/>
        </w:rPr>
        <w:t>. bičių šeimų laikymo, priežiūros ir bitininkavimo bazės atnaujinimas (naujų avilių ir avilių dalių įsigijimas);</w:t>
      </w:r>
    </w:p>
    <w:p>
      <w:pPr>
        <w:shd w:val="clear" w:color="auto" w:fill="FFFFFF"/>
        <w:tabs>
          <w:tab w:val="left" w:pos="851"/>
        </w:tabs>
        <w:spacing w:line="360" w:lineRule="auto"/>
        <w:ind w:firstLine="851"/>
        <w:jc w:val="both"/>
        <w:rPr>
          <w:rFonts w:eastAsia="Calibri"/>
          <w:bCs/>
          <w:szCs w:val="24"/>
        </w:rPr>
      </w:pPr>
      <w:r>
        <w:rPr>
          <w:rFonts w:eastAsia="Calibri"/>
          <w:szCs w:val="24"/>
        </w:rPr>
        <w:t>17.6</w:t>
      </w:r>
      <w:r>
        <w:rPr>
          <w:rFonts w:eastAsia="Calibri"/>
          <w:szCs w:val="24"/>
        </w:rPr>
        <w:t>. b</w:t>
      </w:r>
      <w:r>
        <w:rPr>
          <w:rFonts w:eastAsia="Calibri"/>
          <w:bCs/>
          <w:szCs w:val="24"/>
        </w:rPr>
        <w:t>itininkystei ir bitininkystės produktams skirtos taikomųjų tyrimų programos:</w:t>
      </w:r>
    </w:p>
    <w:p>
      <w:pPr>
        <w:shd w:val="clear" w:color="auto" w:fill="FFFFFF"/>
        <w:tabs>
          <w:tab w:val="left" w:pos="851"/>
        </w:tabs>
        <w:spacing w:line="360" w:lineRule="auto"/>
        <w:ind w:firstLine="851"/>
        <w:jc w:val="both"/>
        <w:rPr>
          <w:rFonts w:eastAsia="Calibri"/>
          <w:szCs w:val="24"/>
        </w:rPr>
      </w:pPr>
      <w:r>
        <w:rPr>
          <w:rFonts w:eastAsia="Calibri"/>
          <w:szCs w:val="24"/>
        </w:rPr>
        <w:t>17.6.1</w:t>
      </w:r>
      <w:r>
        <w:rPr>
          <w:rFonts w:eastAsia="Calibri"/>
          <w:szCs w:val="24"/>
        </w:rPr>
        <w:t>. varoatozės erkių</w:t>
      </w:r>
      <w:r>
        <w:rPr>
          <w:rFonts w:eastAsia="Calibri"/>
          <w:i/>
          <w:iCs/>
          <w:szCs w:val="24"/>
        </w:rPr>
        <w:t xml:space="preserve"> </w:t>
      </w:r>
      <w:r>
        <w:rPr>
          <w:rFonts w:eastAsia="Calibri"/>
          <w:szCs w:val="24"/>
        </w:rPr>
        <w:t>biologijos ir kitų bičių ligų, kenkėjų ir kovos su jais priemonių tyrimai;</w:t>
      </w:r>
    </w:p>
    <w:p>
      <w:pPr>
        <w:shd w:val="clear" w:color="auto" w:fill="FFFFFF"/>
        <w:tabs>
          <w:tab w:val="left" w:pos="851"/>
        </w:tabs>
        <w:spacing w:line="360" w:lineRule="auto"/>
        <w:ind w:firstLine="851"/>
        <w:jc w:val="both"/>
        <w:rPr>
          <w:rFonts w:eastAsia="Calibri"/>
          <w:szCs w:val="24"/>
        </w:rPr>
      </w:pPr>
      <w:r>
        <w:rPr>
          <w:rFonts w:eastAsia="Calibri"/>
          <w:szCs w:val="24"/>
        </w:rPr>
        <w:t>17.6.2</w:t>
      </w:r>
      <w:r>
        <w:rPr>
          <w:rFonts w:eastAsia="Calibri"/>
          <w:szCs w:val="24"/>
        </w:rPr>
        <w:t>. bičių produktų savybių tyrimai;</w:t>
      </w:r>
    </w:p>
    <w:p>
      <w:pPr>
        <w:shd w:val="clear" w:color="auto" w:fill="FFFFFF"/>
        <w:tabs>
          <w:tab w:val="left" w:pos="851"/>
        </w:tabs>
        <w:spacing w:line="360" w:lineRule="auto"/>
        <w:ind w:firstLine="851"/>
        <w:jc w:val="both"/>
        <w:rPr>
          <w:rFonts w:eastAsia="Calibri"/>
          <w:szCs w:val="24"/>
        </w:rPr>
      </w:pPr>
      <w:r>
        <w:rPr>
          <w:rFonts w:eastAsia="Calibri"/>
          <w:szCs w:val="24"/>
        </w:rPr>
        <w:t>17.6.3</w:t>
      </w:r>
      <w:r>
        <w:rPr>
          <w:rFonts w:eastAsia="Calibri"/>
          <w:szCs w:val="24"/>
        </w:rPr>
        <w:t>. bičių biologijos, veislininkystės, ekologijos ir genetiniai tyrimai;</w:t>
      </w:r>
    </w:p>
    <w:p>
      <w:pPr>
        <w:shd w:val="clear" w:color="auto" w:fill="FFFFFF"/>
        <w:tabs>
          <w:tab w:val="left" w:pos="851"/>
        </w:tabs>
        <w:spacing w:line="360" w:lineRule="auto"/>
        <w:ind w:firstLine="851"/>
        <w:jc w:val="both"/>
        <w:rPr>
          <w:rFonts w:eastAsia="Calibri"/>
          <w:szCs w:val="24"/>
        </w:rPr>
      </w:pPr>
      <w:r>
        <w:rPr>
          <w:rFonts w:eastAsia="Calibri"/>
          <w:szCs w:val="24"/>
        </w:rPr>
        <w:t>17.6.4</w:t>
      </w:r>
      <w:r>
        <w:rPr>
          <w:rFonts w:eastAsia="Calibri"/>
          <w:szCs w:val="24"/>
        </w:rPr>
        <w:t>. pesticidų ir sunkiųjų metalų likučių bičių produktuose tyrimai;</w:t>
      </w:r>
    </w:p>
    <w:p>
      <w:pPr>
        <w:shd w:val="clear" w:color="auto" w:fill="FFFFFF"/>
        <w:tabs>
          <w:tab w:val="left" w:pos="851"/>
        </w:tabs>
        <w:spacing w:line="360" w:lineRule="auto"/>
        <w:ind w:firstLine="851"/>
        <w:jc w:val="both"/>
        <w:rPr>
          <w:rFonts w:eastAsia="Calibri"/>
          <w:szCs w:val="24"/>
        </w:rPr>
      </w:pPr>
      <w:r>
        <w:rPr>
          <w:rFonts w:eastAsia="Calibri"/>
          <w:szCs w:val="24"/>
        </w:rPr>
        <w:t>17.6.5</w:t>
      </w:r>
      <w:r>
        <w:rPr>
          <w:rFonts w:eastAsia="Calibri"/>
          <w:szCs w:val="24"/>
        </w:rPr>
        <w:t>. bičių šeimų priežiūros metodų tobulinimas;</w:t>
      </w:r>
    </w:p>
    <w:p>
      <w:pPr>
        <w:shd w:val="clear" w:color="auto" w:fill="FFFFFF"/>
        <w:spacing w:line="360" w:lineRule="auto"/>
        <w:ind w:firstLine="851"/>
        <w:jc w:val="both"/>
        <w:rPr>
          <w:rFonts w:eastAsia="Calibri"/>
          <w:szCs w:val="24"/>
        </w:rPr>
      </w:pPr>
      <w:r>
        <w:rPr>
          <w:rFonts w:eastAsia="Calibri"/>
          <w:szCs w:val="24"/>
        </w:rPr>
        <w:t>17.7</w:t>
      </w:r>
      <w:r>
        <w:rPr>
          <w:rFonts w:eastAsia="Calibri"/>
          <w:szCs w:val="24"/>
        </w:rPr>
        <w:t>. rinkos stebėsena – rinkos tyrimai;</w:t>
      </w:r>
    </w:p>
    <w:p>
      <w:pPr>
        <w:shd w:val="clear" w:color="auto" w:fill="FFFFFF"/>
        <w:spacing w:line="360" w:lineRule="auto"/>
        <w:ind w:firstLine="851"/>
        <w:jc w:val="both"/>
        <w:rPr>
          <w:rFonts w:eastAsia="Calibri"/>
          <w:szCs w:val="24"/>
        </w:rPr>
      </w:pPr>
      <w:r>
        <w:rPr>
          <w:rFonts w:eastAsia="Calibri"/>
          <w:szCs w:val="24"/>
        </w:rPr>
        <w:t>17.8</w:t>
      </w:r>
      <w:r>
        <w:rPr>
          <w:rFonts w:eastAsia="Calibri"/>
          <w:szCs w:val="24"/>
        </w:rPr>
        <w:t>. produktų kokybės gerinimas, siekiant didinti jų vertę rinkoje;</w:t>
      </w:r>
    </w:p>
    <w:p>
      <w:pPr>
        <w:spacing w:line="360" w:lineRule="auto"/>
        <w:ind w:firstLine="851"/>
        <w:jc w:val="both"/>
        <w:rPr>
          <w:rFonts w:eastAsia="Calibri"/>
        </w:rPr>
      </w:pPr>
      <w:r>
        <w:rPr>
          <w:rFonts w:eastAsia="Calibri"/>
          <w:szCs w:val="24"/>
        </w:rPr>
        <w:t>17.8.1</w:t>
      </w:r>
      <w:r>
        <w:rPr>
          <w:rFonts w:eastAsia="Calibri"/>
          <w:szCs w:val="24"/>
        </w:rPr>
        <w:t>. b</w:t>
      </w:r>
      <w:r>
        <w:rPr>
          <w:rFonts w:eastAsia="Calibri"/>
        </w:rPr>
        <w:t xml:space="preserve">ičių produktų tvarkymo ir apdorojimo gerinimas (bitininkystės inventoriaus įsigijimas); </w:t>
      </w:r>
    </w:p>
    <w:p>
      <w:pPr>
        <w:spacing w:line="360" w:lineRule="auto"/>
        <w:ind w:firstLine="851"/>
        <w:jc w:val="both"/>
        <w:rPr>
          <w:rFonts w:eastAsia="Calibri"/>
        </w:rPr>
      </w:pPr>
      <w:r>
        <w:rPr>
          <w:rFonts w:eastAsia="Calibri"/>
          <w:szCs w:val="24"/>
        </w:rPr>
        <w:t>17.8.2</w:t>
      </w:r>
      <w:r>
        <w:rPr>
          <w:rFonts w:eastAsia="Calibri"/>
          <w:szCs w:val="24"/>
        </w:rPr>
        <w:t>. b</w:t>
      </w:r>
      <w:r>
        <w:rPr>
          <w:rFonts w:eastAsia="Calibri"/>
        </w:rPr>
        <w:t xml:space="preserve">ičių produktų trumpoms tiekimo grandinėms sąlygų, bitininkystės sektoriaus apsaugos ir </w:t>
      </w:r>
      <w:r>
        <w:rPr>
          <w:rFonts w:eastAsia="Calibri"/>
          <w:sz w:val="22"/>
          <w:szCs w:val="22"/>
        </w:rPr>
        <w:t xml:space="preserve"> </w:t>
      </w:r>
      <w:r>
        <w:rPr>
          <w:rFonts w:eastAsia="Calibri"/>
        </w:rPr>
        <w:t>medaus atsekamumo gerinimas.</w:t>
      </w:r>
    </w:p>
    <w:p>
      <w:pPr>
        <w:suppressAutoHyphens/>
        <w:spacing w:line="360" w:lineRule="auto"/>
        <w:ind w:firstLine="851"/>
        <w:jc w:val="both"/>
        <w:textAlignment w:val="center"/>
        <w:rPr>
          <w:szCs w:val="24"/>
        </w:rPr>
      </w:pPr>
      <w:r>
        <w:rPr>
          <w:szCs w:val="24"/>
        </w:rPr>
        <w:t>18</w:t>
      </w:r>
      <w:r>
        <w:rPr>
          <w:szCs w:val="24"/>
        </w:rPr>
        <w:t xml:space="preserve">. Bitininkystės programos priemonių įgyvendinimo vertinimo kriterijai pagal atskiras priemones: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560"/>
        <w:gridCol w:w="1417"/>
        <w:gridCol w:w="1418"/>
        <w:gridCol w:w="1269"/>
        <w:gridCol w:w="6"/>
      </w:tblGrid>
      <w:tr>
        <w:trPr>
          <w:gridAfter w:val="1"/>
          <w:wAfter w:w="6" w:type="dxa"/>
        </w:trPr>
        <w:tc>
          <w:tcPr>
            <w:tcW w:w="4390" w:type="dxa"/>
            <w:vMerge w:val="restart"/>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b/>
                <w:szCs w:val="24"/>
              </w:rPr>
            </w:pPr>
            <w:r>
              <w:rPr>
                <w:rFonts w:eastAsia="Calibri"/>
                <w:b/>
                <w:sz w:val="22"/>
                <w:szCs w:val="24"/>
              </w:rPr>
              <w:t>Vertinimo kriterijaus pavadinimas ir matavimo vienetas</w:t>
            </w:r>
          </w:p>
        </w:tc>
        <w:tc>
          <w:tcPr>
            <w:tcW w:w="1560" w:type="dxa"/>
            <w:vMerge w:val="restart"/>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b/>
                <w:szCs w:val="24"/>
              </w:rPr>
            </w:pPr>
            <w:r>
              <w:rPr>
                <w:rFonts w:eastAsia="Calibri"/>
                <w:b/>
                <w:sz w:val="22"/>
                <w:szCs w:val="24"/>
              </w:rPr>
              <w:t>Faktinės reikšmės</w:t>
            </w:r>
          </w:p>
          <w:p>
            <w:pPr>
              <w:suppressAutoHyphens/>
              <w:spacing w:line="360" w:lineRule="auto"/>
              <w:jc w:val="center"/>
              <w:textAlignment w:val="center"/>
              <w:rPr>
                <w:rFonts w:eastAsia="Calibri"/>
                <w:b/>
                <w:szCs w:val="24"/>
              </w:rPr>
            </w:pPr>
            <w:r>
              <w:rPr>
                <w:rFonts w:eastAsia="Calibri"/>
                <w:b/>
                <w:sz w:val="22"/>
                <w:szCs w:val="24"/>
              </w:rPr>
              <w:t>2018 m.</w:t>
            </w:r>
          </w:p>
        </w:tc>
        <w:tc>
          <w:tcPr>
            <w:tcW w:w="4104" w:type="dxa"/>
            <w:gridSpan w:val="3"/>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b/>
                <w:szCs w:val="24"/>
              </w:rPr>
            </w:pPr>
            <w:r>
              <w:rPr>
                <w:rFonts w:eastAsia="Calibri"/>
                <w:b/>
                <w:sz w:val="22"/>
                <w:szCs w:val="24"/>
              </w:rPr>
              <w:t>Vertinimo kriterijaus reikšmė</w:t>
            </w:r>
          </w:p>
        </w:tc>
      </w:tr>
      <w:tr>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ascii="Calibri" w:eastAsia="Calibri" w:hAnsi="Calibri"/>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ascii="Calibri" w:eastAsia="Calibri" w:hAnsi="Calibri"/>
                <w:b/>
                <w:szCs w:val="24"/>
              </w:rPr>
            </w:pPr>
          </w:p>
        </w:tc>
        <w:tc>
          <w:tcPr>
            <w:tcW w:w="1417"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b/>
                <w:szCs w:val="24"/>
              </w:rPr>
            </w:pPr>
            <w:r>
              <w:rPr>
                <w:rFonts w:eastAsia="Calibri"/>
                <w:b/>
                <w:sz w:val="22"/>
                <w:szCs w:val="24"/>
              </w:rPr>
              <w:t>2020 m.</w:t>
            </w:r>
          </w:p>
        </w:tc>
        <w:tc>
          <w:tcPr>
            <w:tcW w:w="1418"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b/>
                <w:szCs w:val="24"/>
              </w:rPr>
            </w:pPr>
            <w:r>
              <w:rPr>
                <w:rFonts w:eastAsia="Calibri"/>
                <w:b/>
                <w:sz w:val="22"/>
                <w:szCs w:val="24"/>
              </w:rPr>
              <w:t>2021 m.</w:t>
            </w:r>
          </w:p>
        </w:tc>
        <w:tc>
          <w:tcPr>
            <w:tcW w:w="1269"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b/>
                <w:szCs w:val="24"/>
              </w:rPr>
            </w:pPr>
            <w:r>
              <w:rPr>
                <w:rFonts w:eastAsia="Calibri"/>
                <w:b/>
                <w:sz w:val="22"/>
                <w:szCs w:val="24"/>
              </w:rPr>
              <w:t>2022 m.</w:t>
            </w:r>
          </w:p>
        </w:tc>
      </w:tr>
      <w:tr>
        <w:tc>
          <w:tcPr>
            <w:tcW w:w="10060" w:type="dxa"/>
            <w:gridSpan w:val="6"/>
            <w:tcBorders>
              <w:top w:val="single" w:sz="4" w:space="0" w:color="auto"/>
              <w:left w:val="single" w:sz="4" w:space="0" w:color="auto"/>
              <w:bottom w:val="single" w:sz="4" w:space="0" w:color="auto"/>
              <w:right w:val="single" w:sz="4" w:space="0" w:color="auto"/>
            </w:tcBorders>
            <w:hideMark/>
          </w:tcPr>
          <w:p>
            <w:pPr>
              <w:suppressAutoHyphens/>
              <w:spacing w:line="360" w:lineRule="auto"/>
              <w:textAlignment w:val="center"/>
              <w:rPr>
                <w:rFonts w:ascii="Calibri" w:eastAsia="Calibri" w:hAnsi="Calibri"/>
                <w:b/>
                <w:szCs w:val="24"/>
              </w:rPr>
            </w:pPr>
            <w:r>
              <w:rPr>
                <w:rFonts w:eastAsia="Calibri"/>
                <w:b/>
                <w:bCs/>
                <w:sz w:val="22"/>
                <w:szCs w:val="24"/>
              </w:rPr>
              <w:t>Techninė pagalba bitininkams ir jų grupėms</w:t>
            </w:r>
          </w:p>
        </w:tc>
      </w:tr>
      <w:tr>
        <w:trPr>
          <w:gridAfter w:val="1"/>
          <w:wAfter w:w="6" w:type="dxa"/>
        </w:trPr>
        <w:tc>
          <w:tcPr>
            <w:tcW w:w="4390" w:type="dxa"/>
            <w:tcBorders>
              <w:top w:val="single" w:sz="4" w:space="0" w:color="auto"/>
              <w:left w:val="single" w:sz="4" w:space="0" w:color="auto"/>
              <w:bottom w:val="single" w:sz="4" w:space="0" w:color="auto"/>
              <w:right w:val="single" w:sz="4" w:space="0" w:color="auto"/>
            </w:tcBorders>
            <w:hideMark/>
          </w:tcPr>
          <w:p>
            <w:pPr>
              <w:suppressAutoHyphens/>
              <w:spacing w:line="360" w:lineRule="auto"/>
              <w:textAlignment w:val="center"/>
              <w:rPr>
                <w:rFonts w:eastAsia="Calibri"/>
                <w:szCs w:val="24"/>
              </w:rPr>
            </w:pPr>
            <w:r>
              <w:rPr>
                <w:rFonts w:eastAsia="Calibri"/>
                <w:bCs/>
                <w:sz w:val="22"/>
                <w:szCs w:val="24"/>
              </w:rPr>
              <w:t>Bitininkų, dalyvavusių mokymuose / konferencijose, skaičius, vnt.</w:t>
            </w:r>
          </w:p>
        </w:tc>
        <w:tc>
          <w:tcPr>
            <w:tcW w:w="1560" w:type="dxa"/>
            <w:tcBorders>
              <w:top w:val="single" w:sz="4" w:space="0" w:color="auto"/>
              <w:left w:val="single" w:sz="4" w:space="0" w:color="auto"/>
              <w:bottom w:val="single" w:sz="4" w:space="0" w:color="auto"/>
              <w:right w:val="single" w:sz="4" w:space="0" w:color="auto"/>
            </w:tcBorders>
            <w:hideMark/>
          </w:tcPr>
          <w:p>
            <w:pPr>
              <w:spacing w:line="360" w:lineRule="auto"/>
              <w:jc w:val="center"/>
              <w:rPr>
                <w:rFonts w:eastAsia="Calibri"/>
                <w:sz w:val="22"/>
                <w:szCs w:val="22"/>
              </w:rPr>
            </w:pPr>
            <w:r>
              <w:rPr>
                <w:rFonts w:eastAsia="Calibri"/>
                <w:sz w:val="22"/>
                <w:szCs w:val="22"/>
              </w:rPr>
              <w:t>462</w:t>
            </w:r>
          </w:p>
        </w:tc>
        <w:tc>
          <w:tcPr>
            <w:tcW w:w="1417"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200</w:t>
            </w:r>
          </w:p>
        </w:tc>
        <w:tc>
          <w:tcPr>
            <w:tcW w:w="1418"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200</w:t>
            </w:r>
          </w:p>
        </w:tc>
        <w:tc>
          <w:tcPr>
            <w:tcW w:w="1269"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200</w:t>
            </w:r>
          </w:p>
        </w:tc>
      </w:tr>
      <w:tr>
        <w:trPr>
          <w:gridAfter w:val="1"/>
          <w:wAfter w:w="6" w:type="dxa"/>
        </w:trPr>
        <w:tc>
          <w:tcPr>
            <w:tcW w:w="4390" w:type="dxa"/>
            <w:tcBorders>
              <w:top w:val="single" w:sz="4" w:space="0" w:color="auto"/>
              <w:left w:val="single" w:sz="4" w:space="0" w:color="auto"/>
              <w:bottom w:val="single" w:sz="4" w:space="0" w:color="auto"/>
              <w:right w:val="single" w:sz="4" w:space="0" w:color="auto"/>
            </w:tcBorders>
            <w:hideMark/>
          </w:tcPr>
          <w:p>
            <w:pPr>
              <w:suppressAutoHyphens/>
              <w:spacing w:line="360" w:lineRule="auto"/>
              <w:textAlignment w:val="center"/>
              <w:rPr>
                <w:rFonts w:eastAsia="Calibri"/>
                <w:szCs w:val="24"/>
              </w:rPr>
            </w:pPr>
            <w:r>
              <w:rPr>
                <w:rFonts w:eastAsia="Calibri"/>
                <w:bCs/>
                <w:sz w:val="22"/>
                <w:szCs w:val="24"/>
              </w:rPr>
              <w:t>Suorganizuotų mokymų / konferencijų skaičius, vnt.</w:t>
            </w:r>
          </w:p>
        </w:tc>
        <w:tc>
          <w:tcPr>
            <w:tcW w:w="1560" w:type="dxa"/>
            <w:tcBorders>
              <w:top w:val="single" w:sz="4" w:space="0" w:color="auto"/>
              <w:left w:val="single" w:sz="4" w:space="0" w:color="auto"/>
              <w:bottom w:val="single" w:sz="4" w:space="0" w:color="auto"/>
              <w:right w:val="single" w:sz="4" w:space="0" w:color="auto"/>
            </w:tcBorders>
            <w:hideMark/>
          </w:tcPr>
          <w:p>
            <w:pPr>
              <w:spacing w:line="360" w:lineRule="auto"/>
              <w:jc w:val="center"/>
              <w:rPr>
                <w:rFonts w:eastAsia="Calibri"/>
                <w:sz w:val="22"/>
                <w:szCs w:val="22"/>
              </w:rPr>
            </w:pPr>
            <w:r>
              <w:rPr>
                <w:rFonts w:eastAsia="Calibri"/>
                <w:sz w:val="22"/>
                <w:szCs w:val="22"/>
              </w:rPr>
              <w:t>7</w:t>
            </w:r>
          </w:p>
        </w:tc>
        <w:tc>
          <w:tcPr>
            <w:tcW w:w="1417"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6</w:t>
            </w:r>
          </w:p>
        </w:tc>
        <w:tc>
          <w:tcPr>
            <w:tcW w:w="1418"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6</w:t>
            </w:r>
          </w:p>
        </w:tc>
        <w:tc>
          <w:tcPr>
            <w:tcW w:w="1269"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6</w:t>
            </w:r>
          </w:p>
        </w:tc>
      </w:tr>
      <w:tr>
        <w:tc>
          <w:tcPr>
            <w:tcW w:w="10060" w:type="dxa"/>
            <w:gridSpan w:val="6"/>
            <w:tcBorders>
              <w:top w:val="single" w:sz="4" w:space="0" w:color="auto"/>
              <w:left w:val="single" w:sz="4" w:space="0" w:color="auto"/>
              <w:bottom w:val="single" w:sz="4" w:space="0" w:color="auto"/>
              <w:right w:val="single" w:sz="4" w:space="0" w:color="auto"/>
            </w:tcBorders>
            <w:hideMark/>
          </w:tcPr>
          <w:p>
            <w:pPr>
              <w:suppressAutoHyphens/>
              <w:spacing w:line="360" w:lineRule="auto"/>
              <w:textAlignment w:val="center"/>
              <w:rPr>
                <w:rFonts w:ascii="Calibri" w:eastAsia="Calibri" w:hAnsi="Calibri"/>
                <w:b/>
                <w:szCs w:val="24"/>
              </w:rPr>
            </w:pPr>
            <w:r>
              <w:rPr>
                <w:rFonts w:eastAsia="Calibri"/>
                <w:b/>
                <w:bCs/>
                <w:sz w:val="22"/>
                <w:szCs w:val="24"/>
              </w:rPr>
              <w:t>K</w:t>
            </w:r>
            <w:r>
              <w:rPr>
                <w:rFonts w:eastAsia="Calibri"/>
                <w:b/>
                <w:sz w:val="22"/>
                <w:szCs w:val="24"/>
              </w:rPr>
              <w:t>ova su avilių kenkėjais ir bičių ligomis, ypač varoatoze</w:t>
            </w:r>
          </w:p>
        </w:tc>
      </w:tr>
      <w:tr>
        <w:trPr>
          <w:gridAfter w:val="1"/>
          <w:wAfter w:w="6" w:type="dxa"/>
        </w:trPr>
        <w:tc>
          <w:tcPr>
            <w:tcW w:w="4390"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both"/>
              <w:textAlignment w:val="center"/>
              <w:rPr>
                <w:rFonts w:eastAsia="Calibri"/>
                <w:color w:val="000000"/>
                <w:szCs w:val="24"/>
              </w:rPr>
            </w:pPr>
            <w:r>
              <w:rPr>
                <w:rFonts w:eastAsia="Calibri"/>
                <w:color w:val="000000"/>
                <w:sz w:val="22"/>
                <w:szCs w:val="24"/>
              </w:rPr>
              <w:t>Bitininkų asociacijų skaičius, vnt.</w:t>
            </w:r>
          </w:p>
        </w:tc>
        <w:tc>
          <w:tcPr>
            <w:tcW w:w="1560" w:type="dxa"/>
            <w:tcBorders>
              <w:top w:val="single" w:sz="4" w:space="0" w:color="auto"/>
              <w:left w:val="single" w:sz="4" w:space="0" w:color="auto"/>
              <w:bottom w:val="single" w:sz="4" w:space="0" w:color="auto"/>
              <w:right w:val="single" w:sz="4" w:space="0" w:color="auto"/>
            </w:tcBorders>
            <w:hideMark/>
          </w:tcPr>
          <w:p>
            <w:pPr>
              <w:spacing w:line="360" w:lineRule="auto"/>
              <w:jc w:val="center"/>
              <w:rPr>
                <w:rFonts w:eastAsia="Calibri"/>
                <w:color w:val="000000"/>
                <w:sz w:val="22"/>
                <w:szCs w:val="22"/>
              </w:rPr>
            </w:pPr>
            <w:r>
              <w:rPr>
                <w:rFonts w:eastAsia="Calibri"/>
                <w:color w:val="000000"/>
                <w:sz w:val="22"/>
                <w:szCs w:val="22"/>
              </w:rPr>
              <w:t>46</w:t>
            </w:r>
          </w:p>
        </w:tc>
        <w:tc>
          <w:tcPr>
            <w:tcW w:w="1417"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color w:val="000000"/>
                <w:szCs w:val="24"/>
              </w:rPr>
            </w:pPr>
            <w:r>
              <w:rPr>
                <w:rFonts w:eastAsia="Calibri"/>
                <w:color w:val="000000"/>
                <w:sz w:val="22"/>
                <w:szCs w:val="24"/>
              </w:rPr>
              <w:t>44</w:t>
            </w:r>
          </w:p>
        </w:tc>
        <w:tc>
          <w:tcPr>
            <w:tcW w:w="1418"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color w:val="000000"/>
                <w:szCs w:val="24"/>
              </w:rPr>
            </w:pPr>
            <w:r>
              <w:rPr>
                <w:rFonts w:eastAsia="Calibri"/>
                <w:color w:val="000000"/>
                <w:sz w:val="22"/>
                <w:szCs w:val="24"/>
              </w:rPr>
              <w:t>44</w:t>
            </w:r>
          </w:p>
        </w:tc>
        <w:tc>
          <w:tcPr>
            <w:tcW w:w="1269"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color w:val="000000"/>
                <w:szCs w:val="24"/>
              </w:rPr>
            </w:pPr>
            <w:r>
              <w:rPr>
                <w:rFonts w:eastAsia="Calibri"/>
                <w:color w:val="000000"/>
                <w:sz w:val="22"/>
                <w:szCs w:val="24"/>
              </w:rPr>
              <w:t>44</w:t>
            </w:r>
          </w:p>
        </w:tc>
      </w:tr>
      <w:tr>
        <w:trPr>
          <w:gridAfter w:val="1"/>
          <w:wAfter w:w="6" w:type="dxa"/>
        </w:trPr>
        <w:tc>
          <w:tcPr>
            <w:tcW w:w="4390"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both"/>
              <w:textAlignment w:val="center"/>
              <w:rPr>
                <w:rFonts w:eastAsia="Calibri"/>
                <w:color w:val="000000"/>
                <w:szCs w:val="24"/>
              </w:rPr>
            </w:pPr>
            <w:r>
              <w:rPr>
                <w:rFonts w:eastAsia="Calibri"/>
                <w:color w:val="000000"/>
                <w:sz w:val="22"/>
                <w:szCs w:val="24"/>
              </w:rPr>
              <w:t>Bitininkų skaičius, vnt.</w:t>
            </w:r>
          </w:p>
        </w:tc>
        <w:tc>
          <w:tcPr>
            <w:tcW w:w="1560" w:type="dxa"/>
            <w:tcBorders>
              <w:top w:val="single" w:sz="4" w:space="0" w:color="auto"/>
              <w:left w:val="single" w:sz="4" w:space="0" w:color="auto"/>
              <w:bottom w:val="single" w:sz="4" w:space="0" w:color="auto"/>
              <w:right w:val="single" w:sz="4" w:space="0" w:color="auto"/>
            </w:tcBorders>
            <w:hideMark/>
          </w:tcPr>
          <w:p>
            <w:pPr>
              <w:spacing w:line="360" w:lineRule="auto"/>
              <w:jc w:val="center"/>
              <w:rPr>
                <w:rFonts w:eastAsia="Calibri"/>
                <w:color w:val="000000"/>
                <w:sz w:val="22"/>
                <w:szCs w:val="22"/>
              </w:rPr>
            </w:pPr>
            <w:r>
              <w:rPr>
                <w:rFonts w:eastAsia="Calibri"/>
                <w:color w:val="000000"/>
                <w:sz w:val="22"/>
                <w:szCs w:val="22"/>
              </w:rPr>
              <w:t>4486</w:t>
            </w:r>
          </w:p>
        </w:tc>
        <w:tc>
          <w:tcPr>
            <w:tcW w:w="1417"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color w:val="000000"/>
                <w:szCs w:val="24"/>
              </w:rPr>
            </w:pPr>
            <w:r>
              <w:rPr>
                <w:rFonts w:eastAsia="Calibri"/>
                <w:color w:val="000000"/>
                <w:sz w:val="22"/>
                <w:szCs w:val="24"/>
              </w:rPr>
              <w:t>4 500</w:t>
            </w:r>
          </w:p>
        </w:tc>
        <w:tc>
          <w:tcPr>
            <w:tcW w:w="1418"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color w:val="000000"/>
                <w:szCs w:val="24"/>
              </w:rPr>
            </w:pPr>
            <w:r>
              <w:rPr>
                <w:rFonts w:eastAsia="Calibri"/>
                <w:color w:val="000000"/>
                <w:sz w:val="22"/>
                <w:szCs w:val="24"/>
              </w:rPr>
              <w:t>4 500</w:t>
            </w:r>
          </w:p>
        </w:tc>
        <w:tc>
          <w:tcPr>
            <w:tcW w:w="1269"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color w:val="000000"/>
                <w:szCs w:val="24"/>
              </w:rPr>
            </w:pPr>
            <w:r>
              <w:rPr>
                <w:rFonts w:eastAsia="Calibri"/>
                <w:color w:val="000000"/>
                <w:sz w:val="22"/>
                <w:szCs w:val="24"/>
              </w:rPr>
              <w:t>4 500</w:t>
            </w:r>
          </w:p>
        </w:tc>
      </w:tr>
      <w:tr>
        <w:trPr>
          <w:gridAfter w:val="1"/>
          <w:wAfter w:w="6" w:type="dxa"/>
        </w:trPr>
        <w:tc>
          <w:tcPr>
            <w:tcW w:w="4390"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both"/>
              <w:textAlignment w:val="center"/>
              <w:rPr>
                <w:rFonts w:eastAsia="Calibri"/>
                <w:color w:val="000000"/>
                <w:szCs w:val="24"/>
              </w:rPr>
            </w:pPr>
            <w:r>
              <w:rPr>
                <w:rFonts w:eastAsia="Calibri"/>
                <w:color w:val="000000"/>
                <w:sz w:val="22"/>
                <w:szCs w:val="24"/>
              </w:rPr>
              <w:t>Gydyta bičių šeimų, vnt.</w:t>
            </w:r>
          </w:p>
        </w:tc>
        <w:tc>
          <w:tcPr>
            <w:tcW w:w="1560" w:type="dxa"/>
            <w:tcBorders>
              <w:top w:val="single" w:sz="4" w:space="0" w:color="auto"/>
              <w:left w:val="single" w:sz="4" w:space="0" w:color="auto"/>
              <w:bottom w:val="single" w:sz="4" w:space="0" w:color="auto"/>
              <w:right w:val="single" w:sz="4" w:space="0" w:color="auto"/>
            </w:tcBorders>
            <w:hideMark/>
          </w:tcPr>
          <w:p>
            <w:pPr>
              <w:spacing w:line="360" w:lineRule="auto"/>
              <w:jc w:val="center"/>
              <w:rPr>
                <w:rFonts w:eastAsia="Calibri"/>
                <w:color w:val="000000"/>
                <w:sz w:val="22"/>
                <w:szCs w:val="22"/>
              </w:rPr>
            </w:pPr>
            <w:r>
              <w:rPr>
                <w:rFonts w:eastAsia="Calibri"/>
                <w:color w:val="000000"/>
                <w:sz w:val="22"/>
                <w:szCs w:val="22"/>
              </w:rPr>
              <w:t>127 564</w:t>
            </w:r>
          </w:p>
        </w:tc>
        <w:tc>
          <w:tcPr>
            <w:tcW w:w="1417"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color w:val="000000"/>
                <w:szCs w:val="24"/>
              </w:rPr>
            </w:pPr>
            <w:r>
              <w:rPr>
                <w:rFonts w:eastAsia="Calibri"/>
                <w:color w:val="000000"/>
                <w:sz w:val="22"/>
                <w:szCs w:val="24"/>
              </w:rPr>
              <w:t>126 000</w:t>
            </w:r>
          </w:p>
        </w:tc>
        <w:tc>
          <w:tcPr>
            <w:tcW w:w="1418"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color w:val="000000"/>
                <w:szCs w:val="24"/>
              </w:rPr>
            </w:pPr>
            <w:r>
              <w:rPr>
                <w:rFonts w:eastAsia="Calibri"/>
                <w:color w:val="000000"/>
                <w:sz w:val="22"/>
                <w:szCs w:val="24"/>
              </w:rPr>
              <w:t>126 000</w:t>
            </w:r>
          </w:p>
        </w:tc>
        <w:tc>
          <w:tcPr>
            <w:tcW w:w="1269"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color w:val="000000"/>
                <w:szCs w:val="24"/>
              </w:rPr>
            </w:pPr>
            <w:r>
              <w:rPr>
                <w:rFonts w:eastAsia="Calibri"/>
                <w:color w:val="000000"/>
                <w:sz w:val="22"/>
                <w:szCs w:val="24"/>
              </w:rPr>
              <w:t>126 000</w:t>
            </w:r>
          </w:p>
        </w:tc>
      </w:tr>
      <w:tr>
        <w:tc>
          <w:tcPr>
            <w:tcW w:w="10060" w:type="dxa"/>
            <w:gridSpan w:val="6"/>
            <w:tcBorders>
              <w:top w:val="single" w:sz="4" w:space="0" w:color="auto"/>
              <w:left w:val="single" w:sz="4" w:space="0" w:color="auto"/>
              <w:bottom w:val="single" w:sz="4" w:space="0" w:color="auto"/>
              <w:right w:val="single" w:sz="4" w:space="0" w:color="auto"/>
            </w:tcBorders>
            <w:hideMark/>
          </w:tcPr>
          <w:p>
            <w:pPr>
              <w:suppressAutoHyphens/>
              <w:spacing w:line="360" w:lineRule="auto"/>
              <w:textAlignment w:val="center"/>
              <w:rPr>
                <w:rFonts w:eastAsia="Calibri"/>
                <w:szCs w:val="24"/>
              </w:rPr>
            </w:pPr>
            <w:r>
              <w:rPr>
                <w:rFonts w:eastAsia="Calibri"/>
                <w:b/>
                <w:sz w:val="22"/>
                <w:szCs w:val="24"/>
              </w:rPr>
              <w:t>B</w:t>
            </w:r>
            <w:r>
              <w:rPr>
                <w:rFonts w:eastAsia="Calibri"/>
                <w:b/>
                <w:color w:val="000000"/>
                <w:sz w:val="22"/>
                <w:szCs w:val="24"/>
              </w:rPr>
              <w:t xml:space="preserve">ičių </w:t>
            </w:r>
            <w:r>
              <w:rPr>
                <w:rFonts w:eastAsia="Calibri"/>
                <w:b/>
                <w:bCs/>
                <w:color w:val="000000"/>
                <w:sz w:val="22"/>
                <w:szCs w:val="24"/>
              </w:rPr>
              <w:t>avilių transportavimo į ganyklas racionalizavimas</w:t>
            </w:r>
          </w:p>
        </w:tc>
      </w:tr>
      <w:tr>
        <w:trPr>
          <w:gridAfter w:val="1"/>
          <w:wAfter w:w="6" w:type="dxa"/>
        </w:trPr>
        <w:tc>
          <w:tcPr>
            <w:tcW w:w="4390"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both"/>
              <w:textAlignment w:val="center"/>
              <w:rPr>
                <w:rFonts w:eastAsia="Calibri"/>
                <w:szCs w:val="24"/>
              </w:rPr>
            </w:pPr>
            <w:r>
              <w:rPr>
                <w:rFonts w:eastAsia="Calibri"/>
                <w:sz w:val="22"/>
                <w:szCs w:val="24"/>
              </w:rPr>
              <w:t>Bitininkų skaičius, vnt.</w:t>
            </w:r>
          </w:p>
        </w:tc>
        <w:tc>
          <w:tcPr>
            <w:tcW w:w="1560"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51</w:t>
            </w:r>
          </w:p>
        </w:tc>
        <w:tc>
          <w:tcPr>
            <w:tcW w:w="1417"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60</w:t>
            </w:r>
          </w:p>
        </w:tc>
        <w:tc>
          <w:tcPr>
            <w:tcW w:w="1418"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60</w:t>
            </w:r>
          </w:p>
        </w:tc>
        <w:tc>
          <w:tcPr>
            <w:tcW w:w="1269"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60</w:t>
            </w:r>
          </w:p>
        </w:tc>
      </w:tr>
      <w:tr>
        <w:trPr>
          <w:gridAfter w:val="1"/>
          <w:wAfter w:w="6" w:type="dxa"/>
        </w:trPr>
        <w:tc>
          <w:tcPr>
            <w:tcW w:w="4390" w:type="dxa"/>
            <w:tcBorders>
              <w:top w:val="single" w:sz="4" w:space="0" w:color="auto"/>
              <w:left w:val="single" w:sz="4" w:space="0" w:color="auto"/>
              <w:bottom w:val="single" w:sz="4" w:space="0" w:color="auto"/>
              <w:right w:val="single" w:sz="4" w:space="0" w:color="auto"/>
            </w:tcBorders>
            <w:hideMark/>
          </w:tcPr>
          <w:p>
            <w:pPr>
              <w:suppressAutoHyphens/>
              <w:spacing w:line="360" w:lineRule="auto"/>
              <w:textAlignment w:val="center"/>
              <w:rPr>
                <w:rFonts w:eastAsia="Calibri"/>
                <w:szCs w:val="24"/>
              </w:rPr>
            </w:pPr>
            <w:r>
              <w:rPr>
                <w:rFonts w:eastAsia="Calibri"/>
                <w:bCs/>
                <w:color w:val="000000"/>
                <w:sz w:val="22"/>
                <w:szCs w:val="24"/>
              </w:rPr>
              <w:t>Į</w:t>
            </w:r>
            <w:r>
              <w:rPr>
                <w:rFonts w:eastAsia="Calibri"/>
                <w:bCs/>
                <w:sz w:val="22"/>
                <w:szCs w:val="24"/>
              </w:rPr>
              <w:t>sigyta bičių avilių transportavimo įrenginių / jų priedų, vnt.</w:t>
            </w:r>
          </w:p>
        </w:tc>
        <w:tc>
          <w:tcPr>
            <w:tcW w:w="1560"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72</w:t>
            </w:r>
          </w:p>
        </w:tc>
        <w:tc>
          <w:tcPr>
            <w:tcW w:w="1417"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110</w:t>
            </w:r>
          </w:p>
        </w:tc>
        <w:tc>
          <w:tcPr>
            <w:tcW w:w="1418"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110</w:t>
            </w:r>
          </w:p>
        </w:tc>
        <w:tc>
          <w:tcPr>
            <w:tcW w:w="1269"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110</w:t>
            </w:r>
          </w:p>
        </w:tc>
      </w:tr>
      <w:tr>
        <w:tc>
          <w:tcPr>
            <w:tcW w:w="10060" w:type="dxa"/>
            <w:gridSpan w:val="6"/>
            <w:tcBorders>
              <w:top w:val="single" w:sz="4" w:space="0" w:color="auto"/>
              <w:left w:val="single" w:sz="4" w:space="0" w:color="auto"/>
              <w:bottom w:val="single" w:sz="4" w:space="0" w:color="auto"/>
              <w:right w:val="single" w:sz="4" w:space="0" w:color="auto"/>
            </w:tcBorders>
            <w:hideMark/>
          </w:tcPr>
          <w:p>
            <w:pPr>
              <w:suppressAutoHyphens/>
              <w:spacing w:line="360" w:lineRule="auto"/>
              <w:textAlignment w:val="center"/>
              <w:rPr>
                <w:rFonts w:eastAsia="Calibri"/>
                <w:szCs w:val="24"/>
              </w:rPr>
            </w:pPr>
            <w:r>
              <w:rPr>
                <w:rFonts w:eastAsia="Calibri"/>
                <w:b/>
                <w:bCs/>
                <w:sz w:val="22"/>
                <w:szCs w:val="24"/>
              </w:rPr>
              <w:t>Medaus ir bičių produktų fizinių ir cheminių savybių analizė, siekiant nustatyti jų kokybines savybes</w:t>
            </w:r>
          </w:p>
        </w:tc>
      </w:tr>
      <w:tr>
        <w:trPr>
          <w:gridAfter w:val="1"/>
          <w:wAfter w:w="6" w:type="dxa"/>
        </w:trPr>
        <w:tc>
          <w:tcPr>
            <w:tcW w:w="4390" w:type="dxa"/>
            <w:tcBorders>
              <w:top w:val="single" w:sz="4" w:space="0" w:color="auto"/>
              <w:left w:val="single" w:sz="4" w:space="0" w:color="auto"/>
              <w:bottom w:val="single" w:sz="4" w:space="0" w:color="auto"/>
              <w:right w:val="single" w:sz="4" w:space="0" w:color="auto"/>
            </w:tcBorders>
            <w:hideMark/>
          </w:tcPr>
          <w:p>
            <w:pPr>
              <w:suppressAutoHyphens/>
              <w:spacing w:line="360" w:lineRule="auto"/>
              <w:textAlignment w:val="center"/>
              <w:rPr>
                <w:rFonts w:eastAsia="Calibri"/>
                <w:szCs w:val="24"/>
              </w:rPr>
            </w:pPr>
            <w:r>
              <w:rPr>
                <w:rFonts w:eastAsia="Calibri"/>
                <w:sz w:val="22"/>
                <w:szCs w:val="24"/>
              </w:rPr>
              <w:t>Atliktų medaus ir bičių produktų kokybės tyrimų skaičius, vnt.</w:t>
            </w:r>
          </w:p>
        </w:tc>
        <w:tc>
          <w:tcPr>
            <w:tcW w:w="1560"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w:t>
            </w:r>
          </w:p>
        </w:tc>
        <w:tc>
          <w:tcPr>
            <w:tcW w:w="1417"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2 000</w:t>
            </w:r>
          </w:p>
        </w:tc>
        <w:tc>
          <w:tcPr>
            <w:tcW w:w="1418"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2 000</w:t>
            </w:r>
          </w:p>
        </w:tc>
        <w:tc>
          <w:tcPr>
            <w:tcW w:w="1269"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2 000</w:t>
            </w:r>
          </w:p>
        </w:tc>
      </w:tr>
      <w:tr>
        <w:tc>
          <w:tcPr>
            <w:tcW w:w="10060" w:type="dxa"/>
            <w:gridSpan w:val="6"/>
            <w:tcBorders>
              <w:top w:val="single" w:sz="4" w:space="0" w:color="auto"/>
              <w:left w:val="single" w:sz="4" w:space="0" w:color="auto"/>
              <w:bottom w:val="single" w:sz="4" w:space="0" w:color="auto"/>
              <w:right w:val="single" w:sz="4" w:space="0" w:color="auto"/>
            </w:tcBorders>
            <w:hideMark/>
          </w:tcPr>
          <w:p>
            <w:pPr>
              <w:suppressAutoHyphens/>
              <w:spacing w:line="360" w:lineRule="auto"/>
              <w:textAlignment w:val="center"/>
              <w:rPr>
                <w:rFonts w:eastAsia="Calibri"/>
                <w:szCs w:val="24"/>
              </w:rPr>
            </w:pPr>
            <w:r>
              <w:rPr>
                <w:rFonts w:eastAsia="Calibri"/>
                <w:b/>
                <w:bCs/>
                <w:sz w:val="22"/>
                <w:szCs w:val="24"/>
              </w:rPr>
              <w:t>Bičių šeimų atnaujinimas</w:t>
            </w:r>
          </w:p>
        </w:tc>
      </w:tr>
      <w:tr>
        <w:trPr>
          <w:gridAfter w:val="1"/>
          <w:wAfter w:w="6" w:type="dxa"/>
        </w:trPr>
        <w:tc>
          <w:tcPr>
            <w:tcW w:w="4390"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both"/>
              <w:textAlignment w:val="center"/>
              <w:rPr>
                <w:rFonts w:eastAsia="Calibri"/>
                <w:bCs/>
                <w:szCs w:val="24"/>
              </w:rPr>
            </w:pPr>
            <w:r>
              <w:rPr>
                <w:rFonts w:eastAsia="Calibri"/>
                <w:bCs/>
                <w:sz w:val="22"/>
                <w:szCs w:val="24"/>
              </w:rPr>
              <w:t xml:space="preserve">Įsigyta naujų bičių avilių, vnt. </w:t>
            </w:r>
          </w:p>
        </w:tc>
        <w:tc>
          <w:tcPr>
            <w:tcW w:w="1560" w:type="dxa"/>
            <w:tcBorders>
              <w:top w:val="single" w:sz="4" w:space="0" w:color="auto"/>
              <w:left w:val="single" w:sz="4" w:space="0" w:color="auto"/>
              <w:bottom w:val="single" w:sz="4" w:space="0" w:color="auto"/>
              <w:right w:val="single" w:sz="4" w:space="0" w:color="auto"/>
            </w:tcBorders>
            <w:hideMark/>
          </w:tcPr>
          <w:p>
            <w:pPr>
              <w:spacing w:line="360" w:lineRule="auto"/>
              <w:jc w:val="center"/>
              <w:rPr>
                <w:rFonts w:eastAsia="Calibri"/>
                <w:sz w:val="22"/>
                <w:szCs w:val="22"/>
              </w:rPr>
            </w:pPr>
            <w:r>
              <w:rPr>
                <w:rFonts w:eastAsia="Calibri"/>
                <w:sz w:val="22"/>
                <w:szCs w:val="22"/>
              </w:rPr>
              <w:t>2042</w:t>
            </w:r>
          </w:p>
        </w:tc>
        <w:tc>
          <w:tcPr>
            <w:tcW w:w="1417"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1 700</w:t>
            </w:r>
          </w:p>
        </w:tc>
        <w:tc>
          <w:tcPr>
            <w:tcW w:w="1418"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1 700</w:t>
            </w:r>
          </w:p>
        </w:tc>
        <w:tc>
          <w:tcPr>
            <w:tcW w:w="1269"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1 700</w:t>
            </w:r>
          </w:p>
        </w:tc>
      </w:tr>
      <w:tr>
        <w:trPr>
          <w:gridAfter w:val="1"/>
          <w:wAfter w:w="6" w:type="dxa"/>
        </w:trPr>
        <w:tc>
          <w:tcPr>
            <w:tcW w:w="4390"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both"/>
              <w:textAlignment w:val="center"/>
              <w:rPr>
                <w:rFonts w:eastAsia="Calibri"/>
                <w:bCs/>
                <w:szCs w:val="24"/>
              </w:rPr>
            </w:pPr>
            <w:r>
              <w:rPr>
                <w:rFonts w:eastAsia="Calibri"/>
                <w:bCs/>
                <w:sz w:val="22"/>
                <w:szCs w:val="24"/>
              </w:rPr>
              <w:t>Dalyvavo bitininkų, vnt.</w:t>
            </w:r>
          </w:p>
        </w:tc>
        <w:tc>
          <w:tcPr>
            <w:tcW w:w="1560" w:type="dxa"/>
            <w:tcBorders>
              <w:top w:val="single" w:sz="4" w:space="0" w:color="auto"/>
              <w:left w:val="single" w:sz="4" w:space="0" w:color="auto"/>
              <w:bottom w:val="single" w:sz="4" w:space="0" w:color="auto"/>
              <w:right w:val="single" w:sz="4" w:space="0" w:color="auto"/>
            </w:tcBorders>
            <w:hideMark/>
          </w:tcPr>
          <w:p>
            <w:pPr>
              <w:spacing w:line="360" w:lineRule="auto"/>
              <w:jc w:val="center"/>
              <w:rPr>
                <w:rFonts w:eastAsia="Calibri"/>
                <w:sz w:val="22"/>
                <w:szCs w:val="22"/>
              </w:rPr>
            </w:pPr>
            <w:r>
              <w:rPr>
                <w:rFonts w:eastAsia="Calibri"/>
                <w:sz w:val="22"/>
                <w:szCs w:val="22"/>
              </w:rPr>
              <w:t>414</w:t>
            </w:r>
          </w:p>
        </w:tc>
        <w:tc>
          <w:tcPr>
            <w:tcW w:w="1417"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350</w:t>
            </w:r>
          </w:p>
        </w:tc>
        <w:tc>
          <w:tcPr>
            <w:tcW w:w="1418"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350</w:t>
            </w:r>
          </w:p>
        </w:tc>
        <w:tc>
          <w:tcPr>
            <w:tcW w:w="1269"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350</w:t>
            </w:r>
          </w:p>
        </w:tc>
      </w:tr>
      <w:tr>
        <w:tc>
          <w:tcPr>
            <w:tcW w:w="10060" w:type="dxa"/>
            <w:gridSpan w:val="6"/>
            <w:tcBorders>
              <w:top w:val="single" w:sz="4" w:space="0" w:color="auto"/>
              <w:left w:val="single" w:sz="4" w:space="0" w:color="auto"/>
              <w:bottom w:val="single" w:sz="4" w:space="0" w:color="auto"/>
              <w:right w:val="single" w:sz="4" w:space="0" w:color="auto"/>
            </w:tcBorders>
            <w:hideMark/>
          </w:tcPr>
          <w:p>
            <w:pPr>
              <w:suppressAutoHyphens/>
              <w:spacing w:line="360" w:lineRule="auto"/>
              <w:textAlignment w:val="center"/>
              <w:rPr>
                <w:rFonts w:ascii="Calibri" w:eastAsia="Calibri" w:hAnsi="Calibri"/>
                <w:szCs w:val="24"/>
              </w:rPr>
            </w:pPr>
            <w:r>
              <w:rPr>
                <w:rFonts w:eastAsia="Calibri"/>
                <w:b/>
                <w:bCs/>
                <w:sz w:val="22"/>
                <w:szCs w:val="24"/>
              </w:rPr>
              <w:t>Bitininkystei ir bitininkystės produktams skirtos taikomųjų mokslinių tyrimų programos</w:t>
            </w:r>
          </w:p>
        </w:tc>
      </w:tr>
      <w:tr>
        <w:trPr>
          <w:gridAfter w:val="1"/>
          <w:wAfter w:w="6" w:type="dxa"/>
        </w:trPr>
        <w:tc>
          <w:tcPr>
            <w:tcW w:w="4390"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both"/>
              <w:textAlignment w:val="center"/>
              <w:rPr>
                <w:rFonts w:eastAsia="Calibri"/>
                <w:bCs/>
                <w:szCs w:val="24"/>
              </w:rPr>
            </w:pPr>
            <w:r>
              <w:rPr>
                <w:rFonts w:eastAsia="Calibri"/>
                <w:bCs/>
                <w:sz w:val="22"/>
                <w:szCs w:val="24"/>
              </w:rPr>
              <w:t>Atlikta taikomųjų mokslinių tyrimų, vnt.</w:t>
            </w:r>
          </w:p>
        </w:tc>
        <w:tc>
          <w:tcPr>
            <w:tcW w:w="1560"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8</w:t>
            </w:r>
          </w:p>
        </w:tc>
        <w:tc>
          <w:tcPr>
            <w:tcW w:w="1417"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8</w:t>
            </w:r>
          </w:p>
        </w:tc>
        <w:tc>
          <w:tcPr>
            <w:tcW w:w="1418"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8</w:t>
            </w:r>
          </w:p>
        </w:tc>
        <w:tc>
          <w:tcPr>
            <w:tcW w:w="1269"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8</w:t>
            </w:r>
          </w:p>
        </w:tc>
      </w:tr>
      <w:tr>
        <w:tc>
          <w:tcPr>
            <w:tcW w:w="10060" w:type="dxa"/>
            <w:gridSpan w:val="6"/>
            <w:tcBorders>
              <w:top w:val="single" w:sz="4" w:space="0" w:color="auto"/>
              <w:left w:val="single" w:sz="4" w:space="0" w:color="auto"/>
              <w:bottom w:val="single" w:sz="4" w:space="0" w:color="auto"/>
              <w:right w:val="single" w:sz="4" w:space="0" w:color="auto"/>
            </w:tcBorders>
            <w:hideMark/>
          </w:tcPr>
          <w:p>
            <w:pPr>
              <w:suppressAutoHyphens/>
              <w:spacing w:line="360" w:lineRule="auto"/>
              <w:textAlignment w:val="center"/>
              <w:rPr>
                <w:rFonts w:eastAsia="Calibri"/>
                <w:szCs w:val="24"/>
              </w:rPr>
            </w:pPr>
            <w:r>
              <w:rPr>
                <w:rFonts w:eastAsia="Calibri"/>
                <w:b/>
                <w:sz w:val="22"/>
                <w:szCs w:val="24"/>
              </w:rPr>
              <w:t>Rinkos stebėsena</w:t>
            </w:r>
          </w:p>
        </w:tc>
      </w:tr>
      <w:tr>
        <w:trPr>
          <w:gridAfter w:val="1"/>
          <w:wAfter w:w="6" w:type="dxa"/>
        </w:trPr>
        <w:tc>
          <w:tcPr>
            <w:tcW w:w="4390" w:type="dxa"/>
            <w:tcBorders>
              <w:top w:val="single" w:sz="4" w:space="0" w:color="auto"/>
              <w:left w:val="single" w:sz="4" w:space="0" w:color="auto"/>
              <w:bottom w:val="single" w:sz="4" w:space="0" w:color="auto"/>
              <w:right w:val="single" w:sz="4" w:space="0" w:color="auto"/>
            </w:tcBorders>
            <w:hideMark/>
          </w:tcPr>
          <w:p>
            <w:pPr>
              <w:suppressAutoHyphens/>
              <w:spacing w:line="360" w:lineRule="auto"/>
              <w:textAlignment w:val="center"/>
              <w:rPr>
                <w:rFonts w:eastAsia="Calibri"/>
                <w:bCs/>
                <w:szCs w:val="24"/>
              </w:rPr>
            </w:pPr>
            <w:r>
              <w:rPr>
                <w:rFonts w:eastAsia="Calibri"/>
                <w:sz w:val="22"/>
                <w:szCs w:val="24"/>
              </w:rPr>
              <w:t>Kasmetinė Lietuvos bitininkystės sektoriaus analizės ataskaita, vnt.</w:t>
            </w:r>
          </w:p>
        </w:tc>
        <w:tc>
          <w:tcPr>
            <w:tcW w:w="1560"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1</w:t>
            </w:r>
          </w:p>
        </w:tc>
        <w:tc>
          <w:tcPr>
            <w:tcW w:w="1417"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1</w:t>
            </w:r>
          </w:p>
        </w:tc>
        <w:tc>
          <w:tcPr>
            <w:tcW w:w="1418"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1</w:t>
            </w:r>
          </w:p>
        </w:tc>
        <w:tc>
          <w:tcPr>
            <w:tcW w:w="1269"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1</w:t>
            </w:r>
          </w:p>
        </w:tc>
      </w:tr>
      <w:tr>
        <w:tc>
          <w:tcPr>
            <w:tcW w:w="10060" w:type="dxa"/>
            <w:gridSpan w:val="6"/>
            <w:tcBorders>
              <w:top w:val="single" w:sz="4" w:space="0" w:color="auto"/>
              <w:left w:val="single" w:sz="4" w:space="0" w:color="auto"/>
              <w:bottom w:val="single" w:sz="4" w:space="0" w:color="auto"/>
              <w:right w:val="single" w:sz="4" w:space="0" w:color="auto"/>
            </w:tcBorders>
            <w:hideMark/>
          </w:tcPr>
          <w:p>
            <w:pPr>
              <w:suppressAutoHyphens/>
              <w:spacing w:line="360" w:lineRule="auto"/>
              <w:jc w:val="both"/>
              <w:textAlignment w:val="center"/>
              <w:rPr>
                <w:rFonts w:eastAsia="Calibri"/>
                <w:b/>
                <w:bCs/>
                <w:szCs w:val="24"/>
              </w:rPr>
            </w:pPr>
            <w:r>
              <w:rPr>
                <w:rFonts w:eastAsia="Calibri"/>
                <w:b/>
                <w:sz w:val="22"/>
                <w:szCs w:val="24"/>
              </w:rPr>
              <w:t>Bitininkystės produktų kokybės gerinimas, siekiant didinti jų vertę rinkoje</w:t>
            </w:r>
          </w:p>
        </w:tc>
      </w:tr>
      <w:tr>
        <w:trPr>
          <w:gridAfter w:val="1"/>
          <w:wAfter w:w="6" w:type="dxa"/>
        </w:trPr>
        <w:tc>
          <w:tcPr>
            <w:tcW w:w="4390"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both"/>
              <w:textAlignment w:val="center"/>
              <w:rPr>
                <w:rFonts w:eastAsia="Calibri"/>
                <w:bCs/>
                <w:szCs w:val="24"/>
              </w:rPr>
            </w:pPr>
            <w:r>
              <w:rPr>
                <w:rFonts w:eastAsia="Calibri"/>
                <w:sz w:val="22"/>
                <w:szCs w:val="24"/>
              </w:rPr>
              <w:t>Bitininkų, gavusių paramą, skaičius, vnt.</w:t>
            </w:r>
          </w:p>
        </w:tc>
        <w:tc>
          <w:tcPr>
            <w:tcW w:w="1560" w:type="dxa"/>
            <w:tcBorders>
              <w:top w:val="single" w:sz="4" w:space="0" w:color="auto"/>
              <w:left w:val="single" w:sz="4" w:space="0" w:color="auto"/>
              <w:bottom w:val="single" w:sz="4" w:space="0" w:color="auto"/>
              <w:right w:val="single" w:sz="4" w:space="0" w:color="auto"/>
            </w:tcBorders>
            <w:hideMark/>
          </w:tcPr>
          <w:p>
            <w:pPr>
              <w:spacing w:line="360" w:lineRule="auto"/>
              <w:jc w:val="center"/>
              <w:rPr>
                <w:rFonts w:eastAsia="Calibri"/>
                <w:sz w:val="22"/>
                <w:szCs w:val="22"/>
              </w:rPr>
            </w:pPr>
            <w:r>
              <w:rPr>
                <w:rFonts w:eastAsia="Calibri"/>
                <w:sz w:val="22"/>
                <w:szCs w:val="22"/>
              </w:rPr>
              <w:t>346</w:t>
            </w:r>
          </w:p>
        </w:tc>
        <w:tc>
          <w:tcPr>
            <w:tcW w:w="1417"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350</w:t>
            </w:r>
          </w:p>
        </w:tc>
        <w:tc>
          <w:tcPr>
            <w:tcW w:w="1418"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350</w:t>
            </w:r>
          </w:p>
        </w:tc>
        <w:tc>
          <w:tcPr>
            <w:tcW w:w="1269"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350</w:t>
            </w:r>
          </w:p>
        </w:tc>
      </w:tr>
      <w:tr>
        <w:trPr>
          <w:gridAfter w:val="1"/>
          <w:wAfter w:w="6" w:type="dxa"/>
        </w:trPr>
        <w:tc>
          <w:tcPr>
            <w:tcW w:w="4390"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both"/>
              <w:textAlignment w:val="center"/>
              <w:rPr>
                <w:rFonts w:eastAsia="Calibri"/>
                <w:szCs w:val="24"/>
              </w:rPr>
            </w:pPr>
            <w:r>
              <w:rPr>
                <w:rFonts w:eastAsia="Calibri"/>
                <w:sz w:val="22"/>
                <w:szCs w:val="24"/>
              </w:rPr>
              <w:t>Įsigyta bitininkystės inventoriaus, vnt.</w:t>
            </w:r>
          </w:p>
        </w:tc>
        <w:tc>
          <w:tcPr>
            <w:tcW w:w="1560" w:type="dxa"/>
            <w:tcBorders>
              <w:top w:val="single" w:sz="4" w:space="0" w:color="auto"/>
              <w:left w:val="single" w:sz="4" w:space="0" w:color="auto"/>
              <w:bottom w:val="single" w:sz="4" w:space="0" w:color="auto"/>
              <w:right w:val="single" w:sz="4" w:space="0" w:color="auto"/>
            </w:tcBorders>
            <w:hideMark/>
          </w:tcPr>
          <w:p>
            <w:pPr>
              <w:spacing w:line="360" w:lineRule="auto"/>
              <w:jc w:val="center"/>
              <w:rPr>
                <w:rFonts w:eastAsia="Calibri"/>
                <w:sz w:val="22"/>
                <w:szCs w:val="22"/>
              </w:rPr>
            </w:pPr>
            <w:r>
              <w:rPr>
                <w:rFonts w:eastAsia="Calibri"/>
                <w:sz w:val="22"/>
                <w:szCs w:val="22"/>
              </w:rPr>
              <w:t>345</w:t>
            </w:r>
          </w:p>
        </w:tc>
        <w:tc>
          <w:tcPr>
            <w:tcW w:w="1417"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350</w:t>
            </w:r>
          </w:p>
        </w:tc>
        <w:tc>
          <w:tcPr>
            <w:tcW w:w="1418"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350</w:t>
            </w:r>
          </w:p>
        </w:tc>
        <w:tc>
          <w:tcPr>
            <w:tcW w:w="1269" w:type="dxa"/>
            <w:tcBorders>
              <w:top w:val="single" w:sz="4" w:space="0" w:color="auto"/>
              <w:left w:val="single" w:sz="4" w:space="0" w:color="auto"/>
              <w:bottom w:val="single" w:sz="4" w:space="0" w:color="auto"/>
              <w:right w:val="single" w:sz="4" w:space="0" w:color="auto"/>
            </w:tcBorders>
            <w:hideMark/>
          </w:tcPr>
          <w:p>
            <w:pPr>
              <w:suppressAutoHyphens/>
              <w:spacing w:line="360" w:lineRule="auto"/>
              <w:jc w:val="center"/>
              <w:textAlignment w:val="center"/>
              <w:rPr>
                <w:rFonts w:eastAsia="Calibri"/>
                <w:szCs w:val="24"/>
              </w:rPr>
            </w:pPr>
            <w:r>
              <w:rPr>
                <w:rFonts w:eastAsia="Calibri"/>
                <w:sz w:val="22"/>
                <w:szCs w:val="24"/>
              </w:rPr>
              <w:t>350</w:t>
            </w:r>
          </w:p>
        </w:tc>
      </w:tr>
    </w:tbl>
    <w:p>
      <w:pPr>
        <w:suppressAutoHyphens/>
        <w:spacing w:line="360" w:lineRule="auto"/>
        <w:ind w:firstLine="851"/>
        <w:jc w:val="both"/>
        <w:textAlignment w:val="center"/>
        <w:rPr>
          <w:szCs w:val="24"/>
        </w:rPr>
      </w:pPr>
    </w:p>
    <w:p>
      <w:pPr>
        <w:keepLines/>
        <w:suppressAutoHyphens/>
        <w:jc w:val="center"/>
        <w:textAlignment w:val="center"/>
        <w:rPr>
          <w:b/>
          <w:bCs/>
          <w:caps/>
          <w:color w:val="000000"/>
          <w:szCs w:val="24"/>
        </w:rPr>
      </w:pPr>
      <w:r>
        <w:rPr>
          <w:b/>
          <w:bCs/>
          <w:caps/>
          <w:color w:val="000000"/>
          <w:szCs w:val="24"/>
        </w:rPr>
        <w:t>IV</w:t>
      </w:r>
      <w:r>
        <w:rPr>
          <w:b/>
          <w:bCs/>
          <w:caps/>
          <w:color w:val="000000"/>
          <w:szCs w:val="24"/>
        </w:rPr>
        <w:t xml:space="preserve"> SKYRIUS</w:t>
      </w:r>
    </w:p>
    <w:p>
      <w:pPr>
        <w:keepLines/>
        <w:suppressAutoHyphens/>
        <w:ind w:firstLine="62"/>
        <w:jc w:val="center"/>
        <w:textAlignment w:val="center"/>
        <w:rPr>
          <w:b/>
          <w:bCs/>
          <w:caps/>
          <w:color w:val="000000"/>
          <w:szCs w:val="24"/>
        </w:rPr>
      </w:pPr>
      <w:r>
        <w:rPr>
          <w:b/>
          <w:bCs/>
          <w:caps/>
          <w:color w:val="000000"/>
          <w:szCs w:val="24"/>
        </w:rPr>
        <w:t>BITININKYSTĖS PROGRAMOS FINANSAVIMAS</w:t>
      </w:r>
    </w:p>
    <w:p>
      <w:pPr>
        <w:suppressAutoHyphens/>
        <w:spacing w:line="360" w:lineRule="auto"/>
        <w:ind w:firstLine="851"/>
        <w:jc w:val="both"/>
        <w:textAlignment w:val="center"/>
        <w:rPr>
          <w:color w:val="000000"/>
          <w:szCs w:val="24"/>
        </w:rPr>
      </w:pPr>
    </w:p>
    <w:p>
      <w:pPr>
        <w:suppressAutoHyphens/>
        <w:spacing w:line="360" w:lineRule="auto"/>
        <w:ind w:firstLine="851"/>
        <w:jc w:val="both"/>
        <w:textAlignment w:val="center"/>
        <w:rPr>
          <w:color w:val="000000"/>
          <w:szCs w:val="24"/>
          <w:lang w:eastAsia="lt-LT"/>
        </w:rPr>
      </w:pPr>
      <w:r>
        <w:rPr>
          <w:color w:val="000000"/>
          <w:szCs w:val="24"/>
          <w:lang w:eastAsia="lt-LT"/>
        </w:rPr>
        <w:t>19</w:t>
      </w:r>
      <w:r>
        <w:rPr>
          <w:color w:val="000000"/>
          <w:szCs w:val="24"/>
          <w:lang w:eastAsia="lt-LT"/>
        </w:rPr>
        <w:t>. Bitininkystės programa įgyvendinama iš Lietuvos Respublikos biudžeto asignavimų ir Europos žemės ūkio garantijų fondo pagal 2020–2022 metų finansavimo planą:</w:t>
      </w:r>
    </w:p>
    <w:tbl>
      <w:tblPr>
        <w:tblW w:w="9382" w:type="dxa"/>
        <w:tblInd w:w="408" w:type="dxa"/>
        <w:tblLayout w:type="fixed"/>
        <w:tblCellMar>
          <w:left w:w="0" w:type="dxa"/>
          <w:right w:w="0" w:type="dxa"/>
        </w:tblCellMar>
        <w:tblLook w:val="04A0" w:firstRow="1" w:lastRow="0" w:firstColumn="1" w:lastColumn="0" w:noHBand="0" w:noVBand="1"/>
      </w:tblPr>
      <w:tblGrid>
        <w:gridCol w:w="3401"/>
        <w:gridCol w:w="1842"/>
        <w:gridCol w:w="1984"/>
        <w:gridCol w:w="2125"/>
        <w:gridCol w:w="30"/>
      </w:tblGrid>
      <w:tr>
        <w:trPr>
          <w:trHeight w:val="334"/>
        </w:trPr>
        <w:tc>
          <w:tcPr>
            <w:tcW w:w="3405"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pPr>
              <w:suppressAutoHyphens/>
              <w:spacing w:line="276" w:lineRule="auto"/>
              <w:jc w:val="center"/>
              <w:textAlignment w:val="center"/>
              <w:rPr>
                <w:color w:val="000000"/>
                <w:szCs w:val="24"/>
                <w:lang w:eastAsia="lt-LT"/>
              </w:rPr>
            </w:pPr>
          </w:p>
        </w:tc>
        <w:tc>
          <w:tcPr>
            <w:tcW w:w="1844"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hideMark/>
          </w:tcPr>
          <w:p>
            <w:pPr>
              <w:suppressAutoHyphens/>
              <w:spacing w:line="276" w:lineRule="auto"/>
              <w:jc w:val="center"/>
              <w:textAlignment w:val="center"/>
              <w:rPr>
                <w:color w:val="000000"/>
                <w:szCs w:val="24"/>
                <w:lang w:eastAsia="lt-LT"/>
              </w:rPr>
            </w:pPr>
            <w:r>
              <w:rPr>
                <w:color w:val="000000"/>
                <w:szCs w:val="24"/>
                <w:lang w:eastAsia="lt-LT"/>
              </w:rPr>
              <w:t>2020 m.</w:t>
            </w:r>
          </w:p>
        </w:tc>
        <w:tc>
          <w:tcPr>
            <w:tcW w:w="1986" w:type="dxa"/>
            <w:tcBorders>
              <w:top w:val="single" w:sz="8" w:space="0" w:color="000000"/>
              <w:left w:val="single" w:sz="8" w:space="0" w:color="000000"/>
              <w:bottom w:val="single" w:sz="8" w:space="0" w:color="000000"/>
              <w:right w:val="single" w:sz="4" w:space="0" w:color="auto"/>
            </w:tcBorders>
            <w:tcMar>
              <w:top w:w="57" w:type="dxa"/>
              <w:left w:w="108" w:type="dxa"/>
              <w:bottom w:w="57" w:type="dxa"/>
              <w:right w:w="108" w:type="dxa"/>
            </w:tcMar>
            <w:hideMark/>
          </w:tcPr>
          <w:p>
            <w:pPr>
              <w:suppressAutoHyphens/>
              <w:spacing w:line="276" w:lineRule="auto"/>
              <w:jc w:val="center"/>
              <w:textAlignment w:val="center"/>
              <w:rPr>
                <w:color w:val="000000"/>
                <w:szCs w:val="24"/>
                <w:lang w:eastAsia="lt-LT"/>
              </w:rPr>
            </w:pPr>
            <w:r>
              <w:rPr>
                <w:color w:val="000000"/>
                <w:szCs w:val="24"/>
                <w:lang w:eastAsia="lt-LT"/>
              </w:rPr>
              <w:t>2021 m.</w:t>
            </w:r>
          </w:p>
        </w:tc>
        <w:tc>
          <w:tcPr>
            <w:tcW w:w="21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pPr>
              <w:suppressAutoHyphens/>
              <w:spacing w:line="276" w:lineRule="auto"/>
              <w:jc w:val="center"/>
              <w:textAlignment w:val="center"/>
              <w:rPr>
                <w:color w:val="000000"/>
                <w:szCs w:val="24"/>
                <w:lang w:eastAsia="lt-LT"/>
              </w:rPr>
            </w:pPr>
            <w:r>
              <w:rPr>
                <w:color w:val="000000"/>
                <w:szCs w:val="24"/>
                <w:lang w:eastAsia="lt-LT"/>
              </w:rPr>
              <w:t>2022 m.</w:t>
            </w:r>
          </w:p>
        </w:tc>
        <w:tc>
          <w:tcPr>
            <w:tcW w:w="20" w:type="dxa"/>
            <w:tcBorders>
              <w:top w:val="nil"/>
              <w:left w:val="single" w:sz="4" w:space="0" w:color="auto"/>
              <w:bottom w:val="nil"/>
              <w:right w:val="nil"/>
            </w:tcBorders>
          </w:tcPr>
          <w:p>
            <w:pPr>
              <w:suppressAutoHyphens/>
              <w:spacing w:line="276" w:lineRule="auto"/>
              <w:ind w:firstLine="851"/>
              <w:jc w:val="both"/>
              <w:textAlignment w:val="center"/>
              <w:rPr>
                <w:color w:val="000000"/>
                <w:szCs w:val="24"/>
                <w:lang w:eastAsia="lt-LT"/>
              </w:rPr>
            </w:pPr>
          </w:p>
        </w:tc>
      </w:tr>
      <w:tr>
        <w:trPr>
          <w:trHeight w:val="60"/>
        </w:trPr>
        <w:tc>
          <w:tcPr>
            <w:tcW w:w="3405"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pPr>
              <w:suppressAutoHyphens/>
              <w:spacing w:line="276" w:lineRule="auto"/>
              <w:jc w:val="center"/>
              <w:textAlignment w:val="center"/>
              <w:rPr>
                <w:szCs w:val="24"/>
                <w:lang w:eastAsia="lt-LT"/>
              </w:rPr>
            </w:pPr>
            <w:r>
              <w:rPr>
                <w:szCs w:val="24"/>
                <w:lang w:eastAsia="lt-LT"/>
              </w:rPr>
              <w:t>Skirta suma, Eur</w:t>
            </w:r>
          </w:p>
        </w:tc>
        <w:tc>
          <w:tcPr>
            <w:tcW w:w="1844"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pPr>
              <w:suppressAutoHyphens/>
              <w:spacing w:line="276" w:lineRule="auto"/>
              <w:jc w:val="center"/>
              <w:textAlignment w:val="center"/>
              <w:rPr>
                <w:szCs w:val="24"/>
                <w:lang w:val="en-US" w:eastAsia="lt-LT"/>
              </w:rPr>
            </w:pPr>
            <w:r>
              <w:rPr>
                <w:szCs w:val="24"/>
                <w:lang w:val="en-US" w:eastAsia="lt-LT"/>
              </w:rPr>
              <w:t>973 800</w:t>
            </w:r>
          </w:p>
        </w:tc>
        <w:tc>
          <w:tcPr>
            <w:tcW w:w="1986"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pPr>
              <w:suppressAutoHyphens/>
              <w:spacing w:line="276" w:lineRule="auto"/>
              <w:jc w:val="center"/>
              <w:textAlignment w:val="center"/>
              <w:rPr>
                <w:szCs w:val="24"/>
                <w:lang w:eastAsia="lt-LT"/>
              </w:rPr>
            </w:pPr>
            <w:r>
              <w:rPr>
                <w:szCs w:val="24"/>
                <w:lang w:eastAsia="lt-LT"/>
              </w:rPr>
              <w:t>974 228</w:t>
            </w:r>
          </w:p>
        </w:tc>
        <w:tc>
          <w:tcPr>
            <w:tcW w:w="2127"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pPr>
              <w:suppressAutoHyphens/>
              <w:spacing w:line="276" w:lineRule="auto"/>
              <w:jc w:val="center"/>
              <w:textAlignment w:val="center"/>
              <w:rPr>
                <w:szCs w:val="24"/>
                <w:lang w:eastAsia="lt-LT"/>
              </w:rPr>
            </w:pPr>
            <w:r>
              <w:rPr>
                <w:szCs w:val="24"/>
                <w:lang w:eastAsia="lt-LT"/>
              </w:rPr>
              <w:t>973 344</w:t>
            </w:r>
          </w:p>
        </w:tc>
        <w:tc>
          <w:tcPr>
            <w:tcW w:w="20" w:type="dxa"/>
            <w:tcBorders>
              <w:top w:val="nil"/>
              <w:left w:val="single" w:sz="4" w:space="0" w:color="auto"/>
              <w:bottom w:val="nil"/>
              <w:right w:val="nil"/>
            </w:tcBorders>
          </w:tcPr>
          <w:p>
            <w:pPr>
              <w:suppressAutoHyphens/>
              <w:spacing w:line="276" w:lineRule="auto"/>
              <w:ind w:firstLine="851"/>
              <w:jc w:val="both"/>
              <w:textAlignment w:val="center"/>
              <w:rPr>
                <w:szCs w:val="24"/>
                <w:lang w:eastAsia="lt-LT"/>
              </w:rPr>
            </w:pPr>
          </w:p>
        </w:tc>
      </w:tr>
    </w:tbl>
    <w:p>
      <w:pPr>
        <w:suppressAutoHyphens/>
        <w:spacing w:line="360" w:lineRule="auto"/>
        <w:ind w:firstLine="851"/>
        <w:jc w:val="both"/>
        <w:textAlignment w:val="center"/>
        <w:rPr>
          <w:color w:val="000000"/>
          <w:szCs w:val="24"/>
        </w:rPr>
      </w:pPr>
    </w:p>
    <w:p>
      <w:pPr>
        <w:suppressAutoHyphens/>
        <w:spacing w:line="360" w:lineRule="auto"/>
        <w:ind w:firstLine="851"/>
        <w:jc w:val="both"/>
        <w:textAlignment w:val="center"/>
        <w:rPr>
          <w:rFonts w:eastAsia="Calibri"/>
          <w:color w:val="000000"/>
          <w:szCs w:val="24"/>
        </w:rPr>
      </w:pPr>
      <w:r>
        <w:rPr>
          <w:color w:val="000000"/>
          <w:szCs w:val="24"/>
        </w:rPr>
        <w:t>20</w:t>
      </w:r>
      <w:r>
        <w:rPr>
          <w:color w:val="000000"/>
          <w:szCs w:val="24"/>
        </w:rPr>
        <w:t xml:space="preserve">. </w:t>
      </w:r>
      <w:r>
        <w:rPr>
          <w:rFonts w:eastAsia="Calibri"/>
          <w:szCs w:val="24"/>
        </w:rPr>
        <w:t xml:space="preserve">Už paramos paraiškų ir mokėjimo prašymų bei prie jų pateikiamų dokumentų priėmimą, </w:t>
      </w:r>
      <w:r>
        <w:rPr>
          <w:rFonts w:eastAsia="Calibri"/>
          <w:color w:val="000000"/>
          <w:szCs w:val="24"/>
        </w:rPr>
        <w:t>registravimą, administracinį ir fizinį patikrinimą, paramos dydžio apskaičiavimą ir išmokėjimą paramos gavėjams, paramos susigrąžinimą, lėšų apskaitą ir ataskaitų teikimą atsako Agentūra (www.nma.lt).</w:t>
      </w:r>
    </w:p>
    <w:p>
      <w:pPr>
        <w:suppressAutoHyphens/>
        <w:spacing w:line="360" w:lineRule="auto"/>
        <w:ind w:firstLine="851"/>
        <w:jc w:val="both"/>
        <w:textAlignment w:val="center"/>
        <w:rPr>
          <w:color w:val="000000"/>
          <w:szCs w:val="24"/>
        </w:rPr>
      </w:pPr>
      <w:r>
        <w:rPr>
          <w:color w:val="000000"/>
          <w:szCs w:val="24"/>
        </w:rPr>
        <w:t>21</w:t>
      </w:r>
      <w:r>
        <w:rPr>
          <w:color w:val="000000"/>
          <w:szCs w:val="24"/>
        </w:rPr>
        <w:t>. Detalios Bitininkystės programos įgyvendinimo, kontrolės ir administravimo taisyklės bus tvirtinamos atskiru Lietuvos Respublikos žemės ūkio ministro įsakymu.</w:t>
      </w:r>
    </w:p>
    <w:p>
      <w:pPr>
        <w:suppressAutoHyphens/>
        <w:spacing w:line="360" w:lineRule="auto"/>
        <w:jc w:val="center"/>
        <w:textAlignment w:val="center"/>
        <w:rPr>
          <w:color w:val="000000"/>
          <w:szCs w:val="24"/>
        </w:rPr>
      </w:pPr>
      <w:r>
        <w:rPr>
          <w:color w:val="000000"/>
          <w:szCs w:val="24"/>
        </w:rPr>
        <w:t>_________________</w:t>
      </w:r>
    </w:p>
    <w:p>
      <w:pPr>
        <w:overflowPunct w:val="0"/>
        <w:spacing w:line="360" w:lineRule="auto"/>
        <w:jc w:val="both"/>
        <w:textAlignment w:val="baseline"/>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98827b0a61c11ea9515f752ff221ec9">
        <w:r w:rsidRPr="00532B9F">
          <w:rPr>
            <w:rFonts w:ascii="Times New Roman" w:eastAsia="MS Mincho" w:hAnsi="Times New Roman"/>
            <w:sz w:val="20"/>
            <w:iCs/>
            <w:color w:val="0000FF" w:themeColor="hyperlink"/>
            <w:u w:val="single"/>
          </w:rPr>
          <w:t>3D-420</w:t>
        </w:r>
      </w:fldSimple>
      <w:r>
        <w:rPr>
          <w:rFonts w:ascii="Times New Roman" w:eastAsia="MS Mincho" w:hAnsi="Times New Roman"/>
          <w:sz w:val="20"/>
          <w:iCs/>
        </w:rPr>
        <w:t>,
2020-06-04,
paskelbta TAR 2020-06-04, i. k. 2020-12264                </w:t>
      </w:r>
    </w:p>
    <w:p>
      <w:pPr>
        <w:jc w:val="both"/>
        <w:rPr>
          <w:rFonts w:ascii="Times New Roman" w:hAnsi="Times New Roman"/>
        </w:rPr>
      </w:pPr>
      <w:r>
        <w:rPr>
          <w:rFonts w:ascii="Times New Roman" w:hAnsi="Times New Roman"/>
          <w:sz w:val="20"/>
        </w:rPr>
        <w:t>Dėl žemės ūkio ministro 2019 m. rugsėjo 10 d. įsakymo Nr. 3D-507 ,,Dėl Paramos Lietuvos bitininkystės sektoriui 2020–2022 metų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18daad0a0d411eb9fecb5ecd3bd711c">
        <w:r w:rsidRPr="00532B9F">
          <w:rPr>
            <w:rFonts w:ascii="Times New Roman" w:eastAsia="MS Mincho" w:hAnsi="Times New Roman"/>
            <w:sz w:val="20"/>
            <w:iCs/>
            <w:color w:val="0000FF" w:themeColor="hyperlink"/>
            <w:u w:val="single"/>
          </w:rPr>
          <w:t>3D-249</w:t>
        </w:r>
      </w:fldSimple>
      <w:r>
        <w:rPr>
          <w:rFonts w:ascii="Times New Roman" w:eastAsia="MS Mincho" w:hAnsi="Times New Roman"/>
          <w:sz w:val="20"/>
          <w:iCs/>
        </w:rPr>
        <w:t>,
2021-04-19,
paskelbta TAR 2021-04-19, i. k. 2021-08037                </w:t>
      </w:r>
    </w:p>
    <w:p>
      <w:pPr>
        <w:jc w:val="both"/>
        <w:rPr>
          <w:rFonts w:ascii="Times New Roman" w:hAnsi="Times New Roman"/>
        </w:rPr>
      </w:pPr>
      <w:r>
        <w:rPr>
          <w:rFonts w:ascii="Times New Roman" w:hAnsi="Times New Roman"/>
          <w:sz w:val="20"/>
        </w:rPr>
        <w:t>Dėl žemės ūkio ministro 2019 m. rugsėjo 10 d. įsakymo Nr. 3D-507 „Dėl Paramos Lietuvos bitininkystės sektoriui 2020–2022 metų programos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pgMar w:top="1247" w:right="567" w:bottom="1134" w:left="1418"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6</w:t>
    </w:r>
    <w:r>
      <w:fldChar w:fldCharType="end"/>
    </w: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5</w:t>
    </w:r>
    <w: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3</w:t>
    </w:r>
    <w:r>
      <w:fldChar w:fldCharType="end"/>
    </w: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6586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7.xml"/>
  <Relationship Id="rId11" Type="http://schemas.openxmlformats.org/officeDocument/2006/relationships/header" Target="header8.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header" Target="header9.xml"/>
  <Relationship Id="rId15"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8</Pages>
  <Words>2309</Words>
  <Characters>15820</Characters>
  <Application>Microsoft Office Word</Application>
  <DocSecurity>0</DocSecurity>
  <Lines>131</Lines>
  <Paragraphs>36</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18093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2019-09-10T10:45:00Z</dcterms:created>
  <dcterms:modified xsi:type="dcterms:W3CDTF">2021-04-20T14:42:00Z</dcterms:modified>
  <revision>1</revision>
</coreProperties>
</file>