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priedas</w:t>
      </w:r>
    </w:p>
    <w:p w:rsidR="007233B0" w:rsidRDefault="007233B0">
      <w:pPr>
        <w:autoSpaceDE w:val="0"/>
        <w:spacing w:after="0" w:line="240" w:lineRule="auto"/>
        <w:ind w:left="6480"/>
        <w:jc w:val="both"/>
        <w:textAlignment w:val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(Valstybės biudžeto lėšų naudojimo sutarties forma)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VALSTYBĖS BIUDŽETO LĖŠŲ NAUDOJIMO SUTARTIS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20__ m.    d.    Nr.</w:t>
      </w: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Vilnius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Mes, Kūno kultūros ir sporto departamentas prie Lietuvos Respublikos Vyriausybės (toliau – departamentas), juridinio asmens kodas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buveinės adresas ______________,</w:t>
      </w:r>
    </w:p>
    <w:p w:rsidR="007233B0" w:rsidRDefault="008B7302">
      <w:pPr>
        <w:tabs>
          <w:tab w:val="center" w:pos="4900"/>
          <w:tab w:val="center" w:pos="8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juridinio asmens kodas)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buveinės adresas)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atstovaujamas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veikiančio pagal departamento nuostatus,</w:t>
      </w:r>
    </w:p>
    <w:p w:rsidR="007233B0" w:rsidRDefault="008B7302">
      <w:pPr>
        <w:tabs>
          <w:tab w:val="center" w:pos="40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(nurodomos atstovo pareigos, vardas ir pavardė)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vykdytojas), juridinio asmens kodas __________________, </w:t>
      </w:r>
    </w:p>
    <w:p w:rsidR="007233B0" w:rsidRDefault="008B7302">
      <w:pPr>
        <w:tabs>
          <w:tab w:val="center" w:pos="2200"/>
          <w:tab w:val="center" w:pos="850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(nurodomas vykdytojo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juridinio asmens kodas)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buveinės adresas ________________________, atstovaujamas (a)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233B0" w:rsidRDefault="008B7302">
      <w:pPr>
        <w:tabs>
          <w:tab w:val="center" w:pos="3600"/>
          <w:tab w:val="center" w:pos="8100"/>
        </w:tabs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buveinės adresas)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(nurodomos atstovo pareigos, vardas ir pavardė)</w:t>
      </w:r>
    </w:p>
    <w:p w:rsidR="007233B0" w:rsidRDefault="008B7302">
      <w:pPr>
        <w:tabs>
          <w:tab w:val="left" w:pos="5410"/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veikiančio (-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pagal 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kartu toliau sutartyje vadinami „šalimis“,</w:t>
      </w:r>
    </w:p>
    <w:p w:rsidR="007233B0" w:rsidRDefault="008B7302">
      <w:pPr>
        <w:tabs>
          <w:tab w:val="center" w:pos="4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atstovui įgaliojimą veikti suteikiantis dokumentas)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atsižvelgdami į Valstybės biudžeto lėšų skyrimo, naudojimo ir atsiskaitymo už panaudotas lėšas tvarkos aprašą, patvirtintą departamento generalinio direktoriaus 2011 m. vasario 4 d. įsakymu Nr. V-24 (toliau – aprašas), sudarėme šią sutartį: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Sutarties objektas 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Šia sutartimi departamentas įsipareigoja išmokėti vykdytojui sutarties 2 punkte nurodytą valstybės biudžeto lėšų sumą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__________________)</w:t>
      </w:r>
    </w:p>
    <w:p w:rsidR="007233B0" w:rsidRDefault="008B7302">
      <w:pPr>
        <w:tabs>
          <w:tab w:val="center" w:pos="3500"/>
          <w:tab w:val="center" w:pos="8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įgyvendinti, o vykdytojas įsipareigoja įgyvendinti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233B0" w:rsidRDefault="008B7302">
      <w:pPr>
        <w:tabs>
          <w:tab w:val="center" w:pos="7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trumpinys) 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iki 20__ m. _______________________ d.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(nurodomas programos įgyvendinimo terminas)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Skirtos lėšos ____________________ įgyvendinti </w:t>
      </w:r>
    </w:p>
    <w:p w:rsidR="007233B0" w:rsidRDefault="008B7302">
      <w:pPr>
        <w:tabs>
          <w:tab w:val="center" w:pos="44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Šios sutarties 1 punkte nurodytai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įgyvendinti departamentas iš </w:t>
      </w:r>
    </w:p>
    <w:p w:rsidR="007233B0" w:rsidRDefault="008B7302">
      <w:pPr>
        <w:tabs>
          <w:tab w:val="center" w:pos="5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 skyrė: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departamento programa, pagal kurią skiriamos lėšos)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16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suma skaičiais ir žodžiais)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Departamento pareigos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 Departamentas vykdo aprašo 44 punkte numatytas pareigas.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(nurodomos kitos departamento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Departamento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Departamentas turi aprašo 45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(nurodomos kitos departamento teisės,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5. Vykdytojo pareigos 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Vykdytojas vykdo aprašo 46 punkte numatytas pareigas.</w:t>
      </w:r>
    </w:p>
    <w:p w:rsidR="007233B0" w:rsidRDefault="008B7302">
      <w:pPr>
        <w:widowControl w:val="0"/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5.2. Nepanaudotas valstybės biudžeto lėšas iki kitų metų sausio 2 d. grąžina į departamento sąskaitą Nr. ___________________________________.</w:t>
      </w:r>
    </w:p>
    <w:p w:rsidR="007233B0" w:rsidRDefault="008B7302">
      <w:pPr>
        <w:widowControl w:val="0"/>
        <w:tabs>
          <w:tab w:val="left" w:pos="240"/>
        </w:tabs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0"/>
          <w:szCs w:val="16"/>
          <w:lang w:eastAsia="lt-LT"/>
        </w:rPr>
        <w:tab/>
        <w:t xml:space="preserve">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lt-LT"/>
        </w:rPr>
        <w:t>(nurodomas banko sąskaitos numeris)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Vykdytojo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Vykdytojas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turi aprašo 47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teisės, neprieštaraujančios norminių teisės aktų reikalavimams)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 Ataskaitų pateikimo tvarka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Vykdytojas pateikia departamentui ataskaitas šiais terminais: </w:t>
      </w:r>
    </w:p>
    <w:p w:rsidR="00475FEF" w:rsidRPr="00475FEF" w:rsidRDefault="008B7302" w:rsidP="00F024F4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6"/>
          <w:szCs w:val="6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 Detaliosios </w:t>
      </w:r>
      <w:r w:rsidR="00475FEF" w:rsidRPr="00475FEF">
        <w:rPr>
          <w:rFonts w:ascii="Times New Roman" w:hAnsi="Times New Roman"/>
          <w:color w:val="000000"/>
          <w:szCs w:val="24"/>
        </w:rPr>
        <w:t>valstybės biudžeto lėšų naudojimo sąmatos vykdymo atitinkamo ketvirčio ataskaitą</w:t>
      </w:r>
      <w:r w:rsidR="00475FEF" w:rsidRPr="00475FEF">
        <w:rPr>
          <w:rFonts w:ascii="Times New Roman" w:hAnsi="Times New Roman"/>
          <w:b/>
          <w:color w:val="000000"/>
          <w:szCs w:val="24"/>
        </w:rPr>
        <w:t xml:space="preserve"> </w:t>
      </w:r>
      <w:r w:rsidR="00475FEF" w:rsidRPr="00475FEF">
        <w:rPr>
          <w:rFonts w:ascii="Times New Roman" w:hAnsi="Times New Roman"/>
          <w:color w:val="000000"/>
          <w:szCs w:val="24"/>
        </w:rPr>
        <w:t>(forma Nr. 1) – iki ______________________________________.</w:t>
      </w:r>
    </w:p>
    <w:p w:rsidR="00475FEF" w:rsidRDefault="00475FEF" w:rsidP="00F024F4">
      <w:pPr>
        <w:autoSpaceDE w:val="0"/>
        <w:spacing w:after="0" w:line="240" w:lineRule="auto"/>
        <w:ind w:firstLineChars="720" w:firstLine="432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475FEF">
        <w:rPr>
          <w:rFonts w:ascii="Times New Roman" w:hAnsi="Times New Roman"/>
          <w:color w:val="000000"/>
          <w:sz w:val="6"/>
          <w:szCs w:val="6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475FEF">
        <w:rPr>
          <w:rFonts w:ascii="Times New Roman" w:hAnsi="Times New Roman"/>
          <w:color w:val="000000"/>
          <w:sz w:val="18"/>
          <w:szCs w:val="18"/>
        </w:rPr>
        <w:t>(nurodomas terminas, iki kurio turi būti pateikta ataskaita)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475FEF" w:rsidRPr="00475FEF" w:rsidRDefault="008B7302" w:rsidP="00F02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7.2. Valstybės </w:t>
      </w:r>
      <w:r w:rsidR="00475FEF" w:rsidRPr="00475FEF">
        <w:rPr>
          <w:rFonts w:ascii="Times New Roman" w:hAnsi="Times New Roman"/>
          <w:color w:val="000000"/>
          <w:szCs w:val="24"/>
        </w:rPr>
        <w:t>biudžeto lėšų panaudojimą pagrindžiančių dokumentų ketvirčio registrą (forma Nr. 2), jeigu įgyvendinant programą vykdytojas patyrė išlaidų ir (ar) sąnaudų – iki</w:t>
      </w:r>
      <w:r w:rsidR="00475FEF">
        <w:rPr>
          <w:rFonts w:ascii="Times New Roman" w:hAnsi="Times New Roman"/>
          <w:color w:val="000000"/>
          <w:szCs w:val="24"/>
        </w:rPr>
        <w:t xml:space="preserve"> </w:t>
      </w:r>
      <w:r w:rsidR="00475FEF" w:rsidRPr="00475FEF">
        <w:rPr>
          <w:rFonts w:ascii="Times New Roman" w:hAnsi="Times New Roman"/>
          <w:color w:val="000000"/>
          <w:szCs w:val="24"/>
        </w:rPr>
        <w:t>_______________________.</w:t>
      </w:r>
    </w:p>
    <w:p w:rsidR="00475FEF" w:rsidRPr="00475FEF" w:rsidRDefault="00F024F4" w:rsidP="00F024F4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475FEF" w:rsidRPr="00475FEF">
        <w:rPr>
          <w:rFonts w:ascii="Times New Roman" w:hAnsi="Times New Roman"/>
          <w:color w:val="000000"/>
          <w:sz w:val="18"/>
          <w:szCs w:val="18"/>
        </w:rPr>
        <w:t>(nurodomas terminas, iki kurio turi būti pateiktas registras)</w:t>
      </w:r>
      <w:r w:rsidR="00475FEF">
        <w:rPr>
          <w:rFonts w:ascii="Times New Roman" w:hAnsi="Times New Roman"/>
          <w:color w:val="000000"/>
          <w:sz w:val="18"/>
          <w:szCs w:val="18"/>
        </w:rPr>
        <w:t>.</w:t>
      </w:r>
    </w:p>
    <w:p w:rsidR="007233B0" w:rsidRDefault="008B7302" w:rsidP="00F024F4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7.3. Programos priemonių, kurių įgyvendinimui skirta valstybės biudžeto lėšų, įvykdymo ketvirčio ataskaitą (forma Nr. 3) – iki _____________________________</w:t>
      </w:r>
      <w:r w:rsidR="00F024F4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33B0" w:rsidRDefault="008B7302">
      <w:pPr>
        <w:tabs>
          <w:tab w:val="center" w:pos="47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terminas, iki kurio turi būti pateikta ataskaita)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7.4. Nuosavų ir (ar) kitų šaltinių lėšų naudojimo ataskaitą (forma Nr. 4) – iki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tabs>
          <w:tab w:val="center" w:pos="84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terminas, iki kurio turi būti pateikta ataskaita)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 Netesybos</w:t>
      </w:r>
    </w:p>
    <w:p w:rsidR="007233B0" w:rsidRDefault="008B7302" w:rsidP="00F024F4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Nutraukus valstybės biudžeto lėšų naudojimo sutartį aprašo 38 punkte numatytais pagrindais, vykdytojas sumoka departamentui 5 proc. nuo grąžintinos valstybės biudžeto lėšų sumos, tačiau ne mažiau kaip 100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baudą.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 straipsnis. Baigiamosios nuostatos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Šios sutarties neatskiriama dalis yra detalioji valstybės biudžeto lėšų naudojimo sąmata (sutarties priedas).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 straipsnis. Šalių rekvizitai ir parašai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5588"/>
      </w:tblGrid>
      <w:tr w:rsidR="007233B0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Kūno kultūros ir sporto departamentas prie Lietuvos Respublikos Vyriausybės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Adresas: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Tel.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Fak.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El. p.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Interneto svetainės adresas: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Finansų skyriaus tel.: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Kodas: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Sąsk. Nr. 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(departamento atstovo pareigų pavadinimas) 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(departamento atstovo vardas, pavardė, parašas) A.V.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(nurodomas vykdytojo pavadinimas, adresas, telefono/fakso numeris, el. paštas, interneto svetainės adresas, finansų padalinio (vyriausiojo buhalterio (buhalterio) ar kito asmens, galinčio tvarkyti apskaitą) telefono numeris, juridinio asmens kodas, banko sąskaitos numeris)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(vykdytojo atstovo pareigų pavadinimas) 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(vykdytojo atstovo vardas, pavardė, parašas) A. V.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(jei vykdytojas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antspaudą privalo</w:t>
            </w:r>
          </w:p>
          <w:p w:rsidR="007233B0" w:rsidRDefault="008B7302">
            <w:pPr>
              <w:autoSpaceDE w:val="0"/>
              <w:spacing w:after="0" w:line="240" w:lineRule="auto"/>
              <w:ind w:left="2592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turėti)</w:t>
            </w:r>
          </w:p>
        </w:tc>
      </w:tr>
    </w:tbl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20__ m. _________d.  valstybės biudžeto lėšų naudojimo sutarties Nr. __</w:t>
      </w: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7233B0" w:rsidRDefault="007233B0">
      <w:pPr>
        <w:tabs>
          <w:tab w:val="left" w:pos="379"/>
          <w:tab w:val="left" w:pos="891"/>
          <w:tab w:val="left" w:pos="4922"/>
          <w:tab w:val="left" w:pos="6197"/>
          <w:tab w:val="left" w:pos="7139"/>
          <w:tab w:val="left" w:pos="8309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18"/>
          <w:lang w:eastAsia="lt-LT"/>
        </w:rPr>
      </w:pP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DETALIOJI VALSTYBĖS BIUDŽETO LĖŠŲ NAUDOJIMO SĄMATA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30"/>
        <w:gridCol w:w="277"/>
        <w:gridCol w:w="236"/>
        <w:gridCol w:w="4032"/>
        <w:gridCol w:w="786"/>
        <w:gridCol w:w="489"/>
        <w:gridCol w:w="942"/>
        <w:gridCol w:w="1170"/>
        <w:gridCol w:w="1435"/>
      </w:tblGrid>
      <w:tr w:rsidR="007233B0">
        <w:trPr>
          <w:trHeight w:val="564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03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4822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Suma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7233B0">
        <w:trPr>
          <w:trHeight w:val="261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I. Programos įgyvendinimo išlaidos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9C0481" w:rsidRDefault="008B7302">
            <w:pPr>
              <w:suppressAutoHyphens w:val="0"/>
              <w:spacing w:after="0" w:line="240" w:lineRule="auto"/>
              <w:ind w:right="-262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C04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9C0481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 w:rsidRPr="009C0481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lt-LT"/>
              </w:rPr>
              <w:t>Programos tiesioginių vykdytojų darbo užmokestis ir su juo susiję darbdavio mokesčiai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5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Kompensuojamosios išlaidos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9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7233B0">
        <w:trPr>
          <w:trHeight w:val="3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1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9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2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Prekės ir paslaugos (apdovanojimai, programos viešinimas, kitos paslaugos, prekės)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Kitos programos tikslams pasiekti reikalingos išlaidos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2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540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II. Programos administravimo išlaidos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(ne daugiau 25 proc. programai skirtų valstybės biudžeto lėšų) </w:t>
            </w:r>
          </w:p>
        </w:tc>
      </w:tr>
      <w:tr w:rsidR="007233B0">
        <w:trPr>
          <w:trHeight w:val="53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7.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 ir su juo susiję darbdavio mokesčiai programos vykdymo koordinat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riui, vyriausiajam buhalteriui (buhalteriui) ar kitam asmeniui, galinčiam tvarkyti apskaitą ir kitos administravimo išlaidos (apskaitos (kai šios paslaugos perkamos), transporto ir patalpų nuomos, komunalinių paslaugų, daiktų eksploatavimo, paprastojo remonto (pagal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Lietuvos Respublikos statybos įstatymą), ryšių paslaugų ir kitos programos tikslams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 reikalingos administravimo išlaidos)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IŠLAIDŲ (I+II)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(Kūno kultūros ir sporto departamento prie Lietuvos 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publikos Vyriausybės atstovo pareigų pavadinimas)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      (Vykdytojo atstovo pareigų pavadinimas)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75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45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(vardas, pavardė, parašas) A. V.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(vardas, pavardė, parašas) A. V. 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(jei lėšų gavėjas antspaudą privalo turėti)</w:t>
            </w:r>
          </w:p>
        </w:tc>
      </w:tr>
      <w:tr w:rsidR="007233B0">
        <w:trPr>
          <w:trHeight w:val="489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</w:tr>
    </w:tbl>
    <w:p w:rsidR="007233B0" w:rsidRDefault="007233B0">
      <w:pPr>
        <w:tabs>
          <w:tab w:val="left" w:pos="2250"/>
        </w:tabs>
      </w:pPr>
    </w:p>
    <w:sectPr w:rsidR="007233B0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F" w:rsidRDefault="00475FEF">
      <w:pPr>
        <w:spacing w:after="0" w:line="240" w:lineRule="auto"/>
      </w:pPr>
      <w:r>
        <w:separator/>
      </w:r>
    </w:p>
  </w:endnote>
  <w:endnote w:type="continuationSeparator" w:id="0">
    <w:p w:rsidR="00475FEF" w:rsidRDefault="004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F" w:rsidRDefault="00475F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FEF" w:rsidRDefault="0047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EF" w:rsidRDefault="00475FEF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F024F4">
      <w:rPr>
        <w:noProof/>
      </w:rPr>
      <w:t>2</w:t>
    </w:r>
    <w:r>
      <w:fldChar w:fldCharType="end"/>
    </w:r>
  </w:p>
  <w:p w:rsidR="00475FEF" w:rsidRDefault="00475F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125AFC"/>
    <w:rsid w:val="0019217A"/>
    <w:rsid w:val="001C2D1B"/>
    <w:rsid w:val="001E685C"/>
    <w:rsid w:val="00425F01"/>
    <w:rsid w:val="00475FEF"/>
    <w:rsid w:val="0069374A"/>
    <w:rsid w:val="007233B0"/>
    <w:rsid w:val="0074503C"/>
    <w:rsid w:val="007D3E25"/>
    <w:rsid w:val="008273B4"/>
    <w:rsid w:val="008B7302"/>
    <w:rsid w:val="008C6B55"/>
    <w:rsid w:val="00950DB6"/>
    <w:rsid w:val="009C0481"/>
    <w:rsid w:val="00D1052C"/>
    <w:rsid w:val="00D456A0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DRAZDAUSKIENĖ Nijolė</cp:lastModifiedBy>
  <cp:revision>3</cp:revision>
  <dcterms:created xsi:type="dcterms:W3CDTF">2018-07-18T06:47:00Z</dcterms:created>
  <dcterms:modified xsi:type="dcterms:W3CDTF">2018-07-18T07:05:00Z</dcterms:modified>
</cp:coreProperties>
</file>