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7C" w:rsidRDefault="006B0D7C" w:rsidP="006B0D7C">
      <w:pPr>
        <w:ind w:left="10440" w:right="-757"/>
        <w:rPr>
          <w:sz w:val="23"/>
          <w:szCs w:val="23"/>
        </w:rPr>
      </w:pPr>
      <w:r>
        <w:rPr>
          <w:sz w:val="23"/>
          <w:szCs w:val="23"/>
        </w:rPr>
        <w:t xml:space="preserve">Informacinių ir komunikacinių technologijų diegimo į bendrąjį ugdymą ir profesinį mokymą 2014–2016 metų veiksmų plano </w:t>
      </w:r>
    </w:p>
    <w:p w:rsidR="006B0D7C" w:rsidRDefault="008C6498" w:rsidP="006B0D7C">
      <w:pPr>
        <w:ind w:left="10440" w:right="-757"/>
        <w:rPr>
          <w:sz w:val="23"/>
          <w:szCs w:val="23"/>
        </w:rPr>
      </w:pPr>
      <w:sdt>
        <w:sdtPr>
          <w:alias w:val="Numeris"/>
          <w:tag w:val="nr_0458ed66ae874e4bbcd8000689fac389"/>
          <w:id w:val="-1286279230"/>
        </w:sdtPr>
        <w:sdtEndPr/>
        <w:sdtContent>
          <w:r w:rsidR="006B0D7C">
            <w:rPr>
              <w:sz w:val="23"/>
              <w:szCs w:val="23"/>
            </w:rPr>
            <w:t>3</w:t>
          </w:r>
        </w:sdtContent>
      </w:sdt>
      <w:r w:rsidR="006B0D7C">
        <w:rPr>
          <w:sz w:val="23"/>
          <w:szCs w:val="23"/>
        </w:rPr>
        <w:t xml:space="preserve"> priedas</w:t>
      </w:r>
    </w:p>
    <w:p w:rsidR="006B0D7C" w:rsidRDefault="006B0D7C" w:rsidP="006B0D7C">
      <w:pPr>
        <w:ind w:right="-757"/>
        <w:rPr>
          <w:szCs w:val="24"/>
        </w:rPr>
      </w:pPr>
    </w:p>
    <w:sdt>
      <w:sdtPr>
        <w:alias w:val="Pavadinimas"/>
        <w:tag w:val="title_0458ed66ae874e4bbcd8000689fac389"/>
        <w:id w:val="1085887760"/>
      </w:sdtPr>
      <w:sdtEndPr/>
      <w:sdtContent>
        <w:p w:rsidR="006B0D7C" w:rsidRDefault="006B0D7C" w:rsidP="006B0D7C">
          <w:pPr>
            <w:jc w:val="center"/>
            <w:rPr>
              <w:b/>
              <w:caps/>
              <w:color w:val="000000"/>
              <w:szCs w:val="24"/>
            </w:rPr>
          </w:pPr>
          <w:r>
            <w:rPr>
              <w:b/>
              <w:caps/>
              <w:color w:val="000000"/>
              <w:szCs w:val="24"/>
            </w:rPr>
            <w:t xml:space="preserve">Informacinių ir komunikacinių technologijų diegimo į bendrąjį ugdymą ir profesinį mokymą </w:t>
          </w:r>
        </w:p>
        <w:p w:rsidR="006B0D7C" w:rsidRDefault="006B0D7C" w:rsidP="006B0D7C">
          <w:pPr>
            <w:jc w:val="center"/>
            <w:rPr>
              <w:b/>
              <w:caps/>
              <w:color w:val="000000"/>
              <w:szCs w:val="24"/>
            </w:rPr>
          </w:pPr>
          <w:r>
            <w:rPr>
              <w:b/>
              <w:caps/>
              <w:color w:val="000000"/>
              <w:szCs w:val="24"/>
            </w:rPr>
            <w:t xml:space="preserve">2014–2016 metų veiksmų plano priemones ĮGYVENDINANČIŲ ir 2014–2020 metų Europos sąjungos investicijų veiksmų programos lėšomis finansuojamų projektų sąrašas  </w:t>
          </w:r>
        </w:p>
      </w:sdtContent>
    </w:sdt>
    <w:p w:rsidR="006B0D7C" w:rsidRDefault="006B0D7C" w:rsidP="006B0D7C">
      <w:pPr>
        <w:jc w:val="center"/>
        <w:rPr>
          <w:b/>
          <w:caps/>
          <w:color w:val="000000"/>
          <w:szCs w:val="24"/>
        </w:rPr>
      </w:pPr>
    </w:p>
    <w:p w:rsidR="006B0D7C" w:rsidRDefault="006B0D7C" w:rsidP="006B0D7C">
      <w:pPr>
        <w:jc w:val="center"/>
        <w:rPr>
          <w:b/>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096"/>
        <w:gridCol w:w="3260"/>
        <w:gridCol w:w="3402"/>
        <w:gridCol w:w="1559"/>
        <w:gridCol w:w="1701"/>
        <w:gridCol w:w="1450"/>
      </w:tblGrid>
      <w:tr w:rsidR="006B0D7C" w:rsidTr="00E933CA">
        <w:tc>
          <w:tcPr>
            <w:tcW w:w="706" w:type="dxa"/>
          </w:tcPr>
          <w:p w:rsidR="006B0D7C" w:rsidRDefault="006B0D7C" w:rsidP="00E933CA">
            <w:pPr>
              <w:jc w:val="center"/>
            </w:pPr>
            <w:r>
              <w:rPr>
                <w:sz w:val="22"/>
              </w:rPr>
              <w:t>Eil. Nr.</w:t>
            </w:r>
          </w:p>
          <w:p w:rsidR="006B0D7C" w:rsidRDefault="006B0D7C" w:rsidP="00E933CA">
            <w:pPr>
              <w:jc w:val="center"/>
              <w:rPr>
                <w:caps/>
                <w:szCs w:val="24"/>
              </w:rPr>
            </w:pPr>
          </w:p>
        </w:tc>
        <w:tc>
          <w:tcPr>
            <w:tcW w:w="2096" w:type="dxa"/>
          </w:tcPr>
          <w:p w:rsidR="006B0D7C" w:rsidRDefault="006B0D7C" w:rsidP="00E933CA">
            <w:pPr>
              <w:jc w:val="center"/>
            </w:pPr>
            <w:r>
              <w:rPr>
                <w:sz w:val="22"/>
              </w:rPr>
              <w:t>Preliminarus projekto pavadinimas</w:t>
            </w:r>
          </w:p>
        </w:tc>
        <w:tc>
          <w:tcPr>
            <w:tcW w:w="3260" w:type="dxa"/>
          </w:tcPr>
          <w:p w:rsidR="006B0D7C" w:rsidRDefault="006B0D7C" w:rsidP="00E933CA">
            <w:pPr>
              <w:jc w:val="center"/>
              <w:rPr>
                <w:caps/>
                <w:szCs w:val="24"/>
              </w:rPr>
            </w:pPr>
            <w:r>
              <w:rPr>
                <w:sz w:val="22"/>
              </w:rPr>
              <w:t>2014–2020 m. priemonių įgyvendinimo plane numatyta remiama veikla</w:t>
            </w:r>
          </w:p>
        </w:tc>
        <w:tc>
          <w:tcPr>
            <w:tcW w:w="3402" w:type="dxa"/>
          </w:tcPr>
          <w:p w:rsidR="006B0D7C" w:rsidRDefault="006B0D7C" w:rsidP="00E933CA">
            <w:pPr>
              <w:jc w:val="center"/>
            </w:pPr>
          </w:p>
          <w:p w:rsidR="006B0D7C" w:rsidRDefault="006B0D7C" w:rsidP="00E933CA">
            <w:pPr>
              <w:jc w:val="center"/>
              <w:rPr>
                <w:caps/>
                <w:szCs w:val="24"/>
              </w:rPr>
            </w:pPr>
            <w:r>
              <w:rPr>
                <w:sz w:val="22"/>
              </w:rPr>
              <w:t>Pareiškėjai (galimi partneriai)</w:t>
            </w:r>
          </w:p>
        </w:tc>
        <w:tc>
          <w:tcPr>
            <w:tcW w:w="1559" w:type="dxa"/>
          </w:tcPr>
          <w:p w:rsidR="006B0D7C" w:rsidRDefault="006B0D7C" w:rsidP="00E933CA">
            <w:pPr>
              <w:jc w:val="center"/>
            </w:pPr>
          </w:p>
          <w:p w:rsidR="006B0D7C" w:rsidRDefault="006B0D7C" w:rsidP="00E933CA">
            <w:pPr>
              <w:jc w:val="center"/>
              <w:rPr>
                <w:caps/>
                <w:szCs w:val="24"/>
              </w:rPr>
            </w:pPr>
            <w:r>
              <w:rPr>
                <w:sz w:val="22"/>
              </w:rPr>
              <w:t>Projekto vykdomos priemonių plano veiklos</w:t>
            </w:r>
          </w:p>
        </w:tc>
        <w:tc>
          <w:tcPr>
            <w:tcW w:w="1701" w:type="dxa"/>
          </w:tcPr>
          <w:p w:rsidR="006B0D7C" w:rsidRDefault="006B0D7C" w:rsidP="00E933CA">
            <w:pPr>
              <w:jc w:val="center"/>
              <w:rPr>
                <w:caps/>
                <w:szCs w:val="24"/>
              </w:rPr>
            </w:pPr>
            <w:r>
              <w:rPr>
                <w:sz w:val="22"/>
              </w:rPr>
              <w:t>ES ir (ar) BF lėšos / nuosavas įnašas (tūkst. eurų)</w:t>
            </w:r>
          </w:p>
        </w:tc>
        <w:tc>
          <w:tcPr>
            <w:tcW w:w="1450" w:type="dxa"/>
          </w:tcPr>
          <w:p w:rsidR="006B0D7C" w:rsidRDefault="006B0D7C" w:rsidP="00E933CA">
            <w:pPr>
              <w:jc w:val="center"/>
              <w:rPr>
                <w:caps/>
                <w:szCs w:val="24"/>
              </w:rPr>
            </w:pPr>
            <w:r>
              <w:rPr>
                <w:sz w:val="22"/>
              </w:rPr>
              <w:t>Preliminari projekto trukmė (mėnesiais)</w:t>
            </w:r>
          </w:p>
        </w:tc>
      </w:tr>
      <w:tr w:rsidR="006B0D7C" w:rsidTr="00E933CA">
        <w:tc>
          <w:tcPr>
            <w:tcW w:w="706" w:type="dxa"/>
          </w:tcPr>
          <w:p w:rsidR="006B0D7C" w:rsidRDefault="006B0D7C" w:rsidP="00E933CA">
            <w:pPr>
              <w:jc w:val="center"/>
              <w:rPr>
                <w:caps/>
                <w:szCs w:val="24"/>
              </w:rPr>
            </w:pPr>
            <w:r>
              <w:rPr>
                <w:caps/>
                <w:sz w:val="22"/>
                <w:szCs w:val="22"/>
              </w:rPr>
              <w:t>1.</w:t>
            </w:r>
          </w:p>
        </w:tc>
        <w:tc>
          <w:tcPr>
            <w:tcW w:w="2096" w:type="dxa"/>
          </w:tcPr>
          <w:p w:rsidR="006B0D7C" w:rsidRDefault="006B0D7C" w:rsidP="00E933CA">
            <w:pPr>
              <w:rPr>
                <w:sz w:val="22"/>
                <w:szCs w:val="22"/>
                <w:lang w:eastAsia="lt-LT"/>
              </w:rPr>
            </w:pPr>
            <w:r>
              <w:rPr>
                <w:sz w:val="22"/>
                <w:szCs w:val="22"/>
                <w:lang w:eastAsia="lt-LT"/>
              </w:rPr>
              <w:t xml:space="preserve">Bendrojo ugdymo vertinimo ir </w:t>
            </w:r>
            <w:proofErr w:type="spellStart"/>
            <w:r>
              <w:rPr>
                <w:sz w:val="22"/>
                <w:szCs w:val="22"/>
                <w:lang w:eastAsia="lt-LT"/>
              </w:rPr>
              <w:t>stebėsenos</w:t>
            </w:r>
            <w:proofErr w:type="spellEnd"/>
            <w:r>
              <w:rPr>
                <w:sz w:val="22"/>
                <w:szCs w:val="22"/>
                <w:lang w:eastAsia="lt-LT"/>
              </w:rPr>
              <w:t xml:space="preserve"> sistemos plėtra </w:t>
            </w:r>
          </w:p>
        </w:tc>
        <w:tc>
          <w:tcPr>
            <w:tcW w:w="3260" w:type="dxa"/>
          </w:tcPr>
          <w:p w:rsidR="006B0D7C" w:rsidRDefault="006B0D7C" w:rsidP="00E933CA">
            <w:pPr>
              <w:rPr>
                <w:b/>
                <w:caps/>
                <w:szCs w:val="24"/>
              </w:rPr>
            </w:pPr>
            <w:r>
              <w:rPr>
                <w:sz w:val="22"/>
                <w:szCs w:val="22"/>
                <w:lang w:eastAsia="lt-LT"/>
              </w:rPr>
              <w:t xml:space="preserve">Bendrojo ugdymo tyrimų, vertinimo ir </w:t>
            </w:r>
            <w:proofErr w:type="spellStart"/>
            <w:r>
              <w:rPr>
                <w:sz w:val="22"/>
                <w:szCs w:val="22"/>
                <w:lang w:eastAsia="lt-LT"/>
              </w:rPr>
              <w:t>stebėsenos</w:t>
            </w:r>
            <w:proofErr w:type="spellEnd"/>
            <w:r>
              <w:rPr>
                <w:sz w:val="22"/>
                <w:szCs w:val="22"/>
                <w:lang w:eastAsia="lt-LT"/>
              </w:rPr>
              <w:t xml:space="preserve"> sistemos plėtra (mokinių pasiekimų vertinimas)</w:t>
            </w:r>
          </w:p>
        </w:tc>
        <w:tc>
          <w:tcPr>
            <w:tcW w:w="3402" w:type="dxa"/>
          </w:tcPr>
          <w:p w:rsidR="006B0D7C" w:rsidRDefault="006B0D7C" w:rsidP="00E933CA">
            <w:pPr>
              <w:jc w:val="center"/>
              <w:rPr>
                <w:caps/>
                <w:szCs w:val="24"/>
              </w:rPr>
            </w:pPr>
            <w:r>
              <w:rPr>
                <w:sz w:val="22"/>
                <w:szCs w:val="22"/>
              </w:rPr>
              <w:t>Nacionalinis egzaminų centras (Švietimo informacinių technologijų centras)</w:t>
            </w:r>
          </w:p>
        </w:tc>
        <w:tc>
          <w:tcPr>
            <w:tcW w:w="1559" w:type="dxa"/>
          </w:tcPr>
          <w:p w:rsidR="006B0D7C" w:rsidRDefault="006B0D7C" w:rsidP="00E933CA">
            <w:pPr>
              <w:rPr>
                <w:b/>
                <w:caps/>
                <w:szCs w:val="24"/>
              </w:rPr>
            </w:pPr>
            <w:r>
              <w:rPr>
                <w:sz w:val="22"/>
                <w:szCs w:val="22"/>
                <w:lang w:eastAsia="lt-LT"/>
              </w:rPr>
              <w:t>2.1.4, 2.3.2, 2.3.4</w:t>
            </w:r>
          </w:p>
        </w:tc>
        <w:tc>
          <w:tcPr>
            <w:tcW w:w="1701" w:type="dxa"/>
          </w:tcPr>
          <w:p w:rsidR="006B0D7C" w:rsidRDefault="006B0D7C" w:rsidP="00E933CA">
            <w:pPr>
              <w:jc w:val="center"/>
              <w:rPr>
                <w:szCs w:val="24"/>
              </w:rPr>
            </w:pPr>
            <w:r>
              <w:rPr>
                <w:sz w:val="22"/>
                <w:szCs w:val="22"/>
              </w:rPr>
              <w:t>I etapas – 2606,58</w:t>
            </w:r>
          </w:p>
          <w:p w:rsidR="006B0D7C" w:rsidRDefault="006B0D7C" w:rsidP="00E933CA">
            <w:pPr>
              <w:jc w:val="center"/>
              <w:rPr>
                <w:caps/>
                <w:szCs w:val="24"/>
              </w:rPr>
            </w:pPr>
            <w:r>
              <w:rPr>
                <w:sz w:val="22"/>
                <w:szCs w:val="22"/>
              </w:rPr>
              <w:t>II etapas – 2316,96</w:t>
            </w:r>
          </w:p>
        </w:tc>
        <w:tc>
          <w:tcPr>
            <w:tcW w:w="1450" w:type="dxa"/>
          </w:tcPr>
          <w:p w:rsidR="006B0D7C" w:rsidRDefault="006B0D7C" w:rsidP="00E933CA">
            <w:pPr>
              <w:jc w:val="center"/>
              <w:rPr>
                <w:szCs w:val="24"/>
              </w:rPr>
            </w:pPr>
            <w:r>
              <w:rPr>
                <w:sz w:val="22"/>
                <w:szCs w:val="22"/>
              </w:rPr>
              <w:t>I etapas – 36</w:t>
            </w:r>
          </w:p>
          <w:p w:rsidR="006B0D7C" w:rsidRDefault="006B0D7C" w:rsidP="00E933CA">
            <w:pPr>
              <w:jc w:val="center"/>
              <w:rPr>
                <w:caps/>
                <w:szCs w:val="24"/>
              </w:rPr>
            </w:pPr>
            <w:r>
              <w:rPr>
                <w:sz w:val="22"/>
                <w:szCs w:val="22"/>
              </w:rPr>
              <w:t>II etapas – 24</w:t>
            </w:r>
          </w:p>
        </w:tc>
      </w:tr>
      <w:tr w:rsidR="006B0D7C" w:rsidTr="00E933CA">
        <w:tc>
          <w:tcPr>
            <w:tcW w:w="706" w:type="dxa"/>
          </w:tcPr>
          <w:p w:rsidR="006B0D7C" w:rsidRDefault="006B0D7C" w:rsidP="00E933CA">
            <w:pPr>
              <w:jc w:val="center"/>
              <w:rPr>
                <w:caps/>
                <w:szCs w:val="24"/>
              </w:rPr>
            </w:pPr>
            <w:r>
              <w:rPr>
                <w:caps/>
                <w:sz w:val="22"/>
                <w:szCs w:val="22"/>
              </w:rPr>
              <w:t>2.</w:t>
            </w:r>
          </w:p>
        </w:tc>
        <w:tc>
          <w:tcPr>
            <w:tcW w:w="2096" w:type="dxa"/>
          </w:tcPr>
          <w:p w:rsidR="006B0D7C" w:rsidRDefault="006B0D7C" w:rsidP="00E933CA">
            <w:pPr>
              <w:rPr>
                <w:sz w:val="22"/>
                <w:szCs w:val="22"/>
                <w:lang w:eastAsia="lt-LT"/>
              </w:rPr>
            </w:pPr>
            <w:r>
              <w:rPr>
                <w:sz w:val="22"/>
                <w:szCs w:val="22"/>
                <w:lang w:eastAsia="lt-LT"/>
              </w:rPr>
              <w:t>Švietimo vartų sukūrimas</w:t>
            </w:r>
            <w:r>
              <w:rPr>
                <w:sz w:val="22"/>
                <w:szCs w:val="22"/>
                <w:vertAlign w:val="superscript"/>
                <w:lang w:eastAsia="lt-LT"/>
              </w:rPr>
              <w:endnoteReference w:id="1"/>
            </w:r>
          </w:p>
        </w:tc>
        <w:tc>
          <w:tcPr>
            <w:tcW w:w="3260" w:type="dxa"/>
          </w:tcPr>
          <w:p w:rsidR="006B0D7C" w:rsidRDefault="006B0D7C" w:rsidP="00E933CA">
            <w:pPr>
              <w:rPr>
                <w:b/>
                <w:caps/>
                <w:szCs w:val="24"/>
              </w:rPr>
            </w:pPr>
          </w:p>
        </w:tc>
        <w:tc>
          <w:tcPr>
            <w:tcW w:w="3402" w:type="dxa"/>
          </w:tcPr>
          <w:p w:rsidR="006B0D7C" w:rsidRDefault="006B0D7C" w:rsidP="00E933CA">
            <w:pPr>
              <w:jc w:val="center"/>
              <w:rPr>
                <w:b/>
                <w:caps/>
                <w:szCs w:val="24"/>
              </w:rPr>
            </w:pPr>
            <w:r>
              <w:rPr>
                <w:sz w:val="22"/>
                <w:szCs w:val="22"/>
              </w:rPr>
              <w:t>Švietimo informacinių technologijų centras</w:t>
            </w:r>
          </w:p>
        </w:tc>
        <w:tc>
          <w:tcPr>
            <w:tcW w:w="1559" w:type="dxa"/>
          </w:tcPr>
          <w:p w:rsidR="006B0D7C" w:rsidRDefault="006B0D7C" w:rsidP="00E933CA">
            <w:pPr>
              <w:rPr>
                <w:b/>
                <w:caps/>
                <w:szCs w:val="24"/>
              </w:rPr>
            </w:pPr>
            <w:r>
              <w:rPr>
                <w:sz w:val="22"/>
                <w:szCs w:val="22"/>
                <w:lang w:eastAsia="lt-LT"/>
              </w:rPr>
              <w:t>2.1.5</w:t>
            </w:r>
          </w:p>
        </w:tc>
        <w:tc>
          <w:tcPr>
            <w:tcW w:w="1701" w:type="dxa"/>
          </w:tcPr>
          <w:p w:rsidR="006B0D7C" w:rsidRDefault="006B0D7C" w:rsidP="00E933CA">
            <w:pPr>
              <w:jc w:val="center"/>
              <w:rPr>
                <w:caps/>
                <w:szCs w:val="24"/>
              </w:rPr>
            </w:pPr>
            <w:r>
              <w:rPr>
                <w:sz w:val="22"/>
                <w:szCs w:val="22"/>
              </w:rPr>
              <w:t>2500</w:t>
            </w:r>
          </w:p>
        </w:tc>
        <w:tc>
          <w:tcPr>
            <w:tcW w:w="1450" w:type="dxa"/>
          </w:tcPr>
          <w:p w:rsidR="006B0D7C" w:rsidRDefault="006B0D7C" w:rsidP="00E933CA">
            <w:pPr>
              <w:jc w:val="center"/>
              <w:rPr>
                <w:szCs w:val="24"/>
              </w:rPr>
            </w:pPr>
            <w:r>
              <w:rPr>
                <w:sz w:val="22"/>
                <w:szCs w:val="22"/>
              </w:rPr>
              <w:t>36</w:t>
            </w:r>
          </w:p>
          <w:p w:rsidR="006B0D7C" w:rsidRDefault="006B0D7C" w:rsidP="00E933CA">
            <w:pPr>
              <w:jc w:val="center"/>
              <w:rPr>
                <w:caps/>
                <w:szCs w:val="24"/>
              </w:rPr>
            </w:pPr>
          </w:p>
        </w:tc>
      </w:tr>
      <w:tr w:rsidR="006B0D7C" w:rsidTr="00E933CA">
        <w:tc>
          <w:tcPr>
            <w:tcW w:w="706" w:type="dxa"/>
          </w:tcPr>
          <w:p w:rsidR="006B0D7C" w:rsidRDefault="006B0D7C" w:rsidP="00E933CA">
            <w:pPr>
              <w:jc w:val="center"/>
              <w:rPr>
                <w:caps/>
                <w:szCs w:val="24"/>
              </w:rPr>
            </w:pPr>
            <w:r>
              <w:rPr>
                <w:caps/>
                <w:sz w:val="22"/>
                <w:szCs w:val="22"/>
              </w:rPr>
              <w:t>3.</w:t>
            </w:r>
          </w:p>
        </w:tc>
        <w:tc>
          <w:tcPr>
            <w:tcW w:w="2096" w:type="dxa"/>
          </w:tcPr>
          <w:p w:rsidR="006B0D7C" w:rsidRDefault="006B0D7C" w:rsidP="00E933CA">
            <w:pPr>
              <w:rPr>
                <w:sz w:val="22"/>
                <w:szCs w:val="22"/>
                <w:lang w:eastAsia="lt-LT"/>
              </w:rPr>
            </w:pPr>
            <w:r>
              <w:rPr>
                <w:sz w:val="22"/>
                <w:szCs w:val="22"/>
                <w:lang w:eastAsia="lt-LT"/>
              </w:rPr>
              <w:t>Virtualių ugdymo aplinkų diegimo institucijose skatinimas</w:t>
            </w:r>
          </w:p>
        </w:tc>
        <w:tc>
          <w:tcPr>
            <w:tcW w:w="3260" w:type="dxa"/>
          </w:tcPr>
          <w:p w:rsidR="006B0D7C" w:rsidRDefault="006B0D7C" w:rsidP="00E933CA">
            <w:pPr>
              <w:rPr>
                <w:b/>
                <w:caps/>
                <w:szCs w:val="24"/>
              </w:rPr>
            </w:pPr>
            <w:r>
              <w:rPr>
                <w:sz w:val="22"/>
                <w:szCs w:val="22"/>
                <w:lang w:eastAsia="lt-LT"/>
              </w:rPr>
              <w:t xml:space="preserve">Virtualių ugdymo / </w:t>
            </w:r>
            <w:proofErr w:type="spellStart"/>
            <w:r>
              <w:rPr>
                <w:sz w:val="22"/>
                <w:szCs w:val="22"/>
                <w:lang w:eastAsia="lt-LT"/>
              </w:rPr>
              <w:t>ugdymo(si</w:t>
            </w:r>
            <w:proofErr w:type="spellEnd"/>
            <w:r>
              <w:rPr>
                <w:sz w:val="22"/>
                <w:szCs w:val="22"/>
                <w:lang w:eastAsia="lt-LT"/>
              </w:rPr>
              <w:t>) aplinkų ikimokyklinio ir bendrojo ugdymo institucijose diegimas</w:t>
            </w:r>
          </w:p>
        </w:tc>
        <w:tc>
          <w:tcPr>
            <w:tcW w:w="3402" w:type="dxa"/>
          </w:tcPr>
          <w:p w:rsidR="006B0D7C" w:rsidRDefault="006B0D7C" w:rsidP="00E933CA">
            <w:pPr>
              <w:jc w:val="center"/>
              <w:rPr>
                <w:b/>
                <w:caps/>
                <w:szCs w:val="24"/>
              </w:rPr>
            </w:pPr>
            <w:r>
              <w:rPr>
                <w:sz w:val="22"/>
                <w:szCs w:val="22"/>
              </w:rPr>
              <w:t>Savivaldybės; mokyklos, vykdančios ikimokyklinio ir (arba) priešmokyklinio ugdymo programas; mokyklos, vykdančios bendrojo ugdymo programas</w:t>
            </w:r>
          </w:p>
        </w:tc>
        <w:tc>
          <w:tcPr>
            <w:tcW w:w="1559" w:type="dxa"/>
          </w:tcPr>
          <w:p w:rsidR="006B0D7C" w:rsidRDefault="006B0D7C" w:rsidP="00E933CA">
            <w:pPr>
              <w:rPr>
                <w:b/>
                <w:caps/>
                <w:szCs w:val="24"/>
              </w:rPr>
            </w:pPr>
            <w:r>
              <w:rPr>
                <w:sz w:val="22"/>
                <w:szCs w:val="22"/>
                <w:lang w:eastAsia="lt-LT"/>
              </w:rPr>
              <w:t>2.2.2</w:t>
            </w:r>
          </w:p>
        </w:tc>
        <w:tc>
          <w:tcPr>
            <w:tcW w:w="1701" w:type="dxa"/>
          </w:tcPr>
          <w:p w:rsidR="006B0D7C" w:rsidRDefault="006B0D7C" w:rsidP="00E933CA">
            <w:pPr>
              <w:jc w:val="center"/>
              <w:rPr>
                <w:caps/>
                <w:szCs w:val="24"/>
              </w:rPr>
            </w:pPr>
            <w:r>
              <w:rPr>
                <w:caps/>
                <w:sz w:val="22"/>
                <w:szCs w:val="22"/>
              </w:rPr>
              <w:t>1158,48</w:t>
            </w:r>
          </w:p>
        </w:tc>
        <w:tc>
          <w:tcPr>
            <w:tcW w:w="1450" w:type="dxa"/>
          </w:tcPr>
          <w:p w:rsidR="006B0D7C" w:rsidRDefault="006B0D7C" w:rsidP="00E933CA">
            <w:pPr>
              <w:jc w:val="center"/>
              <w:rPr>
                <w:caps/>
                <w:szCs w:val="24"/>
              </w:rPr>
            </w:pPr>
            <w:r>
              <w:rPr>
                <w:caps/>
                <w:sz w:val="22"/>
                <w:szCs w:val="22"/>
              </w:rPr>
              <w:t>24</w:t>
            </w:r>
          </w:p>
        </w:tc>
      </w:tr>
      <w:tr w:rsidR="006B0D7C" w:rsidTr="00E933CA">
        <w:tc>
          <w:tcPr>
            <w:tcW w:w="706" w:type="dxa"/>
          </w:tcPr>
          <w:p w:rsidR="006B0D7C" w:rsidRDefault="006B0D7C" w:rsidP="00E933CA">
            <w:pPr>
              <w:jc w:val="center"/>
              <w:rPr>
                <w:caps/>
                <w:szCs w:val="24"/>
              </w:rPr>
            </w:pPr>
            <w:r>
              <w:rPr>
                <w:caps/>
                <w:sz w:val="22"/>
                <w:szCs w:val="22"/>
              </w:rPr>
              <w:t>4.</w:t>
            </w:r>
          </w:p>
        </w:tc>
        <w:tc>
          <w:tcPr>
            <w:tcW w:w="2096" w:type="dxa"/>
          </w:tcPr>
          <w:p w:rsidR="006B0D7C" w:rsidRDefault="006B0D7C" w:rsidP="00E933CA">
            <w:pPr>
              <w:rPr>
                <w:sz w:val="22"/>
                <w:szCs w:val="22"/>
                <w:lang w:eastAsia="lt-LT"/>
              </w:rPr>
            </w:pPr>
            <w:r>
              <w:rPr>
                <w:sz w:val="22"/>
                <w:szCs w:val="22"/>
                <w:lang w:eastAsia="lt-LT"/>
              </w:rPr>
              <w:t xml:space="preserve">Švietimo </w:t>
            </w:r>
            <w:proofErr w:type="spellStart"/>
            <w:r>
              <w:rPr>
                <w:sz w:val="22"/>
                <w:szCs w:val="22"/>
                <w:lang w:eastAsia="lt-LT"/>
              </w:rPr>
              <w:t>stebėsenos</w:t>
            </w:r>
            <w:proofErr w:type="spellEnd"/>
            <w:r>
              <w:rPr>
                <w:sz w:val="22"/>
                <w:szCs w:val="22"/>
                <w:lang w:eastAsia="lt-LT"/>
              </w:rPr>
              <w:t xml:space="preserve"> tobulinimas</w:t>
            </w:r>
          </w:p>
        </w:tc>
        <w:tc>
          <w:tcPr>
            <w:tcW w:w="3260" w:type="dxa"/>
          </w:tcPr>
          <w:p w:rsidR="006B0D7C" w:rsidRDefault="006B0D7C" w:rsidP="00E933CA">
            <w:pPr>
              <w:rPr>
                <w:b/>
                <w:caps/>
                <w:szCs w:val="24"/>
              </w:rPr>
            </w:pPr>
            <w:r>
              <w:rPr>
                <w:sz w:val="22"/>
                <w:szCs w:val="22"/>
                <w:lang w:eastAsia="lt-LT"/>
              </w:rPr>
              <w:t xml:space="preserve">Ikimokyklinio, priešmokyklinio, bendrojo ugdymo ir neformaliojo vaikų švietimo </w:t>
            </w:r>
            <w:proofErr w:type="spellStart"/>
            <w:r>
              <w:rPr>
                <w:sz w:val="22"/>
                <w:szCs w:val="22"/>
                <w:lang w:eastAsia="lt-LT"/>
              </w:rPr>
              <w:t>stebėsenos</w:t>
            </w:r>
            <w:proofErr w:type="spellEnd"/>
            <w:r>
              <w:rPr>
                <w:sz w:val="22"/>
                <w:szCs w:val="22"/>
                <w:lang w:eastAsia="lt-LT"/>
              </w:rPr>
              <w:t xml:space="preserve"> tobulinimas</w:t>
            </w:r>
          </w:p>
        </w:tc>
        <w:tc>
          <w:tcPr>
            <w:tcW w:w="3402" w:type="dxa"/>
          </w:tcPr>
          <w:p w:rsidR="006B0D7C" w:rsidRDefault="006B0D7C" w:rsidP="00E933CA">
            <w:pPr>
              <w:jc w:val="center"/>
              <w:rPr>
                <w:b/>
                <w:caps/>
                <w:szCs w:val="24"/>
              </w:rPr>
            </w:pPr>
            <w:r>
              <w:rPr>
                <w:sz w:val="22"/>
                <w:szCs w:val="22"/>
              </w:rPr>
              <w:t>Švietimo informacinių technologijų centras (Nacionalinis egzaminų centras, Nacionalinė mokyklų vertinimo agentūra, Lietuvos mokinių neformaliojo švietimo centras)</w:t>
            </w:r>
          </w:p>
        </w:tc>
        <w:tc>
          <w:tcPr>
            <w:tcW w:w="1559" w:type="dxa"/>
          </w:tcPr>
          <w:p w:rsidR="006B0D7C" w:rsidRDefault="006B0D7C" w:rsidP="00E933CA">
            <w:pPr>
              <w:rPr>
                <w:b/>
                <w:caps/>
                <w:szCs w:val="24"/>
              </w:rPr>
            </w:pPr>
            <w:r>
              <w:rPr>
                <w:sz w:val="22"/>
                <w:szCs w:val="22"/>
                <w:lang w:eastAsia="lt-LT"/>
              </w:rPr>
              <w:t>2.2.4</w:t>
            </w:r>
          </w:p>
        </w:tc>
        <w:tc>
          <w:tcPr>
            <w:tcW w:w="1701" w:type="dxa"/>
          </w:tcPr>
          <w:p w:rsidR="006B0D7C" w:rsidRDefault="006B0D7C" w:rsidP="00E933CA">
            <w:pPr>
              <w:jc w:val="center"/>
              <w:rPr>
                <w:caps/>
                <w:szCs w:val="24"/>
              </w:rPr>
            </w:pPr>
            <w:r>
              <w:rPr>
                <w:caps/>
                <w:sz w:val="22"/>
                <w:szCs w:val="22"/>
              </w:rPr>
              <w:t>579,24</w:t>
            </w:r>
          </w:p>
        </w:tc>
        <w:tc>
          <w:tcPr>
            <w:tcW w:w="1450" w:type="dxa"/>
          </w:tcPr>
          <w:p w:rsidR="006B0D7C" w:rsidRDefault="006B0D7C" w:rsidP="00E933CA">
            <w:pPr>
              <w:jc w:val="center"/>
              <w:rPr>
                <w:caps/>
                <w:szCs w:val="24"/>
              </w:rPr>
            </w:pPr>
            <w:r>
              <w:rPr>
                <w:caps/>
                <w:sz w:val="22"/>
                <w:szCs w:val="22"/>
              </w:rPr>
              <w:t>24</w:t>
            </w:r>
          </w:p>
        </w:tc>
      </w:tr>
      <w:tr w:rsidR="006B0D7C" w:rsidTr="00E933CA">
        <w:tc>
          <w:tcPr>
            <w:tcW w:w="706" w:type="dxa"/>
          </w:tcPr>
          <w:p w:rsidR="006B0D7C" w:rsidRDefault="006B0D7C" w:rsidP="00E933CA">
            <w:pPr>
              <w:jc w:val="center"/>
              <w:rPr>
                <w:caps/>
                <w:szCs w:val="24"/>
              </w:rPr>
            </w:pPr>
            <w:r>
              <w:rPr>
                <w:caps/>
                <w:sz w:val="22"/>
                <w:szCs w:val="22"/>
              </w:rPr>
              <w:t>5.</w:t>
            </w:r>
          </w:p>
        </w:tc>
        <w:tc>
          <w:tcPr>
            <w:tcW w:w="2096" w:type="dxa"/>
          </w:tcPr>
          <w:p w:rsidR="006B0D7C" w:rsidRDefault="006B0D7C" w:rsidP="00E933CA">
            <w:pPr>
              <w:rPr>
                <w:sz w:val="22"/>
                <w:szCs w:val="22"/>
                <w:lang w:eastAsia="lt-LT"/>
              </w:rPr>
            </w:pPr>
            <w:r>
              <w:rPr>
                <w:sz w:val="22"/>
                <w:szCs w:val="22"/>
                <w:lang w:eastAsia="lt-LT"/>
              </w:rPr>
              <w:t xml:space="preserve">Profesinio mokymo ir mokymosi visą gyvenimą informacinių sistemų </w:t>
            </w:r>
            <w:r>
              <w:rPr>
                <w:sz w:val="22"/>
                <w:szCs w:val="22"/>
                <w:lang w:eastAsia="lt-LT"/>
              </w:rPr>
              <w:lastRenderedPageBreak/>
              <w:t>ir registrų plėtra</w:t>
            </w:r>
          </w:p>
        </w:tc>
        <w:tc>
          <w:tcPr>
            <w:tcW w:w="3260" w:type="dxa"/>
          </w:tcPr>
          <w:p w:rsidR="006B0D7C" w:rsidRDefault="006B0D7C" w:rsidP="00E933CA">
            <w:pPr>
              <w:rPr>
                <w:b/>
                <w:caps/>
                <w:szCs w:val="24"/>
              </w:rPr>
            </w:pPr>
            <w:r>
              <w:rPr>
                <w:sz w:val="22"/>
                <w:szCs w:val="22"/>
                <w:lang w:eastAsia="lt-LT"/>
              </w:rPr>
              <w:lastRenderedPageBreak/>
              <w:t xml:space="preserve">Profesinio mokymo ir mokymosi visą gyvenimą informacinių sistemų ir registrų plėtra, sąsajų tarpusavyje ir su kitomis valstybės </w:t>
            </w:r>
            <w:r>
              <w:rPr>
                <w:sz w:val="22"/>
                <w:szCs w:val="22"/>
                <w:lang w:eastAsia="lt-LT"/>
              </w:rPr>
              <w:lastRenderedPageBreak/>
              <w:t xml:space="preserve">informacinėmis sistemomis ir registrais gerinimas, švietimo politikos </w:t>
            </w:r>
            <w:proofErr w:type="spellStart"/>
            <w:r>
              <w:rPr>
                <w:sz w:val="22"/>
                <w:szCs w:val="22"/>
                <w:lang w:eastAsia="lt-LT"/>
              </w:rPr>
              <w:t>stebėsenos</w:t>
            </w:r>
            <w:proofErr w:type="spellEnd"/>
            <w:r>
              <w:rPr>
                <w:sz w:val="22"/>
                <w:szCs w:val="22"/>
                <w:lang w:eastAsia="lt-LT"/>
              </w:rPr>
              <w:t xml:space="preserve"> ir vertinimo stiprinimas, švietimo procesų valdymo priemonių diegimas profesiniame mokyme ir mokymesi visą gyvenimą ir suaugusiųjų mokymosi poreikių, mokymų efektyvumo, pritaikomumo tyrimai</w:t>
            </w:r>
          </w:p>
        </w:tc>
        <w:tc>
          <w:tcPr>
            <w:tcW w:w="3402" w:type="dxa"/>
          </w:tcPr>
          <w:p w:rsidR="006B0D7C" w:rsidRDefault="006B0D7C" w:rsidP="00E933CA">
            <w:pPr>
              <w:jc w:val="center"/>
              <w:rPr>
                <w:b/>
                <w:caps/>
                <w:szCs w:val="24"/>
              </w:rPr>
            </w:pPr>
            <w:r>
              <w:rPr>
                <w:sz w:val="22"/>
                <w:szCs w:val="22"/>
              </w:rPr>
              <w:lastRenderedPageBreak/>
              <w:t xml:space="preserve">Švietimo informacinių technologijų centras (Kvalifikacijų ir profesinio mokymo plėtros centras, viešieji juridiniai asmenys, veikiantys </w:t>
            </w:r>
            <w:r>
              <w:rPr>
                <w:sz w:val="22"/>
                <w:szCs w:val="22"/>
              </w:rPr>
              <w:lastRenderedPageBreak/>
              <w:t>švietimo srityje)</w:t>
            </w:r>
          </w:p>
        </w:tc>
        <w:tc>
          <w:tcPr>
            <w:tcW w:w="1559" w:type="dxa"/>
          </w:tcPr>
          <w:p w:rsidR="006B0D7C" w:rsidRDefault="006B0D7C" w:rsidP="00E933CA">
            <w:pPr>
              <w:rPr>
                <w:b/>
                <w:caps/>
                <w:szCs w:val="24"/>
              </w:rPr>
            </w:pPr>
            <w:r>
              <w:rPr>
                <w:sz w:val="22"/>
                <w:szCs w:val="22"/>
                <w:lang w:eastAsia="lt-LT"/>
              </w:rPr>
              <w:lastRenderedPageBreak/>
              <w:t>2.2.5</w:t>
            </w:r>
          </w:p>
        </w:tc>
        <w:tc>
          <w:tcPr>
            <w:tcW w:w="1701" w:type="dxa"/>
          </w:tcPr>
          <w:p w:rsidR="006B0D7C" w:rsidRDefault="006B0D7C" w:rsidP="00E933CA">
            <w:pPr>
              <w:jc w:val="center"/>
              <w:rPr>
                <w:caps/>
                <w:szCs w:val="24"/>
              </w:rPr>
            </w:pPr>
            <w:r>
              <w:rPr>
                <w:caps/>
                <w:sz w:val="22"/>
                <w:szCs w:val="22"/>
              </w:rPr>
              <w:t>1158,48</w:t>
            </w:r>
          </w:p>
        </w:tc>
        <w:tc>
          <w:tcPr>
            <w:tcW w:w="1450" w:type="dxa"/>
          </w:tcPr>
          <w:p w:rsidR="006B0D7C" w:rsidRDefault="006B0D7C" w:rsidP="00E933CA">
            <w:pPr>
              <w:jc w:val="center"/>
              <w:rPr>
                <w:caps/>
                <w:szCs w:val="24"/>
              </w:rPr>
            </w:pPr>
            <w:r>
              <w:rPr>
                <w:caps/>
                <w:sz w:val="22"/>
                <w:szCs w:val="22"/>
              </w:rPr>
              <w:t>24</w:t>
            </w:r>
          </w:p>
        </w:tc>
      </w:tr>
      <w:tr w:rsidR="008C6498" w:rsidTr="00E933CA">
        <w:tc>
          <w:tcPr>
            <w:tcW w:w="706" w:type="dxa"/>
          </w:tcPr>
          <w:p w:rsidR="008C6498" w:rsidRDefault="008C6498" w:rsidP="00E101CB">
            <w:pPr>
              <w:jc w:val="center"/>
              <w:rPr>
                <w:caps/>
                <w:szCs w:val="24"/>
              </w:rPr>
            </w:pPr>
            <w:r>
              <w:rPr>
                <w:caps/>
                <w:sz w:val="22"/>
                <w:szCs w:val="22"/>
              </w:rPr>
              <w:lastRenderedPageBreak/>
              <w:t>6.</w:t>
            </w:r>
          </w:p>
        </w:tc>
        <w:tc>
          <w:tcPr>
            <w:tcW w:w="2096" w:type="dxa"/>
          </w:tcPr>
          <w:p w:rsidR="008C6498" w:rsidRDefault="008C6498" w:rsidP="00E101CB">
            <w:pPr>
              <w:rPr>
                <w:sz w:val="22"/>
                <w:szCs w:val="22"/>
                <w:lang w:eastAsia="lt-LT"/>
              </w:rPr>
            </w:pPr>
            <w:r>
              <w:rPr>
                <w:sz w:val="22"/>
                <w:szCs w:val="22"/>
                <w:lang w:eastAsia="lt-LT"/>
              </w:rPr>
              <w:t>Saugios elektroninės mokymosi infrastruktūros kūrimas</w:t>
            </w:r>
          </w:p>
        </w:tc>
        <w:tc>
          <w:tcPr>
            <w:tcW w:w="3260" w:type="dxa"/>
          </w:tcPr>
          <w:p w:rsidR="008C6498" w:rsidRDefault="008C6498" w:rsidP="00E101CB">
            <w:pPr>
              <w:rPr>
                <w:b/>
                <w:caps/>
                <w:szCs w:val="24"/>
              </w:rPr>
            </w:pPr>
            <w:r>
              <w:rPr>
                <w:sz w:val="22"/>
                <w:szCs w:val="22"/>
                <w:lang w:eastAsia="lt-LT"/>
              </w:rPr>
              <w:t>Saugios elektroninės erdvės vaikams kūrimas (informacinių ir komunikacinių technologijų diegimas bendrojo ugdymo mokyklose)</w:t>
            </w:r>
          </w:p>
        </w:tc>
        <w:tc>
          <w:tcPr>
            <w:tcW w:w="3402" w:type="dxa"/>
          </w:tcPr>
          <w:p w:rsidR="008C6498" w:rsidRDefault="008C6498" w:rsidP="00E101CB">
            <w:pPr>
              <w:jc w:val="center"/>
              <w:rPr>
                <w:b/>
                <w:caps/>
                <w:szCs w:val="24"/>
              </w:rPr>
            </w:pPr>
            <w:r>
              <w:rPr>
                <w:sz w:val="22"/>
                <w:szCs w:val="22"/>
              </w:rPr>
              <w:t>Švietimo informacinių technologijų centras (viešieji juridiniai asmenys, veikiantys švietimo srityje)</w:t>
            </w:r>
          </w:p>
        </w:tc>
        <w:tc>
          <w:tcPr>
            <w:tcW w:w="1559" w:type="dxa"/>
          </w:tcPr>
          <w:p w:rsidR="008C6498" w:rsidRDefault="008C6498" w:rsidP="00E101CB">
            <w:pPr>
              <w:ind w:left="-44"/>
              <w:rPr>
                <w:b/>
                <w:caps/>
                <w:szCs w:val="24"/>
              </w:rPr>
            </w:pPr>
            <w:r>
              <w:rPr>
                <w:sz w:val="22"/>
                <w:szCs w:val="22"/>
                <w:lang w:eastAsia="lt-LT"/>
              </w:rPr>
              <w:t>3.1.4</w:t>
            </w:r>
          </w:p>
        </w:tc>
        <w:tc>
          <w:tcPr>
            <w:tcW w:w="1701" w:type="dxa"/>
          </w:tcPr>
          <w:p w:rsidR="008C6498" w:rsidRDefault="008C6498" w:rsidP="00E101CB">
            <w:pPr>
              <w:jc w:val="center"/>
              <w:rPr>
                <w:sz w:val="22"/>
                <w:szCs w:val="22"/>
                <w:lang w:eastAsia="lt-LT"/>
              </w:rPr>
            </w:pPr>
            <w:r>
              <w:rPr>
                <w:sz w:val="22"/>
                <w:szCs w:val="22"/>
                <w:lang w:eastAsia="lt-LT"/>
              </w:rPr>
              <w:t>4213,16</w:t>
            </w:r>
          </w:p>
          <w:p w:rsidR="008C6498" w:rsidRDefault="008C6498" w:rsidP="00E101CB">
            <w:pPr>
              <w:jc w:val="center"/>
              <w:rPr>
                <w:sz w:val="22"/>
                <w:szCs w:val="22"/>
                <w:lang w:eastAsia="lt-LT"/>
              </w:rPr>
            </w:pPr>
          </w:p>
          <w:p w:rsidR="008C6498" w:rsidRDefault="008C6498" w:rsidP="00E101CB">
            <w:pPr>
              <w:jc w:val="center"/>
              <w:rPr>
                <w:sz w:val="22"/>
                <w:szCs w:val="22"/>
                <w:lang w:eastAsia="lt-LT"/>
              </w:rPr>
            </w:pPr>
          </w:p>
        </w:tc>
        <w:tc>
          <w:tcPr>
            <w:tcW w:w="1450" w:type="dxa"/>
          </w:tcPr>
          <w:p w:rsidR="008C6498" w:rsidRDefault="008C6498" w:rsidP="00E101CB">
            <w:pPr>
              <w:jc w:val="center"/>
              <w:rPr>
                <w:sz w:val="22"/>
                <w:szCs w:val="22"/>
                <w:lang w:eastAsia="lt-LT"/>
              </w:rPr>
            </w:pPr>
            <w:r>
              <w:rPr>
                <w:sz w:val="22"/>
                <w:szCs w:val="22"/>
                <w:lang w:eastAsia="lt-LT"/>
              </w:rPr>
              <w:t>36</w:t>
            </w:r>
          </w:p>
        </w:tc>
      </w:tr>
      <w:tr w:rsidR="008C6498" w:rsidTr="00377E1A">
        <w:trPr>
          <w:trHeight w:val="2024"/>
        </w:trPr>
        <w:tc>
          <w:tcPr>
            <w:tcW w:w="706" w:type="dxa"/>
          </w:tcPr>
          <w:p w:rsidR="008C6498" w:rsidRDefault="008C6498" w:rsidP="00E101CB">
            <w:pPr>
              <w:jc w:val="center"/>
              <w:rPr>
                <w:caps/>
                <w:szCs w:val="24"/>
              </w:rPr>
            </w:pPr>
            <w:r>
              <w:rPr>
                <w:caps/>
                <w:szCs w:val="24"/>
              </w:rPr>
              <w:t>7.</w:t>
            </w:r>
          </w:p>
          <w:p w:rsidR="008C6498" w:rsidRDefault="008C6498" w:rsidP="00E101CB">
            <w:pPr>
              <w:jc w:val="center"/>
              <w:rPr>
                <w:caps/>
                <w:szCs w:val="24"/>
              </w:rPr>
            </w:pPr>
          </w:p>
        </w:tc>
        <w:tc>
          <w:tcPr>
            <w:tcW w:w="2096" w:type="dxa"/>
          </w:tcPr>
          <w:p w:rsidR="008C6498" w:rsidRDefault="008C6498" w:rsidP="00E101CB">
            <w:pPr>
              <w:rPr>
                <w:sz w:val="22"/>
                <w:szCs w:val="22"/>
                <w:lang w:eastAsia="lt-LT"/>
              </w:rPr>
            </w:pPr>
            <w:r>
              <w:rPr>
                <w:sz w:val="22"/>
                <w:szCs w:val="22"/>
                <w:lang w:eastAsia="lt-LT"/>
              </w:rPr>
              <w:t>Skaitmeninio ugdymo turinio kūrimas, atnaujinimas ir diegimas bei jo pritaikymas specialiesiems ugdymo poreikiams</w:t>
            </w:r>
          </w:p>
        </w:tc>
        <w:tc>
          <w:tcPr>
            <w:tcW w:w="3260" w:type="dxa"/>
            <w:vMerge w:val="restart"/>
            <w:vAlign w:val="center"/>
          </w:tcPr>
          <w:p w:rsidR="008C6498" w:rsidRDefault="008C6498" w:rsidP="00E101CB">
            <w:pPr>
              <w:rPr>
                <w:b/>
                <w:caps/>
                <w:strike/>
                <w:szCs w:val="24"/>
              </w:rPr>
            </w:pPr>
            <w:r>
              <w:rPr>
                <w:sz w:val="22"/>
                <w:szCs w:val="22"/>
                <w:lang w:eastAsia="lt-LT"/>
              </w:rPr>
              <w:t>Skaitmeninio ugdymo turinio kūrimas ir diegimas bei jo pritaikymas mokiniams, turintiems specialiųjų ugdymosi poreikių</w:t>
            </w:r>
            <w:bookmarkStart w:id="0" w:name="_GoBack"/>
            <w:bookmarkEnd w:id="0"/>
          </w:p>
        </w:tc>
        <w:tc>
          <w:tcPr>
            <w:tcW w:w="3402" w:type="dxa"/>
          </w:tcPr>
          <w:p w:rsidR="008C6498" w:rsidRDefault="008C6498" w:rsidP="00E101CB">
            <w:pPr>
              <w:jc w:val="center"/>
              <w:rPr>
                <w:b/>
                <w:caps/>
                <w:strike/>
                <w:szCs w:val="24"/>
              </w:rPr>
            </w:pPr>
            <w:r>
              <w:rPr>
                <w:sz w:val="22"/>
                <w:szCs w:val="22"/>
              </w:rPr>
              <w:t>Ugdymo plėtotės centras (Specialiosios pedagogikos ir psichologijos centras)</w:t>
            </w:r>
          </w:p>
        </w:tc>
        <w:tc>
          <w:tcPr>
            <w:tcW w:w="1559" w:type="dxa"/>
          </w:tcPr>
          <w:p w:rsidR="008C6498" w:rsidRDefault="008C6498" w:rsidP="00E101CB">
            <w:pPr>
              <w:rPr>
                <w:b/>
                <w:caps/>
                <w:szCs w:val="24"/>
              </w:rPr>
            </w:pPr>
            <w:r>
              <w:rPr>
                <w:sz w:val="22"/>
                <w:szCs w:val="22"/>
                <w:lang w:eastAsia="lt-LT"/>
              </w:rPr>
              <w:t xml:space="preserve">1.2.1, 1.2.2, 3.2.2, 3.2.1, 4.1.1  </w:t>
            </w:r>
          </w:p>
        </w:tc>
        <w:tc>
          <w:tcPr>
            <w:tcW w:w="1701" w:type="dxa"/>
          </w:tcPr>
          <w:p w:rsidR="008C6498" w:rsidRDefault="008C6498" w:rsidP="00E101CB">
            <w:pPr>
              <w:jc w:val="center"/>
              <w:rPr>
                <w:caps/>
                <w:szCs w:val="24"/>
              </w:rPr>
            </w:pPr>
            <w:r>
              <w:rPr>
                <w:caps/>
                <w:szCs w:val="24"/>
              </w:rPr>
              <w:t>8647,08</w:t>
            </w:r>
          </w:p>
        </w:tc>
        <w:tc>
          <w:tcPr>
            <w:tcW w:w="1450" w:type="dxa"/>
          </w:tcPr>
          <w:p w:rsidR="008C6498" w:rsidRDefault="008C6498" w:rsidP="00E101CB">
            <w:pPr>
              <w:jc w:val="center"/>
              <w:rPr>
                <w:caps/>
                <w:szCs w:val="24"/>
              </w:rPr>
            </w:pPr>
            <w:r>
              <w:rPr>
                <w:sz w:val="22"/>
                <w:szCs w:val="22"/>
              </w:rPr>
              <w:t>48</w:t>
            </w:r>
          </w:p>
        </w:tc>
      </w:tr>
      <w:tr w:rsidR="006B0D7C" w:rsidTr="00E933CA">
        <w:tc>
          <w:tcPr>
            <w:tcW w:w="706" w:type="dxa"/>
          </w:tcPr>
          <w:p w:rsidR="006B0D7C" w:rsidRDefault="006B0D7C" w:rsidP="00E933CA">
            <w:pPr>
              <w:jc w:val="center"/>
              <w:rPr>
                <w:caps/>
                <w:sz w:val="22"/>
                <w:szCs w:val="22"/>
              </w:rPr>
            </w:pPr>
            <w:r>
              <w:rPr>
                <w:caps/>
                <w:sz w:val="22"/>
                <w:szCs w:val="22"/>
              </w:rPr>
              <w:t>8.</w:t>
            </w:r>
          </w:p>
        </w:tc>
        <w:tc>
          <w:tcPr>
            <w:tcW w:w="2096" w:type="dxa"/>
          </w:tcPr>
          <w:p w:rsidR="006B0D7C" w:rsidRDefault="006B0D7C" w:rsidP="00E933CA">
            <w:pPr>
              <w:rPr>
                <w:sz w:val="22"/>
                <w:szCs w:val="22"/>
                <w:lang w:eastAsia="lt-LT"/>
              </w:rPr>
            </w:pPr>
            <w:r>
              <w:rPr>
                <w:sz w:val="22"/>
                <w:szCs w:val="22"/>
                <w:lang w:eastAsia="lt-LT"/>
              </w:rPr>
              <w:t>Mokyklų darbuotojų, koordinuojančių informacinių ir komunikacinių technologijų veiklą, kvalifikacijos tobulinimas ir perkvalifikavimas</w:t>
            </w:r>
          </w:p>
        </w:tc>
        <w:tc>
          <w:tcPr>
            <w:tcW w:w="3260" w:type="dxa"/>
            <w:vMerge/>
          </w:tcPr>
          <w:p w:rsidR="006B0D7C" w:rsidRDefault="006B0D7C" w:rsidP="00E933CA">
            <w:pPr>
              <w:rPr>
                <w:sz w:val="22"/>
                <w:szCs w:val="22"/>
                <w:lang w:eastAsia="lt-LT"/>
              </w:rPr>
            </w:pPr>
          </w:p>
        </w:tc>
        <w:tc>
          <w:tcPr>
            <w:tcW w:w="3402" w:type="dxa"/>
            <w:vAlign w:val="center"/>
          </w:tcPr>
          <w:p w:rsidR="006B0D7C" w:rsidRDefault="006B0D7C" w:rsidP="00E933CA">
            <w:pPr>
              <w:jc w:val="center"/>
              <w:rPr>
                <w:sz w:val="22"/>
                <w:szCs w:val="22"/>
              </w:rPr>
            </w:pPr>
            <w:r>
              <w:rPr>
                <w:sz w:val="22"/>
                <w:szCs w:val="22"/>
              </w:rPr>
              <w:t>Švietimo informacinių technologijų centras</w:t>
            </w:r>
          </w:p>
        </w:tc>
        <w:tc>
          <w:tcPr>
            <w:tcW w:w="1559" w:type="dxa"/>
          </w:tcPr>
          <w:p w:rsidR="006B0D7C" w:rsidRDefault="006B0D7C" w:rsidP="00E933CA">
            <w:pPr>
              <w:rPr>
                <w:sz w:val="22"/>
                <w:szCs w:val="22"/>
                <w:lang w:eastAsia="lt-LT"/>
              </w:rPr>
            </w:pPr>
            <w:r>
              <w:rPr>
                <w:sz w:val="22"/>
                <w:szCs w:val="22"/>
                <w:lang w:eastAsia="lt-LT"/>
              </w:rPr>
              <w:t xml:space="preserve">1.1.2 </w:t>
            </w:r>
            <w:r>
              <w:rPr>
                <w:sz w:val="22"/>
                <w:szCs w:val="22"/>
              </w:rPr>
              <w:t xml:space="preserve"> </w:t>
            </w:r>
          </w:p>
          <w:p w:rsidR="006B0D7C" w:rsidRDefault="006B0D7C" w:rsidP="00E933CA">
            <w:pPr>
              <w:rPr>
                <w:sz w:val="22"/>
                <w:szCs w:val="22"/>
                <w:lang w:eastAsia="lt-LT"/>
              </w:rPr>
            </w:pPr>
          </w:p>
        </w:tc>
        <w:tc>
          <w:tcPr>
            <w:tcW w:w="1701" w:type="dxa"/>
          </w:tcPr>
          <w:p w:rsidR="006B0D7C" w:rsidRDefault="006B0D7C" w:rsidP="00E933CA">
            <w:pPr>
              <w:jc w:val="center"/>
              <w:rPr>
                <w:caps/>
                <w:sz w:val="22"/>
                <w:szCs w:val="22"/>
              </w:rPr>
            </w:pPr>
            <w:r>
              <w:rPr>
                <w:caps/>
                <w:sz w:val="22"/>
                <w:szCs w:val="22"/>
              </w:rPr>
              <w:t>868,86</w:t>
            </w:r>
          </w:p>
        </w:tc>
        <w:tc>
          <w:tcPr>
            <w:tcW w:w="1450" w:type="dxa"/>
          </w:tcPr>
          <w:p w:rsidR="006B0D7C" w:rsidRDefault="006B0D7C" w:rsidP="00E933CA">
            <w:pPr>
              <w:jc w:val="center"/>
              <w:rPr>
                <w:sz w:val="22"/>
                <w:szCs w:val="22"/>
              </w:rPr>
            </w:pPr>
            <w:r>
              <w:rPr>
                <w:sz w:val="22"/>
                <w:szCs w:val="22"/>
              </w:rPr>
              <w:t>36</w:t>
            </w:r>
          </w:p>
        </w:tc>
      </w:tr>
      <w:tr w:rsidR="006B0D7C" w:rsidTr="00E933CA">
        <w:tc>
          <w:tcPr>
            <w:tcW w:w="706" w:type="dxa"/>
          </w:tcPr>
          <w:p w:rsidR="006B0D7C" w:rsidRDefault="006B0D7C" w:rsidP="00E933CA">
            <w:pPr>
              <w:jc w:val="center"/>
              <w:rPr>
                <w:caps/>
                <w:szCs w:val="24"/>
              </w:rPr>
            </w:pPr>
            <w:r>
              <w:rPr>
                <w:caps/>
                <w:sz w:val="22"/>
                <w:szCs w:val="22"/>
              </w:rPr>
              <w:t>9.</w:t>
            </w:r>
          </w:p>
        </w:tc>
        <w:tc>
          <w:tcPr>
            <w:tcW w:w="2096" w:type="dxa"/>
          </w:tcPr>
          <w:p w:rsidR="006B0D7C" w:rsidRDefault="006B0D7C" w:rsidP="00E933CA">
            <w:pPr>
              <w:rPr>
                <w:sz w:val="22"/>
                <w:szCs w:val="22"/>
                <w:lang w:eastAsia="lt-LT"/>
              </w:rPr>
            </w:pPr>
            <w:r>
              <w:rPr>
                <w:sz w:val="22"/>
                <w:szCs w:val="22"/>
                <w:lang w:eastAsia="lt-LT"/>
              </w:rPr>
              <w:t>Mokyklų infrastruktūros tobulinimas</w:t>
            </w:r>
            <w:r>
              <w:rPr>
                <w:sz w:val="22"/>
                <w:szCs w:val="22"/>
                <w:vertAlign w:val="superscript"/>
                <w:lang w:eastAsia="lt-LT"/>
              </w:rPr>
              <w:endnoteReference w:id="2"/>
            </w:r>
          </w:p>
        </w:tc>
        <w:tc>
          <w:tcPr>
            <w:tcW w:w="3260" w:type="dxa"/>
          </w:tcPr>
          <w:p w:rsidR="006B0D7C" w:rsidRDefault="006B0D7C" w:rsidP="00E933CA">
            <w:pPr>
              <w:rPr>
                <w:szCs w:val="24"/>
                <w:lang w:eastAsia="lt-LT"/>
              </w:rPr>
            </w:pPr>
          </w:p>
        </w:tc>
        <w:tc>
          <w:tcPr>
            <w:tcW w:w="3402" w:type="dxa"/>
          </w:tcPr>
          <w:p w:rsidR="006B0D7C" w:rsidRDefault="006B0D7C" w:rsidP="00E933CA">
            <w:pPr>
              <w:jc w:val="center"/>
              <w:rPr>
                <w:sz w:val="22"/>
                <w:szCs w:val="22"/>
              </w:rPr>
            </w:pPr>
            <w:r>
              <w:rPr>
                <w:sz w:val="22"/>
                <w:szCs w:val="22"/>
              </w:rPr>
              <w:t xml:space="preserve">Švietimo aprūpinimo centras, savivaldybių administracijos ir (ar) mokyklos  </w:t>
            </w:r>
          </w:p>
        </w:tc>
        <w:tc>
          <w:tcPr>
            <w:tcW w:w="1559" w:type="dxa"/>
          </w:tcPr>
          <w:p w:rsidR="006B0D7C" w:rsidRDefault="006B0D7C" w:rsidP="00E933CA">
            <w:pPr>
              <w:rPr>
                <w:b/>
                <w:caps/>
                <w:szCs w:val="24"/>
              </w:rPr>
            </w:pPr>
            <w:r>
              <w:rPr>
                <w:sz w:val="22"/>
                <w:szCs w:val="22"/>
                <w:lang w:eastAsia="lt-LT"/>
              </w:rPr>
              <w:t>4.1.2</w:t>
            </w:r>
          </w:p>
        </w:tc>
        <w:tc>
          <w:tcPr>
            <w:tcW w:w="1701" w:type="dxa"/>
          </w:tcPr>
          <w:p w:rsidR="006B0D7C" w:rsidRDefault="006B0D7C" w:rsidP="00E933CA">
            <w:pPr>
              <w:jc w:val="center"/>
              <w:rPr>
                <w:caps/>
                <w:szCs w:val="24"/>
              </w:rPr>
            </w:pPr>
            <w:r>
              <w:rPr>
                <w:caps/>
                <w:sz w:val="22"/>
                <w:szCs w:val="22"/>
              </w:rPr>
              <w:t>-</w:t>
            </w:r>
          </w:p>
        </w:tc>
        <w:tc>
          <w:tcPr>
            <w:tcW w:w="1450" w:type="dxa"/>
          </w:tcPr>
          <w:p w:rsidR="006B0D7C" w:rsidRDefault="006B0D7C" w:rsidP="00E933CA">
            <w:pPr>
              <w:jc w:val="center"/>
              <w:rPr>
                <w:caps/>
                <w:szCs w:val="24"/>
              </w:rPr>
            </w:pPr>
            <w:r>
              <w:rPr>
                <w:sz w:val="22"/>
                <w:szCs w:val="22"/>
              </w:rPr>
              <w:t>-</w:t>
            </w:r>
          </w:p>
        </w:tc>
      </w:tr>
      <w:tr w:rsidR="006B0D7C" w:rsidTr="00E933CA">
        <w:tc>
          <w:tcPr>
            <w:tcW w:w="706" w:type="dxa"/>
          </w:tcPr>
          <w:p w:rsidR="006B0D7C" w:rsidRDefault="006B0D7C" w:rsidP="00E933CA">
            <w:pPr>
              <w:jc w:val="center"/>
              <w:rPr>
                <w:caps/>
                <w:szCs w:val="24"/>
              </w:rPr>
            </w:pPr>
            <w:r>
              <w:rPr>
                <w:caps/>
                <w:sz w:val="22"/>
                <w:szCs w:val="22"/>
              </w:rPr>
              <w:t>10.</w:t>
            </w:r>
          </w:p>
        </w:tc>
        <w:tc>
          <w:tcPr>
            <w:tcW w:w="2096" w:type="dxa"/>
          </w:tcPr>
          <w:p w:rsidR="006B0D7C" w:rsidRDefault="006B0D7C" w:rsidP="00E933CA">
            <w:pPr>
              <w:rPr>
                <w:sz w:val="22"/>
                <w:szCs w:val="22"/>
                <w:lang w:eastAsia="lt-LT"/>
              </w:rPr>
            </w:pPr>
            <w:r>
              <w:rPr>
                <w:sz w:val="22"/>
                <w:szCs w:val="22"/>
                <w:lang w:eastAsia="lt-LT"/>
              </w:rPr>
              <w:t xml:space="preserve">Mokinių skatinimas dalyvauti įvairių organizacijų, </w:t>
            </w:r>
            <w:r>
              <w:rPr>
                <w:sz w:val="22"/>
                <w:szCs w:val="22"/>
                <w:lang w:eastAsia="lt-LT"/>
              </w:rPr>
              <w:lastRenderedPageBreak/>
              <w:t>ugdančių mokinių informacinių technologijų taikymo kompetenciją, veiklose ir neformaliojo vaikų švietimo informacinės sistemos diegimas</w:t>
            </w:r>
            <w:r>
              <w:rPr>
                <w:sz w:val="22"/>
                <w:szCs w:val="22"/>
                <w:vertAlign w:val="superscript"/>
                <w:lang w:eastAsia="lt-LT"/>
              </w:rPr>
              <w:endnoteReference w:id="3"/>
            </w:r>
          </w:p>
        </w:tc>
        <w:tc>
          <w:tcPr>
            <w:tcW w:w="3260" w:type="dxa"/>
          </w:tcPr>
          <w:p w:rsidR="006B0D7C" w:rsidRDefault="006B0D7C" w:rsidP="00E933CA">
            <w:pPr>
              <w:rPr>
                <w:szCs w:val="24"/>
                <w:lang w:eastAsia="lt-LT"/>
              </w:rPr>
            </w:pPr>
          </w:p>
        </w:tc>
        <w:tc>
          <w:tcPr>
            <w:tcW w:w="3402" w:type="dxa"/>
          </w:tcPr>
          <w:p w:rsidR="006B0D7C" w:rsidRDefault="006B0D7C" w:rsidP="00E933CA">
            <w:pPr>
              <w:jc w:val="center"/>
              <w:rPr>
                <w:b/>
                <w:caps/>
                <w:szCs w:val="24"/>
              </w:rPr>
            </w:pPr>
            <w:r>
              <w:rPr>
                <w:sz w:val="22"/>
                <w:szCs w:val="22"/>
              </w:rPr>
              <w:t>Lietuvos mokinių neformaliojo švietimo centras, Švietimo informacinių technologijų centras</w:t>
            </w:r>
          </w:p>
        </w:tc>
        <w:tc>
          <w:tcPr>
            <w:tcW w:w="1559" w:type="dxa"/>
          </w:tcPr>
          <w:p w:rsidR="006B0D7C" w:rsidRDefault="006B0D7C" w:rsidP="00E933CA">
            <w:pPr>
              <w:rPr>
                <w:szCs w:val="24"/>
                <w:lang w:eastAsia="lt-LT"/>
              </w:rPr>
            </w:pPr>
            <w:r>
              <w:rPr>
                <w:sz w:val="22"/>
                <w:szCs w:val="22"/>
                <w:lang w:eastAsia="lt-LT"/>
              </w:rPr>
              <w:t>4.2.1, 4.2.2</w:t>
            </w:r>
          </w:p>
        </w:tc>
        <w:tc>
          <w:tcPr>
            <w:tcW w:w="1701" w:type="dxa"/>
          </w:tcPr>
          <w:p w:rsidR="006B0D7C" w:rsidRDefault="006B0D7C" w:rsidP="00E933CA">
            <w:pPr>
              <w:jc w:val="center"/>
              <w:rPr>
                <w:caps/>
                <w:szCs w:val="24"/>
              </w:rPr>
            </w:pPr>
          </w:p>
        </w:tc>
        <w:tc>
          <w:tcPr>
            <w:tcW w:w="1450" w:type="dxa"/>
          </w:tcPr>
          <w:p w:rsidR="006B0D7C" w:rsidRDefault="006B0D7C" w:rsidP="00E933CA">
            <w:pPr>
              <w:rPr>
                <w:caps/>
                <w:szCs w:val="24"/>
              </w:rPr>
            </w:pPr>
          </w:p>
        </w:tc>
      </w:tr>
    </w:tbl>
    <w:p w:rsidR="002E7C6B" w:rsidRDefault="002E7C6B"/>
    <w:sectPr w:rsidR="002E7C6B" w:rsidSect="006B0D7C">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7C" w:rsidRDefault="006B0D7C" w:rsidP="006B0D7C">
      <w:r>
        <w:separator/>
      </w:r>
    </w:p>
  </w:endnote>
  <w:endnote w:type="continuationSeparator" w:id="0">
    <w:p w:rsidR="006B0D7C" w:rsidRDefault="006B0D7C" w:rsidP="006B0D7C">
      <w:r>
        <w:continuationSeparator/>
      </w:r>
    </w:p>
  </w:endnote>
  <w:endnote w:id="1">
    <w:p w:rsidR="006B0D7C" w:rsidRDefault="006B0D7C" w:rsidP="006B0D7C">
      <w:pPr>
        <w:rPr>
          <w:sz w:val="20"/>
        </w:rPr>
      </w:pPr>
      <w:r>
        <w:rPr>
          <w:sz w:val="20"/>
          <w:vertAlign w:val="superscript"/>
        </w:rPr>
        <w:endnoteRef/>
      </w:r>
      <w:r>
        <w:rPr>
          <w:sz w:val="20"/>
        </w:rPr>
        <w:t>Projektas įtrauktas į Prioritetinių elektroninių paslaugų ir joms kurti skirtų sprendimų sąrašą, patvirtintą Lietuvos Respublikos susisiekimo ministro 2015 m. lapkričio 18 d. įsakymu Nr. 3-470(1.5 E) „Dėl Prioritetinių elektroninių paslaugų ir joms kurti skirtų sprendimų sąrašo patvirtinimo“.</w:t>
      </w:r>
    </w:p>
  </w:endnote>
  <w:endnote w:id="2">
    <w:p w:rsidR="006B0D7C" w:rsidRDefault="006B0D7C" w:rsidP="006B0D7C">
      <w:pPr>
        <w:rPr>
          <w:sz w:val="20"/>
        </w:rPr>
      </w:pPr>
      <w:r>
        <w:rPr>
          <w:sz w:val="20"/>
          <w:vertAlign w:val="superscript"/>
        </w:rPr>
        <w:endnoteRef/>
      </w:r>
      <w:r>
        <w:rPr>
          <w:sz w:val="20"/>
        </w:rPr>
        <w:t>Veikla prisidedama prie Informacinių ir komunikacinių technologijų diegimo į bendrąjį ugdymą ir profesinį mokymą 2014–2016 metų veiksmų plano, patvirtinto Lietuvos Respublikos švietimo ir mokslo ministro 2014 m. gegužės 15 d. įsakymu Nr. V-436 „Dėl Informacinių ir komunikacinių technologijų diegimo į bendrąjį ugdymą ir profesinį mokymą 2014–2016 metų veiksmų plano patvirtinimo“, tikslų įgyvendinimo. Projektus numatoma atrinkti regionų projektų planavimo būdu. Projektų vykdytojai, skiriamos lėšos ir kita informacija apie projektus bus numatyta, įgyvendinant 2014–2020 metų Europos Sąjungos fondų investicijų veiksmų programos 9 prioriteto „Visuomenės švietimas ir žmogiškųjų išteklių potencialo didinimas“ 9.1.3 konkretų uždavinį „Padidinti bendrojo ugdymo ir neformaliojo švietimo įstaigų (ypač vykdančių ikimokyklinio ir priešmokyklinio ugdymo programas) tinklo veiklos efektyvumą“, numatant privalomą atitinkamų lėšų skyrimą techninei įrangai</w:t>
      </w:r>
      <w:r>
        <w:rPr>
          <w:strike/>
          <w:sz w:val="20"/>
        </w:rPr>
        <w:t>.</w:t>
      </w:r>
    </w:p>
  </w:endnote>
  <w:endnote w:id="3">
    <w:p w:rsidR="006B0D7C" w:rsidRDefault="006B0D7C" w:rsidP="006B0D7C">
      <w:pPr>
        <w:rPr>
          <w:sz w:val="20"/>
        </w:rPr>
      </w:pPr>
      <w:r>
        <w:rPr>
          <w:sz w:val="20"/>
          <w:vertAlign w:val="superscript"/>
        </w:rPr>
        <w:endnoteRef/>
      </w:r>
      <w:r>
        <w:rPr>
          <w:sz w:val="20"/>
        </w:rPr>
        <w:t>Veiklos finansuojamos iš valstybės biudžeto, įgyvendinant Neformaliojo vaikų švietimo finansavimo tobulinimo veiksmų planą 2014–2016 m., patvirtintą Lietuvos Respublikos švietimo ir mokslo ministro 2013 m. spalio 18 d. įsakymu Nr. V-972 „Dėl Neformaliojo vaikų švietimo finansavimo tobulinimo veiksmų plano 2014–2016 m. patvirtinimo“.</w:t>
      </w:r>
    </w:p>
    <w:p w:rsidR="006B0D7C" w:rsidRDefault="006B0D7C" w:rsidP="006B0D7C">
      <w:pPr>
        <w:jc w:val="center"/>
        <w:rPr>
          <w:sz w:val="20"/>
        </w:rPr>
      </w:pPr>
      <w:r>
        <w:rPr>
          <w:sz w:val="20"/>
        </w:rPr>
        <w:t>___________________________________________________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7C" w:rsidRDefault="006B0D7C" w:rsidP="006B0D7C">
      <w:r>
        <w:separator/>
      </w:r>
    </w:p>
  </w:footnote>
  <w:footnote w:type="continuationSeparator" w:id="0">
    <w:p w:rsidR="006B0D7C" w:rsidRDefault="006B0D7C" w:rsidP="006B0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C"/>
    <w:rsid w:val="002E7C6B"/>
    <w:rsid w:val="006B0D7C"/>
    <w:rsid w:val="008C6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D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D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2329</Words>
  <Characters>1328</Characters>
  <Application>Microsoft Office Word</Application>
  <DocSecurity>4</DocSecurity>
  <Lines>11</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RAKAUSKIENĖ Loreta</dc:creator>
  <cp:lastModifiedBy>Loreta RAKAUSKIENĖ</cp:lastModifiedBy>
  <cp:revision>2</cp:revision>
  <dcterms:created xsi:type="dcterms:W3CDTF">2016-11-14T12:32:00Z</dcterms:created>
  <dcterms:modified xsi:type="dcterms:W3CDTF">2016-11-14T12:32:00Z</dcterms:modified>
</cp:coreProperties>
</file>