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suppressLineNumbers/>
        <w:tabs>
          <w:tab w:val="center" w:pos="4819"/>
          <w:tab w:val="right" w:pos="9638"/>
        </w:tabs>
        <w:suppressAutoHyphens/>
        <w:rPr>
          <w:color w:val="00000A"/>
          <w:kern w:val="1"/>
          <w:szCs w:val="24"/>
          <w:lang w:val="en-GB" w:eastAsia="ar-SA"/>
        </w:rPr>
      </w:pPr>
    </w:p>
    <w:p>
      <w:pPr>
        <w:spacing w:line="276" w:lineRule="auto"/>
        <w:ind w:left="5102"/>
        <w:rPr>
          <w:color w:val="000000"/>
          <w:szCs w:val="24"/>
        </w:rPr>
      </w:pPr>
      <w:r>
        <w:rPr>
          <w:szCs w:val="24"/>
        </w:rPr>
        <w:t xml:space="preserve">Lietuvos kultūros tarybos administruojamomis lėšomis finansuojamų projektų teikimo gairių </w:t>
      </w:r>
      <w:r>
        <w:rPr>
          <w:color w:val="000000"/>
          <w:szCs w:val="24"/>
        </w:rPr>
        <w:t>14</w:t>
      </w:r>
      <w:r>
        <w:rPr>
          <w:color w:val="000000"/>
          <w:szCs w:val="24"/>
        </w:rPr>
        <w:t xml:space="preserve"> priedas</w:t>
      </w:r>
    </w:p>
    <w:p>
      <w:pPr>
        <w:rPr>
          <w:sz w:val="18"/>
          <w:szCs w:val="18"/>
        </w:rPr>
      </w:pPr>
    </w:p>
    <w:p>
      <w:pPr>
        <w:suppressAutoHyphens/>
        <w:jc w:val="center"/>
        <w:textAlignment w:val="baseline"/>
        <w:rPr>
          <w:color w:val="000000"/>
          <w:kern w:val="3"/>
          <w:szCs w:val="24"/>
          <w:lang w:eastAsia="en-GB"/>
        </w:rPr>
      </w:pPr>
    </w:p>
    <w:p>
      <w:pPr>
        <w:suppressAutoHyphens/>
        <w:jc w:val="center"/>
        <w:textAlignment w:val="baseline"/>
        <w:rPr>
          <w:b/>
          <w:color w:val="000000"/>
          <w:kern w:val="3"/>
          <w:szCs w:val="24"/>
          <w:lang w:eastAsia="en-GB"/>
        </w:rPr>
      </w:pPr>
      <w:r>
        <w:rPr>
          <w:b/>
          <w:color w:val="000000"/>
          <w:kern w:val="3"/>
          <w:szCs w:val="24"/>
          <w:lang w:eastAsia="en-GB"/>
        </w:rPr>
        <w:t>PROGRAMOS „KULTŪROS IR KŪRYBINĖS INDUSTRIJOS“ FINANSAVIMO SĄLYGOS</w:t>
      </w:r>
    </w:p>
    <w:p>
      <w:pPr>
        <w:spacing w:line="276" w:lineRule="auto"/>
        <w:rPr>
          <w:szCs w:val="24"/>
        </w:rPr>
      </w:pPr>
    </w:p>
    <w:p>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5812"/>
      </w:tblGrid>
      <w:tr>
        <w:tc>
          <w:tcPr>
            <w:tcW w:w="817" w:type="dxa"/>
          </w:tcPr>
          <w:p>
            <w:pPr>
              <w:suppressAutoHyphens/>
              <w:textAlignment w:val="baseline"/>
              <w:rPr>
                <w:b/>
                <w:color w:val="000000"/>
                <w:kern w:val="3"/>
                <w:szCs w:val="24"/>
                <w:lang w:eastAsia="en-GB"/>
              </w:rPr>
            </w:pPr>
            <w:r>
              <w:rPr>
                <w:b/>
                <w:color w:val="000000"/>
                <w:kern w:val="3"/>
                <w:szCs w:val="24"/>
                <w:lang w:eastAsia="en-GB"/>
              </w:rPr>
              <w:t>Eil. Nr.</w:t>
            </w:r>
          </w:p>
        </w:tc>
        <w:tc>
          <w:tcPr>
            <w:tcW w:w="2835" w:type="dxa"/>
          </w:tcPr>
          <w:p>
            <w:pPr>
              <w:suppressAutoHyphens/>
              <w:textAlignment w:val="baseline"/>
              <w:rPr>
                <w:b/>
                <w:color w:val="000000"/>
                <w:kern w:val="3"/>
                <w:szCs w:val="24"/>
                <w:lang w:eastAsia="en-GB"/>
              </w:rPr>
            </w:pPr>
            <w:r>
              <w:rPr>
                <w:b/>
                <w:color w:val="000000"/>
                <w:kern w:val="3"/>
                <w:szCs w:val="24"/>
                <w:lang w:eastAsia="en-GB"/>
              </w:rPr>
              <w:t>Tema</w:t>
            </w:r>
          </w:p>
        </w:tc>
        <w:tc>
          <w:tcPr>
            <w:tcW w:w="5812" w:type="dxa"/>
          </w:tcPr>
          <w:p>
            <w:pPr>
              <w:suppressAutoHyphens/>
              <w:jc w:val="both"/>
              <w:textAlignment w:val="baseline"/>
              <w:rPr>
                <w:b/>
                <w:color w:val="000000"/>
                <w:kern w:val="3"/>
                <w:szCs w:val="24"/>
                <w:lang w:eastAsia="en-GB"/>
              </w:rPr>
            </w:pPr>
            <w:r>
              <w:rPr>
                <w:b/>
                <w:color w:val="000000"/>
                <w:kern w:val="3"/>
                <w:szCs w:val="24"/>
                <w:lang w:eastAsia="en-GB"/>
              </w:rPr>
              <w:t>Aprašymas</w:t>
            </w:r>
          </w:p>
        </w:tc>
      </w:tr>
      <w:tr>
        <w:trPr>
          <w:trHeight w:val="1521"/>
        </w:trPr>
        <w:tc>
          <w:tcPr>
            <w:tcW w:w="817" w:type="dxa"/>
          </w:tcPr>
          <w:p>
            <w:pPr>
              <w:suppressAutoHyphens/>
              <w:textAlignment w:val="baseline"/>
              <w:rPr>
                <w:b/>
                <w:color w:val="000000"/>
                <w:kern w:val="3"/>
                <w:szCs w:val="24"/>
                <w:lang w:eastAsia="en-GB"/>
              </w:rPr>
            </w:pPr>
            <w:r>
              <w:rPr>
                <w:b/>
                <w:color w:val="000000"/>
                <w:kern w:val="3"/>
                <w:szCs w:val="24"/>
                <w:lang w:eastAsia="en-GB"/>
              </w:rPr>
              <w:t>1.</w:t>
            </w:r>
          </w:p>
        </w:tc>
        <w:tc>
          <w:tcPr>
            <w:tcW w:w="2835" w:type="dxa"/>
          </w:tcPr>
          <w:p>
            <w:pPr>
              <w:suppressAutoHyphens/>
              <w:textAlignment w:val="baseline"/>
              <w:rPr>
                <w:b/>
                <w:color w:val="000000"/>
                <w:kern w:val="3"/>
                <w:szCs w:val="24"/>
                <w:lang w:eastAsia="en-GB"/>
              </w:rPr>
            </w:pPr>
            <w:r>
              <w:rPr>
                <w:b/>
                <w:color w:val="000000"/>
                <w:kern w:val="3"/>
                <w:szCs w:val="24"/>
                <w:lang w:eastAsia="en-GB"/>
              </w:rPr>
              <w:t>Programos tikslas</w:t>
            </w:r>
          </w:p>
        </w:tc>
        <w:tc>
          <w:tcPr>
            <w:tcW w:w="5812" w:type="dxa"/>
          </w:tcPr>
          <w:p>
            <w:pPr>
              <w:suppressAutoHyphens/>
              <w:jc w:val="both"/>
              <w:textAlignment w:val="baseline"/>
              <w:rPr>
                <w:color w:val="000000"/>
                <w:kern w:val="3"/>
                <w:szCs w:val="24"/>
                <w:lang w:eastAsia="en-GB"/>
              </w:rPr>
            </w:pPr>
            <w:r>
              <w:rPr>
                <w:color w:val="000000"/>
                <w:kern w:val="3"/>
                <w:szCs w:val="24"/>
                <w:lang w:eastAsia="en-GB"/>
              </w:rPr>
              <w:t xml:space="preserve">Skatinti kultūros turinio indėlį kultūros ir kūrybinių industrijų (toliau – KKI) srityje, siekiant inicijuoti bei vystyti produktus ir (arba) paslaugas, kuriančius ekonominę vertę ir prisidedančius prie kultūros ir kūrybinių industrijų eksporto apimčių augimo. Stiprinti KKI organizacijų bendradarbiavimą ir KKI asociacijų veiklą bei plėtrą.  </w:t>
            </w:r>
          </w:p>
        </w:tc>
      </w:tr>
      <w:tr>
        <w:tc>
          <w:tcPr>
            <w:tcW w:w="817" w:type="dxa"/>
          </w:tcPr>
          <w:p>
            <w:pPr>
              <w:suppressAutoHyphens/>
              <w:textAlignment w:val="baseline"/>
              <w:rPr>
                <w:b/>
                <w:color w:val="000000"/>
                <w:kern w:val="3"/>
                <w:szCs w:val="24"/>
                <w:lang w:eastAsia="en-GB"/>
              </w:rPr>
            </w:pPr>
            <w:r>
              <w:rPr>
                <w:b/>
                <w:color w:val="000000"/>
                <w:kern w:val="3"/>
                <w:szCs w:val="24"/>
                <w:lang w:eastAsia="en-GB"/>
              </w:rPr>
              <w:t>2.</w:t>
            </w:r>
          </w:p>
        </w:tc>
        <w:tc>
          <w:tcPr>
            <w:tcW w:w="2835" w:type="dxa"/>
          </w:tcPr>
          <w:p>
            <w:pPr>
              <w:suppressAutoHyphens/>
              <w:textAlignment w:val="baseline"/>
              <w:rPr>
                <w:b/>
                <w:color w:val="000000"/>
                <w:kern w:val="3"/>
                <w:szCs w:val="24"/>
                <w:lang w:eastAsia="en-GB"/>
              </w:rPr>
            </w:pPr>
            <w:r>
              <w:rPr>
                <w:b/>
                <w:color w:val="000000"/>
                <w:kern w:val="3"/>
                <w:szCs w:val="24"/>
                <w:lang w:eastAsia="en-GB"/>
              </w:rPr>
              <w:t>Finansuojamos veiklos</w:t>
            </w:r>
          </w:p>
        </w:tc>
        <w:tc>
          <w:tcPr>
            <w:tcW w:w="5812" w:type="dxa"/>
          </w:tcPr>
          <w:p>
            <w:pPr>
              <w:jc w:val="both"/>
              <w:rPr>
                <w:b/>
                <w:color w:val="000000"/>
                <w:szCs w:val="24"/>
              </w:rPr>
            </w:pPr>
          </w:p>
        </w:tc>
      </w:tr>
      <w:tr>
        <w:tc>
          <w:tcPr>
            <w:tcW w:w="817" w:type="dxa"/>
          </w:tcPr>
          <w:p>
            <w:pPr>
              <w:suppressAutoHyphens/>
              <w:textAlignment w:val="baseline"/>
              <w:rPr>
                <w:b/>
                <w:color w:val="000000"/>
                <w:kern w:val="3"/>
                <w:szCs w:val="24"/>
                <w:lang w:eastAsia="en-GB"/>
              </w:rPr>
            </w:pPr>
            <w:r>
              <w:rPr>
                <w:b/>
                <w:color w:val="000000"/>
                <w:kern w:val="3"/>
                <w:szCs w:val="24"/>
                <w:lang w:eastAsia="en-GB"/>
              </w:rPr>
              <w:t>2.1.</w:t>
            </w:r>
          </w:p>
        </w:tc>
        <w:tc>
          <w:tcPr>
            <w:tcW w:w="2835" w:type="dxa"/>
          </w:tcPr>
          <w:p>
            <w:pPr>
              <w:jc w:val="both"/>
              <w:rPr>
                <w:szCs w:val="24"/>
              </w:rPr>
            </w:pPr>
            <w:r>
              <w:rPr>
                <w:b/>
                <w:color w:val="000000"/>
                <w:szCs w:val="24"/>
              </w:rPr>
              <w:t>Kultūros startuoliai</w:t>
            </w:r>
          </w:p>
          <w:p>
            <w:pPr>
              <w:suppressAutoHyphens/>
              <w:textAlignment w:val="baseline"/>
              <w:rPr>
                <w:kern w:val="3"/>
                <w:szCs w:val="24"/>
                <w:lang w:eastAsia="en-GB"/>
              </w:rPr>
            </w:pPr>
          </w:p>
        </w:tc>
        <w:tc>
          <w:tcPr>
            <w:tcW w:w="5812" w:type="dxa"/>
          </w:tcPr>
          <w:p>
            <w:pPr>
              <w:suppressAutoHyphens/>
              <w:jc w:val="both"/>
              <w:textAlignment w:val="baseline"/>
              <w:rPr>
                <w:color w:val="000000"/>
                <w:kern w:val="3"/>
                <w:szCs w:val="24"/>
                <w:lang w:eastAsia="en-GB"/>
              </w:rPr>
            </w:pPr>
            <w:r>
              <w:rPr>
                <w:color w:val="000000"/>
                <w:kern w:val="3"/>
                <w:szCs w:val="24"/>
                <w:lang w:eastAsia="en-GB"/>
              </w:rPr>
              <w:t>Kūrybinių industrijų kuriamų produktų ir (arba) paslaugų (įskaitant videožaidimus ir multimediją) inicijavimas, kūrimas ir pirminės stadijos (idėjų generavimo, investicijų pritraukimo, įvedimo į rinkas ir pan.) vystymas, viešinimas bei populiarinimas Lietuvoje ir užsienyje, įskaitant populiarinimui reikalingos rinkodaros medžiagos parengimą.</w:t>
            </w:r>
          </w:p>
        </w:tc>
      </w:tr>
      <w:tr>
        <w:tc>
          <w:tcPr>
            <w:tcW w:w="817" w:type="dxa"/>
          </w:tcPr>
          <w:p>
            <w:pPr>
              <w:rPr>
                <w:b/>
                <w:color w:val="000000"/>
                <w:szCs w:val="24"/>
              </w:rPr>
            </w:pPr>
            <w:r>
              <w:rPr>
                <w:b/>
                <w:color w:val="000000"/>
                <w:szCs w:val="24"/>
              </w:rPr>
              <w:t>2.1.1.</w:t>
            </w:r>
          </w:p>
        </w:tc>
        <w:tc>
          <w:tcPr>
            <w:tcW w:w="2835" w:type="dxa"/>
          </w:tcPr>
          <w:p>
            <w:pPr>
              <w:rPr>
                <w:color w:val="000000"/>
                <w:szCs w:val="24"/>
              </w:rPr>
            </w:pPr>
            <w:r>
              <w:rPr>
                <w:b/>
                <w:color w:val="000000"/>
                <w:szCs w:val="24"/>
              </w:rPr>
              <w:t>Veiklų vertinimo kriterijai ir jų balai</w:t>
            </w:r>
          </w:p>
          <w:p>
            <w:pPr>
              <w:suppressAutoHyphens/>
              <w:textAlignment w:val="baseline"/>
              <w:rPr>
                <w:color w:val="000000"/>
                <w:kern w:val="3"/>
                <w:szCs w:val="24"/>
                <w:lang w:eastAsia="en-GB"/>
              </w:rPr>
            </w:pPr>
          </w:p>
        </w:tc>
        <w:tc>
          <w:tcPr>
            <w:tcW w:w="5812" w:type="dxa"/>
          </w:tcPr>
          <w:p>
            <w:pPr>
              <w:jc w:val="both"/>
              <w:rPr>
                <w:szCs w:val="24"/>
              </w:rPr>
            </w:pPr>
            <w:r>
              <w:rPr>
                <w:szCs w:val="24"/>
              </w:rPr>
              <w:t>1. Projektu inicijuojamo, kuriamo ar vystomo kūrybinių industrijų produkto ir (arba) paslaugos potenciali ekonominė vertė (0</w:t>
            </w:r>
            <w:r>
              <w:rPr>
                <w:color w:val="000000"/>
                <w:szCs w:val="24"/>
              </w:rPr>
              <w:t>–</w:t>
            </w:r>
            <w:r>
              <w:rPr>
                <w:szCs w:val="24"/>
              </w:rPr>
              <w:t xml:space="preserve">30). </w:t>
            </w:r>
          </w:p>
          <w:p>
            <w:pPr>
              <w:jc w:val="both"/>
              <w:rPr>
                <w:szCs w:val="24"/>
              </w:rPr>
            </w:pPr>
            <w:r>
              <w:rPr>
                <w:szCs w:val="24"/>
              </w:rPr>
              <w:t>2. Projekte numatyti konkretūs ir realūs siektini veiklos rezultatų rodikliai (0</w:t>
            </w:r>
            <w:r>
              <w:rPr>
                <w:color w:val="000000"/>
                <w:szCs w:val="24"/>
              </w:rPr>
              <w:t>–</w:t>
            </w:r>
            <w:r>
              <w:rPr>
                <w:szCs w:val="24"/>
              </w:rPr>
              <w:t>20).</w:t>
            </w:r>
          </w:p>
          <w:p>
            <w:pPr>
              <w:jc w:val="both"/>
              <w:rPr>
                <w:szCs w:val="24"/>
              </w:rPr>
            </w:pPr>
            <w:r>
              <w:rPr>
                <w:szCs w:val="24"/>
              </w:rPr>
              <w:t>3. Projekte pasitelkiamų kūrybinių industrijų dalyvių kvalifikacija ir (arba) patirtis panašaus pobūdžio projektuose (0</w:t>
            </w:r>
            <w:r>
              <w:rPr>
                <w:color w:val="000000"/>
                <w:szCs w:val="24"/>
              </w:rPr>
              <w:t>–</w:t>
            </w:r>
            <w:r>
              <w:rPr>
                <w:szCs w:val="24"/>
              </w:rPr>
              <w:t xml:space="preserve">20). </w:t>
            </w:r>
          </w:p>
          <w:p>
            <w:pPr>
              <w:jc w:val="both"/>
              <w:rPr>
                <w:szCs w:val="24"/>
              </w:rPr>
            </w:pPr>
            <w:r>
              <w:rPr>
                <w:szCs w:val="24"/>
              </w:rPr>
              <w:t>4. Projektu iniciuojamo, kuriamo ar vystomo produkto ir (arba) paslaugos viešinimo planas (0</w:t>
            </w:r>
            <w:r>
              <w:rPr>
                <w:color w:val="000000"/>
                <w:szCs w:val="24"/>
              </w:rPr>
              <w:t>–</w:t>
            </w:r>
            <w:r>
              <w:rPr>
                <w:szCs w:val="24"/>
              </w:rPr>
              <w:t>10).</w:t>
            </w:r>
          </w:p>
          <w:p>
            <w:pPr>
              <w:jc w:val="both"/>
              <w:rPr>
                <w:szCs w:val="24"/>
              </w:rPr>
            </w:pPr>
            <w:r>
              <w:rPr>
                <w:szCs w:val="24"/>
              </w:rPr>
              <w:t>5. Projekto sąmatos tikslingumas ir pagrįstumas (0</w:t>
            </w:r>
            <w:r>
              <w:rPr>
                <w:color w:val="000000"/>
                <w:szCs w:val="24"/>
              </w:rPr>
              <w:t>–</w:t>
            </w:r>
            <w:r>
              <w:rPr>
                <w:szCs w:val="24"/>
              </w:rPr>
              <w:t>10).</w:t>
            </w:r>
          </w:p>
          <w:p>
            <w:pPr>
              <w:suppressAutoHyphens/>
              <w:jc w:val="both"/>
              <w:textAlignment w:val="baseline"/>
              <w:rPr>
                <w:kern w:val="3"/>
                <w:szCs w:val="24"/>
                <w:lang w:eastAsia="en-GB"/>
              </w:rPr>
            </w:pPr>
            <w:r>
              <w:rPr>
                <w:kern w:val="3"/>
                <w:szCs w:val="24"/>
                <w:lang w:eastAsia="en-GB"/>
              </w:rPr>
              <w:t>6. Projektu skatinama partnerystė ir bendradarbiavimas tarp skirtingų sektorių ir institucijų (0</w:t>
            </w:r>
            <w:r>
              <w:rPr>
                <w:color w:val="000000"/>
                <w:kern w:val="3"/>
                <w:szCs w:val="24"/>
                <w:lang w:eastAsia="en-GB"/>
              </w:rPr>
              <w:t>–</w:t>
            </w:r>
            <w:r>
              <w:rPr>
                <w:kern w:val="3"/>
                <w:szCs w:val="24"/>
                <w:lang w:eastAsia="en-GB"/>
              </w:rPr>
              <w:t>10).</w:t>
            </w:r>
          </w:p>
        </w:tc>
      </w:tr>
      <w:tr>
        <w:tc>
          <w:tcPr>
            <w:tcW w:w="817" w:type="dxa"/>
          </w:tcPr>
          <w:p>
            <w:pPr>
              <w:rPr>
                <w:b/>
                <w:color w:val="000000"/>
                <w:szCs w:val="24"/>
              </w:rPr>
            </w:pPr>
            <w:r>
              <w:rPr>
                <w:b/>
                <w:color w:val="000000"/>
                <w:szCs w:val="24"/>
              </w:rPr>
              <w:t>2.1.2.</w:t>
            </w:r>
          </w:p>
        </w:tc>
        <w:tc>
          <w:tcPr>
            <w:tcW w:w="2835" w:type="dxa"/>
          </w:tcPr>
          <w:p>
            <w:pPr>
              <w:rPr>
                <w:b/>
                <w:color w:val="000000"/>
                <w:szCs w:val="24"/>
              </w:rPr>
            </w:pPr>
            <w:r>
              <w:rPr>
                <w:b/>
                <w:color w:val="000000"/>
                <w:szCs w:val="24"/>
              </w:rPr>
              <w:t>Galimi pareiškėjai</w:t>
            </w:r>
          </w:p>
        </w:tc>
        <w:tc>
          <w:tcPr>
            <w:tcW w:w="5812" w:type="dxa"/>
          </w:tcPr>
          <w:p>
            <w:pPr>
              <w:tabs>
                <w:tab w:val="left" w:pos="339"/>
              </w:tabs>
              <w:spacing w:line="100" w:lineRule="atLeast"/>
              <w:ind w:left="-21" w:firstLine="21"/>
              <w:jc w:val="both"/>
              <w:rPr>
                <w:szCs w:val="24"/>
              </w:rPr>
            </w:pPr>
            <w:r>
              <w:rPr>
                <w:szCs w:val="24"/>
                <w:lang w:eastAsia="ar-SA"/>
              </w:rPr>
              <w:t>1.</w:t>
              <w:tab/>
            </w:r>
            <w:r>
              <w:rPr>
                <w:szCs w:val="24"/>
              </w:rPr>
              <w:t>Vilniaus, Kauno ir Klaipėdos miestų savivaldybėse registruoti juridiniai asmenys.</w:t>
            </w:r>
          </w:p>
          <w:p>
            <w:pPr>
              <w:tabs>
                <w:tab w:val="left" w:pos="339"/>
              </w:tabs>
              <w:ind w:left="-21" w:firstLine="21"/>
              <w:jc w:val="both"/>
              <w:rPr>
                <w:szCs w:val="24"/>
              </w:rPr>
            </w:pPr>
            <w:r>
              <w:rPr>
                <w:color w:val="00000A"/>
                <w:kern w:val="2"/>
                <w:szCs w:val="24"/>
                <w:lang w:eastAsia="ar-SA"/>
              </w:rPr>
              <w:t>2.</w:t>
              <w:tab/>
            </w:r>
            <w:r>
              <w:rPr>
                <w:szCs w:val="24"/>
              </w:rPr>
              <w:t>Juridiniai asmenys, registruoti kitoje nei Lietuva Europos Sąjungos ar Europos ekonominės erdvės valstybėje narėje.</w:t>
            </w:r>
          </w:p>
        </w:tc>
      </w:tr>
      <w:tr>
        <w:tc>
          <w:tcPr>
            <w:tcW w:w="817" w:type="dxa"/>
          </w:tcPr>
          <w:p>
            <w:pPr>
              <w:suppressAutoHyphens/>
              <w:textAlignment w:val="baseline"/>
              <w:rPr>
                <w:b/>
                <w:color w:val="000000"/>
                <w:kern w:val="3"/>
                <w:szCs w:val="24"/>
                <w:lang w:eastAsia="en-GB"/>
              </w:rPr>
            </w:pPr>
            <w:r>
              <w:rPr>
                <w:b/>
                <w:color w:val="000000"/>
                <w:kern w:val="3"/>
                <w:szCs w:val="24"/>
                <w:lang w:eastAsia="en-GB"/>
              </w:rPr>
              <w:t>2.1.3.</w:t>
            </w:r>
          </w:p>
        </w:tc>
        <w:tc>
          <w:tcPr>
            <w:tcW w:w="2835" w:type="dxa"/>
          </w:tcPr>
          <w:p>
            <w:pPr>
              <w:suppressAutoHyphens/>
              <w:textAlignment w:val="baseline"/>
              <w:rPr>
                <w:b/>
                <w:color w:val="000000"/>
                <w:kern w:val="3"/>
                <w:szCs w:val="24"/>
                <w:lang w:eastAsia="en-GB"/>
              </w:rPr>
            </w:pPr>
            <w:r>
              <w:rPr>
                <w:b/>
                <w:color w:val="000000"/>
                <w:kern w:val="3"/>
                <w:szCs w:val="24"/>
                <w:lang w:eastAsia="en-GB"/>
              </w:rPr>
              <w:t>Kitos sąlygos</w:t>
            </w:r>
          </w:p>
        </w:tc>
        <w:tc>
          <w:tcPr>
            <w:tcW w:w="5812" w:type="dxa"/>
          </w:tcPr>
          <w:p>
            <w:pPr>
              <w:tabs>
                <w:tab w:val="left" w:pos="286"/>
              </w:tabs>
              <w:suppressAutoHyphens/>
              <w:ind w:left="16"/>
              <w:jc w:val="both"/>
              <w:textAlignment w:val="baseline"/>
              <w:rPr>
                <w:color w:val="000000"/>
                <w:kern w:val="3"/>
                <w:szCs w:val="24"/>
                <w:lang w:eastAsia="en-GB"/>
              </w:rPr>
            </w:pPr>
            <w:r>
              <w:rPr>
                <w:kern w:val="3"/>
                <w:szCs w:val="24"/>
                <w:lang w:eastAsia="en-GB"/>
              </w:rPr>
              <w:t>1.</w:t>
              <w:tab/>
              <w:t xml:space="preserve">Kartu su paraiška (įskaitant sąmatą, kuri yra sudėtinė paraiškos dalis) privaloma pateikti projekto </w:t>
            </w:r>
            <w:r>
              <w:rPr>
                <w:color w:val="000000"/>
                <w:kern w:val="3"/>
                <w:szCs w:val="24"/>
                <w:lang w:eastAsia="en-GB"/>
              </w:rPr>
              <w:t>verslumo strategiją.</w:t>
            </w:r>
          </w:p>
          <w:p>
            <w:pPr>
              <w:tabs>
                <w:tab w:val="left" w:pos="286"/>
              </w:tabs>
              <w:suppressAutoHyphens/>
              <w:ind w:left="16"/>
              <w:jc w:val="both"/>
              <w:textAlignment w:val="baseline"/>
              <w:rPr>
                <w:kern w:val="3"/>
                <w:szCs w:val="24"/>
                <w:lang w:eastAsia="en-GB"/>
              </w:rPr>
            </w:pPr>
            <w:r>
              <w:rPr>
                <w:kern w:val="3"/>
                <w:szCs w:val="24"/>
                <w:lang w:eastAsia="en-GB"/>
              </w:rPr>
              <w:t>2.</w:t>
              <w:tab/>
              <w:t>Lietuvos kultūros tarybos (toliau - Taryba) lėšomis skiriamas finansavimas projektui yra nedidesnis nei 16 000 Eur.</w:t>
            </w:r>
          </w:p>
          <w:p>
            <w:pPr>
              <w:tabs>
                <w:tab w:val="left" w:pos="286"/>
              </w:tabs>
              <w:suppressAutoHyphens/>
              <w:ind w:left="16"/>
              <w:jc w:val="both"/>
              <w:textAlignment w:val="baseline"/>
              <w:rPr>
                <w:kern w:val="3"/>
                <w:szCs w:val="24"/>
                <w:lang w:eastAsia="en-GB"/>
              </w:rPr>
            </w:pPr>
            <w:r>
              <w:rPr>
                <w:kern w:val="3"/>
                <w:szCs w:val="24"/>
                <w:lang w:eastAsia="en-GB"/>
              </w:rPr>
              <w:t>3.</w:t>
              <w:tab/>
              <w:t xml:space="preserve">Šios programos lėšomis finansuojamas atlygis už kūrybinį darbą, atlygis už gamybos darbus (programavimo, dizaino, maketavimo, vertimo, redagavimo paslaugos ir pan.), kelionės išlaidos, apgyvendinimo išlaidos, dienpinigiai, įrangos nuoma ir aptarnavimas,  viešinimo paslaugos, spaudos paslaugos, transportavimo (įskaitant draudimo paslaugas) išlaidos, administravimo, nenumatytos išlaidos.</w:t>
            </w:r>
          </w:p>
          <w:p>
            <w:pPr>
              <w:tabs>
                <w:tab w:val="left" w:pos="286"/>
              </w:tabs>
              <w:suppressAutoHyphens/>
              <w:ind w:left="16"/>
              <w:jc w:val="both"/>
              <w:textAlignment w:val="baseline"/>
              <w:rPr>
                <w:color w:val="FF0000"/>
                <w:kern w:val="3"/>
                <w:szCs w:val="24"/>
                <w:lang w:eastAsia="en-GB"/>
              </w:rPr>
            </w:pPr>
            <w:r>
              <w:rPr>
                <w:kern w:val="3"/>
                <w:szCs w:val="24"/>
                <w:lang w:eastAsia="en-GB"/>
              </w:rPr>
              <w:t>Nefinansuojamas meno kūrinių sukūrimas, jų rodymas gastrolėse, parodose, festivaliuose Lietuvoje ir užsienyje, kūrybinių rezidencijų, mokslo projektai, projektai nekuriantys ekonominės vertės.</w:t>
            </w:r>
          </w:p>
        </w:tc>
      </w:tr>
      <w:tr>
        <w:tc>
          <w:tcPr>
            <w:tcW w:w="817" w:type="dxa"/>
          </w:tcPr>
          <w:p>
            <w:pPr>
              <w:suppressAutoHyphens/>
              <w:textAlignment w:val="baseline"/>
              <w:rPr>
                <w:b/>
                <w:color w:val="000000"/>
                <w:kern w:val="3"/>
                <w:szCs w:val="24"/>
                <w:lang w:eastAsia="en-GB"/>
              </w:rPr>
            </w:pPr>
            <w:r>
              <w:rPr>
                <w:b/>
                <w:color w:val="000000"/>
                <w:kern w:val="3"/>
                <w:szCs w:val="24"/>
                <w:lang w:eastAsia="en-GB"/>
              </w:rPr>
              <w:t>2.1.4.</w:t>
            </w:r>
          </w:p>
        </w:tc>
        <w:tc>
          <w:tcPr>
            <w:tcW w:w="2835" w:type="dxa"/>
          </w:tcPr>
          <w:p>
            <w:pPr>
              <w:suppressAutoHyphens/>
              <w:textAlignment w:val="baseline"/>
              <w:rPr>
                <w:b/>
                <w:color w:val="000000"/>
                <w:kern w:val="3"/>
                <w:szCs w:val="24"/>
                <w:lang w:eastAsia="en-GB"/>
              </w:rPr>
            </w:pPr>
            <w:r>
              <w:rPr>
                <w:b/>
                <w:color w:val="000000"/>
                <w:kern w:val="3"/>
                <w:szCs w:val="24"/>
                <w:lang w:eastAsia="en-GB"/>
              </w:rPr>
              <w:t>Veiklos finansavimo intensyvumas</w:t>
            </w:r>
          </w:p>
        </w:tc>
        <w:tc>
          <w:tcPr>
            <w:tcW w:w="5812" w:type="dxa"/>
          </w:tcPr>
          <w:p>
            <w:pPr>
              <w:suppressAutoHyphens/>
              <w:jc w:val="both"/>
              <w:textAlignment w:val="baseline"/>
              <w:rPr>
                <w:kern w:val="3"/>
                <w:szCs w:val="24"/>
                <w:lang w:eastAsia="en-GB"/>
              </w:rPr>
            </w:pPr>
            <w:r>
              <w:rPr>
                <w:kern w:val="3"/>
                <w:szCs w:val="24"/>
                <w:lang w:eastAsia="en-GB"/>
              </w:rPr>
              <w:t xml:space="preserve">1. Projekto finansavimo intensyvumas – </w:t>
            </w:r>
            <w:r>
              <w:rPr>
                <w:bCs/>
                <w:kern w:val="3"/>
                <w:szCs w:val="24"/>
                <w:lang w:eastAsia="en-GB"/>
              </w:rPr>
              <w:t>iki 75 procentų projekto įgyvendinimui reikalingo finansavimo, o projektui įgyvendinti reikalinga lėšų dalis, kurios nepadengia skirtos lėšos, turi sudaryti ne mažiau nei 25 procentų viso projekto poreikio (veiklų išlaidų).</w:t>
            </w:r>
          </w:p>
          <w:p>
            <w:pPr>
              <w:tabs>
                <w:tab w:val="left" w:pos="249"/>
              </w:tabs>
              <w:suppressAutoHyphens/>
              <w:jc w:val="both"/>
              <w:textAlignment w:val="baseline"/>
              <w:rPr>
                <w:kern w:val="3"/>
                <w:szCs w:val="24"/>
                <w:lang w:eastAsia="en-GB"/>
              </w:rPr>
            </w:pPr>
            <w:r>
              <w:rPr>
                <w:kern w:val="3"/>
                <w:szCs w:val="24"/>
                <w:lang w:eastAsia="en-GB"/>
              </w:rPr>
              <w:t>2.</w:t>
              <w:tab/>
              <w:t>Viso projekto sąmatos poreikis turi būti ne mažesnis nei 2500,00 Eur, prašoma finansuoti suma turi būti ne mažesnė nei 1875,00 Eur.</w:t>
            </w:r>
          </w:p>
          <w:p>
            <w:pPr>
              <w:tabs>
                <w:tab w:val="left" w:pos="249"/>
              </w:tabs>
              <w:suppressAutoHyphens/>
              <w:jc w:val="both"/>
              <w:textAlignment w:val="baseline"/>
              <w:rPr>
                <w:kern w:val="3"/>
                <w:szCs w:val="24"/>
                <w:lang w:eastAsia="en-GB"/>
              </w:rPr>
            </w:pPr>
            <w:r>
              <w:rPr>
                <w:kern w:val="3"/>
                <w:szCs w:val="24"/>
                <w:lang w:eastAsia="en-GB"/>
              </w:rPr>
              <w:t xml:space="preserve">3. Muzikos ir literatūros kūrinių leidybos projektams, įskaitant jų vertimą, kūrinių rašymą, redagavimą, gamybą, platinimą ir skaitmeninimą intensyvumas – iki 70 procentų projekto įgyvendinimui reikalingo finansavimo, </w:t>
            </w:r>
            <w:r>
              <w:rPr>
                <w:bCs/>
                <w:kern w:val="3"/>
                <w:szCs w:val="24"/>
                <w:lang w:eastAsia="en-GB"/>
              </w:rPr>
              <w:t>o projektui įgyvendinti reikalinga lėšų dalis, kurios nepadengia skirtos lėšos, turi sudaryti ne mažiau nei 30 procentų viso projekto poreikio (veiklų išlaidų).</w:t>
            </w:r>
            <w:r>
              <w:rPr>
                <w:kern w:val="3"/>
                <w:szCs w:val="24"/>
                <w:lang w:eastAsia="en-GB"/>
              </w:rPr>
              <w:t xml:space="preserve"> Viso projekto sąmatos poreikis turi būti ne mažesnis nei 2500,00 Eur, prašoma finansuoti suma turi būti ne mažesnė nei 1750 Eur.</w:t>
            </w:r>
          </w:p>
        </w:tc>
      </w:tr>
      <w:tr>
        <w:tc>
          <w:tcPr>
            <w:tcW w:w="817" w:type="dxa"/>
          </w:tcPr>
          <w:p>
            <w:pPr>
              <w:suppressAutoHyphens/>
              <w:textAlignment w:val="baseline"/>
              <w:rPr>
                <w:b/>
                <w:color w:val="000000"/>
                <w:kern w:val="3"/>
                <w:szCs w:val="24"/>
                <w:lang w:eastAsia="en-GB"/>
              </w:rPr>
            </w:pPr>
            <w:r>
              <w:rPr>
                <w:b/>
                <w:color w:val="000000"/>
                <w:kern w:val="3"/>
                <w:szCs w:val="24"/>
                <w:lang w:eastAsia="en-GB"/>
              </w:rPr>
              <w:t>2.1.5.</w:t>
            </w:r>
          </w:p>
        </w:tc>
        <w:tc>
          <w:tcPr>
            <w:tcW w:w="2835" w:type="dxa"/>
          </w:tcPr>
          <w:p>
            <w:pPr>
              <w:suppressAutoHyphens/>
              <w:textAlignment w:val="baseline"/>
              <w:rPr>
                <w:b/>
                <w:color w:val="000000"/>
                <w:kern w:val="3"/>
                <w:szCs w:val="24"/>
                <w:lang w:eastAsia="en-GB"/>
              </w:rPr>
            </w:pPr>
            <w:r>
              <w:rPr>
                <w:b/>
                <w:color w:val="000000"/>
                <w:kern w:val="3"/>
                <w:szCs w:val="24"/>
                <w:lang w:eastAsia="en-GB"/>
              </w:rPr>
              <w:t xml:space="preserve">Veiklai įgyvendinti numatoma suma 2022 m. </w:t>
            </w:r>
          </w:p>
        </w:tc>
        <w:tc>
          <w:tcPr>
            <w:tcW w:w="5812" w:type="dxa"/>
          </w:tcPr>
          <w:p>
            <w:pPr>
              <w:suppressAutoHyphens/>
              <w:jc w:val="both"/>
              <w:textAlignment w:val="baseline"/>
              <w:rPr>
                <w:kern w:val="3"/>
                <w:szCs w:val="24"/>
                <w:lang w:eastAsia="en-GB"/>
              </w:rPr>
            </w:pPr>
            <w:r>
              <w:rPr>
                <w:kern w:val="3"/>
                <w:szCs w:val="24"/>
                <w:lang w:eastAsia="en-GB"/>
              </w:rPr>
              <w:t>100 000 Eur</w:t>
            </w:r>
          </w:p>
        </w:tc>
      </w:tr>
      <w:tr>
        <w:tc>
          <w:tcPr>
            <w:tcW w:w="817" w:type="dxa"/>
          </w:tcPr>
          <w:p>
            <w:pPr>
              <w:rPr>
                <w:b/>
                <w:color w:val="000000"/>
                <w:szCs w:val="24"/>
              </w:rPr>
            </w:pPr>
            <w:r>
              <w:rPr>
                <w:b/>
                <w:color w:val="000000"/>
                <w:szCs w:val="24"/>
              </w:rPr>
              <w:t>2.2.</w:t>
            </w:r>
          </w:p>
        </w:tc>
        <w:tc>
          <w:tcPr>
            <w:tcW w:w="2835" w:type="dxa"/>
          </w:tcPr>
          <w:p>
            <w:pPr>
              <w:jc w:val="both"/>
              <w:rPr>
                <w:b/>
                <w:color w:val="000000"/>
                <w:szCs w:val="24"/>
              </w:rPr>
            </w:pPr>
            <w:r>
              <w:rPr>
                <w:b/>
                <w:color w:val="000000"/>
                <w:szCs w:val="24"/>
              </w:rPr>
              <w:t>Tinklaveika</w:t>
            </w:r>
          </w:p>
          <w:p>
            <w:pPr>
              <w:rPr>
                <w:szCs w:val="24"/>
              </w:rPr>
            </w:pPr>
          </w:p>
        </w:tc>
        <w:tc>
          <w:tcPr>
            <w:tcW w:w="5812" w:type="dxa"/>
          </w:tcPr>
          <w:p>
            <w:pPr>
              <w:jc w:val="both"/>
              <w:rPr>
                <w:szCs w:val="24"/>
              </w:rPr>
            </w:pPr>
            <w:r>
              <w:rPr>
                <w:color w:val="000000"/>
                <w:szCs w:val="24"/>
              </w:rPr>
              <w:t>1. Lietuvoje rengiami verslumą propaguojantys ir tinklaveiką skatinantys KKI renginiai (mugės, konferencijos, konkursai, pristatymai, kūrybinės dirbtuvės) ir panašaus pobūdžio KKI viešinimo projektai.</w:t>
            </w:r>
          </w:p>
          <w:p>
            <w:pPr>
              <w:jc w:val="both"/>
              <w:rPr>
                <w:color w:val="000000"/>
                <w:szCs w:val="24"/>
              </w:rPr>
            </w:pPr>
            <w:r>
              <w:rPr>
                <w:szCs w:val="24"/>
              </w:rPr>
              <w:t>2. Lietuvos KKI produktų ir paslaugų pristatymas užsienyje vykstančiose tarptautinėse mugėse, verslo misijose ir panašaus pobūdžio renginiuose įskaitant pristatymui reikalingos rinkodaros medžiagos parengimą ir viešinimo išlaidas.</w:t>
            </w:r>
          </w:p>
          <w:p>
            <w:pPr>
              <w:jc w:val="both"/>
              <w:rPr>
                <w:color w:val="000000"/>
                <w:szCs w:val="24"/>
              </w:rPr>
            </w:pPr>
            <w:r>
              <w:rPr>
                <w:color w:val="000000"/>
                <w:szCs w:val="24"/>
              </w:rPr>
              <w:t>3. KKI profesionalų dalyvavimas tarptautiniuose tarpsektoriniuose renginiuose (mokymuose, seminaruose, konferencijose ir panašaus pobūdžio renginiuose), skatinant dalyvaujančių juridinių ir (arba) fizinių asmenų kompetencijų kėlimą ir tarptautinę tinklaveiką.</w:t>
            </w:r>
          </w:p>
          <w:p>
            <w:pPr>
              <w:jc w:val="both"/>
              <w:rPr>
                <w:szCs w:val="24"/>
              </w:rPr>
            </w:pPr>
            <w:r>
              <w:rPr>
                <w:color w:val="000000"/>
                <w:szCs w:val="24"/>
              </w:rPr>
              <w:t xml:space="preserve">4. KKI organizacijų bendradarbiavimą, KKI asociacijų veiklą bei plėtrą, taip pat šio sektoriaus matomumą visuomenėje stiprinantys projektai.  </w:t>
            </w:r>
          </w:p>
        </w:tc>
      </w:tr>
      <w:tr>
        <w:tc>
          <w:tcPr>
            <w:tcW w:w="817" w:type="dxa"/>
          </w:tcPr>
          <w:p>
            <w:pPr>
              <w:rPr>
                <w:b/>
                <w:color w:val="000000"/>
                <w:szCs w:val="24"/>
              </w:rPr>
            </w:pPr>
            <w:r>
              <w:rPr>
                <w:b/>
                <w:color w:val="000000"/>
                <w:szCs w:val="24"/>
              </w:rPr>
              <w:t>2.2.1.</w:t>
            </w:r>
          </w:p>
        </w:tc>
        <w:tc>
          <w:tcPr>
            <w:tcW w:w="2835" w:type="dxa"/>
          </w:tcPr>
          <w:p>
            <w:pPr>
              <w:rPr>
                <w:color w:val="000000"/>
                <w:szCs w:val="24"/>
              </w:rPr>
            </w:pPr>
            <w:r>
              <w:rPr>
                <w:b/>
                <w:color w:val="000000"/>
                <w:szCs w:val="24"/>
              </w:rPr>
              <w:t>Veiklų vertinimo kriterijai ir jų balai</w:t>
            </w:r>
          </w:p>
          <w:p>
            <w:pPr>
              <w:rPr>
                <w:szCs w:val="24"/>
              </w:rPr>
            </w:pPr>
          </w:p>
        </w:tc>
        <w:tc>
          <w:tcPr>
            <w:tcW w:w="5812" w:type="dxa"/>
          </w:tcPr>
          <w:p>
            <w:pPr>
              <w:suppressAutoHyphens/>
              <w:jc w:val="both"/>
              <w:textAlignment w:val="baseline"/>
              <w:rPr>
                <w:color w:val="000000"/>
                <w:kern w:val="3"/>
                <w:szCs w:val="24"/>
                <w:lang w:eastAsia="en-GB"/>
              </w:rPr>
            </w:pPr>
            <w:r>
              <w:rPr>
                <w:color w:val="000000"/>
                <w:kern w:val="3"/>
                <w:szCs w:val="24"/>
                <w:lang w:eastAsia="en-GB"/>
              </w:rPr>
              <w:t xml:space="preserve">1. Projektu vystomos tinklaveikos aktualumas kultūros,  meno ar KKI sektoriui (0</w:t>
            </w:r>
            <w:r>
              <w:rPr>
                <w:color w:val="000000"/>
                <w:kern w:val="3"/>
                <w:szCs w:val="24"/>
                <w:lang w:val="en-GB" w:eastAsia="en-GB"/>
              </w:rPr>
              <w:t>–</w:t>
            </w:r>
            <w:r>
              <w:rPr>
                <w:color w:val="000000"/>
                <w:kern w:val="3"/>
                <w:szCs w:val="24"/>
                <w:lang w:eastAsia="en-GB"/>
              </w:rPr>
              <w:t xml:space="preserve">40). </w:t>
            </w:r>
          </w:p>
          <w:p>
            <w:pPr>
              <w:suppressAutoHyphens/>
              <w:jc w:val="both"/>
              <w:textAlignment w:val="baseline"/>
              <w:rPr>
                <w:color w:val="000000"/>
                <w:kern w:val="3"/>
                <w:szCs w:val="24"/>
                <w:lang w:eastAsia="en-GB"/>
              </w:rPr>
            </w:pPr>
            <w:r>
              <w:rPr>
                <w:color w:val="000000"/>
                <w:kern w:val="3"/>
                <w:szCs w:val="24"/>
                <w:lang w:eastAsia="en-GB"/>
              </w:rPr>
              <w:t xml:space="preserve">2. </w:t>
            </w:r>
            <w:r>
              <w:rPr>
                <w:kern w:val="3"/>
                <w:szCs w:val="24"/>
                <w:lang w:eastAsia="en-GB"/>
              </w:rPr>
              <w:t xml:space="preserve">Projekte numatyti konkretūs ir realūs siektini veiklos rezultatų rodikliai </w:t>
            </w:r>
            <w:r>
              <w:rPr>
                <w:color w:val="000000"/>
                <w:kern w:val="3"/>
                <w:szCs w:val="24"/>
                <w:lang w:eastAsia="en-GB"/>
              </w:rPr>
              <w:t>(0–20).</w:t>
            </w:r>
          </w:p>
          <w:p>
            <w:pPr>
              <w:suppressAutoHyphens/>
              <w:jc w:val="both"/>
              <w:textAlignment w:val="baseline"/>
              <w:rPr>
                <w:color w:val="000000"/>
                <w:kern w:val="3"/>
                <w:szCs w:val="24"/>
                <w:lang w:eastAsia="en-GB"/>
              </w:rPr>
            </w:pPr>
            <w:r>
              <w:rPr>
                <w:color w:val="000000"/>
                <w:kern w:val="3"/>
                <w:szCs w:val="24"/>
                <w:lang w:eastAsia="en-GB"/>
              </w:rPr>
              <w:t>3. Pareiškėjo pateikta informacija apie anksčiau vykdytų projektų rezultatus (</w:t>
            </w:r>
            <w:r>
              <w:rPr>
                <w:kern w:val="3"/>
                <w:szCs w:val="24"/>
                <w:lang w:eastAsia="en-GB"/>
              </w:rPr>
              <w:t>užmegztus kontaktus, sudarytas bendradarbiavimo sutartis, inicijuotus projektus ir pan.)</w:t>
            </w:r>
            <w:r>
              <w:rPr>
                <w:color w:val="000000"/>
                <w:kern w:val="3"/>
                <w:szCs w:val="24"/>
                <w:lang w:eastAsia="en-GB"/>
              </w:rPr>
              <w:t xml:space="preserve"> (0–10). </w:t>
            </w:r>
          </w:p>
          <w:p>
            <w:pPr>
              <w:suppressAutoHyphens/>
              <w:jc w:val="both"/>
              <w:textAlignment w:val="baseline"/>
              <w:rPr>
                <w:color w:val="000000"/>
                <w:kern w:val="3"/>
                <w:szCs w:val="24"/>
                <w:lang w:eastAsia="en-GB"/>
              </w:rPr>
            </w:pPr>
            <w:r>
              <w:rPr>
                <w:color w:val="000000"/>
                <w:kern w:val="3"/>
                <w:szCs w:val="24"/>
                <w:lang w:eastAsia="en-GB"/>
              </w:rPr>
              <w:t>4. Pareiškėjo patirtis ir kvalifikacija tinkamai ir laiku įgyvendinti teikiamą projektą (0–10).</w:t>
            </w:r>
          </w:p>
          <w:p>
            <w:pPr>
              <w:suppressAutoHyphens/>
              <w:jc w:val="both"/>
              <w:textAlignment w:val="baseline"/>
              <w:rPr>
                <w:color w:val="000000"/>
                <w:kern w:val="3"/>
                <w:szCs w:val="24"/>
                <w:lang w:eastAsia="en-GB"/>
              </w:rPr>
            </w:pPr>
            <w:r>
              <w:rPr>
                <w:color w:val="000000"/>
                <w:kern w:val="3"/>
                <w:szCs w:val="24"/>
                <w:lang w:eastAsia="en-GB"/>
              </w:rPr>
              <w:t>5. Projekto sąmatos tikslingumas ir pagrįstumas (0</w:t>
            </w:r>
            <w:r>
              <w:rPr>
                <w:color w:val="000000"/>
                <w:kern w:val="3"/>
                <w:szCs w:val="24"/>
                <w:lang w:val="en-GB" w:eastAsia="en-GB"/>
              </w:rPr>
              <w:t>–</w:t>
            </w:r>
            <w:r>
              <w:rPr>
                <w:color w:val="000000"/>
                <w:kern w:val="3"/>
                <w:szCs w:val="24"/>
                <w:lang w:eastAsia="en-GB"/>
              </w:rPr>
              <w:t>10).</w:t>
            </w:r>
          </w:p>
          <w:p>
            <w:pPr>
              <w:jc w:val="both"/>
              <w:rPr>
                <w:szCs w:val="24"/>
              </w:rPr>
            </w:pPr>
            <w:r>
              <w:rPr>
                <w:szCs w:val="24"/>
              </w:rPr>
              <w:t xml:space="preserve">6. Projektu skatinama partnerystė ir bendradarbiavimas tarp skirtingų  sektorių ir institucijų (0</w:t>
            </w:r>
            <w:r>
              <w:rPr>
                <w:color w:val="000000"/>
                <w:szCs w:val="24"/>
              </w:rPr>
              <w:t>–</w:t>
            </w:r>
            <w:r>
              <w:rPr>
                <w:szCs w:val="24"/>
              </w:rPr>
              <w:t>10).</w:t>
            </w:r>
          </w:p>
        </w:tc>
      </w:tr>
      <w:tr>
        <w:tc>
          <w:tcPr>
            <w:tcW w:w="817" w:type="dxa"/>
          </w:tcPr>
          <w:p>
            <w:pPr>
              <w:rPr>
                <w:b/>
                <w:color w:val="000000"/>
                <w:szCs w:val="24"/>
              </w:rPr>
            </w:pPr>
            <w:r>
              <w:rPr>
                <w:b/>
                <w:color w:val="000000"/>
                <w:szCs w:val="24"/>
              </w:rPr>
              <w:t>2.2.2.</w:t>
            </w:r>
          </w:p>
        </w:tc>
        <w:tc>
          <w:tcPr>
            <w:tcW w:w="2835" w:type="dxa"/>
          </w:tcPr>
          <w:p>
            <w:pPr>
              <w:rPr>
                <w:b/>
                <w:color w:val="000000"/>
                <w:szCs w:val="24"/>
              </w:rPr>
            </w:pPr>
            <w:r>
              <w:rPr>
                <w:b/>
                <w:color w:val="000000"/>
                <w:szCs w:val="24"/>
              </w:rPr>
              <w:t>Galimi pareiškėjai</w:t>
            </w:r>
          </w:p>
        </w:tc>
        <w:tc>
          <w:tcPr>
            <w:tcW w:w="5812" w:type="dxa"/>
          </w:tcPr>
          <w:p>
            <w:pPr>
              <w:tabs>
                <w:tab w:val="left" w:pos="249"/>
              </w:tabs>
              <w:spacing w:line="100" w:lineRule="atLeast"/>
              <w:ind w:left="-21"/>
              <w:jc w:val="both"/>
              <w:rPr>
                <w:szCs w:val="24"/>
              </w:rPr>
            </w:pPr>
            <w:r>
              <w:rPr>
                <w:szCs w:val="24"/>
                <w:lang w:eastAsia="ar-SA"/>
              </w:rPr>
              <w:t>1.</w:t>
              <w:tab/>
            </w:r>
            <w:r>
              <w:rPr>
                <w:szCs w:val="24"/>
              </w:rPr>
              <w:t>Vilniaus, Kauno ir Klaipėdos miestų savivaldybėse registruoti juridiniai asmenys;</w:t>
            </w:r>
          </w:p>
          <w:p>
            <w:pPr>
              <w:tabs>
                <w:tab w:val="left" w:pos="249"/>
              </w:tabs>
              <w:ind w:left="-21"/>
              <w:jc w:val="both"/>
              <w:rPr>
                <w:color w:val="000000"/>
                <w:sz w:val="22"/>
                <w:szCs w:val="22"/>
              </w:rPr>
            </w:pPr>
            <w:r>
              <w:rPr>
                <w:color w:val="000000"/>
                <w:kern w:val="2"/>
                <w:szCs w:val="24"/>
                <w:lang w:eastAsia="ar-SA"/>
              </w:rPr>
              <w:t>2.</w:t>
              <w:tab/>
            </w:r>
            <w:r>
              <w:rPr>
                <w:szCs w:val="24"/>
              </w:rPr>
              <w:t>Juridiniai asmenys registruoti kitoje nei Lietuvoje ES ar Europos ekonominės erdvės valstybėje narėje.</w:t>
            </w:r>
          </w:p>
        </w:tc>
      </w:tr>
      <w:tr>
        <w:tc>
          <w:tcPr>
            <w:tcW w:w="817" w:type="dxa"/>
          </w:tcPr>
          <w:p>
            <w:pPr>
              <w:suppressAutoHyphens/>
              <w:textAlignment w:val="baseline"/>
              <w:rPr>
                <w:b/>
                <w:kern w:val="3"/>
                <w:szCs w:val="24"/>
                <w:lang w:eastAsia="en-GB"/>
              </w:rPr>
            </w:pPr>
            <w:r>
              <w:rPr>
                <w:b/>
                <w:kern w:val="3"/>
                <w:szCs w:val="24"/>
                <w:lang w:eastAsia="en-GB"/>
              </w:rPr>
              <w:t>2.2.3.</w:t>
            </w:r>
          </w:p>
        </w:tc>
        <w:tc>
          <w:tcPr>
            <w:tcW w:w="2835" w:type="dxa"/>
          </w:tcPr>
          <w:p>
            <w:pPr>
              <w:suppressAutoHyphens/>
              <w:textAlignment w:val="baseline"/>
              <w:rPr>
                <w:b/>
                <w:color w:val="000000"/>
                <w:kern w:val="3"/>
                <w:szCs w:val="24"/>
                <w:lang w:eastAsia="en-GB"/>
              </w:rPr>
            </w:pPr>
            <w:r>
              <w:rPr>
                <w:b/>
                <w:kern w:val="3"/>
                <w:szCs w:val="24"/>
                <w:lang w:eastAsia="en-GB"/>
              </w:rPr>
              <w:t>Kitos sąlygos</w:t>
            </w:r>
          </w:p>
        </w:tc>
        <w:tc>
          <w:tcPr>
            <w:tcW w:w="5812" w:type="dxa"/>
          </w:tcPr>
          <w:p>
            <w:pPr>
              <w:tabs>
                <w:tab w:val="left" w:pos="286"/>
                <w:tab w:val="left" w:pos="421"/>
                <w:tab w:val="left" w:pos="691"/>
              </w:tabs>
              <w:suppressAutoHyphens/>
              <w:ind w:left="16" w:hanging="16"/>
              <w:jc w:val="both"/>
              <w:textAlignment w:val="baseline"/>
              <w:rPr>
                <w:kern w:val="3"/>
                <w:szCs w:val="24"/>
                <w:lang w:eastAsia="en-GB"/>
              </w:rPr>
            </w:pPr>
            <w:r>
              <w:rPr>
                <w:kern w:val="3"/>
                <w:szCs w:val="24"/>
                <w:lang w:eastAsia="en-GB"/>
              </w:rPr>
              <w:t>1.</w:t>
              <w:tab/>
              <w:t xml:space="preserve">Paraiška gali apimti vieną projektą, </w:t>
            </w:r>
            <w:r>
              <w:rPr>
                <w:color w:val="000000"/>
                <w:kern w:val="3"/>
                <w:szCs w:val="24"/>
                <w:lang w:eastAsia="en-GB"/>
              </w:rPr>
              <w:t>jeigu</w:t>
            </w:r>
            <w:r>
              <w:rPr>
                <w:color w:val="FF0000"/>
                <w:kern w:val="3"/>
                <w:szCs w:val="24"/>
                <w:lang w:eastAsia="en-GB"/>
              </w:rPr>
              <w:t xml:space="preserve"> </w:t>
            </w:r>
            <w:r>
              <w:rPr>
                <w:kern w:val="3"/>
                <w:szCs w:val="24"/>
                <w:lang w:eastAsia="en-GB"/>
              </w:rPr>
              <w:t>projektas skirtas dalyvauti KKI renginyje;</w:t>
            </w:r>
          </w:p>
          <w:p>
            <w:pPr>
              <w:tabs>
                <w:tab w:val="left" w:pos="286"/>
                <w:tab w:val="left" w:pos="421"/>
                <w:tab w:val="left" w:pos="691"/>
              </w:tabs>
              <w:suppressAutoHyphens/>
              <w:ind w:left="16" w:hanging="16"/>
              <w:jc w:val="both"/>
              <w:textAlignment w:val="baseline"/>
              <w:rPr>
                <w:kern w:val="3"/>
                <w:szCs w:val="24"/>
                <w:lang w:eastAsia="en-GB"/>
              </w:rPr>
            </w:pPr>
            <w:r>
              <w:rPr>
                <w:kern w:val="3"/>
                <w:szCs w:val="24"/>
                <w:lang w:eastAsia="en-GB"/>
              </w:rPr>
              <w:t>2.</w:t>
              <w:tab/>
              <w:t>Tarybos lėšomis skiriamas finansavimas projektui yra nedidesnis nei 20 000 Eur.</w:t>
            </w:r>
          </w:p>
          <w:p>
            <w:pPr>
              <w:tabs>
                <w:tab w:val="left" w:pos="286"/>
                <w:tab w:val="left" w:pos="421"/>
                <w:tab w:val="left" w:pos="691"/>
              </w:tabs>
              <w:suppressAutoHyphens/>
              <w:ind w:left="16" w:hanging="16"/>
              <w:jc w:val="both"/>
              <w:textAlignment w:val="baseline"/>
              <w:rPr>
                <w:color w:val="FF0000"/>
                <w:kern w:val="3"/>
                <w:szCs w:val="24"/>
                <w:lang w:eastAsia="en-GB"/>
              </w:rPr>
            </w:pPr>
            <w:r>
              <w:rPr>
                <w:kern w:val="3"/>
                <w:szCs w:val="24"/>
                <w:lang w:eastAsia="en-GB"/>
              </w:rPr>
              <w:t>3.</w:t>
              <w:tab/>
              <w:t xml:space="preserve">Šios programos lėšomis finansuojamos tik šios su projekto vykdymu susijusios išlaidos: projekto dalyviai, pranešėjai, lektoriai, moderatoriai, vedėjai, dizaino, vertimo paslaugos ir pan., patalpų, ekspozicinio ploto nuoma, dalyvio, nario mokestis, viešinimo paslaugos, kelionės, apgyvendinimo, transportavimo išlaidos (įskaitant draudimo paslaugas), dienpinigiai, įrangos nuoma ir aptarnavimas, administravimo išlaidos (projekto vadovas, finansininkas, koordinatorius, administracijos darbuotojas), nenumatytos išlaidos, kurios gali būti naudojamos tik programos finansavimo sąlygose nurodytoms išlaidoms finansuoti. </w:t>
            </w:r>
          </w:p>
          <w:p>
            <w:pPr>
              <w:tabs>
                <w:tab w:val="left" w:pos="286"/>
                <w:tab w:val="left" w:pos="421"/>
                <w:tab w:val="left" w:pos="691"/>
              </w:tabs>
              <w:suppressAutoHyphens/>
              <w:ind w:left="16" w:hanging="16"/>
              <w:jc w:val="both"/>
              <w:textAlignment w:val="baseline"/>
              <w:rPr>
                <w:color w:val="000000"/>
                <w:kern w:val="3"/>
                <w:szCs w:val="24"/>
                <w:lang w:eastAsia="en-GB"/>
              </w:rPr>
            </w:pPr>
            <w:r>
              <w:rPr>
                <w:kern w:val="3"/>
                <w:szCs w:val="24"/>
                <w:lang w:eastAsia="en-GB"/>
              </w:rPr>
              <w:t>4.</w:t>
              <w:tab/>
            </w:r>
            <w:r>
              <w:rPr>
                <w:color w:val="000000"/>
                <w:kern w:val="3"/>
                <w:szCs w:val="24"/>
                <w:lang w:eastAsia="en-GB"/>
              </w:rPr>
              <w:t>Finansavimą gavusiems asociacijos juridinį statusą turintiems juridiniams asmenims projekto administravimo išlaidos gali sudaryti ne daugiau nei 60 procentų skirtos lėšų sumos.</w:t>
            </w:r>
          </w:p>
          <w:p>
            <w:pPr>
              <w:tabs>
                <w:tab w:val="left" w:pos="286"/>
                <w:tab w:val="left" w:pos="421"/>
                <w:tab w:val="left" w:pos="691"/>
              </w:tabs>
              <w:suppressAutoHyphens/>
              <w:ind w:left="16" w:hanging="16"/>
              <w:jc w:val="both"/>
              <w:textAlignment w:val="baseline"/>
              <w:rPr>
                <w:color w:val="FF0000"/>
                <w:kern w:val="3"/>
                <w:szCs w:val="24"/>
                <w:lang w:eastAsia="en-GB"/>
              </w:rPr>
            </w:pPr>
            <w:r>
              <w:rPr>
                <w:kern w:val="3"/>
                <w:szCs w:val="24"/>
                <w:lang w:eastAsia="en-GB"/>
              </w:rPr>
              <w:t>5.</w:t>
              <w:tab/>
              <w:t>Nefinansuojamas meno kūrinių sukūrimas, jų rodymas gastrolėse, parodose, festivaliuose Lietuvoje ir užsienyje, kūrybinių rezidencijų, mokslo projektai, projektai nekuriantys ekonominės vertės.</w:t>
            </w:r>
          </w:p>
        </w:tc>
      </w:tr>
      <w:tr>
        <w:tc>
          <w:tcPr>
            <w:tcW w:w="817" w:type="dxa"/>
          </w:tcPr>
          <w:p>
            <w:pPr>
              <w:suppressAutoHyphens/>
              <w:textAlignment w:val="baseline"/>
              <w:rPr>
                <w:b/>
                <w:kern w:val="3"/>
                <w:szCs w:val="24"/>
                <w:lang w:eastAsia="en-GB"/>
              </w:rPr>
            </w:pPr>
            <w:r>
              <w:rPr>
                <w:b/>
                <w:kern w:val="3"/>
                <w:szCs w:val="24"/>
                <w:lang w:eastAsia="en-GB"/>
              </w:rPr>
              <w:t>2.2.4.</w:t>
            </w:r>
          </w:p>
        </w:tc>
        <w:tc>
          <w:tcPr>
            <w:tcW w:w="2835" w:type="dxa"/>
          </w:tcPr>
          <w:p>
            <w:pPr>
              <w:suppressAutoHyphens/>
              <w:textAlignment w:val="baseline"/>
              <w:rPr>
                <w:b/>
                <w:kern w:val="3"/>
                <w:szCs w:val="24"/>
                <w:lang w:eastAsia="en-GB"/>
              </w:rPr>
            </w:pPr>
            <w:r>
              <w:rPr>
                <w:b/>
                <w:kern w:val="3"/>
                <w:szCs w:val="24"/>
                <w:lang w:eastAsia="en-GB"/>
              </w:rPr>
              <w:t>Veiklos finansavimo intensyvumas</w:t>
            </w:r>
          </w:p>
        </w:tc>
        <w:tc>
          <w:tcPr>
            <w:tcW w:w="5812" w:type="dxa"/>
          </w:tcPr>
          <w:p>
            <w:pPr>
              <w:tabs>
                <w:tab w:val="left" w:pos="0"/>
                <w:tab w:val="left" w:pos="286"/>
                <w:tab w:val="left" w:pos="421"/>
              </w:tabs>
              <w:suppressAutoHyphens/>
              <w:jc w:val="both"/>
              <w:textAlignment w:val="baseline"/>
              <w:rPr>
                <w:kern w:val="3"/>
                <w:szCs w:val="24"/>
                <w:lang w:eastAsia="en-GB"/>
              </w:rPr>
            </w:pPr>
            <w:r>
              <w:rPr>
                <w:kern w:val="3"/>
                <w:szCs w:val="24"/>
                <w:lang w:eastAsia="en-GB"/>
              </w:rPr>
              <w:t xml:space="preserve">1. Projekto finansavimo intensyvumas – </w:t>
            </w:r>
            <w:r>
              <w:rPr>
                <w:bCs/>
                <w:kern w:val="3"/>
                <w:szCs w:val="24"/>
                <w:lang w:eastAsia="en-GB"/>
              </w:rPr>
              <w:t>iki 75 procentų projekto įgyvendinimui reikalingo finansavimo, o projektui įgyvendinti reikalinga lėšų dalis, kurios nepadengia skirtos lėšos, turi sudaryti ne mažiau nei 25 procentų viso projekto poreikio (veiklų išlaidų).</w:t>
            </w:r>
          </w:p>
          <w:p>
            <w:pPr>
              <w:tabs>
                <w:tab w:val="left" w:pos="0"/>
                <w:tab w:val="left" w:pos="286"/>
                <w:tab w:val="left" w:pos="421"/>
              </w:tabs>
              <w:suppressAutoHyphens/>
              <w:jc w:val="both"/>
              <w:textAlignment w:val="baseline"/>
              <w:rPr>
                <w:kern w:val="3"/>
                <w:szCs w:val="24"/>
                <w:lang w:eastAsia="en-GB"/>
              </w:rPr>
            </w:pPr>
            <w:r>
              <w:rPr>
                <w:kern w:val="3"/>
                <w:szCs w:val="24"/>
                <w:lang w:eastAsia="en-GB"/>
              </w:rPr>
              <w:t>2.</w:t>
              <w:tab/>
              <w:t>Viso projekto sąmatos poreikis turi būti ne mažesnis nei 2500,00 Eur, prašoma finansuoti suma turi būti ne mažesnė nei 1875,00 Eur.</w:t>
            </w:r>
          </w:p>
          <w:p>
            <w:pPr>
              <w:tabs>
                <w:tab w:val="left" w:pos="0"/>
                <w:tab w:val="left" w:pos="286"/>
                <w:tab w:val="left" w:pos="421"/>
              </w:tabs>
              <w:suppressAutoHyphens/>
              <w:jc w:val="both"/>
              <w:textAlignment w:val="baseline"/>
              <w:rPr>
                <w:kern w:val="3"/>
                <w:szCs w:val="24"/>
                <w:lang w:eastAsia="en-GB"/>
              </w:rPr>
            </w:pPr>
            <w:r>
              <w:rPr>
                <w:kern w:val="3"/>
                <w:szCs w:val="24"/>
                <w:lang w:eastAsia="en-GB"/>
              </w:rPr>
              <w:t xml:space="preserve">3. Muzikos ir literatūros kūrinių leidybos projektams, įskaitant jų vertimą, kūrinių rašymą, redagavimą, gamybą, platinimą ir skaitmeninimą intensyvumas – iki 70 procentų projekto įgyvendinimui reikalingo finansavimo, </w:t>
            </w:r>
            <w:r>
              <w:rPr>
                <w:bCs/>
                <w:kern w:val="3"/>
                <w:szCs w:val="24"/>
                <w:lang w:eastAsia="en-GB"/>
              </w:rPr>
              <w:t>o projektui įgyvendinti reikalinga lėšų dalis, kurios nepadengia skirtos lėšos, turi sudaryti ne mažiau nei 30 procentų viso projekto poreikio (veiklų išlaidų).</w:t>
            </w:r>
            <w:r>
              <w:rPr>
                <w:kern w:val="3"/>
                <w:szCs w:val="24"/>
                <w:lang w:eastAsia="en-GB"/>
              </w:rPr>
              <w:t xml:space="preserve"> Viso projekto sąmatos poreikis turi būti ne mažesnis nei 2500,00 Eur, prašoma finansuoti suma turi būti ne mažesnė nei 1750 Eur.</w:t>
            </w:r>
          </w:p>
        </w:tc>
      </w:tr>
      <w:tr>
        <w:tc>
          <w:tcPr>
            <w:tcW w:w="817" w:type="dxa"/>
          </w:tcPr>
          <w:p>
            <w:pPr>
              <w:rPr>
                <w:b/>
                <w:bCs/>
                <w:szCs w:val="24"/>
              </w:rPr>
            </w:pPr>
            <w:r>
              <w:rPr>
                <w:b/>
                <w:bCs/>
                <w:szCs w:val="24"/>
              </w:rPr>
              <w:t>2.2.5.</w:t>
            </w:r>
          </w:p>
        </w:tc>
        <w:tc>
          <w:tcPr>
            <w:tcW w:w="2835" w:type="dxa"/>
          </w:tcPr>
          <w:p>
            <w:pPr>
              <w:rPr>
                <w:szCs w:val="24"/>
              </w:rPr>
            </w:pPr>
            <w:r>
              <w:rPr>
                <w:b/>
                <w:bCs/>
                <w:szCs w:val="24"/>
              </w:rPr>
              <w:t>Veiklai įgyvendinti numatoma lėšų suma 2022 m.</w:t>
            </w:r>
          </w:p>
        </w:tc>
        <w:tc>
          <w:tcPr>
            <w:tcW w:w="5812" w:type="dxa"/>
          </w:tcPr>
          <w:p>
            <w:pPr>
              <w:rPr>
                <w:szCs w:val="24"/>
              </w:rPr>
            </w:pPr>
            <w:r>
              <w:rPr>
                <w:szCs w:val="24"/>
              </w:rPr>
              <w:t>400 000 Eur</w:t>
            </w:r>
          </w:p>
        </w:tc>
      </w:tr>
      <w:tr>
        <w:tc>
          <w:tcPr>
            <w:tcW w:w="817" w:type="dxa"/>
          </w:tcPr>
          <w:p>
            <w:pPr>
              <w:rPr>
                <w:b/>
                <w:bCs/>
                <w:szCs w:val="24"/>
              </w:rPr>
            </w:pPr>
            <w:r>
              <w:rPr>
                <w:b/>
                <w:bCs/>
                <w:szCs w:val="24"/>
              </w:rPr>
              <w:t>3.</w:t>
            </w:r>
          </w:p>
        </w:tc>
        <w:tc>
          <w:tcPr>
            <w:tcW w:w="2835" w:type="dxa"/>
          </w:tcPr>
          <w:p>
            <w:pPr>
              <w:rPr>
                <w:szCs w:val="24"/>
              </w:rPr>
            </w:pPr>
            <w:r>
              <w:rPr>
                <w:b/>
                <w:bCs/>
                <w:szCs w:val="24"/>
              </w:rPr>
              <w:t>Veikloms įgyvendinti numatoma bendra lėšų suma 2022 m.</w:t>
            </w:r>
          </w:p>
        </w:tc>
        <w:tc>
          <w:tcPr>
            <w:tcW w:w="5812" w:type="dxa"/>
          </w:tcPr>
          <w:p>
            <w:pPr>
              <w:rPr>
                <w:szCs w:val="24"/>
              </w:rPr>
            </w:pPr>
            <w:r>
              <w:rPr>
                <w:szCs w:val="24"/>
              </w:rPr>
              <w:t>500 000 Eur</w:t>
            </w:r>
          </w:p>
        </w:tc>
      </w:tr>
    </w:tbl>
    <w:p>
      <w:pPr>
        <w:spacing w:line="276" w:lineRule="auto"/>
        <w:ind w:firstLine="3348"/>
        <w:rPr>
          <w:szCs w:val="24"/>
        </w:rPr>
      </w:pPr>
      <w:r>
        <w:rPr>
          <w:szCs w:val="24"/>
        </w:rPr>
        <w:t>_______________________</w:t>
      </w:r>
    </w:p>
    <w:sectPr>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LineNumbers/>
      <w:tabs>
        <w:tab w:val="center" w:pos="4819"/>
        <w:tab w:val="right" w:pos="9638"/>
      </w:tabs>
      <w:suppressAutoHyphens/>
      <w:rPr>
        <w:color w:val="00000A"/>
        <w:kern w:val="1"/>
        <w:szCs w:val="24"/>
        <w:lang w:val="en-GB" w:eastAsia="ar-SA"/>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LineNumbers/>
      <w:tabs>
        <w:tab w:val="center" w:pos="4819"/>
        <w:tab w:val="right" w:pos="9638"/>
      </w:tabs>
      <w:suppressAutoHyphens/>
      <w:rPr>
        <w:color w:val="00000A"/>
        <w:kern w:val="1"/>
        <w:szCs w:val="24"/>
        <w:lang w:val="en-GB"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LineNumbers/>
      <w:tabs>
        <w:tab w:val="center" w:pos="4819"/>
        <w:tab w:val="right" w:pos="9638"/>
      </w:tabs>
      <w:suppressAutoHyphens/>
      <w:rPr>
        <w:color w:val="00000A"/>
        <w:kern w:val="1"/>
        <w:szCs w:val="24"/>
        <w:lang w:val="en-GB"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LineNumbers/>
      <w:tabs>
        <w:tab w:val="center" w:pos="4819"/>
        <w:tab w:val="right" w:pos="9638"/>
      </w:tabs>
      <w:suppressAutoHyphens/>
      <w:rPr>
        <w:color w:val="00000A"/>
        <w:kern w:val="1"/>
        <w:szCs w:val="24"/>
        <w:lang w:val="en-GB" w:eastAsia="ar-SA"/>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LineNumbers/>
      <w:tabs>
        <w:tab w:val="center" w:pos="4819"/>
        <w:tab w:val="right" w:pos="9638"/>
      </w:tabs>
      <w:suppressAutoHyphens/>
      <w:jc w:val="center"/>
      <w:rPr>
        <w:color w:val="00000A"/>
        <w:kern w:val="1"/>
        <w:szCs w:val="24"/>
        <w:lang w:val="en-GB" w:eastAsia="ar-SA"/>
      </w:rPr>
    </w:pPr>
    <w:r>
      <w:rPr>
        <w:color w:val="00000A"/>
        <w:kern w:val="1"/>
        <w:szCs w:val="24"/>
        <w:lang w:val="en-GB" w:eastAsia="ar-SA"/>
      </w:rPr>
      <w:fldChar w:fldCharType="begin"/>
    </w:r>
    <w:r>
      <w:rPr>
        <w:color w:val="00000A"/>
        <w:kern w:val="1"/>
        <w:szCs w:val="24"/>
        <w:lang w:val="en-GB" w:eastAsia="ar-SA"/>
      </w:rPr>
      <w:instrText xml:space="preserve"> PAGE   \* MERGEFORMAT </w:instrText>
    </w:r>
    <w:r>
      <w:rPr>
        <w:color w:val="00000A"/>
        <w:kern w:val="1"/>
        <w:szCs w:val="24"/>
        <w:lang w:val="en-GB" w:eastAsia="ar-SA"/>
      </w:rPr>
      <w:fldChar w:fldCharType="separate"/>
    </w:r>
    <w:r>
      <w:rPr>
        <w:color w:val="00000A"/>
        <w:kern w:val="1"/>
        <w:szCs w:val="24"/>
        <w:lang w:val="en-GB" w:eastAsia="ar-SA"/>
      </w:rPr>
      <w:t>4</w:t>
    </w:r>
    <w:r>
      <w:rPr>
        <w:color w:val="00000A"/>
        <w:kern w:val="1"/>
        <w:szCs w:val="24"/>
        <w:lang w:val="en-GB" w:eastAsia="ar-SA"/>
      </w:rPr>
      <w:fldChar w:fldCharType="end"/>
    </w:r>
  </w:p>
  <w:p>
    <w:pPr>
      <w:suppressLineNumbers/>
      <w:tabs>
        <w:tab w:val="center" w:pos="4819"/>
        <w:tab w:val="right" w:pos="9638"/>
      </w:tabs>
      <w:suppressAutoHyphens/>
      <w:rPr>
        <w:color w:val="00000A"/>
        <w:kern w:val="1"/>
        <w:szCs w:val="24"/>
        <w:lang w:val="en-GB"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LineNumbers/>
      <w:tabs>
        <w:tab w:val="center" w:pos="4819"/>
        <w:tab w:val="right" w:pos="9638"/>
      </w:tabs>
      <w:suppressAutoHyphens/>
      <w:rPr>
        <w:color w:val="00000A"/>
        <w:kern w:val="1"/>
        <w:szCs w:val="24"/>
        <w:lang w:val="en-GB"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sDQyMTUxN7AwMDZR0lEKTi0uzszPAykwqgUAJvVJWCwAAAA="/>
  </w:docVars>
  <w:rsids>
    <w:rsidRoot w:val="0078399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7ABC8-E732-4F21-9E21-32E5AE37114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352636">
      <w:bodyDiv w:val="1"/>
      <w:marLeft w:val="0"/>
      <w:marRight w:val="0"/>
      <w:marTop w:val="0"/>
      <w:marBottom w:val="0"/>
      <w:divBdr>
        <w:top w:val="none" w:sz="0" w:space="0" w:color="auto"/>
        <w:left w:val="none" w:sz="0" w:space="0" w:color="auto"/>
        <w:bottom w:val="none" w:sz="0" w:space="0" w:color="auto"/>
        <w:right w:val="none" w:sz="0" w:space="0" w:color="auto"/>
      </w:divBdr>
    </w:div>
    <w:div w:id="923152180">
      <w:bodyDiv w:val="1"/>
      <w:marLeft w:val="0"/>
      <w:marRight w:val="0"/>
      <w:marTop w:val="0"/>
      <w:marBottom w:val="0"/>
      <w:divBdr>
        <w:top w:val="none" w:sz="0" w:space="0" w:color="auto"/>
        <w:left w:val="none" w:sz="0" w:space="0" w:color="auto"/>
        <w:bottom w:val="none" w:sz="0" w:space="0" w:color="auto"/>
        <w:right w:val="none" w:sz="0" w:space="0" w:color="auto"/>
      </w:divBdr>
    </w:div>
    <w:div w:id="14530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6771</Characters>
  <Application>Microsoft Office Word</Application>
  <DocSecurity>4</DocSecurity>
  <Lines>205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2021-12-29T13:14:00Z</dcterms:created>
  <dc:creator>Janina Krušinskaitė</dc:creator>
  <lastModifiedBy>adlibuser</lastModifiedBy>
  <lastPrinted>2020-07-01T11:45:00Z</lastPrinted>
  <dcterms:modified xsi:type="dcterms:W3CDTF">2021-12-29T13:14:00Z</dcterms:modified>
  <revision>2</revision>
</coreProperties>
</file>