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A348B" w14:textId="77777777" w:rsidR="00756280" w:rsidRDefault="00756280" w:rsidP="00661993">
      <w:pPr>
        <w:ind w:left="5670"/>
        <w:jc w:val="both"/>
        <w:rPr>
          <w:rFonts w:ascii="Times New Roman" w:eastAsia="BaskervilleTenOT-Identity-H" w:hAnsi="Times New Roman"/>
          <w:sz w:val="24"/>
          <w:szCs w:val="24"/>
          <w:lang w:val="lt-LT"/>
        </w:rPr>
      </w:pPr>
      <w:r w:rsidRPr="00756280">
        <w:rPr>
          <w:rFonts w:ascii="Times New Roman" w:eastAsia="BaskervilleTenOT-Identity-H" w:hAnsi="Times New Roman"/>
          <w:sz w:val="24"/>
          <w:szCs w:val="24"/>
          <w:lang w:val="lt-LT"/>
        </w:rPr>
        <w:t>Atvirųjų jaunimo centrų ir atvirųjų jaunimo erdvių</w:t>
      </w:r>
    </w:p>
    <w:p w14:paraId="20AA1B4C" w14:textId="77777777" w:rsidR="00756280" w:rsidRDefault="00756280" w:rsidP="00661993">
      <w:pPr>
        <w:ind w:left="5670"/>
        <w:jc w:val="both"/>
        <w:rPr>
          <w:rFonts w:ascii="Times New Roman" w:eastAsia="BaskervilleTenOT-Identity-H" w:hAnsi="Times New Roman"/>
          <w:sz w:val="24"/>
          <w:szCs w:val="24"/>
          <w:lang w:val="lt-LT"/>
        </w:rPr>
      </w:pPr>
      <w:r w:rsidRPr="00756280">
        <w:rPr>
          <w:rFonts w:ascii="Times New Roman" w:eastAsia="BaskervilleTenOT-Identity-H" w:hAnsi="Times New Roman"/>
          <w:sz w:val="24"/>
          <w:szCs w:val="24"/>
          <w:lang w:val="lt-LT"/>
        </w:rPr>
        <w:t xml:space="preserve"> identifikavimo ir veiklos kokybės priežiūros</w:t>
      </w:r>
    </w:p>
    <w:p w14:paraId="53425923" w14:textId="77777777" w:rsidR="00D95B4B" w:rsidRDefault="00756280" w:rsidP="00661993">
      <w:pPr>
        <w:ind w:left="5670"/>
        <w:jc w:val="both"/>
        <w:rPr>
          <w:rFonts w:ascii="Times New Roman" w:eastAsia="BaskervilleTenOT-Identity-H" w:hAnsi="Times New Roman"/>
          <w:sz w:val="24"/>
          <w:szCs w:val="24"/>
          <w:lang w:val="lt-LT"/>
        </w:rPr>
      </w:pPr>
      <w:r w:rsidRPr="00756280">
        <w:rPr>
          <w:rFonts w:ascii="Times New Roman" w:eastAsia="BaskervilleTenOT-Identity-H" w:hAnsi="Times New Roman"/>
          <w:sz w:val="24"/>
          <w:szCs w:val="24"/>
          <w:lang w:val="lt-LT"/>
        </w:rPr>
        <w:t xml:space="preserve"> tvarkos aprašo </w:t>
      </w:r>
    </w:p>
    <w:p w14:paraId="625D7643" w14:textId="2BC97794" w:rsidR="00335365" w:rsidRDefault="00D95B4B" w:rsidP="00661993">
      <w:pPr>
        <w:tabs>
          <w:tab w:val="left" w:pos="5670"/>
        </w:tabs>
        <w:ind w:left="5670"/>
        <w:jc w:val="both"/>
        <w:rPr>
          <w:rFonts w:ascii="Times New Roman" w:eastAsia="BaskervilleTenOT-Identity-H" w:hAnsi="Times New Roman"/>
          <w:sz w:val="24"/>
          <w:szCs w:val="24"/>
          <w:lang w:val="lt-LT"/>
        </w:rPr>
      </w:pPr>
      <w:r>
        <w:rPr>
          <w:rFonts w:ascii="Times New Roman" w:eastAsia="BaskervilleTenOT-Identity-H" w:hAnsi="Times New Roman"/>
          <w:sz w:val="24"/>
          <w:szCs w:val="24"/>
          <w:lang w:val="lt-LT"/>
        </w:rPr>
        <w:t xml:space="preserve">1 </w:t>
      </w:r>
      <w:r w:rsidR="00756280" w:rsidRPr="00756280">
        <w:rPr>
          <w:rFonts w:ascii="Times New Roman" w:eastAsia="BaskervilleTenOT-Identity-H" w:hAnsi="Times New Roman"/>
          <w:sz w:val="24"/>
          <w:szCs w:val="24"/>
          <w:lang w:val="lt-LT"/>
        </w:rPr>
        <w:t>priedas</w:t>
      </w:r>
    </w:p>
    <w:p w14:paraId="5F289775" w14:textId="77777777" w:rsidR="00756280" w:rsidRDefault="00756280" w:rsidP="00756280">
      <w:pPr>
        <w:jc w:val="right"/>
        <w:rPr>
          <w:rFonts w:ascii="Times New Roman" w:eastAsia="BaskervilleTenOT-Identity-H" w:hAnsi="Times New Roman"/>
          <w:sz w:val="24"/>
          <w:szCs w:val="24"/>
          <w:lang w:val="lt-LT"/>
        </w:rPr>
      </w:pPr>
    </w:p>
    <w:p w14:paraId="33474942" w14:textId="77777777" w:rsidR="00756280" w:rsidRDefault="00756280" w:rsidP="00985EF4">
      <w:pPr>
        <w:rPr>
          <w:rFonts w:ascii="Times New Roman" w:eastAsia="BaskervilleTenOT-Identity-H" w:hAnsi="Times New Roman"/>
          <w:sz w:val="24"/>
          <w:szCs w:val="24"/>
          <w:lang w:val="lt-LT"/>
        </w:rPr>
      </w:pPr>
    </w:p>
    <w:p w14:paraId="50D23614" w14:textId="77777777" w:rsidR="00756280" w:rsidRPr="00F20CF1" w:rsidRDefault="00756280" w:rsidP="00985EF4">
      <w:pPr>
        <w:rPr>
          <w:rFonts w:ascii="Times New Roman" w:eastAsia="BaskervilleTenOT-Identity-H" w:hAnsi="Times New Roman"/>
          <w:sz w:val="24"/>
          <w:szCs w:val="24"/>
          <w:lang w:val="lt-LT"/>
        </w:rPr>
      </w:pPr>
    </w:p>
    <w:tbl>
      <w:tblPr>
        <w:tblStyle w:val="Lentelstinklelis"/>
        <w:tblW w:w="10463" w:type="dxa"/>
        <w:tblLook w:val="04A0" w:firstRow="1" w:lastRow="0" w:firstColumn="1" w:lastColumn="0" w:noHBand="0" w:noVBand="1"/>
      </w:tblPr>
      <w:tblGrid>
        <w:gridCol w:w="481"/>
        <w:gridCol w:w="5454"/>
        <w:gridCol w:w="2700"/>
        <w:gridCol w:w="1828"/>
      </w:tblGrid>
      <w:tr w:rsidR="00073C07" w:rsidRPr="00F20CF1" w14:paraId="68BC8A3C" w14:textId="77777777" w:rsidTr="00985EF4">
        <w:tc>
          <w:tcPr>
            <w:tcW w:w="481" w:type="dxa"/>
          </w:tcPr>
          <w:p w14:paraId="768F563C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73EC3B9F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  <w:t>Požymis</w:t>
            </w:r>
          </w:p>
        </w:tc>
        <w:tc>
          <w:tcPr>
            <w:tcW w:w="2700" w:type="dxa"/>
          </w:tcPr>
          <w:p w14:paraId="48B83E78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  <w:t>Galimi įrodymai</w:t>
            </w:r>
          </w:p>
        </w:tc>
        <w:tc>
          <w:tcPr>
            <w:tcW w:w="1828" w:type="dxa"/>
          </w:tcPr>
          <w:p w14:paraId="5F41573C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b/>
                <w:sz w:val="24"/>
                <w:szCs w:val="24"/>
                <w:lang w:val="lt-LT"/>
              </w:rPr>
              <w:t>Atitikimas</w:t>
            </w:r>
          </w:p>
        </w:tc>
      </w:tr>
      <w:tr w:rsidR="00073C07" w:rsidRPr="00F20CF1" w14:paraId="1BA01D70" w14:textId="77777777" w:rsidTr="00985EF4">
        <w:tc>
          <w:tcPr>
            <w:tcW w:w="481" w:type="dxa"/>
          </w:tcPr>
          <w:p w14:paraId="24102027" w14:textId="77777777" w:rsidR="00073C07" w:rsidRPr="00F20CF1" w:rsidRDefault="00073C07" w:rsidP="00985EF4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19AE316A" w14:textId="02DC3630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Įstaigos įstatuose aiškiai įvardinta, kad įstaiga arba jos padalinys, filialas yra atvirasis jaunimo centras</w:t>
            </w:r>
          </w:p>
        </w:tc>
        <w:tc>
          <w:tcPr>
            <w:tcW w:w="2700" w:type="dxa"/>
          </w:tcPr>
          <w:p w14:paraId="4AAA80A8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Įstatų peržiūra</w:t>
            </w:r>
          </w:p>
        </w:tc>
        <w:tc>
          <w:tcPr>
            <w:tcW w:w="1828" w:type="dxa"/>
          </w:tcPr>
          <w:p w14:paraId="0A167C02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073C07" w:rsidRPr="00F20CF1" w14:paraId="04B58DA1" w14:textId="77777777" w:rsidTr="00985EF4">
        <w:tc>
          <w:tcPr>
            <w:tcW w:w="481" w:type="dxa"/>
          </w:tcPr>
          <w:p w14:paraId="68961AD1" w14:textId="77777777" w:rsidR="00073C07" w:rsidRPr="00F20CF1" w:rsidRDefault="00073C07" w:rsidP="00985EF4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618FA88E" w14:textId="3691E904" w:rsidR="00073C07" w:rsidRPr="00F20CF1" w:rsidRDefault="00FB4952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Dvi ir daugiau p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atalp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ų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yra tikslingai pritaikyt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os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atvirajam darbui su jaunimu, jos yra nuolatinės </w:t>
            </w:r>
          </w:p>
        </w:tc>
        <w:tc>
          <w:tcPr>
            <w:tcW w:w="2700" w:type="dxa"/>
          </w:tcPr>
          <w:p w14:paraId="5F422740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Patalpos apžiūra, pokalbis su darbuotoju, sutartys</w:t>
            </w:r>
          </w:p>
        </w:tc>
        <w:tc>
          <w:tcPr>
            <w:tcW w:w="1828" w:type="dxa"/>
          </w:tcPr>
          <w:p w14:paraId="07E8B006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</w:t>
            </w:r>
            <w:bookmarkStart w:id="0" w:name="_GoBack"/>
            <w:bookmarkEnd w:id="0"/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e / iš dalies</w:t>
            </w:r>
          </w:p>
        </w:tc>
      </w:tr>
      <w:tr w:rsidR="00073C07" w:rsidRPr="00F20CF1" w14:paraId="3FDF9F94" w14:textId="77777777" w:rsidTr="00985EF4">
        <w:trPr>
          <w:trHeight w:val="1070"/>
        </w:trPr>
        <w:tc>
          <w:tcPr>
            <w:tcW w:w="481" w:type="dxa"/>
          </w:tcPr>
          <w:p w14:paraId="44071CD9" w14:textId="77777777" w:rsidR="00073C07" w:rsidRPr="00F20CF1" w:rsidRDefault="00073C07" w:rsidP="00985EF4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5FEA95FC" w14:textId="22ABD1EF" w:rsidR="00073C07" w:rsidRPr="00F20CF1" w:rsidRDefault="00FB4952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Atvirasis jaunimo centras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tikslingai 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veikia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visomis darbo dienomis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(darbo laikas aiškiai matosi prie 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centro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pavadinimo arba kitoje matomoje vietoje)</w:t>
            </w:r>
            <w:r w:rsidR="00AC6A95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ne trumpiau nei 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po 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4 val.</w:t>
            </w:r>
          </w:p>
        </w:tc>
        <w:tc>
          <w:tcPr>
            <w:tcW w:w="2700" w:type="dxa"/>
          </w:tcPr>
          <w:p w14:paraId="4588C6A1" w14:textId="0E26D056" w:rsidR="00073C07" w:rsidRPr="00F20CF1" w:rsidRDefault="00073C07" w:rsidP="00BA3792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Lentelė ar kita vizualinė priemonė</w:t>
            </w:r>
            <w:r w:rsidR="00BA3792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kur matos</w:t>
            </w:r>
            <w:r w:rsidR="00AC6A95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i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</w:t>
            </w:r>
            <w:r w:rsidR="00BA3792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centro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darbo laikas</w:t>
            </w:r>
          </w:p>
        </w:tc>
        <w:tc>
          <w:tcPr>
            <w:tcW w:w="1828" w:type="dxa"/>
          </w:tcPr>
          <w:p w14:paraId="2B38DF6A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AC6A95" w:rsidRPr="00F20CF1" w14:paraId="229132BB" w14:textId="77777777" w:rsidTr="00985EF4">
        <w:trPr>
          <w:trHeight w:val="845"/>
        </w:trPr>
        <w:tc>
          <w:tcPr>
            <w:tcW w:w="481" w:type="dxa"/>
          </w:tcPr>
          <w:p w14:paraId="4991AE35" w14:textId="77777777" w:rsidR="00AC6A95" w:rsidRPr="00F20CF1" w:rsidRDefault="00AC6A95" w:rsidP="00985EF4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74D4F5ED" w14:textId="598A8F8A" w:rsidR="00AC6A95" w:rsidRPr="00F20CF1" w:rsidRDefault="00AC6A95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Atvirasis jaunimo centras tikslingai veikia šeštadienį (darbo laikas aiškiai matosi prie centro pavadinimo arba kitoje matomoje vietoje) ne trumpiau nei po 4 val.</w:t>
            </w:r>
          </w:p>
        </w:tc>
        <w:tc>
          <w:tcPr>
            <w:tcW w:w="2700" w:type="dxa"/>
          </w:tcPr>
          <w:p w14:paraId="28EB7AA9" w14:textId="1D7678B6" w:rsidR="00AC6A95" w:rsidRPr="00F20CF1" w:rsidRDefault="00AC6A95" w:rsidP="00BA3792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Lentelė ar kita vizualinė priemonė</w:t>
            </w:r>
            <w:r w:rsidR="00BA3792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kur matosi </w:t>
            </w:r>
            <w:r w:rsidR="00BA3792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centro 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darbo laikas</w:t>
            </w:r>
          </w:p>
        </w:tc>
        <w:tc>
          <w:tcPr>
            <w:tcW w:w="1828" w:type="dxa"/>
          </w:tcPr>
          <w:p w14:paraId="6CCD7F15" w14:textId="16A6E306" w:rsidR="00AC6A95" w:rsidRPr="00F20CF1" w:rsidRDefault="00AC6A95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073C07" w:rsidRPr="00F20CF1" w14:paraId="0FDDE242" w14:textId="77777777" w:rsidTr="00985EF4">
        <w:trPr>
          <w:trHeight w:val="908"/>
        </w:trPr>
        <w:tc>
          <w:tcPr>
            <w:tcW w:w="481" w:type="dxa"/>
          </w:tcPr>
          <w:p w14:paraId="00F9C1D8" w14:textId="77777777" w:rsidR="00073C07" w:rsidRPr="00F20CF1" w:rsidRDefault="00073C07" w:rsidP="00985EF4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088E1D1E" w14:textId="2E8DADCF" w:rsidR="00073C07" w:rsidRPr="00F20CF1" w:rsidRDefault="00985EF4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Atliepiant požymius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Nr. 3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 4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 atvir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ajame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jaunimo </w:t>
            </w: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centre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tiesiogiai dirba bent </w:t>
            </w:r>
            <w:r w:rsidR="00FB4952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2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</w:t>
            </w:r>
            <w:r w:rsidR="00FB4952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darbuotojai</w:t>
            </w:r>
            <w:r w:rsidR="00073C07"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nustatytu laiku (nustatytu laiku darbuotojas nevykdo kitų įstaigos veiklų)</w:t>
            </w:r>
            <w:r w:rsidR="002F1F46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tuo pačiu metu</w:t>
            </w:r>
          </w:p>
        </w:tc>
        <w:tc>
          <w:tcPr>
            <w:tcW w:w="2700" w:type="dxa"/>
          </w:tcPr>
          <w:p w14:paraId="4EFFAA5E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Pareigybės aprašymas,  darbo sutartis, tiesioginis stebėjimas</w:t>
            </w:r>
          </w:p>
        </w:tc>
        <w:tc>
          <w:tcPr>
            <w:tcW w:w="1828" w:type="dxa"/>
          </w:tcPr>
          <w:p w14:paraId="4137AC68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073C07" w:rsidRPr="00F20CF1" w14:paraId="31FB2FE6" w14:textId="77777777" w:rsidTr="00985EF4">
        <w:trPr>
          <w:trHeight w:val="890"/>
        </w:trPr>
        <w:tc>
          <w:tcPr>
            <w:tcW w:w="481" w:type="dxa"/>
          </w:tcPr>
          <w:p w14:paraId="4E3DB499" w14:textId="77777777" w:rsidR="00073C07" w:rsidRPr="00F20CF1" w:rsidRDefault="00073C07" w:rsidP="00985EF4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30463B62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Patalpoje galioja su jaunais žmonėmis (lankytojais) patvirtintos taisyklės ar susitarimai, esančios matomoje vietoje</w:t>
            </w:r>
          </w:p>
        </w:tc>
        <w:tc>
          <w:tcPr>
            <w:tcW w:w="2700" w:type="dxa"/>
          </w:tcPr>
          <w:p w14:paraId="1160E45D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Patalpos apžiūra, matomos taisyklės, pokalbis su darbuotoju ir / ar jaunuoliais</w:t>
            </w:r>
          </w:p>
        </w:tc>
        <w:tc>
          <w:tcPr>
            <w:tcW w:w="1828" w:type="dxa"/>
          </w:tcPr>
          <w:p w14:paraId="4D257B62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073C07" w:rsidRPr="00F20CF1" w14:paraId="70A6665B" w14:textId="77777777" w:rsidTr="00985EF4">
        <w:trPr>
          <w:trHeight w:val="620"/>
        </w:trPr>
        <w:tc>
          <w:tcPr>
            <w:tcW w:w="481" w:type="dxa"/>
          </w:tcPr>
          <w:p w14:paraId="0C696778" w14:textId="77777777" w:rsidR="00073C07" w:rsidRPr="00F20CF1" w:rsidRDefault="00073C07" w:rsidP="00985EF4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42B32310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Patalpoje, kurioje vykdomas atvirasis darbas su jaunimu, nėra stebėjimo įrangos</w:t>
            </w:r>
          </w:p>
        </w:tc>
        <w:tc>
          <w:tcPr>
            <w:tcW w:w="2700" w:type="dxa"/>
          </w:tcPr>
          <w:p w14:paraId="6D54E6B0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Patalpos apžiūra, dokumentų analizė</w:t>
            </w:r>
          </w:p>
        </w:tc>
        <w:tc>
          <w:tcPr>
            <w:tcW w:w="1828" w:type="dxa"/>
          </w:tcPr>
          <w:p w14:paraId="6D22F1E2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073C07" w:rsidRPr="00F20CF1" w14:paraId="7ACE7BF5" w14:textId="77777777" w:rsidTr="00985EF4">
        <w:tc>
          <w:tcPr>
            <w:tcW w:w="481" w:type="dxa"/>
          </w:tcPr>
          <w:p w14:paraId="3AB1A99E" w14:textId="77777777" w:rsidR="00073C07" w:rsidRPr="00F20CF1" w:rsidRDefault="00073C07" w:rsidP="00985EF4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31E71E12" w14:textId="77777777" w:rsidR="00073C07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Veikla vykdoma atvirojo darbo principais </w:t>
            </w:r>
          </w:p>
          <w:p w14:paraId="4CC4F647" w14:textId="1DFCEB30" w:rsidR="00F24E88" w:rsidRPr="00F24E88" w:rsidRDefault="00F24E88" w:rsidP="00F24E88">
            <w:pPr>
              <w:jc w:val="both"/>
              <w:rPr>
                <w:rFonts w:ascii="Times New Roman" w:eastAsia="BaskervilleTenOT-Identity-H" w:hAnsi="Times New Roman"/>
                <w:i/>
                <w:sz w:val="24"/>
                <w:szCs w:val="24"/>
                <w:lang w:val="lt-LT"/>
              </w:rPr>
            </w:pPr>
            <w:r w:rsidRPr="00F24E88">
              <w:rPr>
                <w:rFonts w:ascii="Times New Roman" w:eastAsia="BaskervilleTenOT-Identity-H" w:hAnsi="Times New Roman"/>
                <w:i/>
                <w:sz w:val="24"/>
                <w:szCs w:val="24"/>
                <w:lang w:val="lt-LT"/>
              </w:rPr>
              <w:t>1) atvirumo; 2) prieinamumo; 3) savanoriškumo; 4) aktyvaus dalyvavimo; 5) orientavimosi į jaunų žmonių socialinius poreikius</w:t>
            </w:r>
          </w:p>
        </w:tc>
        <w:tc>
          <w:tcPr>
            <w:tcW w:w="2700" w:type="dxa"/>
          </w:tcPr>
          <w:p w14:paraId="3B28E081" w14:textId="154E70DE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Pokalbis su darbuotoju</w:t>
            </w:r>
            <w:r w:rsidR="0077321D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 veiklų grafiko analizė</w:t>
            </w:r>
          </w:p>
        </w:tc>
        <w:tc>
          <w:tcPr>
            <w:tcW w:w="1828" w:type="dxa"/>
          </w:tcPr>
          <w:p w14:paraId="2A397F1E" w14:textId="77777777" w:rsidR="00073C07" w:rsidRPr="00F20CF1" w:rsidRDefault="00073C07" w:rsidP="00985EF4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F24E88" w:rsidRPr="00F20CF1" w14:paraId="2725C0E6" w14:textId="77777777" w:rsidTr="00985EF4">
        <w:tc>
          <w:tcPr>
            <w:tcW w:w="481" w:type="dxa"/>
          </w:tcPr>
          <w:p w14:paraId="30517D1B" w14:textId="77777777" w:rsidR="00F24E88" w:rsidRPr="00F20CF1" w:rsidRDefault="00F24E88" w:rsidP="00F24E8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503A1C0C" w14:textId="77777777" w:rsidR="00F24E88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Veikla atitinka </w:t>
            </w:r>
            <w:r w:rsidRPr="00F24E88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Atvirųjų jaunimo centrų veiklos apraš</w:t>
            </w:r>
            <w: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ą</w:t>
            </w:r>
            <w:r w:rsidRPr="00F24E88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 patvirtint</w:t>
            </w:r>
            <w: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ą</w:t>
            </w:r>
            <w:r w:rsidRPr="00F24E88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 Lietuvos Respublikos socialinės apsaugos ir darbo ministro 2012 m. gruodžio 11 d. įsakymu Nr. A1-570 „Dėl Atvirųjų jaunimo centrų veiklos aprašo patvirtinimo“</w:t>
            </w:r>
          </w:p>
          <w:p w14:paraId="41392FA1" w14:textId="5C8363C6" w:rsidR="00F24E88" w:rsidRPr="00F24E88" w:rsidRDefault="00F24E88" w:rsidP="00F24E88">
            <w:pPr>
              <w:jc w:val="both"/>
              <w:rPr>
                <w:rFonts w:ascii="Times New Roman" w:eastAsia="BaskervilleTenOT-Identity-H" w:hAnsi="Times New Roman"/>
                <w:i/>
                <w:sz w:val="24"/>
                <w:szCs w:val="24"/>
                <w:lang w:val="lt-LT"/>
              </w:rPr>
            </w:pPr>
            <w:r w:rsidRPr="00F24E88">
              <w:rPr>
                <w:rFonts w:ascii="Times New Roman" w:eastAsia="BaskervilleTenOT-Identity-H" w:hAnsi="Times New Roman"/>
                <w:i/>
                <w:sz w:val="24"/>
                <w:szCs w:val="24"/>
                <w:lang w:val="lt-LT"/>
              </w:rPr>
              <w:t xml:space="preserve">1) dirba tiek su jaunimo grupėmis, tiek su individualiais asmenimis; 2) teikia prevencines, informavimo, konsultavimo, socialinių ir gyvenimo įgūdžių ugdymo, sociokultūrines ir kitas su jauno žmogaus ugdymu susijusias paslaugas; 3) organizuoja veiklas, skatinančias jaunimo motyvaciją ir gebėjimus, reikalingus sėkmingai integracijai į darbo rinką, atsižvelgdamas į savivaldybės padėtį; 4) prireikus ir esant galimybei, teikia kitas laisvalaikio, socialinės bei psichologinės ar krizių įveikimo pagalbos paslaugas jauniems žmonėms; 5) plėtoja ir palaiko nuolatinius ryšius su savo veiklos teritorijoje veikiančiomis ir su jaunimo reikalais susijusiomis institucijomis – mokyklomis, policija, parapija, jaunimo organizacijomis, bendruomene – ir vaiko teises įgyvendinančiomis bei pagalbą vaikams, šeimai teikiančiomis institucijomis – vaiko teisių apsaugos skyriais, socialinės paramos skyriais, seniūnijomis; 6) plėtoja ir palaiko ryšius su savo veiklos teritorijoje esančiomis teritorinėmis darbo biržomis ar </w:t>
            </w:r>
            <w:r w:rsidRPr="00F24E88">
              <w:rPr>
                <w:rFonts w:ascii="Times New Roman" w:eastAsia="BaskervilleTenOT-Identity-H" w:hAnsi="Times New Roman"/>
                <w:i/>
                <w:sz w:val="24"/>
                <w:szCs w:val="24"/>
                <w:lang w:val="lt-LT"/>
              </w:rPr>
              <w:lastRenderedPageBreak/>
              <w:t xml:space="preserve">jaunimo darbo centrais; 7) kartą per metus įvertina tikslus, veiklos kokybę ir poveikį jauniems žmonėms; 8) bendradarbiauja su kitomis institucijomis, kurios dirba su jaunimu; 9) užtikrina, kad būtų laikomasi viešajai tvarkai keliamų reikalavimų; 10) vykdo papildomą veiklą  </w:t>
            </w:r>
          </w:p>
        </w:tc>
        <w:tc>
          <w:tcPr>
            <w:tcW w:w="2700" w:type="dxa"/>
          </w:tcPr>
          <w:p w14:paraId="49E4FD84" w14:textId="71749A90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lastRenderedPageBreak/>
              <w:t>Pokalbis su darbuotoju</w:t>
            </w:r>
            <w: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, veiklų grafiko analizė</w:t>
            </w:r>
          </w:p>
        </w:tc>
        <w:tc>
          <w:tcPr>
            <w:tcW w:w="1828" w:type="dxa"/>
          </w:tcPr>
          <w:p w14:paraId="70DE9C79" w14:textId="215A7309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F24E88" w:rsidRPr="00F20CF1" w14:paraId="135FE9E8" w14:textId="77777777" w:rsidTr="00985EF4">
        <w:tc>
          <w:tcPr>
            <w:tcW w:w="481" w:type="dxa"/>
          </w:tcPr>
          <w:p w14:paraId="7A4F9238" w14:textId="77777777" w:rsidR="00F24E88" w:rsidRPr="00F20CF1" w:rsidRDefault="00F24E88" w:rsidP="00F24E8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59A96361" w14:textId="619D296B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Veikla nukreipta kryptingai į mažiau galimybių turintį jaunimą</w:t>
            </w:r>
          </w:p>
        </w:tc>
        <w:tc>
          <w:tcPr>
            <w:tcW w:w="2700" w:type="dxa"/>
          </w:tcPr>
          <w:p w14:paraId="525675F3" w14:textId="3940B5C4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Pokalbis su darbuotoju, lankytojų žurnalo (jei toks yra) peržiūra</w:t>
            </w:r>
          </w:p>
        </w:tc>
        <w:tc>
          <w:tcPr>
            <w:tcW w:w="1828" w:type="dxa"/>
          </w:tcPr>
          <w:p w14:paraId="59F7D2D4" w14:textId="2A75FE85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F24E88" w:rsidRPr="00F20CF1" w14:paraId="25587384" w14:textId="77777777" w:rsidTr="00985EF4">
        <w:tc>
          <w:tcPr>
            <w:tcW w:w="481" w:type="dxa"/>
          </w:tcPr>
          <w:p w14:paraId="5E7672F1" w14:textId="77777777" w:rsidR="00F24E88" w:rsidRPr="00F20CF1" w:rsidRDefault="00F24E88" w:rsidP="00F24E8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01247B05" w14:textId="4AC2462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Atvirasis jaunimo centras yra pasitvirtinęs ir naudoja lankytojų skaičiavimo metodiką</w:t>
            </w:r>
          </w:p>
        </w:tc>
        <w:tc>
          <w:tcPr>
            <w:tcW w:w="2700" w:type="dxa"/>
          </w:tcPr>
          <w:p w14:paraId="6F901EC5" w14:textId="7777777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Pokalbis su darbuotoju, dokumentų (metodikos) analizė</w:t>
            </w:r>
          </w:p>
        </w:tc>
        <w:tc>
          <w:tcPr>
            <w:tcW w:w="1828" w:type="dxa"/>
          </w:tcPr>
          <w:p w14:paraId="06F94F00" w14:textId="7777777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</w:t>
            </w:r>
          </w:p>
        </w:tc>
      </w:tr>
      <w:tr w:rsidR="00F24E88" w:rsidRPr="00F20CF1" w14:paraId="31E1E5AC" w14:textId="77777777" w:rsidTr="00985EF4">
        <w:tc>
          <w:tcPr>
            <w:tcW w:w="481" w:type="dxa"/>
          </w:tcPr>
          <w:p w14:paraId="4D54517D" w14:textId="77777777" w:rsidR="00F24E88" w:rsidRPr="00F20CF1" w:rsidRDefault="00F24E88" w:rsidP="00F24E8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36C70DA4" w14:textId="7777777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Daugiau negu du trečdaliai įstaigos lankytojų yra jauni žmonės</w:t>
            </w:r>
          </w:p>
        </w:tc>
        <w:tc>
          <w:tcPr>
            <w:tcW w:w="2700" w:type="dxa"/>
          </w:tcPr>
          <w:p w14:paraId="0D630F45" w14:textId="7777777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Pokalbis su darbuotoju, stebėsena</w:t>
            </w:r>
          </w:p>
        </w:tc>
        <w:tc>
          <w:tcPr>
            <w:tcW w:w="1828" w:type="dxa"/>
          </w:tcPr>
          <w:p w14:paraId="2C4D7082" w14:textId="7777777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Taip / ne </w:t>
            </w:r>
          </w:p>
        </w:tc>
      </w:tr>
      <w:tr w:rsidR="00F24E88" w:rsidRPr="00F20CF1" w14:paraId="4A847FE4" w14:textId="77777777" w:rsidTr="00985EF4">
        <w:tc>
          <w:tcPr>
            <w:tcW w:w="481" w:type="dxa"/>
          </w:tcPr>
          <w:p w14:paraId="4234C509" w14:textId="77777777" w:rsidR="00F24E88" w:rsidRPr="00F20CF1" w:rsidDel="0040168F" w:rsidRDefault="00F24E88" w:rsidP="00F24E8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7D77C408" w14:textId="0253B1E2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Darbuotojai turi socialinio darbo, socialinės pedagogikos, psichologijos arba edukologijos išsilavinimą arba  jaunimo darbuotojo sertifikatą</w:t>
            </w:r>
          </w:p>
        </w:tc>
        <w:tc>
          <w:tcPr>
            <w:tcW w:w="2700" w:type="dxa"/>
          </w:tcPr>
          <w:p w14:paraId="76A857F8" w14:textId="7777777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Išsilavinimą patvirtinantys dokumentai</w:t>
            </w:r>
          </w:p>
        </w:tc>
        <w:tc>
          <w:tcPr>
            <w:tcW w:w="1828" w:type="dxa"/>
          </w:tcPr>
          <w:p w14:paraId="3343C90B" w14:textId="0E40C566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F24E88" w:rsidRPr="00F20CF1" w14:paraId="20AED760" w14:textId="77777777" w:rsidTr="00985EF4">
        <w:tc>
          <w:tcPr>
            <w:tcW w:w="481" w:type="dxa"/>
          </w:tcPr>
          <w:p w14:paraId="582B1FF3" w14:textId="77777777" w:rsidR="00F24E88" w:rsidRPr="00F20CF1" w:rsidDel="0040168F" w:rsidRDefault="00F24E88" w:rsidP="00F24E8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09758A1E" w14:textId="7777777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 xml:space="preserve">Darbuotojai nuolat kelia savo kompetencijas tiksliniuose darbo su jaunimu mokymuose, konsultacijose </w:t>
            </w:r>
          </w:p>
        </w:tc>
        <w:tc>
          <w:tcPr>
            <w:tcW w:w="2700" w:type="dxa"/>
          </w:tcPr>
          <w:p w14:paraId="7D405665" w14:textId="7777777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Sertifikatai, kompetencijų kėlimo sistemos peržiūra</w:t>
            </w:r>
          </w:p>
        </w:tc>
        <w:tc>
          <w:tcPr>
            <w:tcW w:w="1828" w:type="dxa"/>
          </w:tcPr>
          <w:p w14:paraId="283F550F" w14:textId="7777777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  <w:tr w:rsidR="00F24E88" w:rsidRPr="00F20CF1" w14:paraId="2B94A327" w14:textId="77777777" w:rsidTr="00985EF4">
        <w:trPr>
          <w:trHeight w:val="333"/>
        </w:trPr>
        <w:tc>
          <w:tcPr>
            <w:tcW w:w="481" w:type="dxa"/>
          </w:tcPr>
          <w:p w14:paraId="6E8936D1" w14:textId="77777777" w:rsidR="00F24E88" w:rsidRPr="00F20CF1" w:rsidDel="0040168F" w:rsidRDefault="00F24E88" w:rsidP="00F24E8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</w:p>
        </w:tc>
        <w:tc>
          <w:tcPr>
            <w:tcW w:w="5454" w:type="dxa"/>
          </w:tcPr>
          <w:p w14:paraId="2108F1EE" w14:textId="447D49A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Atvirajame jaunimo centre nuolat vyksta darbas su komanda</w:t>
            </w:r>
          </w:p>
        </w:tc>
        <w:tc>
          <w:tcPr>
            <w:tcW w:w="2700" w:type="dxa"/>
          </w:tcPr>
          <w:p w14:paraId="6F35F0A1" w14:textId="0445F09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Kompetencijų kėlimo sistemos peržiūra, darbo grafikų, tikslinių komandiruočių dokumentų peržiūra, vidinės komunikacijos dokumentai (pvz., protokolai)</w:t>
            </w:r>
          </w:p>
        </w:tc>
        <w:tc>
          <w:tcPr>
            <w:tcW w:w="1828" w:type="dxa"/>
          </w:tcPr>
          <w:p w14:paraId="035D4109" w14:textId="77777777" w:rsidR="00F24E88" w:rsidRPr="00F20CF1" w:rsidRDefault="00F24E88" w:rsidP="00F24E88">
            <w:pPr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</w:pPr>
            <w:r w:rsidRPr="00F20CF1">
              <w:rPr>
                <w:rFonts w:ascii="Times New Roman" w:eastAsia="BaskervilleTenOT-Identity-H" w:hAnsi="Times New Roman"/>
                <w:sz w:val="24"/>
                <w:szCs w:val="24"/>
                <w:lang w:val="lt-LT"/>
              </w:rPr>
              <w:t>Taip / ne / iš dalies</w:t>
            </w:r>
          </w:p>
        </w:tc>
      </w:tr>
    </w:tbl>
    <w:p w14:paraId="0BE2D642" w14:textId="77777777" w:rsidR="00F40820" w:rsidRPr="00985EF4" w:rsidRDefault="00F40820" w:rsidP="00985EF4">
      <w:pPr>
        <w:rPr>
          <w:rFonts w:ascii="Times New Roman" w:hAnsi="Times New Roman"/>
          <w:sz w:val="24"/>
          <w:szCs w:val="24"/>
          <w:lang w:val="lt-LT"/>
        </w:rPr>
      </w:pPr>
    </w:p>
    <w:p w14:paraId="184260B2" w14:textId="77777777" w:rsidR="00F40820" w:rsidRDefault="00F40820" w:rsidP="00985EF4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357"/>
        <w:gridCol w:w="277"/>
        <w:gridCol w:w="2422"/>
        <w:gridCol w:w="278"/>
        <w:gridCol w:w="2028"/>
        <w:gridCol w:w="278"/>
        <w:gridCol w:w="3958"/>
      </w:tblGrid>
      <w:tr w:rsidR="00E31FE8" w:rsidRPr="00E31FE8" w14:paraId="7F7352EB" w14:textId="77777777" w:rsidTr="00E31FE8">
        <w:tc>
          <w:tcPr>
            <w:tcW w:w="10598" w:type="dxa"/>
            <w:gridSpan w:val="7"/>
            <w:shd w:val="clear" w:color="auto" w:fill="auto"/>
          </w:tcPr>
          <w:p w14:paraId="519D9D89" w14:textId="77777777" w:rsidR="00E31FE8" w:rsidRPr="00E31FE8" w:rsidRDefault="00E31FE8" w:rsidP="00A228E3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Tikrinęs asmuo</w:t>
            </w:r>
          </w:p>
          <w:p w14:paraId="26B16B6F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31FE8" w:rsidRPr="00E31FE8" w14:paraId="3A31CC14" w14:textId="77777777" w:rsidTr="00E31FE8"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0FA29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shd w:val="clear" w:color="auto" w:fill="auto"/>
          </w:tcPr>
          <w:p w14:paraId="05C9A2E2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A5D1E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" w:type="dxa"/>
            <w:shd w:val="clear" w:color="auto" w:fill="auto"/>
          </w:tcPr>
          <w:p w14:paraId="28531766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5732F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" w:type="dxa"/>
            <w:shd w:val="clear" w:color="auto" w:fill="auto"/>
          </w:tcPr>
          <w:p w14:paraId="4A107E5B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C504F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31FE8" w:rsidRPr="00E31FE8" w14:paraId="12E8C678" w14:textId="77777777" w:rsidTr="00E31FE8"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EBF7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(data)</w:t>
            </w:r>
          </w:p>
        </w:tc>
        <w:tc>
          <w:tcPr>
            <w:tcW w:w="277" w:type="dxa"/>
            <w:shd w:val="clear" w:color="auto" w:fill="auto"/>
          </w:tcPr>
          <w:p w14:paraId="715F2E41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E7769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(pareigos)</w:t>
            </w:r>
          </w:p>
        </w:tc>
        <w:tc>
          <w:tcPr>
            <w:tcW w:w="278" w:type="dxa"/>
            <w:shd w:val="clear" w:color="auto" w:fill="auto"/>
          </w:tcPr>
          <w:p w14:paraId="6DB7E476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483AB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278" w:type="dxa"/>
            <w:shd w:val="clear" w:color="auto" w:fill="auto"/>
          </w:tcPr>
          <w:p w14:paraId="07FC1A41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EF00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(vardas, pavardė)</w:t>
            </w:r>
          </w:p>
        </w:tc>
      </w:tr>
    </w:tbl>
    <w:p w14:paraId="6296E35F" w14:textId="77777777" w:rsidR="00E31FE8" w:rsidRDefault="00E31FE8" w:rsidP="00985EF4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357"/>
        <w:gridCol w:w="277"/>
        <w:gridCol w:w="2422"/>
        <w:gridCol w:w="278"/>
        <w:gridCol w:w="2028"/>
        <w:gridCol w:w="278"/>
        <w:gridCol w:w="3958"/>
      </w:tblGrid>
      <w:tr w:rsidR="00E31FE8" w:rsidRPr="00E31FE8" w14:paraId="03F345AD" w14:textId="77777777" w:rsidTr="00A228E3">
        <w:tc>
          <w:tcPr>
            <w:tcW w:w="10598" w:type="dxa"/>
            <w:gridSpan w:val="7"/>
            <w:shd w:val="clear" w:color="auto" w:fill="auto"/>
          </w:tcPr>
          <w:p w14:paraId="0B54DAD7" w14:textId="77777777" w:rsidR="00E31FE8" w:rsidRDefault="00E31FE8" w:rsidP="00A228E3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15C16B0" w14:textId="77777777" w:rsidR="00E31FE8" w:rsidRDefault="00E31FE8" w:rsidP="00A228E3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93588D8" w14:textId="00AD16EB" w:rsidR="00E31FE8" w:rsidRPr="00E31FE8" w:rsidRDefault="00E31FE8" w:rsidP="00A228E3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Atvirojo jaunimo centro atstovas</w:t>
            </w:r>
          </w:p>
          <w:p w14:paraId="05CF7CCC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31FE8" w:rsidRPr="00E31FE8" w14:paraId="1C5AE9E8" w14:textId="77777777" w:rsidTr="00A228E3"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4ADBB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shd w:val="clear" w:color="auto" w:fill="auto"/>
          </w:tcPr>
          <w:p w14:paraId="62499508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7334A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" w:type="dxa"/>
            <w:shd w:val="clear" w:color="auto" w:fill="auto"/>
          </w:tcPr>
          <w:p w14:paraId="2FA7807D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916BF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" w:type="dxa"/>
            <w:shd w:val="clear" w:color="auto" w:fill="auto"/>
          </w:tcPr>
          <w:p w14:paraId="39EA8756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6C1EF" w14:textId="77777777" w:rsidR="00E31FE8" w:rsidRPr="00E31FE8" w:rsidRDefault="00E31FE8" w:rsidP="00A228E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31FE8" w:rsidRPr="00E31FE8" w14:paraId="5989FFF2" w14:textId="77777777" w:rsidTr="00A228E3"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3B53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(data)</w:t>
            </w:r>
          </w:p>
        </w:tc>
        <w:tc>
          <w:tcPr>
            <w:tcW w:w="277" w:type="dxa"/>
            <w:shd w:val="clear" w:color="auto" w:fill="auto"/>
          </w:tcPr>
          <w:p w14:paraId="440CDB62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91E96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(pareigos)</w:t>
            </w:r>
          </w:p>
        </w:tc>
        <w:tc>
          <w:tcPr>
            <w:tcW w:w="278" w:type="dxa"/>
            <w:shd w:val="clear" w:color="auto" w:fill="auto"/>
          </w:tcPr>
          <w:p w14:paraId="5C272E1E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15A1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278" w:type="dxa"/>
            <w:shd w:val="clear" w:color="auto" w:fill="auto"/>
          </w:tcPr>
          <w:p w14:paraId="1E47AE70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B636" w14:textId="77777777" w:rsidR="00E31FE8" w:rsidRPr="00E31FE8" w:rsidRDefault="00E31FE8" w:rsidP="00A228E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31F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(vardas, pavardė)</w:t>
            </w:r>
          </w:p>
        </w:tc>
      </w:tr>
    </w:tbl>
    <w:p w14:paraId="1E2CC7F3" w14:textId="77777777" w:rsidR="00E31FE8" w:rsidRDefault="00E31FE8" w:rsidP="00E31FE8">
      <w:pPr>
        <w:rPr>
          <w:rFonts w:ascii="Times New Roman" w:hAnsi="Times New Roman"/>
          <w:sz w:val="24"/>
          <w:szCs w:val="24"/>
          <w:lang w:val="lt-LT"/>
        </w:rPr>
      </w:pPr>
    </w:p>
    <w:p w14:paraId="6648E69C" w14:textId="2C17D43A" w:rsidR="00E31FE8" w:rsidRPr="00E31FE8" w:rsidRDefault="00E31FE8" w:rsidP="00E31FE8">
      <w:pPr>
        <w:rPr>
          <w:rFonts w:ascii="Times New Roman" w:hAnsi="Times New Roman"/>
          <w:sz w:val="24"/>
          <w:szCs w:val="24"/>
          <w:lang w:val="lt-LT"/>
        </w:rPr>
      </w:pPr>
    </w:p>
    <w:sectPr w:rsidR="00E31FE8" w:rsidRPr="00E31FE8" w:rsidSect="00073C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TenOT-Identity-H">
    <w:altName w:val="Times New Roman"/>
    <w:charset w:val="BA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07C"/>
    <w:multiLevelType w:val="hybridMultilevel"/>
    <w:tmpl w:val="3A52C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A0B1D"/>
    <w:multiLevelType w:val="hybridMultilevel"/>
    <w:tmpl w:val="E07C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F1903"/>
    <w:multiLevelType w:val="hybridMultilevel"/>
    <w:tmpl w:val="6584F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E"/>
    <w:rsid w:val="00001533"/>
    <w:rsid w:val="0002078F"/>
    <w:rsid w:val="00030F14"/>
    <w:rsid w:val="00036CD7"/>
    <w:rsid w:val="00052F8E"/>
    <w:rsid w:val="00070894"/>
    <w:rsid w:val="00073C07"/>
    <w:rsid w:val="000D3B0A"/>
    <w:rsid w:val="001958A4"/>
    <w:rsid w:val="001F6BCD"/>
    <w:rsid w:val="00237B3F"/>
    <w:rsid w:val="002E4056"/>
    <w:rsid w:val="002F1F46"/>
    <w:rsid w:val="00335365"/>
    <w:rsid w:val="00375189"/>
    <w:rsid w:val="004C768C"/>
    <w:rsid w:val="00551720"/>
    <w:rsid w:val="00585C3E"/>
    <w:rsid w:val="00661993"/>
    <w:rsid w:val="006E45D0"/>
    <w:rsid w:val="006E6600"/>
    <w:rsid w:val="006F4944"/>
    <w:rsid w:val="00756280"/>
    <w:rsid w:val="0077321D"/>
    <w:rsid w:val="007C4A26"/>
    <w:rsid w:val="00893C32"/>
    <w:rsid w:val="00970E06"/>
    <w:rsid w:val="00985EF4"/>
    <w:rsid w:val="00A1528B"/>
    <w:rsid w:val="00A2512A"/>
    <w:rsid w:val="00A535BE"/>
    <w:rsid w:val="00A701B1"/>
    <w:rsid w:val="00AC6A95"/>
    <w:rsid w:val="00BA2E5C"/>
    <w:rsid w:val="00BA3792"/>
    <w:rsid w:val="00BB785E"/>
    <w:rsid w:val="00BF5D56"/>
    <w:rsid w:val="00C23F2A"/>
    <w:rsid w:val="00C437A5"/>
    <w:rsid w:val="00D33856"/>
    <w:rsid w:val="00D762DB"/>
    <w:rsid w:val="00D92BD6"/>
    <w:rsid w:val="00D95B4B"/>
    <w:rsid w:val="00DD686F"/>
    <w:rsid w:val="00E03A41"/>
    <w:rsid w:val="00E31FE8"/>
    <w:rsid w:val="00E501C9"/>
    <w:rsid w:val="00F20CF1"/>
    <w:rsid w:val="00F24E88"/>
    <w:rsid w:val="00F40820"/>
    <w:rsid w:val="00F555A3"/>
    <w:rsid w:val="00FB4952"/>
    <w:rsid w:val="00FC7223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1A875"/>
  <w14:defaultImageDpi w14:val="300"/>
  <w15:docId w15:val="{D3918A51-CFC3-4DB9-8095-DC67CC39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pacing w:val="-10"/>
        <w:kern w:val="28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6BCD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6BCD"/>
    <w:rPr>
      <w:rFonts w:ascii="Lucida Grande" w:eastAsia="Calibri" w:hAnsi="Lucida Grande" w:cs="Lucida Grande"/>
      <w:sz w:val="18"/>
      <w:szCs w:val="18"/>
    </w:rPr>
  </w:style>
  <w:style w:type="paragraph" w:customStyle="1" w:styleId="Default">
    <w:name w:val="Default"/>
    <w:basedOn w:val="prastasis"/>
    <w:rsid w:val="00A535BE"/>
    <w:pPr>
      <w:widowControl w:val="0"/>
      <w:suppressAutoHyphens/>
      <w:autoSpaceDE w:val="0"/>
    </w:pPr>
    <w:rPr>
      <w:rFonts w:ascii="Times New Roman" w:eastAsia="Arial Unicode MS" w:hAnsi="Times New Roman"/>
      <w:spacing w:val="0"/>
      <w:kern w:val="1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0D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7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99E2-0621-4BB5-954D-93C8EBBB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Vydūnas Trapinskas</cp:lastModifiedBy>
  <cp:revision>3</cp:revision>
  <cp:lastPrinted>2017-11-26T12:17:00Z</cp:lastPrinted>
  <dcterms:created xsi:type="dcterms:W3CDTF">2018-02-14T12:22:00Z</dcterms:created>
  <dcterms:modified xsi:type="dcterms:W3CDTF">2018-02-14T12:46:00Z</dcterms:modified>
</cp:coreProperties>
</file>