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5B29" w14:textId="77777777" w:rsidR="00AF6B64" w:rsidRPr="00EE57A0" w:rsidRDefault="00AF6B64" w:rsidP="00AF6B64">
      <w:pPr>
        <w:ind w:left="6237"/>
        <w:rPr>
          <w:rFonts w:eastAsiaTheme="majorEastAsia" w:cs="Times New Roman"/>
          <w:bCs/>
          <w:szCs w:val="24"/>
          <w:lang w:val="lt-LT" w:eastAsia="lt-LT"/>
        </w:rPr>
      </w:pPr>
      <w:bookmarkStart w:id="0" w:name="_Toc333317793"/>
      <w:bookmarkStart w:id="1" w:name="_GoBack"/>
      <w:bookmarkEnd w:id="1"/>
      <w:r w:rsidRPr="00EE57A0">
        <w:rPr>
          <w:rFonts w:eastAsiaTheme="majorEastAsia" w:cs="Times New Roman"/>
          <w:bCs/>
          <w:szCs w:val="24"/>
          <w:lang w:val="lt-LT" w:eastAsia="lt-LT"/>
        </w:rPr>
        <w:t>AB „Klaipėdos nafta“ naudojimosi</w:t>
      </w:r>
    </w:p>
    <w:p w14:paraId="17395B2A" w14:textId="77777777" w:rsidR="005F656C" w:rsidRPr="00EE57A0" w:rsidRDefault="00AF6B64" w:rsidP="00AF6B64">
      <w:pPr>
        <w:ind w:left="6237"/>
        <w:rPr>
          <w:rFonts w:eastAsiaTheme="majorEastAsia" w:cs="Times New Roman"/>
          <w:bCs/>
          <w:szCs w:val="24"/>
          <w:lang w:val="lt-LT" w:eastAsia="lt-LT"/>
        </w:rPr>
      </w:pPr>
      <w:r w:rsidRPr="00EE57A0">
        <w:rPr>
          <w:rFonts w:eastAsiaTheme="majorEastAsia" w:cs="Times New Roman"/>
          <w:bCs/>
          <w:szCs w:val="24"/>
          <w:lang w:val="lt-LT" w:eastAsia="lt-LT"/>
        </w:rPr>
        <w:t xml:space="preserve">suskystintų gamtinių dujų </w:t>
      </w:r>
    </w:p>
    <w:p w14:paraId="17395B2B" w14:textId="77777777" w:rsidR="00AF6B64" w:rsidRPr="00EE57A0" w:rsidRDefault="00AF6B64" w:rsidP="00AF6B64">
      <w:pPr>
        <w:ind w:left="6237"/>
        <w:rPr>
          <w:rFonts w:eastAsiaTheme="majorEastAsia" w:cs="Times New Roman"/>
          <w:bCs/>
          <w:szCs w:val="24"/>
          <w:lang w:val="lt-LT" w:eastAsia="lt-LT"/>
        </w:rPr>
      </w:pPr>
      <w:r w:rsidRPr="00EE57A0">
        <w:rPr>
          <w:rFonts w:eastAsiaTheme="majorEastAsia" w:cs="Times New Roman"/>
          <w:bCs/>
          <w:szCs w:val="24"/>
          <w:lang w:val="lt-LT" w:eastAsia="lt-LT"/>
        </w:rPr>
        <w:t>terminalu taisyklių</w:t>
      </w:r>
    </w:p>
    <w:p w14:paraId="17395B2C" w14:textId="77777777" w:rsidR="004C5769" w:rsidRPr="00EE57A0" w:rsidRDefault="00AF6B64" w:rsidP="00AF6B64">
      <w:pPr>
        <w:pStyle w:val="Default"/>
        <w:ind w:left="4941" w:firstLine="1296"/>
        <w:rPr>
          <w:rFonts w:ascii="Times New Roman" w:hAnsi="Times New Roman" w:cs="Times New Roman"/>
          <w:b/>
          <w:bCs/>
          <w:color w:val="auto"/>
          <w:lang w:eastAsia="lt-LT"/>
        </w:rPr>
      </w:pPr>
      <w:r w:rsidRPr="00EE57A0">
        <w:rPr>
          <w:rFonts w:ascii="Times New Roman" w:eastAsiaTheme="majorEastAsia" w:hAnsi="Times New Roman" w:cs="Times New Roman"/>
          <w:bCs/>
          <w:color w:val="auto"/>
          <w:lang w:eastAsia="lt-LT"/>
        </w:rPr>
        <w:t>13 priedas</w:t>
      </w:r>
    </w:p>
    <w:p w14:paraId="17395B2D" w14:textId="77777777" w:rsidR="004C5769" w:rsidRPr="00EE57A0" w:rsidRDefault="004C5769" w:rsidP="004C5769">
      <w:pPr>
        <w:jc w:val="center"/>
        <w:outlineLvl w:val="1"/>
        <w:rPr>
          <w:rFonts w:eastAsia="Times New Roman" w:cs="Times New Roman"/>
          <w:b/>
          <w:bCs/>
          <w:szCs w:val="24"/>
          <w:lang w:val="lt-LT" w:eastAsia="lt-LT"/>
        </w:rPr>
      </w:pPr>
    </w:p>
    <w:bookmarkEnd w:id="0"/>
    <w:p w14:paraId="17395B2E" w14:textId="77777777" w:rsidR="004C5769" w:rsidRPr="00EE57A0" w:rsidRDefault="004C5769" w:rsidP="004C5769">
      <w:pPr>
        <w:pStyle w:val="Default"/>
        <w:jc w:val="center"/>
        <w:rPr>
          <w:rFonts w:ascii="Times New Roman" w:hAnsi="Times New Roman" w:cs="Times New Roman"/>
          <w:b/>
          <w:bCs/>
          <w:color w:val="auto"/>
          <w:lang w:eastAsia="lt-LT"/>
        </w:rPr>
      </w:pPr>
      <w:r w:rsidRPr="00EE57A0">
        <w:rPr>
          <w:rFonts w:ascii="Times New Roman" w:hAnsi="Times New Roman" w:cs="Times New Roman"/>
          <w:b/>
          <w:bCs/>
          <w:color w:val="auto"/>
          <w:lang w:eastAsia="lt-LT"/>
        </w:rPr>
        <w:t>Banko garantijos forma, skirta Terminalo naudotojo prievolių įvykdymo užtikrinimui</w:t>
      </w:r>
    </w:p>
    <w:p w14:paraId="17395B2F" w14:textId="77777777" w:rsidR="004C5769" w:rsidRPr="00EE57A0" w:rsidRDefault="004C5769" w:rsidP="004C5769">
      <w:pPr>
        <w:spacing w:line="260" w:lineRule="exact"/>
        <w:jc w:val="both"/>
        <w:rPr>
          <w:rFonts w:eastAsia="Times New Roman" w:cs="Times New Roman"/>
          <w:szCs w:val="24"/>
          <w:lang w:val="lt-LT" w:eastAsia="lt-LT"/>
        </w:rPr>
      </w:pPr>
    </w:p>
    <w:p w14:paraId="17395B30" w14:textId="77777777" w:rsidR="004C5769" w:rsidRPr="00EE57A0" w:rsidRDefault="004C5769" w:rsidP="004C5769">
      <w:pPr>
        <w:spacing w:line="260" w:lineRule="exact"/>
        <w:jc w:val="both"/>
        <w:rPr>
          <w:rFonts w:eastAsia="Times New Roman" w:cs="Times New Roman"/>
          <w:szCs w:val="24"/>
          <w:lang w:val="lt-LT" w:eastAsia="lt-LT"/>
        </w:rPr>
      </w:pPr>
    </w:p>
    <w:p w14:paraId="17395B31" w14:textId="77777777" w:rsidR="004C5769" w:rsidRPr="00EE57A0" w:rsidRDefault="004C5769" w:rsidP="004C5769">
      <w:pPr>
        <w:spacing w:line="260" w:lineRule="exact"/>
        <w:ind w:left="3969" w:hanging="3885"/>
        <w:jc w:val="both"/>
        <w:rPr>
          <w:rFonts w:eastAsia="Times New Roman" w:cs="Times New Roman"/>
          <w:szCs w:val="24"/>
          <w:lang w:val="lt-LT" w:eastAsia="lt-LT"/>
        </w:rPr>
      </w:pPr>
      <w:r w:rsidRPr="00EE57A0">
        <w:rPr>
          <w:rFonts w:eastAsia="Times New Roman" w:cs="Times New Roman"/>
          <w:szCs w:val="24"/>
          <w:lang w:val="lt-LT" w:eastAsia="lt-LT"/>
        </w:rPr>
        <w:t xml:space="preserve">Kam: </w:t>
      </w:r>
      <w:r w:rsidRPr="00EE57A0">
        <w:rPr>
          <w:rFonts w:eastAsia="Times New Roman" w:cs="Times New Roman"/>
          <w:szCs w:val="24"/>
          <w:lang w:val="lt-LT" w:eastAsia="lt-LT"/>
        </w:rPr>
        <w:tab/>
        <w:t xml:space="preserve">akcinei bendrovei „Klaipėdos nafta“, juridinio asmens kodas </w:t>
      </w:r>
      <w:r w:rsidRPr="00EE57A0">
        <w:rPr>
          <w:rFonts w:eastAsia="Times New Roman" w:cs="Times New Roman"/>
          <w:szCs w:val="24"/>
          <w:shd w:val="clear" w:color="auto" w:fill="FFFFFF"/>
          <w:lang w:val="lt-LT" w:eastAsia="lt-LT"/>
        </w:rPr>
        <w:t>110648893</w:t>
      </w:r>
      <w:r w:rsidRPr="00EE57A0">
        <w:rPr>
          <w:rFonts w:eastAsia="Times New Roman" w:cs="Times New Roman"/>
          <w:szCs w:val="24"/>
          <w:lang w:val="lt-LT" w:eastAsia="lt-LT"/>
        </w:rPr>
        <w:t>, registruotos buveinės adresas Burių g. 19, Klaipėda, Lietuvos Respublika, dėl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m.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xml:space="preserve">] d. Sutarties dėl </w:t>
      </w:r>
      <w:r w:rsidRPr="00EE57A0">
        <w:rPr>
          <w:rFonts w:eastAsia="SimSun" w:cs="Times New Roman"/>
          <w:bCs/>
          <w:szCs w:val="24"/>
          <w:lang w:val="lt-LT" w:eastAsia="zh-CN"/>
        </w:rPr>
        <w:t>naudojimosi suskystintų gamtinių dujų terminalu</w:t>
      </w:r>
      <w:r w:rsidRPr="00EE57A0">
        <w:rPr>
          <w:rFonts w:eastAsia="Times New Roman" w:cs="Times New Roman"/>
          <w:szCs w:val="24"/>
          <w:lang w:val="lt-LT" w:eastAsia="lt-LT"/>
        </w:rPr>
        <w:t>, sudarytos tarp Naudos gavėjo (kaip apibrėžta toliau) ir Pareiškėjo (kaip apibrėžta toliau) (toliau – Sutartis) ir Naudojimosi suskystintų gamtinių dujų terminalu taisyklių, patvirtintų akcinės bendrovės „Klaipėdos nafta“ generalinio direktoriaus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m.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d. įsakymu Nr.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(toliau – Taisyklės).</w:t>
      </w:r>
    </w:p>
    <w:p w14:paraId="17395B32" w14:textId="77777777" w:rsidR="004C5769" w:rsidRPr="00EE57A0" w:rsidRDefault="004C5769" w:rsidP="004C5769">
      <w:pPr>
        <w:spacing w:line="260" w:lineRule="exact"/>
        <w:jc w:val="both"/>
        <w:rPr>
          <w:rFonts w:eastAsia="Times New Roman" w:cs="Times New Roman"/>
          <w:szCs w:val="24"/>
          <w:lang w:val="lt-LT" w:eastAsia="lt-LT"/>
        </w:rPr>
      </w:pPr>
    </w:p>
    <w:p w14:paraId="17395B33"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Data:</w:t>
      </w:r>
      <w:r w:rsidRPr="00EE57A0">
        <w:rPr>
          <w:rFonts w:eastAsia="Times New Roman" w:cs="Times New Roman"/>
          <w:szCs w:val="24"/>
          <w:lang w:val="lt-LT" w:eastAsia="lt-LT"/>
        </w:rPr>
        <w:tab/>
      </w:r>
      <w:r w:rsidRPr="00EE57A0">
        <w:rPr>
          <w:rFonts w:eastAsia="Times New Roman" w:cs="Times New Roman"/>
          <w:szCs w:val="24"/>
          <w:lang w:val="lt-LT" w:eastAsia="lt-LT"/>
        </w:rPr>
        <w:tab/>
      </w:r>
      <w:r w:rsidRPr="00EE57A0">
        <w:rPr>
          <w:rFonts w:eastAsia="Times New Roman" w:cs="Times New Roman"/>
          <w:szCs w:val="24"/>
          <w:lang w:val="lt-LT" w:eastAsia="lt-LT"/>
        </w:rPr>
        <w:tab/>
        <w:t xml:space="preserve">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p>
    <w:p w14:paraId="17395B34" w14:textId="77777777" w:rsidR="004C5769" w:rsidRPr="00EE57A0" w:rsidRDefault="004C5769" w:rsidP="004C5769">
      <w:pPr>
        <w:spacing w:line="260" w:lineRule="exact"/>
        <w:jc w:val="both"/>
        <w:rPr>
          <w:rFonts w:eastAsia="Times New Roman" w:cs="Times New Roman"/>
          <w:szCs w:val="24"/>
          <w:lang w:val="lt-LT" w:eastAsia="lt-LT"/>
        </w:rPr>
      </w:pPr>
    </w:p>
    <w:p w14:paraId="17395B35"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Garantijos tipas: </w:t>
      </w:r>
      <w:r w:rsidRPr="00EE57A0">
        <w:rPr>
          <w:rFonts w:eastAsia="Times New Roman" w:cs="Times New Roman"/>
          <w:szCs w:val="24"/>
          <w:lang w:val="lt-LT" w:eastAsia="lt-LT"/>
        </w:rPr>
        <w:tab/>
      </w:r>
      <w:r w:rsidRPr="00EE57A0">
        <w:rPr>
          <w:rFonts w:eastAsia="Times New Roman" w:cs="Times New Roman"/>
          <w:szCs w:val="24"/>
          <w:lang w:val="lt-LT" w:eastAsia="lt-LT"/>
        </w:rPr>
        <w:tab/>
        <w:t xml:space="preserve">Įsipareigojimų vykdymo garantija </w:t>
      </w:r>
    </w:p>
    <w:p w14:paraId="17395B36" w14:textId="77777777" w:rsidR="004C5769" w:rsidRPr="00EE57A0" w:rsidRDefault="004C5769" w:rsidP="004C5769">
      <w:pPr>
        <w:spacing w:line="260" w:lineRule="exact"/>
        <w:jc w:val="both"/>
        <w:rPr>
          <w:rFonts w:eastAsia="Times New Roman" w:cs="Times New Roman"/>
          <w:szCs w:val="24"/>
          <w:lang w:val="lt-LT" w:eastAsia="lt-LT"/>
        </w:rPr>
      </w:pPr>
    </w:p>
    <w:p w14:paraId="17395B37"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Garantijos Nr.</w:t>
      </w:r>
      <w:r w:rsidRPr="00EE57A0">
        <w:rPr>
          <w:rFonts w:eastAsia="Times New Roman" w:cs="Times New Roman"/>
          <w:szCs w:val="24"/>
          <w:lang w:val="lt-LT" w:eastAsia="lt-LT"/>
        </w:rPr>
        <w:tab/>
        <w:t xml:space="preserve"> </w:t>
      </w:r>
      <w:r w:rsidRPr="00EE57A0">
        <w:rPr>
          <w:rFonts w:eastAsia="Times New Roman" w:cs="Times New Roman"/>
          <w:szCs w:val="24"/>
          <w:lang w:val="lt-LT" w:eastAsia="lt-LT"/>
        </w:rPr>
        <w:tab/>
      </w:r>
      <w:r w:rsidRPr="00EE57A0">
        <w:rPr>
          <w:rFonts w:eastAsia="Times New Roman" w:cs="Times New Roman"/>
          <w:szCs w:val="24"/>
          <w:lang w:val="lt-LT" w:eastAsia="lt-LT"/>
        </w:rPr>
        <w:tab/>
        <w:t xml:space="preserve">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p>
    <w:p w14:paraId="17395B38" w14:textId="77777777" w:rsidR="004C5769" w:rsidRPr="00EE57A0" w:rsidRDefault="004C5769" w:rsidP="004C5769">
      <w:pPr>
        <w:spacing w:line="260" w:lineRule="exact"/>
        <w:jc w:val="both"/>
        <w:rPr>
          <w:rFonts w:eastAsia="Times New Roman" w:cs="Times New Roman"/>
          <w:szCs w:val="24"/>
          <w:lang w:val="lt-LT" w:eastAsia="lt-LT"/>
        </w:rPr>
      </w:pPr>
    </w:p>
    <w:p w14:paraId="17395B39" w14:textId="77777777" w:rsidR="004C5769" w:rsidRPr="00EE57A0" w:rsidRDefault="004C5769" w:rsidP="006C32A4">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Garantas: </w:t>
      </w:r>
      <w:r w:rsidRPr="00EE57A0">
        <w:rPr>
          <w:rFonts w:eastAsia="Times New Roman" w:cs="Times New Roman"/>
          <w:szCs w:val="24"/>
          <w:lang w:val="lt-LT" w:eastAsia="lt-LT"/>
        </w:rPr>
        <w:tab/>
      </w:r>
      <w:r w:rsidR="006C32A4" w:rsidRPr="00EE57A0">
        <w:rPr>
          <w:rFonts w:eastAsia="Times New Roman" w:cs="Times New Roman"/>
          <w:szCs w:val="24"/>
          <w:lang w:val="lt-LT" w:eastAsia="lt-LT"/>
        </w:rPr>
        <w:tab/>
      </w:r>
      <w:r w:rsidR="006C32A4" w:rsidRPr="00EE57A0">
        <w:rPr>
          <w:rFonts w:eastAsia="Times New Roman" w:cs="Times New Roman"/>
          <w:szCs w:val="24"/>
          <w:lang w:val="lt-LT" w:eastAsia="lt-LT"/>
        </w:rPr>
        <w:tab/>
        <w:t xml:space="preserve"> </w:t>
      </w:r>
      <w:r w:rsidRPr="00EE57A0">
        <w:rPr>
          <w:rFonts w:eastAsia="Times New Roman" w:cs="Times New Roman"/>
          <w:szCs w:val="24"/>
          <w:lang w:val="lt-LT" w:eastAsia="lt-LT"/>
        </w:rPr>
        <w:t>[</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p>
    <w:p w14:paraId="17395B3A" w14:textId="77777777" w:rsidR="004C5769" w:rsidRPr="00EE57A0" w:rsidRDefault="004C5769" w:rsidP="004C5769">
      <w:pPr>
        <w:spacing w:line="260" w:lineRule="exact"/>
        <w:ind w:left="3885" w:hanging="3885"/>
        <w:jc w:val="both"/>
        <w:rPr>
          <w:rFonts w:eastAsia="Times New Roman" w:cs="Times New Roman"/>
          <w:szCs w:val="24"/>
          <w:lang w:val="lt-LT" w:eastAsia="lt-LT"/>
        </w:rPr>
      </w:pPr>
    </w:p>
    <w:p w14:paraId="17395B3B" w14:textId="77777777" w:rsidR="004C5769" w:rsidRPr="00EE57A0" w:rsidRDefault="004C5769" w:rsidP="004C5769">
      <w:pPr>
        <w:spacing w:line="260" w:lineRule="exact"/>
        <w:ind w:left="3969" w:hanging="3885"/>
        <w:jc w:val="both"/>
        <w:rPr>
          <w:rFonts w:eastAsia="Times New Roman" w:cs="Times New Roman"/>
          <w:szCs w:val="24"/>
          <w:lang w:val="lt-LT" w:eastAsia="lt-LT"/>
        </w:rPr>
      </w:pPr>
      <w:r w:rsidRPr="00EE57A0">
        <w:rPr>
          <w:rFonts w:eastAsia="Times New Roman" w:cs="Times New Roman"/>
          <w:szCs w:val="24"/>
          <w:lang w:val="lt-LT" w:eastAsia="lt-LT"/>
        </w:rPr>
        <w:t xml:space="preserve">Pareiškėjas: </w:t>
      </w:r>
      <w:r w:rsidRPr="00EE57A0">
        <w:rPr>
          <w:rFonts w:eastAsia="Times New Roman" w:cs="Times New Roman"/>
          <w:szCs w:val="24"/>
          <w:lang w:val="lt-LT" w:eastAsia="lt-LT"/>
        </w:rPr>
        <w:tab/>
        <w:t>[</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bendrovė, įsteigta ir veikianti pagal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įstatymus, juridinio asmens kodas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 registruotos buveinės adresas [</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p>
    <w:p w14:paraId="17395B3C" w14:textId="77777777" w:rsidR="004C5769" w:rsidRPr="00EE57A0" w:rsidRDefault="004C5769" w:rsidP="004C5769">
      <w:pPr>
        <w:spacing w:line="260" w:lineRule="exact"/>
        <w:ind w:left="3885" w:hanging="3885"/>
        <w:jc w:val="both"/>
        <w:rPr>
          <w:rFonts w:eastAsia="Times New Roman" w:cs="Times New Roman"/>
          <w:szCs w:val="24"/>
          <w:lang w:val="lt-LT" w:eastAsia="lt-LT"/>
        </w:rPr>
      </w:pPr>
    </w:p>
    <w:p w14:paraId="17395B3D" w14:textId="77777777" w:rsidR="004C5769" w:rsidRPr="00EE57A0" w:rsidRDefault="004C5769" w:rsidP="004C5769">
      <w:pPr>
        <w:spacing w:line="260" w:lineRule="exact"/>
        <w:ind w:left="3969" w:hanging="3885"/>
        <w:jc w:val="both"/>
        <w:rPr>
          <w:rFonts w:eastAsia="Times New Roman" w:cs="Times New Roman"/>
          <w:szCs w:val="24"/>
          <w:lang w:val="lt-LT" w:eastAsia="lt-LT"/>
        </w:rPr>
      </w:pPr>
      <w:r w:rsidRPr="00EE57A0">
        <w:rPr>
          <w:rFonts w:eastAsia="Times New Roman" w:cs="Times New Roman"/>
          <w:szCs w:val="24"/>
          <w:lang w:val="lt-LT" w:eastAsia="lt-LT"/>
        </w:rPr>
        <w:t xml:space="preserve">Naudos gavėjas: </w:t>
      </w:r>
      <w:r w:rsidRPr="00EE57A0">
        <w:rPr>
          <w:rFonts w:eastAsia="Times New Roman" w:cs="Times New Roman"/>
          <w:szCs w:val="24"/>
          <w:lang w:val="lt-LT" w:eastAsia="lt-LT"/>
        </w:rPr>
        <w:tab/>
        <w:t xml:space="preserve">akcinė bendrovė „Klaipėdos nafta“, juridinio asmens kodas </w:t>
      </w:r>
      <w:r w:rsidRPr="00EE57A0">
        <w:rPr>
          <w:rFonts w:eastAsia="Times New Roman" w:cs="Times New Roman"/>
          <w:szCs w:val="24"/>
          <w:shd w:val="clear" w:color="auto" w:fill="FFFFFF"/>
          <w:lang w:val="lt-LT" w:eastAsia="lt-LT"/>
        </w:rPr>
        <w:t>110648893</w:t>
      </w:r>
      <w:r w:rsidRPr="00EE57A0">
        <w:rPr>
          <w:rFonts w:eastAsia="Times New Roman" w:cs="Times New Roman"/>
          <w:szCs w:val="24"/>
          <w:lang w:val="lt-LT" w:eastAsia="lt-LT"/>
        </w:rPr>
        <w:t>, registruotos buveinės adresas Burių g. 19, Klaipėda, Lietuvos Respublika.</w:t>
      </w:r>
    </w:p>
    <w:p w14:paraId="17395B3E" w14:textId="77777777" w:rsidR="004C5769" w:rsidRPr="00EE57A0" w:rsidRDefault="004C5769" w:rsidP="004C5769">
      <w:pPr>
        <w:spacing w:line="260" w:lineRule="exact"/>
        <w:ind w:left="3885" w:hanging="3885"/>
        <w:jc w:val="both"/>
        <w:rPr>
          <w:rFonts w:eastAsia="Times New Roman" w:cs="Times New Roman"/>
          <w:szCs w:val="24"/>
          <w:lang w:val="lt-LT" w:eastAsia="lt-LT"/>
        </w:rPr>
      </w:pPr>
    </w:p>
    <w:p w14:paraId="17395B3F" w14:textId="77777777" w:rsidR="004C5769" w:rsidRPr="00EE57A0" w:rsidRDefault="004C5769" w:rsidP="004C5769">
      <w:pPr>
        <w:spacing w:line="260" w:lineRule="exact"/>
        <w:ind w:left="3969" w:hanging="3885"/>
        <w:jc w:val="both"/>
        <w:rPr>
          <w:rFonts w:eastAsia="Times New Roman" w:cs="Times New Roman"/>
          <w:szCs w:val="24"/>
          <w:lang w:val="lt-LT" w:eastAsia="lt-LT"/>
        </w:rPr>
      </w:pPr>
      <w:r w:rsidRPr="00EE57A0">
        <w:rPr>
          <w:rFonts w:eastAsia="Times New Roman" w:cs="Times New Roman"/>
          <w:szCs w:val="24"/>
          <w:lang w:val="lt-LT" w:eastAsia="lt-LT"/>
        </w:rPr>
        <w:t xml:space="preserve">Užtikrinama prievolė: </w:t>
      </w:r>
      <w:r w:rsidRPr="00EE57A0">
        <w:rPr>
          <w:rFonts w:eastAsia="Times New Roman" w:cs="Times New Roman"/>
          <w:szCs w:val="24"/>
          <w:lang w:val="lt-LT" w:eastAsia="lt-LT"/>
        </w:rPr>
        <w:tab/>
        <w:t>Visi Sutartyje ir Taisyklėse numatyti Pareiškėjo įsipareigojimai ir prievolės, įskaitant bet kokius jų pakeitimus ir papildymus.</w:t>
      </w:r>
    </w:p>
    <w:p w14:paraId="17395B40" w14:textId="77777777" w:rsidR="004C5769" w:rsidRPr="00EE57A0" w:rsidRDefault="004C5769" w:rsidP="004C5769">
      <w:pPr>
        <w:spacing w:line="260" w:lineRule="exact"/>
        <w:jc w:val="both"/>
        <w:rPr>
          <w:rFonts w:eastAsia="Times New Roman" w:cs="Times New Roman"/>
          <w:szCs w:val="24"/>
          <w:lang w:val="lt-LT" w:eastAsia="lt-LT"/>
        </w:rPr>
      </w:pPr>
    </w:p>
    <w:p w14:paraId="17395B41" w14:textId="77777777" w:rsidR="004C5769" w:rsidRPr="00EE57A0" w:rsidRDefault="004C5769" w:rsidP="004C5769">
      <w:pPr>
        <w:spacing w:line="260" w:lineRule="exact"/>
        <w:ind w:left="3969" w:hanging="3885"/>
        <w:jc w:val="both"/>
        <w:rPr>
          <w:rFonts w:eastAsia="Times New Roman" w:cs="Times New Roman"/>
          <w:szCs w:val="24"/>
          <w:lang w:val="lt-LT" w:eastAsia="lt-LT"/>
        </w:rPr>
      </w:pPr>
      <w:r w:rsidRPr="00EE57A0">
        <w:rPr>
          <w:rFonts w:eastAsia="Times New Roman" w:cs="Times New Roman"/>
          <w:szCs w:val="24"/>
          <w:lang w:val="lt-LT" w:eastAsia="lt-LT"/>
        </w:rPr>
        <w:t>Garantijos suma ir valiuta:</w:t>
      </w:r>
      <w:r w:rsidRPr="00EE57A0">
        <w:rPr>
          <w:rFonts w:eastAsia="Times New Roman" w:cs="Times New Roman"/>
          <w:szCs w:val="24"/>
          <w:lang w:val="lt-LT" w:eastAsia="lt-LT"/>
        </w:rPr>
        <w:tab/>
        <w:t xml:space="preserve">[●] EUR ([●] eurų). </w:t>
      </w:r>
    </w:p>
    <w:p w14:paraId="17395B42" w14:textId="77777777" w:rsidR="004C5769" w:rsidRPr="00EE57A0" w:rsidRDefault="004C5769" w:rsidP="004C5769">
      <w:pPr>
        <w:spacing w:line="260" w:lineRule="exact"/>
        <w:jc w:val="both"/>
        <w:rPr>
          <w:rFonts w:eastAsia="Times New Roman" w:cs="Times New Roman"/>
          <w:szCs w:val="24"/>
          <w:lang w:val="lt-LT" w:eastAsia="lt-LT"/>
        </w:rPr>
      </w:pPr>
    </w:p>
    <w:p w14:paraId="17395B43"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Dokumentai, kuriuos Naudos gavėjas </w:t>
      </w:r>
    </w:p>
    <w:p w14:paraId="17395B44"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turi pateikti Garantui dėl išmokos:</w:t>
      </w:r>
      <w:r w:rsidRPr="00EE57A0">
        <w:rPr>
          <w:rFonts w:eastAsia="Times New Roman" w:cs="Times New Roman"/>
          <w:szCs w:val="24"/>
          <w:lang w:val="lt-LT" w:eastAsia="lt-LT"/>
        </w:rPr>
        <w:tab/>
        <w:t xml:space="preserve"> Rašytiniame reikalavime turi būti nurodyta:</w:t>
      </w:r>
    </w:p>
    <w:p w14:paraId="17395B45" w14:textId="77777777" w:rsidR="004C5769" w:rsidRPr="00EE57A0" w:rsidRDefault="004C5769" w:rsidP="004C5769">
      <w:pPr>
        <w:spacing w:line="260" w:lineRule="exact"/>
        <w:ind w:left="3888" w:hanging="3885"/>
        <w:jc w:val="both"/>
        <w:rPr>
          <w:rFonts w:eastAsia="Times New Roman" w:cs="Times New Roman"/>
          <w:szCs w:val="24"/>
          <w:lang w:val="lt-LT" w:eastAsia="lt-LT"/>
        </w:rPr>
      </w:pPr>
    </w:p>
    <w:p w14:paraId="17395B46" w14:textId="77777777" w:rsidR="004C5769" w:rsidRPr="00EE57A0" w:rsidRDefault="004C5769" w:rsidP="004C5769">
      <w:pPr>
        <w:numPr>
          <w:ilvl w:val="0"/>
          <w:numId w:val="1"/>
        </w:num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tiksli reikalaujamo mokėjimo suma, neviršijanti Garantijos sumos;</w:t>
      </w:r>
    </w:p>
    <w:p w14:paraId="17395B47" w14:textId="77777777" w:rsidR="004C5769" w:rsidRPr="00EE57A0" w:rsidRDefault="004C5769" w:rsidP="004C5769">
      <w:pPr>
        <w:numPr>
          <w:ilvl w:val="0"/>
          <w:numId w:val="1"/>
        </w:num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Naudos gavėjo banko sąskaitos rekvizitai;</w:t>
      </w:r>
    </w:p>
    <w:p w14:paraId="17395B48" w14:textId="77777777" w:rsidR="004C5769" w:rsidRPr="00EE57A0" w:rsidRDefault="004C5769" w:rsidP="004C5769">
      <w:pPr>
        <w:numPr>
          <w:ilvl w:val="0"/>
          <w:numId w:val="1"/>
        </w:num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pareiškimas, jog Pareiškėjas nevykdo savo įsipareigojimų pagal Užtikrinamą prievolę.</w:t>
      </w:r>
    </w:p>
    <w:p w14:paraId="17395B49" w14:textId="77777777" w:rsidR="004C5769" w:rsidRPr="00EE57A0" w:rsidRDefault="004C5769" w:rsidP="004C5769">
      <w:pPr>
        <w:spacing w:line="260" w:lineRule="exact"/>
        <w:ind w:left="4248"/>
        <w:jc w:val="both"/>
        <w:rPr>
          <w:rFonts w:eastAsia="Times New Roman" w:cs="Times New Roman"/>
          <w:szCs w:val="24"/>
          <w:lang w:val="lt-LT" w:eastAsia="lt-LT"/>
        </w:rPr>
      </w:pPr>
    </w:p>
    <w:p w14:paraId="17395B4A" w14:textId="77777777" w:rsidR="004C5769" w:rsidRPr="00EE57A0" w:rsidRDefault="004C5769" w:rsidP="004C5769">
      <w:pPr>
        <w:spacing w:line="260" w:lineRule="exact"/>
        <w:ind w:left="3969"/>
        <w:jc w:val="both"/>
        <w:rPr>
          <w:rFonts w:eastAsia="Times New Roman" w:cs="Times New Roman"/>
          <w:szCs w:val="24"/>
          <w:lang w:val="lt-LT" w:eastAsia="lt-LT"/>
        </w:rPr>
      </w:pPr>
      <w:r w:rsidRPr="00EE57A0">
        <w:rPr>
          <w:rFonts w:eastAsia="Times New Roman" w:cs="Times New Roman"/>
          <w:szCs w:val="24"/>
          <w:lang w:val="lt-LT" w:eastAsia="lt-LT"/>
        </w:rPr>
        <w:t>Rašytinis reikalavimas turi būti pasirašytas įgaliotų Naudos gavėjo atstovų raštu. Bet koks rašytinis pranešimas įskaitant mokėjimo prašymą turi būti pateikiamas Garantui adresu [●] per Naudos gavėjo banką, nurodant, jog šis bankas patvirtintų, jog parašas, esantis ant Naudos gavėjo mokėjimo reikalavimo, atitinka banko turimą parašo pavyzdį ir kad pasirašantysis turi teisę pasirašyti Naudos gavėjo vardu</w:t>
      </w:r>
      <w:r w:rsidR="00784073" w:rsidRPr="00EE57A0">
        <w:rPr>
          <w:rFonts w:eastAsia="Times New Roman" w:cs="Times New Roman"/>
          <w:szCs w:val="24"/>
          <w:lang w:val="lt-LT" w:eastAsia="lt-LT"/>
        </w:rPr>
        <w:t xml:space="preserve"> (toliau – parašų </w:t>
      </w:r>
      <w:r w:rsidR="00784073" w:rsidRPr="00EE57A0">
        <w:rPr>
          <w:rFonts w:eastAsia="Times New Roman" w:cs="Times New Roman"/>
          <w:szCs w:val="24"/>
          <w:lang w:val="lt-LT" w:eastAsia="lt-LT"/>
        </w:rPr>
        <w:lastRenderedPageBreak/>
        <w:t>patvirtinimas)</w:t>
      </w:r>
      <w:r w:rsidRPr="00EE57A0">
        <w:rPr>
          <w:rFonts w:eastAsia="Times New Roman" w:cs="Times New Roman"/>
          <w:szCs w:val="24"/>
          <w:lang w:val="lt-LT" w:eastAsia="lt-LT"/>
        </w:rPr>
        <w:t>.  Naudos gavėjas išmokų reikalauti gali kelis kartus, tačiau bendra išmokų pagal Garantiją suma negali viršyti Garantijos sumos.</w:t>
      </w:r>
    </w:p>
    <w:p w14:paraId="17395B4B" w14:textId="77777777" w:rsidR="004C5769" w:rsidRPr="00EE57A0" w:rsidRDefault="004C5769" w:rsidP="004C5769">
      <w:pPr>
        <w:spacing w:line="260" w:lineRule="exact"/>
        <w:jc w:val="both"/>
        <w:rPr>
          <w:rFonts w:eastAsia="Times New Roman" w:cs="Times New Roman"/>
          <w:szCs w:val="24"/>
          <w:lang w:val="lt-LT" w:eastAsia="lt-LT"/>
        </w:rPr>
      </w:pPr>
    </w:p>
    <w:p w14:paraId="17395B4C" w14:textId="77777777" w:rsidR="004C5769" w:rsidRPr="00EE57A0" w:rsidRDefault="004C5769" w:rsidP="004C5769">
      <w:pPr>
        <w:tabs>
          <w:tab w:val="left" w:pos="3828"/>
        </w:tabs>
        <w:spacing w:line="260" w:lineRule="exact"/>
        <w:ind w:left="3828" w:hanging="3828"/>
        <w:jc w:val="both"/>
        <w:rPr>
          <w:rFonts w:eastAsia="Times New Roman" w:cs="Times New Roman"/>
          <w:szCs w:val="24"/>
          <w:lang w:val="lt-LT" w:eastAsia="lt-LT"/>
        </w:rPr>
      </w:pPr>
      <w:r w:rsidRPr="00EE57A0">
        <w:rPr>
          <w:rFonts w:eastAsia="Times New Roman" w:cs="Times New Roman"/>
          <w:szCs w:val="24"/>
          <w:lang w:val="lt-LT" w:eastAsia="lt-LT"/>
        </w:rPr>
        <w:t>Visų reikiamų dokumentų sudarymo kalba:</w:t>
      </w:r>
      <w:r w:rsidRPr="00EE57A0">
        <w:rPr>
          <w:rFonts w:eastAsia="Times New Roman" w:cs="Times New Roman"/>
          <w:szCs w:val="24"/>
          <w:lang w:val="lt-LT" w:eastAsia="lt-LT"/>
        </w:rPr>
        <w:tab/>
        <w:t>lietuvių arba anglų kalba; esant neatitikimams prioritetas teikiamas lietuvių kalba esantiems dokumentams</w:t>
      </w:r>
    </w:p>
    <w:p w14:paraId="17395B4D" w14:textId="77777777" w:rsidR="004C5769" w:rsidRPr="00EE57A0" w:rsidRDefault="004C5769" w:rsidP="004C5769">
      <w:pPr>
        <w:spacing w:line="260" w:lineRule="exact"/>
        <w:jc w:val="both"/>
        <w:rPr>
          <w:rFonts w:eastAsia="Times New Roman" w:cs="Times New Roman"/>
          <w:szCs w:val="24"/>
          <w:lang w:val="lt-LT" w:eastAsia="lt-LT"/>
        </w:rPr>
      </w:pPr>
    </w:p>
    <w:p w14:paraId="17395B4E" w14:textId="77777777" w:rsidR="004C5769" w:rsidRPr="00EE57A0" w:rsidRDefault="004C5769" w:rsidP="004C5769">
      <w:pPr>
        <w:spacing w:line="260" w:lineRule="exact"/>
        <w:ind w:left="3885" w:hanging="3885"/>
        <w:jc w:val="both"/>
        <w:rPr>
          <w:rFonts w:eastAsia="Times New Roman" w:cs="Times New Roman"/>
          <w:szCs w:val="24"/>
          <w:lang w:val="lt-LT" w:eastAsia="lt-LT"/>
        </w:rPr>
      </w:pPr>
      <w:r w:rsidRPr="00EE57A0">
        <w:rPr>
          <w:rFonts w:eastAsia="Times New Roman" w:cs="Times New Roman"/>
          <w:szCs w:val="24"/>
          <w:lang w:val="lt-LT" w:eastAsia="lt-LT"/>
        </w:rPr>
        <w:t>Pateikimo forma:</w:t>
      </w:r>
      <w:r w:rsidRPr="00EE57A0">
        <w:rPr>
          <w:rFonts w:eastAsia="Times New Roman" w:cs="Times New Roman"/>
          <w:szCs w:val="24"/>
          <w:lang w:val="lt-LT" w:eastAsia="lt-LT"/>
        </w:rPr>
        <w:tab/>
      </w:r>
      <w:r w:rsidR="00D12EDA" w:rsidRPr="00EE57A0">
        <w:rPr>
          <w:rFonts w:eastAsia="Times New Roman" w:cs="Times New Roman"/>
          <w:szCs w:val="24"/>
          <w:lang w:val="lt-LT" w:eastAsia="lt-LT"/>
        </w:rPr>
        <w:t xml:space="preserve">Reikalavimas mokėti </w:t>
      </w:r>
      <w:r w:rsidRPr="00EE57A0">
        <w:rPr>
          <w:rFonts w:eastAsia="Times New Roman" w:cs="Times New Roman"/>
          <w:szCs w:val="24"/>
          <w:lang w:val="lt-LT" w:eastAsia="lt-LT"/>
        </w:rPr>
        <w:t>turi būti pateikt</w:t>
      </w:r>
      <w:r w:rsidR="002A46CB" w:rsidRPr="00EE57A0">
        <w:rPr>
          <w:rFonts w:eastAsia="Times New Roman" w:cs="Times New Roman"/>
          <w:szCs w:val="24"/>
          <w:lang w:val="lt-LT" w:eastAsia="lt-LT"/>
        </w:rPr>
        <w:t>as</w:t>
      </w:r>
      <w:r w:rsidRPr="00EE57A0">
        <w:rPr>
          <w:rFonts w:eastAsia="Times New Roman" w:cs="Times New Roman"/>
          <w:szCs w:val="24"/>
          <w:lang w:val="lt-LT" w:eastAsia="lt-LT"/>
        </w:rPr>
        <w:t xml:space="preserve"> registruotu paštu arba per kurjerį adresu [●].</w:t>
      </w:r>
      <w:r w:rsidR="0037103C" w:rsidRPr="00EE57A0">
        <w:rPr>
          <w:rFonts w:eastAsia="Times New Roman" w:cs="Times New Roman"/>
          <w:szCs w:val="24"/>
          <w:lang w:val="lt-LT" w:eastAsia="lt-LT"/>
        </w:rPr>
        <w:t xml:space="preserve"> </w:t>
      </w:r>
      <w:r w:rsidR="0037103C" w:rsidRPr="00EE57A0">
        <w:rPr>
          <w:rFonts w:cs="Times New Roman"/>
          <w:szCs w:val="24"/>
          <w:lang w:val="lt-LT"/>
        </w:rPr>
        <w:t>Parašų patvirtinimas turi būti pateiktas kartu su reikalavimu mokėti arba autentifikuota SWIFT žinute.</w:t>
      </w:r>
    </w:p>
    <w:p w14:paraId="17395B4F" w14:textId="77777777" w:rsidR="004C5769" w:rsidRPr="00EE57A0" w:rsidRDefault="004C5769" w:rsidP="004C5769">
      <w:pPr>
        <w:spacing w:line="260" w:lineRule="exact"/>
        <w:jc w:val="both"/>
        <w:rPr>
          <w:rFonts w:eastAsia="Times New Roman" w:cs="Times New Roman"/>
          <w:szCs w:val="24"/>
          <w:lang w:val="lt-LT" w:eastAsia="lt-LT"/>
        </w:rPr>
      </w:pPr>
    </w:p>
    <w:p w14:paraId="17395B50"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Pateikimo vieta: </w:t>
      </w:r>
      <w:r w:rsidRPr="00EE57A0">
        <w:rPr>
          <w:rFonts w:eastAsia="Times New Roman" w:cs="Times New Roman"/>
          <w:szCs w:val="24"/>
          <w:lang w:val="lt-LT" w:eastAsia="lt-LT"/>
        </w:rPr>
        <w:tab/>
      </w:r>
      <w:r w:rsidRPr="00EE57A0">
        <w:rPr>
          <w:rFonts w:eastAsia="Times New Roman" w:cs="Times New Roman"/>
          <w:szCs w:val="24"/>
          <w:lang w:val="lt-LT" w:eastAsia="lt-LT"/>
        </w:rPr>
        <w:tab/>
        <w:t>[</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p>
    <w:p w14:paraId="17395B51" w14:textId="77777777" w:rsidR="004C5769" w:rsidRPr="00EE57A0" w:rsidRDefault="004C5769" w:rsidP="004C5769">
      <w:pPr>
        <w:spacing w:line="260" w:lineRule="exact"/>
        <w:jc w:val="both"/>
        <w:rPr>
          <w:rFonts w:eastAsia="Times New Roman" w:cs="Times New Roman"/>
          <w:szCs w:val="24"/>
          <w:lang w:val="lt-LT" w:eastAsia="lt-LT"/>
        </w:rPr>
      </w:pPr>
    </w:p>
    <w:p w14:paraId="17395B52"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Pabaigos diena:</w:t>
      </w:r>
      <w:r w:rsidRPr="00EE57A0">
        <w:rPr>
          <w:rFonts w:eastAsia="Times New Roman" w:cs="Times New Roman"/>
          <w:szCs w:val="24"/>
          <w:lang w:val="lt-LT" w:eastAsia="lt-LT"/>
        </w:rPr>
        <w:tab/>
      </w:r>
      <w:r w:rsidRPr="00EE57A0">
        <w:rPr>
          <w:rFonts w:eastAsia="Times New Roman" w:cs="Times New Roman"/>
          <w:szCs w:val="24"/>
          <w:lang w:val="lt-LT" w:eastAsia="lt-LT"/>
        </w:rPr>
        <w:tab/>
        <w:t>[</w:t>
      </w:r>
      <w:r w:rsidRPr="00EE57A0">
        <w:rPr>
          <w:rFonts w:eastAsia="Times New Roman" w:cs="Times New Roman"/>
          <w:szCs w:val="24"/>
          <w:lang w:val="lt-LT" w:eastAsia="lt-LT"/>
        </w:rPr>
        <w:sym w:font="Symbol" w:char="F0B7"/>
      </w:r>
      <w:r w:rsidRPr="00EE57A0">
        <w:rPr>
          <w:rFonts w:eastAsia="Times New Roman" w:cs="Times New Roman"/>
          <w:szCs w:val="24"/>
          <w:lang w:val="lt-LT" w:eastAsia="lt-LT"/>
        </w:rPr>
        <w:t>]</w:t>
      </w:r>
      <w:r w:rsidRPr="00EE57A0">
        <w:rPr>
          <w:rStyle w:val="FootnoteReference"/>
          <w:rFonts w:eastAsia="Times New Roman" w:cs="Times New Roman"/>
          <w:szCs w:val="24"/>
          <w:lang w:val="lt-LT" w:eastAsia="lt-LT"/>
        </w:rPr>
        <w:footnoteReference w:id="1"/>
      </w:r>
      <w:r w:rsidRPr="00EE57A0">
        <w:rPr>
          <w:rFonts w:eastAsia="Times New Roman" w:cs="Times New Roman"/>
          <w:szCs w:val="24"/>
          <w:lang w:val="lt-LT" w:eastAsia="lt-LT"/>
        </w:rPr>
        <w:t xml:space="preserve"> </w:t>
      </w:r>
    </w:p>
    <w:p w14:paraId="17395B53" w14:textId="77777777" w:rsidR="004C5769" w:rsidRPr="00EE57A0" w:rsidRDefault="004C5769" w:rsidP="004C5769">
      <w:pPr>
        <w:spacing w:line="260" w:lineRule="exact"/>
        <w:jc w:val="both"/>
        <w:rPr>
          <w:rFonts w:eastAsia="Times New Roman" w:cs="Times New Roman"/>
          <w:szCs w:val="24"/>
          <w:lang w:val="lt-LT" w:eastAsia="lt-LT"/>
        </w:rPr>
      </w:pPr>
    </w:p>
    <w:p w14:paraId="17395B54"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Už taikomų mokesčių sumokėjimą </w:t>
      </w:r>
    </w:p>
    <w:p w14:paraId="17395B55"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atsakinga šalis:</w:t>
      </w:r>
      <w:r w:rsidRPr="00EE57A0">
        <w:rPr>
          <w:rFonts w:eastAsia="Times New Roman" w:cs="Times New Roman"/>
          <w:szCs w:val="24"/>
          <w:lang w:val="lt-LT" w:eastAsia="lt-LT"/>
        </w:rPr>
        <w:tab/>
      </w:r>
      <w:r w:rsidRPr="00EE57A0">
        <w:rPr>
          <w:rFonts w:eastAsia="Times New Roman" w:cs="Times New Roman"/>
          <w:szCs w:val="24"/>
          <w:lang w:val="lt-LT" w:eastAsia="lt-LT"/>
        </w:rPr>
        <w:tab/>
        <w:t xml:space="preserve">Pareiškėjas </w:t>
      </w:r>
    </w:p>
    <w:p w14:paraId="17395B56" w14:textId="77777777" w:rsidR="004C5769" w:rsidRPr="00EE57A0" w:rsidRDefault="004C5769" w:rsidP="004C5769">
      <w:pPr>
        <w:spacing w:line="260" w:lineRule="exact"/>
        <w:jc w:val="both"/>
        <w:rPr>
          <w:rFonts w:eastAsia="Times New Roman" w:cs="Times New Roman"/>
          <w:szCs w:val="24"/>
          <w:lang w:val="lt-LT" w:eastAsia="lt-LT"/>
        </w:rPr>
      </w:pPr>
    </w:p>
    <w:p w14:paraId="17395B57"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Garantas šia Garantija neatšaukiamai ir besąlygiškai įsipareigoja sumokėti Naudos gavėjui sumą, neviršijančią Garantijos sumos, Naudos gavėjui pareiškus reikalavimą naudojantis pirmiau nurodyta Pateikimo forma. Garantas nereikalaus pateikti jokių įrodymų, kad Naudos gavėjas turi teisę gauti išmoką pagal šią Garantiją.</w:t>
      </w:r>
    </w:p>
    <w:p w14:paraId="17395B58" w14:textId="77777777" w:rsidR="004C5769" w:rsidRPr="00EE57A0" w:rsidRDefault="004C5769" w:rsidP="004C5769">
      <w:pPr>
        <w:spacing w:line="260" w:lineRule="exact"/>
        <w:jc w:val="both"/>
        <w:rPr>
          <w:rFonts w:eastAsia="Times New Roman" w:cs="Times New Roman"/>
          <w:szCs w:val="24"/>
          <w:lang w:val="lt-LT" w:eastAsia="lt-LT"/>
        </w:rPr>
      </w:pPr>
    </w:p>
    <w:p w14:paraId="17395B59"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Visus reikalavimus pagal šią Garantiją Garantas turi gauti ne vėliau kaip Pabaigos dieną Pateikimo vietoje.</w:t>
      </w:r>
    </w:p>
    <w:p w14:paraId="17395B5A" w14:textId="77777777" w:rsidR="004C5769" w:rsidRPr="00EE57A0" w:rsidRDefault="004C5769" w:rsidP="004C5769">
      <w:pPr>
        <w:spacing w:line="260" w:lineRule="exact"/>
        <w:jc w:val="both"/>
        <w:rPr>
          <w:rFonts w:eastAsia="Times New Roman" w:cs="Times New Roman"/>
          <w:szCs w:val="24"/>
          <w:lang w:val="lt-LT" w:eastAsia="lt-LT"/>
        </w:rPr>
      </w:pPr>
    </w:p>
    <w:p w14:paraId="17395B5B"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Garantas neturi teisės perleisti ar perduoti teisių ir pareigų pagal šią Garantiją be išankstinio rašytinio Naudos gavėjo sutikimo. Naudos gavėjas turi teisę perleisti ar perduoti savo teises pagal Garantiją vadovaujantis 2010 m. redakcijos Vieningos garantijos pagal pirmą pareikalavimą taisyklės, Tarptautinių prekybos rūmų leidinys Nr. 758</w:t>
      </w:r>
      <w:r w:rsidR="00400EE5" w:rsidRPr="00EE57A0">
        <w:rPr>
          <w:rFonts w:eastAsia="Times New Roman" w:cs="Times New Roman"/>
          <w:szCs w:val="24"/>
          <w:lang w:val="lt-LT" w:eastAsia="lt-LT"/>
        </w:rPr>
        <w:t xml:space="preserve"> (URDG)</w:t>
      </w:r>
      <w:r w:rsidRPr="00EE57A0">
        <w:rPr>
          <w:rFonts w:eastAsia="Times New Roman" w:cs="Times New Roman"/>
          <w:szCs w:val="24"/>
          <w:lang w:val="lt-LT" w:eastAsia="lt-LT"/>
        </w:rPr>
        <w:t>, 33 straipsniu. Bet kokiu atveju Naudos gavėjas be Garanto sutikimo turi teisę perleisti ar perduoti savo teises pagal Garantiją asmeniui, teisės aktų nustatyta tvarka turinčiam teisę perimti ir perimančiam teises ir pareigas pagal Sutartį.</w:t>
      </w:r>
    </w:p>
    <w:p w14:paraId="17395B5C" w14:textId="77777777" w:rsidR="004C5769" w:rsidRPr="00EE57A0" w:rsidRDefault="004C5769" w:rsidP="004C5769">
      <w:pPr>
        <w:spacing w:line="260" w:lineRule="exact"/>
        <w:jc w:val="both"/>
        <w:rPr>
          <w:rFonts w:eastAsia="Times New Roman" w:cs="Times New Roman"/>
          <w:szCs w:val="24"/>
          <w:lang w:val="lt-LT" w:eastAsia="lt-LT"/>
        </w:rPr>
      </w:pPr>
    </w:p>
    <w:p w14:paraId="17395B5D" w14:textId="77777777" w:rsidR="004C5769" w:rsidRPr="00EE57A0" w:rsidRDefault="004C5769" w:rsidP="004C5769">
      <w:pPr>
        <w:autoSpaceDE w:val="0"/>
        <w:autoSpaceDN w:val="0"/>
        <w:adjustRightInd w:val="0"/>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 xml:space="preserve">Visoms teisėms ir įsipareigojimams pagal šią Garantiją yra taikomi Lietuvos Respublikos įstatymai ir URDG. Aiškumo dėlei, Garantas privalo išmokėti Garantijos sumą per </w:t>
      </w:r>
      <w:r w:rsidR="00992075" w:rsidRPr="00EE57A0">
        <w:rPr>
          <w:rFonts w:eastAsia="Times New Roman" w:cs="Times New Roman"/>
          <w:szCs w:val="24"/>
          <w:lang w:val="lt-LT" w:eastAsia="lt-LT"/>
        </w:rPr>
        <w:t xml:space="preserve">5 </w:t>
      </w:r>
      <w:r w:rsidRPr="00EE57A0">
        <w:rPr>
          <w:rFonts w:eastAsia="Times New Roman" w:cs="Times New Roman"/>
          <w:szCs w:val="24"/>
          <w:lang w:val="lt-LT" w:eastAsia="lt-LT"/>
        </w:rPr>
        <w:t xml:space="preserve">(penkias) darbo dienas nuo Naudos gavėjo </w:t>
      </w:r>
      <w:r w:rsidR="00B65950" w:rsidRPr="00EE57A0">
        <w:rPr>
          <w:rFonts w:eastAsia="Times New Roman" w:cs="Times New Roman"/>
          <w:szCs w:val="24"/>
          <w:lang w:val="lt-LT" w:eastAsia="lt-LT"/>
        </w:rPr>
        <w:t xml:space="preserve">Garantijos sąlygas atitinkančio </w:t>
      </w:r>
      <w:r w:rsidRPr="00EE57A0">
        <w:rPr>
          <w:rFonts w:eastAsia="Times New Roman" w:cs="Times New Roman"/>
          <w:szCs w:val="24"/>
          <w:lang w:val="lt-LT" w:eastAsia="lt-LT"/>
        </w:rPr>
        <w:t>reikalavimo</w:t>
      </w:r>
      <w:r w:rsidR="00B65950" w:rsidRPr="00EE57A0">
        <w:rPr>
          <w:rFonts w:eastAsia="Times New Roman" w:cs="Times New Roman"/>
          <w:szCs w:val="24"/>
          <w:lang w:val="lt-LT" w:eastAsia="lt-LT"/>
        </w:rPr>
        <w:t xml:space="preserve"> pas Garantą gavimo dienos</w:t>
      </w:r>
      <w:r w:rsidRPr="00EE57A0">
        <w:rPr>
          <w:rFonts w:eastAsia="Times New Roman" w:cs="Times New Roman"/>
          <w:szCs w:val="24"/>
          <w:lang w:val="lt-LT" w:eastAsia="lt-LT"/>
        </w:rPr>
        <w:t>.</w:t>
      </w:r>
    </w:p>
    <w:p w14:paraId="17395B5E" w14:textId="77777777" w:rsidR="004C5769" w:rsidRPr="00EE57A0" w:rsidRDefault="004C5769" w:rsidP="004C5769">
      <w:pPr>
        <w:autoSpaceDE w:val="0"/>
        <w:autoSpaceDN w:val="0"/>
        <w:adjustRightInd w:val="0"/>
        <w:spacing w:line="260" w:lineRule="exact"/>
        <w:jc w:val="both"/>
        <w:rPr>
          <w:rFonts w:eastAsia="Times New Roman" w:cs="Times New Roman"/>
          <w:szCs w:val="24"/>
          <w:lang w:val="lt-LT" w:eastAsia="lt-LT"/>
        </w:rPr>
      </w:pPr>
    </w:p>
    <w:p w14:paraId="17395B5F" w14:textId="77777777" w:rsidR="004C5769" w:rsidRPr="00EE57A0" w:rsidRDefault="004C5769" w:rsidP="004C5769">
      <w:pPr>
        <w:autoSpaceDE w:val="0"/>
        <w:autoSpaceDN w:val="0"/>
        <w:adjustRightInd w:val="0"/>
        <w:spacing w:line="260" w:lineRule="exact"/>
        <w:jc w:val="both"/>
        <w:rPr>
          <w:rFonts w:cs="Times New Roman"/>
          <w:szCs w:val="24"/>
          <w:lang w:val="lt-LT"/>
        </w:rPr>
      </w:pPr>
      <w:r w:rsidRPr="00EE57A0">
        <w:rPr>
          <w:rFonts w:eastAsia="Times New Roman" w:cs="Times New Roman"/>
          <w:szCs w:val="24"/>
          <w:lang w:val="lt-LT" w:eastAsia="lt-LT"/>
        </w:rPr>
        <w:t xml:space="preserve">Bet kokie su šia Garantija susiję ginčai sprendžiami teisme, remiantis Lietuvos Respublikos įstatymais, jurisdikcijos vieta – Vilnius, Lietuva. </w:t>
      </w:r>
    </w:p>
    <w:p w14:paraId="17395B60" w14:textId="77777777" w:rsidR="004C5769" w:rsidRPr="00EE57A0" w:rsidRDefault="004C5769" w:rsidP="004C5769">
      <w:pPr>
        <w:spacing w:line="260" w:lineRule="exact"/>
        <w:jc w:val="both"/>
        <w:rPr>
          <w:rFonts w:eastAsia="Times New Roman" w:cs="Times New Roman"/>
          <w:szCs w:val="24"/>
          <w:lang w:val="lt-LT" w:eastAsia="lt-LT"/>
        </w:rPr>
      </w:pPr>
    </w:p>
    <w:p w14:paraId="17395B61" w14:textId="77777777" w:rsidR="004C5769" w:rsidRPr="00EE57A0" w:rsidRDefault="004C5769" w:rsidP="004C5769">
      <w:pPr>
        <w:spacing w:line="260" w:lineRule="exact"/>
        <w:jc w:val="both"/>
        <w:rPr>
          <w:rFonts w:eastAsia="Times New Roman" w:cs="Times New Roman"/>
          <w:szCs w:val="24"/>
          <w:lang w:val="lt-LT" w:eastAsia="lt-LT"/>
        </w:rPr>
      </w:pPr>
    </w:p>
    <w:p w14:paraId="17395B62" w14:textId="77777777" w:rsidR="004C5769" w:rsidRPr="00EE57A0" w:rsidRDefault="004C5769" w:rsidP="004C5769">
      <w:pPr>
        <w:spacing w:line="260" w:lineRule="exact"/>
        <w:jc w:val="both"/>
        <w:rPr>
          <w:rFonts w:eastAsia="Times New Roman" w:cs="Times New Roman"/>
          <w:szCs w:val="24"/>
          <w:lang w:val="lt-LT" w:eastAsia="lt-LT"/>
        </w:rPr>
      </w:pPr>
      <w:r w:rsidRPr="00EE57A0">
        <w:rPr>
          <w:rFonts w:eastAsia="Times New Roman" w:cs="Times New Roman"/>
          <w:szCs w:val="24"/>
          <w:lang w:val="lt-LT" w:eastAsia="lt-LT"/>
        </w:rPr>
        <w:t>Garanto vardu:</w:t>
      </w:r>
    </w:p>
    <w:p w14:paraId="17395B63" w14:textId="77777777" w:rsidR="004C5769" w:rsidRPr="00EE57A0" w:rsidRDefault="004C5769" w:rsidP="004C5769">
      <w:pPr>
        <w:keepNext/>
        <w:spacing w:line="260" w:lineRule="exact"/>
        <w:ind w:hanging="406"/>
        <w:jc w:val="both"/>
        <w:rPr>
          <w:rFonts w:eastAsia="Times New Roman" w:cs="Times New Roman"/>
          <w:szCs w:val="24"/>
          <w:lang w:val="lt-LT" w:eastAsia="lt-LT"/>
        </w:rPr>
      </w:pPr>
    </w:p>
    <w:p w14:paraId="17395B64" w14:textId="77777777" w:rsidR="004C5769" w:rsidRPr="00EE57A0" w:rsidRDefault="004C5769" w:rsidP="004C5769">
      <w:pPr>
        <w:keepNext/>
        <w:spacing w:line="260" w:lineRule="exact"/>
        <w:ind w:hanging="406"/>
        <w:jc w:val="both"/>
        <w:rPr>
          <w:rFonts w:eastAsia="Times New Roman" w:cs="Times New Roman"/>
          <w:szCs w:val="24"/>
          <w:lang w:val="lt-LT" w:eastAsia="lt-LT"/>
        </w:rPr>
      </w:pPr>
    </w:p>
    <w:p w14:paraId="17395B65" w14:textId="77777777" w:rsidR="004C5769" w:rsidRPr="00EE57A0" w:rsidRDefault="004C5769" w:rsidP="004C5769">
      <w:pPr>
        <w:tabs>
          <w:tab w:val="left" w:pos="4500"/>
        </w:tabs>
        <w:spacing w:line="260" w:lineRule="exact"/>
        <w:jc w:val="both"/>
        <w:rPr>
          <w:rFonts w:eastAsia="Times New Roman" w:cs="Times New Roman"/>
          <w:szCs w:val="24"/>
          <w:u w:val="single"/>
          <w:lang w:val="lt-LT" w:eastAsia="lt-LT"/>
        </w:rPr>
      </w:pPr>
      <w:r w:rsidRPr="00EE57A0">
        <w:rPr>
          <w:rFonts w:eastAsia="Times New Roman" w:cs="Times New Roman"/>
          <w:szCs w:val="24"/>
          <w:u w:val="single"/>
          <w:lang w:val="lt-LT" w:eastAsia="lt-LT"/>
        </w:rPr>
        <w:tab/>
      </w:r>
      <w:r w:rsidRPr="00EE57A0">
        <w:rPr>
          <w:rFonts w:eastAsia="Times New Roman" w:cs="Times New Roman"/>
          <w:szCs w:val="24"/>
          <w:u w:val="single"/>
          <w:lang w:val="lt-LT" w:eastAsia="lt-LT"/>
        </w:rPr>
        <w:tab/>
      </w:r>
      <w:r w:rsidRPr="00EE57A0">
        <w:rPr>
          <w:rFonts w:eastAsia="Times New Roman" w:cs="Times New Roman"/>
          <w:szCs w:val="24"/>
          <w:u w:val="single"/>
          <w:lang w:val="lt-LT" w:eastAsia="lt-LT"/>
        </w:rPr>
        <w:tab/>
      </w:r>
      <w:r w:rsidRPr="00EE57A0">
        <w:rPr>
          <w:rFonts w:eastAsia="Times New Roman" w:cs="Times New Roman"/>
          <w:szCs w:val="24"/>
          <w:u w:val="single"/>
          <w:lang w:val="lt-LT" w:eastAsia="lt-LT"/>
        </w:rPr>
        <w:tab/>
      </w:r>
    </w:p>
    <w:p w14:paraId="17395B66" w14:textId="77777777" w:rsidR="004C5769" w:rsidRPr="00EE57A0" w:rsidRDefault="004C5769" w:rsidP="004C5769">
      <w:pPr>
        <w:tabs>
          <w:tab w:val="left" w:pos="4500"/>
        </w:tabs>
        <w:spacing w:line="260" w:lineRule="exact"/>
        <w:ind w:left="567" w:hanging="567"/>
        <w:jc w:val="both"/>
        <w:rPr>
          <w:rFonts w:eastAsia="Times New Roman" w:cs="Times New Roman"/>
          <w:i/>
          <w:szCs w:val="24"/>
          <w:lang w:val="lt-LT" w:eastAsia="lt-LT"/>
        </w:rPr>
      </w:pPr>
      <w:r w:rsidRPr="00EE57A0">
        <w:rPr>
          <w:rFonts w:eastAsia="Times New Roman" w:cs="Times New Roman"/>
          <w:i/>
          <w:szCs w:val="24"/>
          <w:lang w:val="lt-LT" w:eastAsia="lt-LT"/>
        </w:rPr>
        <w:t xml:space="preserve">Vardas, pavardė, parašas </w:t>
      </w:r>
    </w:p>
    <w:p w14:paraId="17395B67" w14:textId="77777777" w:rsidR="004C5769" w:rsidRPr="00EE57A0" w:rsidRDefault="004C5769" w:rsidP="004C5769">
      <w:pPr>
        <w:tabs>
          <w:tab w:val="left" w:pos="4500"/>
        </w:tabs>
        <w:spacing w:line="260" w:lineRule="exact"/>
        <w:ind w:left="567" w:hanging="567"/>
        <w:jc w:val="both"/>
        <w:rPr>
          <w:rFonts w:eastAsia="Times New Roman" w:cs="Times New Roman"/>
          <w:i/>
          <w:szCs w:val="24"/>
          <w:lang w:val="lt-LT" w:eastAsia="lt-LT"/>
        </w:rPr>
      </w:pPr>
    </w:p>
    <w:p w14:paraId="17395B68" w14:textId="77777777" w:rsidR="004C5769" w:rsidRPr="00EE57A0" w:rsidRDefault="004C5769" w:rsidP="004C5769">
      <w:pPr>
        <w:rPr>
          <w:rFonts w:eastAsia="Times New Roman" w:cs="Times New Roman"/>
          <w:i/>
          <w:szCs w:val="24"/>
          <w:lang w:val="lt-LT" w:eastAsia="lt-LT"/>
        </w:rPr>
      </w:pPr>
    </w:p>
    <w:p w14:paraId="17395B69" w14:textId="77777777" w:rsidR="004C5769" w:rsidRPr="00EE57A0" w:rsidRDefault="004C5769" w:rsidP="004C5769">
      <w:pPr>
        <w:rPr>
          <w:rFonts w:eastAsia="Times New Roman" w:cs="Times New Roman"/>
          <w:i/>
          <w:szCs w:val="24"/>
          <w:lang w:val="lt-LT" w:eastAsia="lt-LT"/>
        </w:rPr>
      </w:pPr>
    </w:p>
    <w:p w14:paraId="17395B6A" w14:textId="77777777" w:rsidR="004C5769" w:rsidRPr="00EE57A0" w:rsidRDefault="004C5769" w:rsidP="004C5769">
      <w:pPr>
        <w:pStyle w:val="Default"/>
        <w:ind w:left="390"/>
        <w:rPr>
          <w:rFonts w:ascii="Times New Roman" w:hAnsi="Times New Roman" w:cs="Times New Roman"/>
          <w:b/>
          <w:bCs/>
          <w:color w:val="auto"/>
        </w:rPr>
      </w:pPr>
    </w:p>
    <w:p w14:paraId="17395B6B" w14:textId="77777777" w:rsidR="004C5769" w:rsidRPr="00EE57A0" w:rsidRDefault="004C5769" w:rsidP="004C5769">
      <w:pPr>
        <w:pStyle w:val="Default"/>
        <w:rPr>
          <w:rFonts w:ascii="Times New Roman" w:hAnsi="Times New Roman" w:cs="Times New Roman"/>
          <w:b/>
          <w:bCs/>
          <w:color w:val="auto"/>
        </w:rPr>
      </w:pPr>
    </w:p>
    <w:p w14:paraId="17395B6C" w14:textId="77777777" w:rsidR="00E727BF" w:rsidRPr="00EE57A0" w:rsidRDefault="00E727BF">
      <w:pPr>
        <w:rPr>
          <w:rFonts w:cs="Times New Roman"/>
          <w:b/>
          <w:szCs w:val="24"/>
        </w:rPr>
      </w:pPr>
    </w:p>
    <w:sectPr w:rsidR="00E727BF" w:rsidRPr="00EE57A0" w:rsidSect="004C5769">
      <w:headerReference w:type="default" r:id="rId7"/>
      <w:footerReference w:type="default" r:id="rId8"/>
      <w:headerReference w:type="first" r:id="rId9"/>
      <w:footerReference w:type="first" r:id="rId10"/>
      <w:pgSz w:w="11906" w:h="16838"/>
      <w:pgMar w:top="1100" w:right="567"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5B6F" w14:textId="77777777" w:rsidR="00C936B6" w:rsidRDefault="00C936B6" w:rsidP="004C5769">
      <w:r>
        <w:separator/>
      </w:r>
    </w:p>
  </w:endnote>
  <w:endnote w:type="continuationSeparator" w:id="0">
    <w:p w14:paraId="17395B70" w14:textId="77777777" w:rsidR="00C936B6" w:rsidRDefault="00C936B6" w:rsidP="004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5B73" w14:textId="77777777" w:rsidR="00B67274" w:rsidRPr="006C32A4" w:rsidRDefault="00F90BDA">
    <w:pPr>
      <w:pStyle w:val="Footer"/>
      <w:jc w:val="right"/>
      <w:rPr>
        <w:rFonts w:cs="Times New Roman"/>
      </w:rPr>
    </w:pPr>
  </w:p>
  <w:p w14:paraId="17395B74" w14:textId="77777777" w:rsidR="00B67274" w:rsidRDefault="00F90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5B77" w14:textId="77777777" w:rsidR="00AF6B64" w:rsidRDefault="00AF6B64">
    <w:pPr>
      <w:pStyle w:val="Footer"/>
      <w:jc w:val="right"/>
    </w:pPr>
  </w:p>
  <w:p w14:paraId="17395B78" w14:textId="77777777" w:rsidR="00AF6B64" w:rsidRDefault="00AF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5B6D" w14:textId="77777777" w:rsidR="00C936B6" w:rsidRDefault="00C936B6" w:rsidP="004C5769">
      <w:r>
        <w:separator/>
      </w:r>
    </w:p>
  </w:footnote>
  <w:footnote w:type="continuationSeparator" w:id="0">
    <w:p w14:paraId="17395B6E" w14:textId="77777777" w:rsidR="00C936B6" w:rsidRDefault="00C936B6" w:rsidP="004C5769">
      <w:r>
        <w:continuationSeparator/>
      </w:r>
    </w:p>
  </w:footnote>
  <w:footnote w:id="1">
    <w:p w14:paraId="17395B79" w14:textId="77777777" w:rsidR="004C5769" w:rsidRPr="00EE57A0" w:rsidRDefault="004C5769" w:rsidP="004C5769">
      <w:pPr>
        <w:pStyle w:val="FootnoteText"/>
        <w:rPr>
          <w:rFonts w:cs="Times New Roman"/>
          <w:lang w:val="lt-LT"/>
        </w:rPr>
      </w:pPr>
      <w:r w:rsidRPr="00EE57A0">
        <w:rPr>
          <w:rStyle w:val="FootnoteReference"/>
          <w:rFonts w:cs="Times New Roman"/>
          <w:lang w:val="lt-LT"/>
        </w:rPr>
        <w:footnoteRef/>
      </w:r>
      <w:r w:rsidRPr="00EE57A0">
        <w:rPr>
          <w:rFonts w:cs="Times New Roman"/>
          <w:lang w:val="lt-LT"/>
        </w:rPr>
        <w:t xml:space="preserve"> Garantijos galiojimo pabaiga turi būti ne anksčiau, kaip vienas mėnuo po paskutinės Terminalo pajėgumų, kaip jie apibrėžti Taisyklėse, panaudojimo dienos. Atitinkamai Garantijos galiojimo pradžia – Dujų metų, kaip tai apibrėžta Taisyklėse, pirma diena.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26326"/>
      <w:docPartObj>
        <w:docPartGallery w:val="Page Numbers (Top of Page)"/>
        <w:docPartUnique/>
      </w:docPartObj>
    </w:sdtPr>
    <w:sdtEndPr/>
    <w:sdtContent>
      <w:p w14:paraId="17395B71" w14:textId="77777777" w:rsidR="001D11ED" w:rsidRDefault="001D11ED">
        <w:pPr>
          <w:pStyle w:val="Header"/>
          <w:jc w:val="center"/>
        </w:pPr>
        <w:r>
          <w:fldChar w:fldCharType="begin"/>
        </w:r>
        <w:r>
          <w:instrText>PAGE   \* MERGEFORMAT</w:instrText>
        </w:r>
        <w:r>
          <w:fldChar w:fldCharType="separate"/>
        </w:r>
        <w:r w:rsidR="009F0A76" w:rsidRPr="009F0A76">
          <w:rPr>
            <w:noProof/>
            <w:lang w:val="lt-LT"/>
          </w:rPr>
          <w:t>2</w:t>
        </w:r>
        <w:r>
          <w:fldChar w:fldCharType="end"/>
        </w:r>
      </w:p>
    </w:sdtContent>
  </w:sdt>
  <w:p w14:paraId="17395B72" w14:textId="77777777" w:rsidR="00B67274" w:rsidRPr="00D142A0" w:rsidRDefault="00F90BDA" w:rsidP="00FC70E9">
    <w:pPr>
      <w:pStyle w:val="Header"/>
      <w:jc w:val="center"/>
      <w:rPr>
        <w:rFonts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5B75" w14:textId="77777777" w:rsidR="001D11ED" w:rsidRDefault="001D11ED">
    <w:pPr>
      <w:pStyle w:val="Header"/>
      <w:jc w:val="center"/>
    </w:pPr>
  </w:p>
  <w:p w14:paraId="17395B76" w14:textId="77777777" w:rsidR="001D11ED" w:rsidRDefault="001D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D2F61"/>
    <w:multiLevelType w:val="hybridMultilevel"/>
    <w:tmpl w:val="C9FE8E3A"/>
    <w:lvl w:ilvl="0" w:tplc="57EA149A">
      <w:start w:val="1"/>
      <w:numFmt w:val="lowerRoman"/>
      <w:lvlText w:val="(%1)"/>
      <w:lvlJc w:val="left"/>
      <w:pPr>
        <w:ind w:left="4608" w:hanging="360"/>
      </w:pPr>
      <w:rPr>
        <w:rFonts w:hint="default"/>
        <w:i w:val="0"/>
        <w:iCs/>
      </w:rPr>
    </w:lvl>
    <w:lvl w:ilvl="1" w:tplc="04270019" w:tentative="1">
      <w:start w:val="1"/>
      <w:numFmt w:val="lowerLetter"/>
      <w:lvlText w:val="%2."/>
      <w:lvlJc w:val="left"/>
      <w:pPr>
        <w:ind w:left="5328" w:hanging="360"/>
      </w:pPr>
    </w:lvl>
    <w:lvl w:ilvl="2" w:tplc="0427001B" w:tentative="1">
      <w:start w:val="1"/>
      <w:numFmt w:val="lowerRoman"/>
      <w:lvlText w:val="%3."/>
      <w:lvlJc w:val="right"/>
      <w:pPr>
        <w:ind w:left="6048" w:hanging="180"/>
      </w:pPr>
    </w:lvl>
    <w:lvl w:ilvl="3" w:tplc="0427000F" w:tentative="1">
      <w:start w:val="1"/>
      <w:numFmt w:val="decimal"/>
      <w:lvlText w:val="%4."/>
      <w:lvlJc w:val="left"/>
      <w:pPr>
        <w:ind w:left="6768" w:hanging="360"/>
      </w:pPr>
    </w:lvl>
    <w:lvl w:ilvl="4" w:tplc="04270019" w:tentative="1">
      <w:start w:val="1"/>
      <w:numFmt w:val="lowerLetter"/>
      <w:lvlText w:val="%5."/>
      <w:lvlJc w:val="left"/>
      <w:pPr>
        <w:ind w:left="7488" w:hanging="360"/>
      </w:pPr>
    </w:lvl>
    <w:lvl w:ilvl="5" w:tplc="0427001B" w:tentative="1">
      <w:start w:val="1"/>
      <w:numFmt w:val="lowerRoman"/>
      <w:lvlText w:val="%6."/>
      <w:lvlJc w:val="right"/>
      <w:pPr>
        <w:ind w:left="8208" w:hanging="180"/>
      </w:pPr>
    </w:lvl>
    <w:lvl w:ilvl="6" w:tplc="0427000F" w:tentative="1">
      <w:start w:val="1"/>
      <w:numFmt w:val="decimal"/>
      <w:lvlText w:val="%7."/>
      <w:lvlJc w:val="left"/>
      <w:pPr>
        <w:ind w:left="8928" w:hanging="360"/>
      </w:pPr>
    </w:lvl>
    <w:lvl w:ilvl="7" w:tplc="04270019" w:tentative="1">
      <w:start w:val="1"/>
      <w:numFmt w:val="lowerLetter"/>
      <w:lvlText w:val="%8."/>
      <w:lvlJc w:val="left"/>
      <w:pPr>
        <w:ind w:left="9648" w:hanging="360"/>
      </w:pPr>
    </w:lvl>
    <w:lvl w:ilvl="8" w:tplc="0427001B" w:tentative="1">
      <w:start w:val="1"/>
      <w:numFmt w:val="lowerRoman"/>
      <w:lvlText w:val="%9."/>
      <w:lvlJc w:val="right"/>
      <w:pPr>
        <w:ind w:left="10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769"/>
    <w:rsid w:val="0009382A"/>
    <w:rsid w:val="001D11ED"/>
    <w:rsid w:val="002A46CB"/>
    <w:rsid w:val="002C2E67"/>
    <w:rsid w:val="00345555"/>
    <w:rsid w:val="0037103C"/>
    <w:rsid w:val="00400EE5"/>
    <w:rsid w:val="004244AA"/>
    <w:rsid w:val="004C5769"/>
    <w:rsid w:val="004F1862"/>
    <w:rsid w:val="005F656C"/>
    <w:rsid w:val="006432C2"/>
    <w:rsid w:val="006C32A4"/>
    <w:rsid w:val="006C562A"/>
    <w:rsid w:val="00784073"/>
    <w:rsid w:val="00817A40"/>
    <w:rsid w:val="00827447"/>
    <w:rsid w:val="00902D20"/>
    <w:rsid w:val="00982000"/>
    <w:rsid w:val="00992075"/>
    <w:rsid w:val="009F0A76"/>
    <w:rsid w:val="00AE01D7"/>
    <w:rsid w:val="00AF6B64"/>
    <w:rsid w:val="00B24F07"/>
    <w:rsid w:val="00B65950"/>
    <w:rsid w:val="00B7420E"/>
    <w:rsid w:val="00B91DAE"/>
    <w:rsid w:val="00C04911"/>
    <w:rsid w:val="00C936B6"/>
    <w:rsid w:val="00D12EDA"/>
    <w:rsid w:val="00DC35B5"/>
    <w:rsid w:val="00DE350E"/>
    <w:rsid w:val="00E727BF"/>
    <w:rsid w:val="00EE57A0"/>
    <w:rsid w:val="00F819AF"/>
    <w:rsid w:val="00F90BDA"/>
    <w:rsid w:val="00F91124"/>
    <w:rsid w:val="00FC2B4D"/>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95B29"/>
  <w15:docId w15:val="{910AB633-E5BC-4B81-A69C-C2D692B8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69"/>
    <w:pPr>
      <w:spacing w:after="0" w:line="240"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5769"/>
    <w:rPr>
      <w:sz w:val="20"/>
      <w:szCs w:val="20"/>
    </w:rPr>
  </w:style>
  <w:style w:type="character" w:customStyle="1" w:styleId="FootnoteTextChar">
    <w:name w:val="Footnote Text Char"/>
    <w:basedOn w:val="DefaultParagraphFont"/>
    <w:link w:val="FootnoteText"/>
    <w:uiPriority w:val="99"/>
    <w:rsid w:val="004C5769"/>
    <w:rPr>
      <w:rFonts w:ascii="Times New Roman" w:hAnsi="Times New Roman"/>
      <w:sz w:val="20"/>
      <w:szCs w:val="20"/>
      <w:lang w:val="en-GB"/>
    </w:rPr>
  </w:style>
  <w:style w:type="character" w:styleId="FootnoteReference">
    <w:name w:val="footnote reference"/>
    <w:basedOn w:val="DefaultParagraphFont"/>
    <w:uiPriority w:val="99"/>
    <w:unhideWhenUsed/>
    <w:rsid w:val="004C5769"/>
    <w:rPr>
      <w:vertAlign w:val="superscript"/>
    </w:rPr>
  </w:style>
  <w:style w:type="paragraph" w:styleId="Header">
    <w:name w:val="header"/>
    <w:basedOn w:val="Normal"/>
    <w:link w:val="HeaderChar"/>
    <w:uiPriority w:val="99"/>
    <w:unhideWhenUsed/>
    <w:rsid w:val="004C5769"/>
    <w:pPr>
      <w:tabs>
        <w:tab w:val="center" w:pos="4819"/>
        <w:tab w:val="right" w:pos="9638"/>
      </w:tabs>
    </w:pPr>
  </w:style>
  <w:style w:type="character" w:customStyle="1" w:styleId="HeaderChar">
    <w:name w:val="Header Char"/>
    <w:basedOn w:val="DefaultParagraphFont"/>
    <w:link w:val="Header"/>
    <w:uiPriority w:val="99"/>
    <w:rsid w:val="004C5769"/>
    <w:rPr>
      <w:rFonts w:ascii="Times New Roman" w:hAnsi="Times New Roman"/>
      <w:sz w:val="24"/>
      <w:lang w:val="en-GB"/>
    </w:rPr>
  </w:style>
  <w:style w:type="paragraph" w:styleId="Footer">
    <w:name w:val="footer"/>
    <w:basedOn w:val="Normal"/>
    <w:link w:val="FooterChar"/>
    <w:uiPriority w:val="99"/>
    <w:unhideWhenUsed/>
    <w:rsid w:val="004C5769"/>
    <w:pPr>
      <w:tabs>
        <w:tab w:val="center" w:pos="4819"/>
        <w:tab w:val="right" w:pos="9638"/>
      </w:tabs>
    </w:pPr>
  </w:style>
  <w:style w:type="character" w:customStyle="1" w:styleId="FooterChar">
    <w:name w:val="Footer Char"/>
    <w:basedOn w:val="DefaultParagraphFont"/>
    <w:link w:val="Footer"/>
    <w:uiPriority w:val="99"/>
    <w:rsid w:val="004C5769"/>
    <w:rPr>
      <w:rFonts w:ascii="Times New Roman" w:hAnsi="Times New Roman"/>
      <w:sz w:val="24"/>
      <w:lang w:val="en-GB"/>
    </w:rPr>
  </w:style>
  <w:style w:type="paragraph" w:customStyle="1" w:styleId="Default">
    <w:name w:val="Default"/>
    <w:rsid w:val="004C57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04911"/>
    <w:rPr>
      <w:sz w:val="16"/>
      <w:szCs w:val="16"/>
    </w:rPr>
  </w:style>
  <w:style w:type="paragraph" w:styleId="CommentText">
    <w:name w:val="annotation text"/>
    <w:basedOn w:val="Normal"/>
    <w:link w:val="CommentTextChar"/>
    <w:uiPriority w:val="99"/>
    <w:semiHidden/>
    <w:unhideWhenUsed/>
    <w:rsid w:val="00C04911"/>
    <w:rPr>
      <w:sz w:val="20"/>
      <w:szCs w:val="20"/>
    </w:rPr>
  </w:style>
  <w:style w:type="character" w:customStyle="1" w:styleId="CommentTextChar">
    <w:name w:val="Comment Text Char"/>
    <w:basedOn w:val="DefaultParagraphFont"/>
    <w:link w:val="CommentText"/>
    <w:uiPriority w:val="99"/>
    <w:semiHidden/>
    <w:rsid w:val="00C0491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C04911"/>
    <w:rPr>
      <w:b/>
      <w:bCs/>
    </w:rPr>
  </w:style>
  <w:style w:type="character" w:customStyle="1" w:styleId="CommentSubjectChar">
    <w:name w:val="Comment Subject Char"/>
    <w:basedOn w:val="CommentTextChar"/>
    <w:link w:val="CommentSubject"/>
    <w:uiPriority w:val="99"/>
    <w:semiHidden/>
    <w:rsid w:val="00C04911"/>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C04911"/>
    <w:rPr>
      <w:rFonts w:ascii="Tahoma" w:hAnsi="Tahoma" w:cs="Tahoma"/>
      <w:sz w:val="16"/>
      <w:szCs w:val="16"/>
    </w:rPr>
  </w:style>
  <w:style w:type="character" w:customStyle="1" w:styleId="BalloonTextChar">
    <w:name w:val="Balloon Text Char"/>
    <w:basedOn w:val="DefaultParagraphFont"/>
    <w:link w:val="BalloonText"/>
    <w:uiPriority w:val="99"/>
    <w:semiHidden/>
    <w:rsid w:val="00C049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1517</Characters>
  <Application>Microsoft Office Word</Application>
  <DocSecurity>4</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4170</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2019-07-15T06:25:00Z</dcterms:created>
  <dc:creator>Nerijus Strazdauskas</dc:creator>
  <lastModifiedBy>Marta Vorobjova-Derkač</lastModifiedBy>
  <dcterms:modified xsi:type="dcterms:W3CDTF">2019-07-15T06:25:00Z</dcterms:modified>
  <revision>2</revision>
</coreProperties>
</file>