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85" w:rsidRPr="00F40235" w:rsidRDefault="00D52985" w:rsidP="00D52985">
      <w:pPr>
        <w:shd w:val="clear" w:color="auto" w:fill="FFFFFF"/>
        <w:spacing w:after="0" w:line="240" w:lineRule="auto"/>
        <w:ind w:left="6237"/>
        <w:rPr>
          <w:rFonts w:ascii="Times New Roman" w:eastAsia="Times New Roman" w:hAnsi="Times New Roman" w:cs="Times New Roman"/>
          <w:bCs/>
          <w:sz w:val="24"/>
          <w:szCs w:val="24"/>
        </w:rPr>
      </w:pPr>
      <w:bookmarkStart w:id="0" w:name="_GoBack"/>
      <w:bookmarkEnd w:id="0"/>
      <w:r w:rsidRPr="00F40235">
        <w:rPr>
          <w:rFonts w:ascii="Times New Roman" w:eastAsia="Times New Roman" w:hAnsi="Times New Roman" w:cs="Times New Roman"/>
          <w:bCs/>
          <w:sz w:val="24"/>
          <w:szCs w:val="24"/>
        </w:rPr>
        <w:t>Mirusio žmogaus audinių ir gyvo žmogaus audinių ir ląstelių donorystės, paėmimo, ištyrimo, apdorojimo, konservavimo, laikymo, paskirstymo sąlygų tvarkos aprašo</w:t>
      </w:r>
    </w:p>
    <w:p w:rsidR="00D52985" w:rsidRPr="00F40235" w:rsidRDefault="00D52985" w:rsidP="00D52985">
      <w:pPr>
        <w:shd w:val="clear" w:color="auto" w:fill="FFFFFF"/>
        <w:spacing w:after="0" w:line="240" w:lineRule="auto"/>
        <w:ind w:left="6237"/>
        <w:rPr>
          <w:rFonts w:ascii="Times New Roman" w:eastAsia="Times New Roman" w:hAnsi="Times New Roman" w:cs="Times New Roman"/>
          <w:bCs/>
          <w:sz w:val="24"/>
          <w:szCs w:val="24"/>
        </w:rPr>
      </w:pPr>
      <w:r w:rsidRPr="00F40235">
        <w:rPr>
          <w:rFonts w:ascii="Times New Roman" w:eastAsia="Times New Roman" w:hAnsi="Times New Roman" w:cs="Times New Roman"/>
          <w:bCs/>
          <w:sz w:val="24"/>
          <w:szCs w:val="24"/>
        </w:rPr>
        <w:t>4 priedas</w:t>
      </w:r>
    </w:p>
    <w:p w:rsidR="00D52985" w:rsidRPr="00F40235" w:rsidRDefault="00D52985" w:rsidP="00D52985">
      <w:pPr>
        <w:shd w:val="clear" w:color="auto" w:fill="FFFFFF"/>
        <w:spacing w:after="0" w:line="240" w:lineRule="auto"/>
        <w:ind w:left="6237"/>
        <w:rPr>
          <w:rFonts w:ascii="Times New Roman" w:eastAsia="Times New Roman" w:hAnsi="Times New Roman" w:cs="Times New Roman"/>
          <w:bCs/>
          <w:sz w:val="24"/>
          <w:szCs w:val="24"/>
        </w:rPr>
      </w:pPr>
    </w:p>
    <w:p w:rsidR="00D52985" w:rsidRPr="00F40235" w:rsidRDefault="00D52985" w:rsidP="00D52985">
      <w:pPr>
        <w:shd w:val="clear" w:color="auto" w:fill="FFFFFF"/>
        <w:spacing w:after="0" w:line="312" w:lineRule="atLeast"/>
        <w:jc w:val="center"/>
        <w:textAlignment w:val="baseline"/>
        <w:rPr>
          <w:rFonts w:ascii="Times New Roman" w:eastAsia="Times New Roman" w:hAnsi="Times New Roman" w:cs="Times New Roman"/>
          <w:b/>
          <w:bCs/>
          <w:sz w:val="24"/>
          <w:szCs w:val="24"/>
        </w:rPr>
      </w:pPr>
      <w:r w:rsidRPr="00F40235">
        <w:rPr>
          <w:rFonts w:ascii="Times New Roman" w:eastAsia="Times New Roman" w:hAnsi="Times New Roman" w:cs="Times New Roman"/>
          <w:b/>
          <w:bCs/>
          <w:sz w:val="24"/>
          <w:szCs w:val="24"/>
        </w:rPr>
        <w:t xml:space="preserve">REIKALAVIMAI DĖL IMPORTUOJANČIŲJŲ AUDINIŲ ĮSTAIGŲ IR TREČIŲJŲ </w:t>
      </w:r>
      <w:r w:rsidR="00F40235">
        <w:rPr>
          <w:rFonts w:ascii="Times New Roman" w:eastAsia="Times New Roman" w:hAnsi="Times New Roman" w:cs="Times New Roman"/>
          <w:b/>
          <w:bCs/>
          <w:sz w:val="24"/>
          <w:szCs w:val="24"/>
        </w:rPr>
        <w:t>VALSTYBIŲ</w:t>
      </w:r>
      <w:r w:rsidRPr="00F40235">
        <w:rPr>
          <w:rFonts w:ascii="Times New Roman" w:eastAsia="Times New Roman" w:hAnsi="Times New Roman" w:cs="Times New Roman"/>
          <w:b/>
          <w:bCs/>
          <w:sz w:val="24"/>
          <w:szCs w:val="24"/>
        </w:rPr>
        <w:t xml:space="preserve"> TIEKĖJŲ RAŠYTINIŲ SUSITARIMŲ TURINIO</w:t>
      </w:r>
    </w:p>
    <w:p w:rsidR="00D52985" w:rsidRPr="00F40235" w:rsidRDefault="00D52985" w:rsidP="00D52985">
      <w:pPr>
        <w:shd w:val="clear" w:color="auto" w:fill="FFFFFF"/>
        <w:spacing w:after="0" w:line="312" w:lineRule="atLeast"/>
        <w:jc w:val="center"/>
        <w:textAlignment w:val="baseline"/>
        <w:rPr>
          <w:rFonts w:ascii="Times New Roman" w:eastAsia="Times New Roman" w:hAnsi="Times New Roman" w:cs="Times New Roman"/>
          <w:b/>
          <w:bCs/>
          <w:sz w:val="24"/>
          <w:szCs w:val="24"/>
        </w:rPr>
      </w:pPr>
    </w:p>
    <w:p w:rsidR="00D52985" w:rsidRPr="00F40235" w:rsidRDefault="00D52985" w:rsidP="00C01563">
      <w:pPr>
        <w:shd w:val="clear" w:color="auto" w:fill="FFFFFF"/>
        <w:spacing w:before="109" w:after="0" w:line="312" w:lineRule="atLeast"/>
        <w:ind w:firstLine="1296"/>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Į importuojančiųjų audinių įstaigų ir trečiųjų </w:t>
      </w:r>
      <w:r w:rsidR="00F40235">
        <w:rPr>
          <w:rFonts w:ascii="Times New Roman" w:eastAsia="Times New Roman" w:hAnsi="Times New Roman" w:cs="Times New Roman"/>
          <w:sz w:val="24"/>
          <w:szCs w:val="24"/>
        </w:rPr>
        <w:t>valstybių</w:t>
      </w:r>
      <w:r w:rsidRPr="00F40235">
        <w:rPr>
          <w:rFonts w:ascii="Times New Roman" w:eastAsia="Times New Roman" w:hAnsi="Times New Roman" w:cs="Times New Roman"/>
          <w:sz w:val="24"/>
          <w:szCs w:val="24"/>
        </w:rPr>
        <w:t xml:space="preserve"> tiekėjų rašytinį susitarimą įtraukiamos bent šios nuostatos: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Išsami informacija apie importuojančiosioms audinių įstaigoms skirtas specifikacijas, kuriomis siekiama užtikrinti, kad būtų laikomasi šiame Apraše nustatytų kokybės ir saugos standartų ir abiejų šalių bendrai suderintų funkcijų ir atsakomybės, taip užtikrinant, kad importuojami audiniai ir ląstelės atitiktų lygiaverčius kokybės ir saugos standartus;</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F4023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Nuostata, kuria užtikrinama, kad 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tiekėjas pateiktų importuojančiajai audinių įstaigai šios Aprašo 3 priedo II dalyje nurodytą informaciją;</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F4023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Nuostata, kuria užtikrinama, kad 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tiekėjas informuotų importuojančiąją audinių įstaigą apie bet kokius įtariamus arba esamus pavojingus nepageidaujamus reiškinius ar reakcijas, kurie gali turėti poveikio importuojančiosios audinių įstaigos importuojamų arba importuosimų audinių ir ląstelių kokybei ir saugai;</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F4023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Nuostata, kuria užtikrinama, kad 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tiekėjas informuotų importuojančiąją audinių įstaigą apie bet kokius esminius jo veiklos pakeitimus, įskaitant bet kokį dalinį ar visišką jo leidimo eksportuoti audinius ir ląsteles atšaukimą ar sustabdymą arba kitus 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kompetentingos institucijos ar institucijų priimtus sprendimus dėl neatitikties, kurie gali turėti poveikio importuojančiosios audinių įstaigos importuojamų arba importuosimų audinių ir ląstelių kokybei ir saugai;</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0009F5" w:rsidRPr="00F40235" w:rsidRDefault="00D52985" w:rsidP="00F4023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Nuostata, kuria garantuojama Biuro teisė tikrinti 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tiekėjo veiklą, įskaitant patikrinimus vietoje, jeigu ji norėtų juos atlikti importuojančiosios audinių įstaigos patikrinimo metu.</w:t>
            </w:r>
            <w:r w:rsidR="000009F5">
              <w:rPr>
                <w:rFonts w:ascii="Times New Roman" w:eastAsia="Times New Roman" w:hAnsi="Times New Roman" w:cs="Times New Roman"/>
                <w:sz w:val="24"/>
                <w:szCs w:val="24"/>
              </w:rPr>
              <w:t xml:space="preserve"> </w:t>
            </w:r>
            <w:r w:rsidRPr="00F40235">
              <w:rPr>
                <w:rFonts w:ascii="Times New Roman" w:eastAsia="Times New Roman" w:hAnsi="Times New Roman" w:cs="Times New Roman"/>
                <w:sz w:val="24"/>
                <w:szCs w:val="24"/>
              </w:rPr>
              <w:t xml:space="preserve"> </w:t>
            </w:r>
            <w:r w:rsidR="000009F5">
              <w:rPr>
                <w:rFonts w:ascii="Times New Roman" w:eastAsia="Times New Roman" w:hAnsi="Times New Roman" w:cs="Times New Roman"/>
                <w:sz w:val="24"/>
                <w:szCs w:val="24"/>
              </w:rPr>
              <w:t xml:space="preserve">Nuostata suteikia teisę Biurui tikrinti </w:t>
            </w:r>
            <w:r w:rsidR="000009F5" w:rsidRPr="00F40235">
              <w:rPr>
                <w:rFonts w:ascii="Times New Roman" w:eastAsia="Times New Roman" w:hAnsi="Times New Roman" w:cs="Times New Roman"/>
                <w:sz w:val="24"/>
                <w:szCs w:val="24"/>
              </w:rPr>
              <w:t xml:space="preserve">trečiosios </w:t>
            </w:r>
            <w:r w:rsidR="000009F5">
              <w:rPr>
                <w:rFonts w:ascii="Times New Roman" w:eastAsia="Times New Roman" w:hAnsi="Times New Roman" w:cs="Times New Roman"/>
                <w:sz w:val="24"/>
                <w:szCs w:val="24"/>
              </w:rPr>
              <w:t>valstybės</w:t>
            </w:r>
            <w:r w:rsidR="000009F5" w:rsidRPr="00F40235">
              <w:rPr>
                <w:rFonts w:ascii="Times New Roman" w:eastAsia="Times New Roman" w:hAnsi="Times New Roman" w:cs="Times New Roman"/>
                <w:sz w:val="24"/>
                <w:szCs w:val="24"/>
              </w:rPr>
              <w:t xml:space="preserve"> tiekėjo veiklą </w:t>
            </w:r>
            <w:r w:rsidR="000009F5">
              <w:rPr>
                <w:rFonts w:ascii="Times New Roman" w:eastAsia="Times New Roman" w:hAnsi="Times New Roman" w:cs="Times New Roman"/>
                <w:sz w:val="24"/>
                <w:szCs w:val="24"/>
              </w:rPr>
              <w:t xml:space="preserve"> per visą susitarimo laikotarpį ir dvejus metus po jo pabaigos. </w:t>
            </w:r>
            <w:r w:rsidRPr="00F40235">
              <w:rPr>
                <w:rFonts w:ascii="Times New Roman" w:eastAsia="Times New Roman" w:hAnsi="Times New Roman" w:cs="Times New Roman"/>
                <w:sz w:val="24"/>
                <w:szCs w:val="24"/>
              </w:rPr>
              <w:t xml:space="preserve">Pagal šią nuostatą taip pat turėtų būti garantuojama importuojančiosios audinių įstaigos teisė reguliariai atlikti savo 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tiekėjo auditą;</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F4023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tiekėjo ir importuojančiosios audinių įstaigos bendrai suderintos sąlygos, kurių turi būti laikomasi transportuojant audinius ir ląsteles;</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lastRenderedPageBreak/>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F4023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Nuostata, kuria užtikrinama, kad 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tiekėjas arba jo subrangovai po paėmimo 30 metų saugotų donavimo duomenis, susijusius su importuojamais audiniais ir ląstelėmis, laikydamiesi ES duomenų apsaugos taisyklių, ir kad būtų tinkamai reglamentuotas jų išsaugojimas, jei trečiosios </w:t>
            </w:r>
            <w:r w:rsidR="00F40235">
              <w:rPr>
                <w:rFonts w:ascii="Times New Roman" w:eastAsia="Times New Roman" w:hAnsi="Times New Roman" w:cs="Times New Roman"/>
                <w:sz w:val="24"/>
                <w:szCs w:val="24"/>
              </w:rPr>
              <w:t>valstybė</w:t>
            </w:r>
            <w:r w:rsidRPr="00F40235">
              <w:rPr>
                <w:rFonts w:ascii="Times New Roman" w:eastAsia="Times New Roman" w:hAnsi="Times New Roman" w:cs="Times New Roman"/>
                <w:sz w:val="24"/>
                <w:szCs w:val="24"/>
              </w:rPr>
              <w:t>s tiekėjas nutraukia veiklą;</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Nuostatos dėl reguliarios rašytinio susitarimo peržiūros, o, prireikus, pakeitimo, siekiant, be kita ko, atspindėti bet kokius šiame Apraše bei Europos Sąjungos teisės aktuose nustatytų  kokybės ir saugos standartų reikalavimų pakeitimus;</w:t>
            </w:r>
          </w:p>
        </w:tc>
      </w:tr>
    </w:tbl>
    <w:p w:rsidR="00D52985" w:rsidRPr="00F40235" w:rsidRDefault="00D52985" w:rsidP="00D52985">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5"/>
        <w:gridCol w:w="9176"/>
      </w:tblGrid>
      <w:tr w:rsidR="00D52985" w:rsidRPr="00F40235" w:rsidTr="00D529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D5298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27" w:type="dxa"/>
              <w:left w:w="68" w:type="dxa"/>
              <w:bottom w:w="27" w:type="dxa"/>
              <w:right w:w="27" w:type="dxa"/>
            </w:tcMar>
            <w:hideMark/>
          </w:tcPr>
          <w:p w:rsidR="00D52985" w:rsidRPr="00F40235" w:rsidRDefault="00D52985" w:rsidP="00F40235">
            <w:pPr>
              <w:spacing w:before="109" w:after="0" w:line="312" w:lineRule="atLeast"/>
              <w:jc w:val="both"/>
              <w:textAlignment w:val="baseline"/>
              <w:rPr>
                <w:rFonts w:ascii="Times New Roman" w:eastAsia="Times New Roman" w:hAnsi="Times New Roman" w:cs="Times New Roman"/>
                <w:sz w:val="24"/>
                <w:szCs w:val="24"/>
              </w:rPr>
            </w:pPr>
            <w:r w:rsidRPr="00F40235">
              <w:rPr>
                <w:rFonts w:ascii="Times New Roman" w:eastAsia="Times New Roman" w:hAnsi="Times New Roman" w:cs="Times New Roman"/>
                <w:sz w:val="24"/>
                <w:szCs w:val="24"/>
              </w:rPr>
              <w:t xml:space="preserve">Trečiosios </w:t>
            </w:r>
            <w:r w:rsidR="00F40235">
              <w:rPr>
                <w:rFonts w:ascii="Times New Roman" w:eastAsia="Times New Roman" w:hAnsi="Times New Roman" w:cs="Times New Roman"/>
                <w:sz w:val="24"/>
                <w:szCs w:val="24"/>
              </w:rPr>
              <w:t>valstybės</w:t>
            </w:r>
            <w:r w:rsidRPr="00F40235">
              <w:rPr>
                <w:rFonts w:ascii="Times New Roman" w:eastAsia="Times New Roman" w:hAnsi="Times New Roman" w:cs="Times New Roman"/>
                <w:sz w:val="24"/>
                <w:szCs w:val="24"/>
              </w:rPr>
              <w:t xml:space="preserve"> tiekėjo taikomų visų standartinių veiklos procedūrų, susijusių su importuojamų audinių ir ląstelių kokybe ir sauga, sąrašas ir įsipareigojimas gavus prašymą pateikti apie jas informaciją.</w:t>
            </w:r>
          </w:p>
        </w:tc>
      </w:tr>
    </w:tbl>
    <w:p w:rsidR="00363581" w:rsidRDefault="00363581">
      <w:pPr>
        <w:rPr>
          <w:rFonts w:ascii="Times New Roman" w:hAnsi="Times New Roman" w:cs="Times New Roman"/>
          <w:sz w:val="24"/>
          <w:szCs w:val="24"/>
        </w:rPr>
      </w:pPr>
    </w:p>
    <w:p w:rsidR="00941511" w:rsidRPr="00F40235" w:rsidRDefault="00941511" w:rsidP="00941511">
      <w:pPr>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941511" w:rsidRPr="00F40235" w:rsidSect="006144B8">
      <w:pgSz w:w="11906" w:h="16838"/>
      <w:pgMar w:top="993"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85"/>
    <w:rsid w:val="000009F5"/>
    <w:rsid w:val="001252A6"/>
    <w:rsid w:val="00142F61"/>
    <w:rsid w:val="001C0CE6"/>
    <w:rsid w:val="002949CA"/>
    <w:rsid w:val="002B210B"/>
    <w:rsid w:val="002D62A3"/>
    <w:rsid w:val="00356E86"/>
    <w:rsid w:val="00363581"/>
    <w:rsid w:val="00447E94"/>
    <w:rsid w:val="006144B8"/>
    <w:rsid w:val="0092276A"/>
    <w:rsid w:val="00941511"/>
    <w:rsid w:val="009A0FA7"/>
    <w:rsid w:val="00C01563"/>
    <w:rsid w:val="00C85968"/>
    <w:rsid w:val="00D127AA"/>
    <w:rsid w:val="00D37CDE"/>
    <w:rsid w:val="00D52985"/>
    <w:rsid w:val="00D62BF7"/>
    <w:rsid w:val="00D64221"/>
    <w:rsid w:val="00F40235"/>
    <w:rsid w:val="00F519BF"/>
    <w:rsid w:val="00F621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grseq-1">
    <w:name w:val="ti-grseq-1"/>
    <w:basedOn w:val="prastasis"/>
    <w:rsid w:val="00D52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Numatytasispastraiposriftas"/>
    <w:rsid w:val="00D52985"/>
  </w:style>
  <w:style w:type="paragraph" w:customStyle="1" w:styleId="prastasis1">
    <w:name w:val="Įprastasis1"/>
    <w:basedOn w:val="prastasis"/>
    <w:rsid w:val="00D529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grseq-1">
    <w:name w:val="ti-grseq-1"/>
    <w:basedOn w:val="prastasis"/>
    <w:rsid w:val="00D52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Numatytasispastraiposriftas"/>
    <w:rsid w:val="00D52985"/>
  </w:style>
  <w:style w:type="paragraph" w:customStyle="1" w:styleId="prastasis1">
    <w:name w:val="Įprastasis1"/>
    <w:basedOn w:val="prastasis"/>
    <w:rsid w:val="00D529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2072</Words>
  <Characters>1182</Characters>
  <Application>Microsoft Office Word</Application>
  <DocSecurity>4</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Nacionalinis transplantacijos biuras prie SAM</Company>
  <LinksUpToDate>false</LinksUpToDate>
  <CharactersWithSpaces>3248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2016-12-09T13:49:00Z</dcterms:created>
  <dc:creator>Toma Januševičiūte</dc:creator>
  <lastModifiedBy>PETRAUSKAITĖ Girmantė</lastModifiedBy>
  <dcterms:modified xsi:type="dcterms:W3CDTF">2016-12-09T13:49:00Z</dcterms:modified>
  <revision>2</revision>
</coreProperties>
</file>