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01" w:rsidRDefault="00D86201">
      <w:pPr>
        <w:jc w:val="center"/>
        <w:rPr>
          <w:b/>
          <w:bCs/>
          <w:lang w:val="lt-LT"/>
        </w:rPr>
      </w:pPr>
      <w:bookmarkStart w:id="0" w:name="_GoBack"/>
      <w:bookmarkEnd w:id="0"/>
    </w:p>
    <w:p w:rsidR="00D86201" w:rsidRDefault="00D86201">
      <w:pPr>
        <w:jc w:val="center"/>
        <w:rPr>
          <w:b/>
          <w:bCs/>
          <w:lang w:val="lt-LT"/>
        </w:rPr>
      </w:pPr>
      <w:r>
        <w:rPr>
          <w:b/>
          <w:bCs/>
          <w:lang w:val="lt-LT"/>
        </w:rPr>
        <w:t>MĖNESIO ATASKAITOS FORMOS B-09-02 „ATASKAITA MOKĖJIMŲ BALANSUI SUDARYTI“ PILDYMO PAAIŠKINIMAI</w:t>
      </w:r>
    </w:p>
    <w:p w:rsidR="00D86201" w:rsidRDefault="00D86201">
      <w:pPr>
        <w:rPr>
          <w:rFonts w:ascii="Tahoma" w:hAnsi="Tahoma" w:cs="Tahoma"/>
          <w:sz w:val="18"/>
          <w:szCs w:val="13"/>
          <w:lang w:val="lt-LT"/>
        </w:rPr>
      </w:pPr>
    </w:p>
    <w:p w:rsidR="00D86201" w:rsidRDefault="00D86201">
      <w:pPr>
        <w:rPr>
          <w:rFonts w:ascii="Tahoma" w:hAnsi="Tahoma" w:cs="Tahoma"/>
          <w:sz w:val="18"/>
          <w:szCs w:val="13"/>
          <w:lang w:val="lt-LT"/>
        </w:rPr>
      </w:pPr>
    </w:p>
    <w:p w:rsidR="00D86201" w:rsidRDefault="00D86201">
      <w:pPr>
        <w:rPr>
          <w:rFonts w:ascii="Tahoma" w:hAnsi="Tahoma" w:cs="Tahoma"/>
          <w:sz w:val="18"/>
          <w:szCs w:val="13"/>
          <w:lang w:val="lt-LT"/>
        </w:rPr>
      </w:pPr>
    </w:p>
    <w:p w:rsidR="00D86201" w:rsidRDefault="00D86201">
      <w:pPr>
        <w:ind w:firstLine="720"/>
        <w:jc w:val="both"/>
        <w:rPr>
          <w:i/>
          <w:iCs/>
          <w:lang w:val="lt-LT"/>
        </w:rPr>
      </w:pPr>
      <w:r>
        <w:rPr>
          <w:i/>
          <w:iCs/>
          <w:lang w:val="lt-LT"/>
        </w:rPr>
        <w:t>Ši ataskaita sudaroma vadovaujantis ketvirčio ataskaitos B-09-01 sudarymo nurodymais.</w:t>
      </w:r>
    </w:p>
    <w:p w:rsidR="00D86201" w:rsidRDefault="00D86201">
      <w:pPr>
        <w:pStyle w:val="BodyTextIndent"/>
        <w:rPr>
          <w:rFonts w:ascii="Times New Roman" w:hAnsi="Times New Roman"/>
          <w:szCs w:val="24"/>
          <w:lang w:val="lt-LT"/>
        </w:rPr>
      </w:pPr>
      <w:r>
        <w:rPr>
          <w:rFonts w:ascii="Times New Roman" w:hAnsi="Times New Roman"/>
          <w:szCs w:val="24"/>
          <w:lang w:val="lt-LT"/>
        </w:rPr>
        <w:t>Mėnesio ataskaitos formą pildo visi Lietuvos Respublikos komerciniai bankai ir užsienio bankų skyriai</w:t>
      </w:r>
      <w:r>
        <w:rPr>
          <w:lang w:val="lt-LT"/>
        </w:rPr>
        <w:t>, įtraukti į pinigų finansinių institucijų sąrašą</w:t>
      </w:r>
      <w:r>
        <w:rPr>
          <w:rFonts w:ascii="Times New Roman" w:hAnsi="Times New Roman"/>
          <w:szCs w:val="24"/>
          <w:lang w:val="lt-LT"/>
        </w:rPr>
        <w:t>. Ataskaita pateikiama ataskaitų perdavimo sistema (APS) nurodytais terminais Lietuvos bank</w:t>
      </w:r>
      <w:r w:rsidR="00054204">
        <w:rPr>
          <w:rFonts w:ascii="Times New Roman" w:hAnsi="Times New Roman"/>
          <w:szCs w:val="24"/>
          <w:lang w:val="lt-LT"/>
        </w:rPr>
        <w:t>ui</w:t>
      </w:r>
      <w:r>
        <w:rPr>
          <w:rFonts w:ascii="Times New Roman" w:hAnsi="Times New Roman"/>
          <w:szCs w:val="24"/>
          <w:lang w:val="lt-LT"/>
        </w:rPr>
        <w:t>. Konkrečių ataskaitų duomenys yra konfidencialūs ir naudojami tik skaičiuojant suvestinius duomenis.</w:t>
      </w:r>
    </w:p>
    <w:p w:rsidR="00D86201" w:rsidRDefault="00D86201">
      <w:pPr>
        <w:ind w:firstLine="720"/>
        <w:jc w:val="both"/>
        <w:rPr>
          <w:lang w:val="lt-LT"/>
        </w:rPr>
      </w:pPr>
      <w:r>
        <w:rPr>
          <w:lang w:val="lt-LT"/>
        </w:rPr>
        <w:t>Ataskaitoje reikia pateikti atitinkamų mokėjimų balanso rodiklių mėnesio srautus.</w:t>
      </w:r>
    </w:p>
    <w:p w:rsidR="00D86201" w:rsidRDefault="00D86201">
      <w:pPr>
        <w:ind w:firstLine="720"/>
        <w:jc w:val="both"/>
        <w:rPr>
          <w:lang w:val="lt-LT"/>
        </w:rPr>
      </w:pPr>
      <w:r>
        <w:rPr>
          <w:i/>
          <w:iCs/>
          <w:lang w:val="lt-LT"/>
        </w:rPr>
        <w:t>Išvestinių finansinių priemonių</w:t>
      </w:r>
      <w:r>
        <w:rPr>
          <w:lang w:val="lt-LT"/>
        </w:rPr>
        <w:t xml:space="preserve"> sutartys, turinčios teigiamą rinkos vertę, įtraukiamos į užsienio turto dalį, o turinčios neigiamą rinkos vertę – į įsipareigojimus.</w:t>
      </w:r>
    </w:p>
    <w:p w:rsidR="00D86201" w:rsidRDefault="00D86201">
      <w:pPr>
        <w:ind w:firstLine="720"/>
        <w:jc w:val="both"/>
        <w:rPr>
          <w:lang w:val="lt-LT"/>
        </w:rPr>
      </w:pPr>
      <w:r>
        <w:rPr>
          <w:i/>
          <w:iCs/>
          <w:lang w:val="lt-LT"/>
        </w:rPr>
        <w:t>Kitų investicijų</w:t>
      </w:r>
      <w:r>
        <w:rPr>
          <w:lang w:val="lt-LT"/>
        </w:rPr>
        <w:t xml:space="preserve"> užsienio turtui (įsipareigojimams) priskiriami indėliai, korespondentinės sąskaitos, paskolos, įsiskolinimas už prekes ir paslaugas bei kitas turtas (kiti įsipareigojimai). „Kitos investicijos“ klasifikuojamos pagal trukmę: trumpalaikės (kai pirminis terminas iki vienų metų) ir ilgalaikės (kai pirminis terminas ilgesnis nei vieni metai).</w:t>
      </w:r>
    </w:p>
    <w:p w:rsidR="00D86201" w:rsidRDefault="00D86201">
      <w:pPr>
        <w:ind w:firstLine="720"/>
        <w:jc w:val="both"/>
        <w:rPr>
          <w:lang w:val="lt-LT"/>
        </w:rPr>
      </w:pPr>
      <w:r>
        <w:rPr>
          <w:lang w:val="lt-LT"/>
        </w:rPr>
        <w:t>Šioje ataskaitoje „Investicijų pajamos ir išlaidos“</w:t>
      </w:r>
      <w:r>
        <w:rPr>
          <w:b/>
          <w:bCs/>
          <w:lang w:val="lt-LT"/>
        </w:rPr>
        <w:t xml:space="preserve"> </w:t>
      </w:r>
      <w:r>
        <w:rPr>
          <w:lang w:val="lt-LT"/>
        </w:rPr>
        <w:t>apima tiesioginių investicijų, portfeli</w:t>
      </w:r>
      <w:r w:rsidR="00FE666B">
        <w:rPr>
          <w:lang w:val="lt-LT"/>
        </w:rPr>
        <w:t>nių investicijų</w:t>
      </w:r>
      <w:r>
        <w:rPr>
          <w:lang w:val="lt-LT"/>
        </w:rPr>
        <w:t xml:space="preserve"> ir kitų investicijų pajamas ir išlaidas.</w:t>
      </w:r>
    </w:p>
    <w:p w:rsidR="00D86201" w:rsidRDefault="00D86201">
      <w:pPr>
        <w:pStyle w:val="BodyTextIndent"/>
        <w:rPr>
          <w:rFonts w:ascii="Times New Roman" w:hAnsi="Times New Roman"/>
          <w:szCs w:val="24"/>
          <w:lang w:val="lt-LT"/>
        </w:rPr>
      </w:pPr>
      <w:r>
        <w:rPr>
          <w:rFonts w:ascii="Times New Roman" w:hAnsi="Times New Roman"/>
          <w:szCs w:val="24"/>
          <w:lang w:val="lt-LT"/>
        </w:rPr>
        <w:t>Atkreipiame Jūsų dėmesį</w:t>
      </w:r>
      <w:r w:rsidR="00564D61">
        <w:rPr>
          <w:rFonts w:ascii="Times New Roman" w:hAnsi="Times New Roman"/>
          <w:szCs w:val="24"/>
          <w:lang w:val="lt-LT"/>
        </w:rPr>
        <w:t xml:space="preserve"> į tai</w:t>
      </w:r>
      <w:r>
        <w:rPr>
          <w:rFonts w:ascii="Times New Roman" w:hAnsi="Times New Roman"/>
          <w:szCs w:val="24"/>
          <w:lang w:val="lt-LT"/>
        </w:rPr>
        <w:t>, kad kai kurių rodiklių ataskaitinio laikotarpio srautas gali būti ir neigiamas, t. y. su minuso ženklu (pvz., jei per ataskaitinį laikotarpį grąžinta paskolų daugiau negu gauta, jei patirtas nuostolis viršija investicijas ir pan.).</w:t>
      </w:r>
    </w:p>
    <w:p w:rsidR="00D86201" w:rsidRDefault="00D86201" w:rsidP="00A97DEE">
      <w:pPr>
        <w:pStyle w:val="BodyTextIndent"/>
        <w:ind w:firstLine="0"/>
        <w:jc w:val="center"/>
      </w:pPr>
      <w:r>
        <w:rPr>
          <w:rFonts w:ascii="Times New Roman" w:hAnsi="Times New Roman"/>
          <w:szCs w:val="24"/>
          <w:lang w:val="lt-LT"/>
        </w:rPr>
        <w:t>_________________</w:t>
      </w:r>
    </w:p>
    <w:sectPr w:rsidR="00D86201">
      <w:pgSz w:w="11907" w:h="16840" w:code="9"/>
      <w:pgMar w:top="1134" w:right="68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0"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04"/>
    <w:rsid w:val="00054204"/>
    <w:rsid w:val="00564D61"/>
    <w:rsid w:val="00684CC5"/>
    <w:rsid w:val="006F3A2E"/>
    <w:rsid w:val="0088725D"/>
    <w:rsid w:val="00A97DEE"/>
    <w:rsid w:val="00D86201"/>
    <w:rsid w:val="00FE6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284"/>
      <w:outlineLvl w:val="0"/>
    </w:pPr>
    <w:rPr>
      <w:szCs w:val="20"/>
      <w:lang w:val="lt-LT"/>
    </w:rPr>
  </w:style>
  <w:style w:type="paragraph" w:styleId="Heading2">
    <w:name w:val="heading 2"/>
    <w:basedOn w:val="Normal"/>
    <w:next w:val="Normal"/>
    <w:qFormat/>
    <w:pPr>
      <w:keepNext/>
      <w:jc w:val="both"/>
      <w:outlineLvl w:val="1"/>
    </w:pPr>
    <w:rPr>
      <w:szCs w:val="20"/>
      <w:lang w:val="lt-LT"/>
    </w:rPr>
  </w:style>
  <w:style w:type="paragraph" w:styleId="Heading3">
    <w:name w:val="heading 3"/>
    <w:basedOn w:val="Normal"/>
    <w:next w:val="Normal"/>
    <w:qFormat/>
    <w:pPr>
      <w:keepNext/>
      <w:spacing w:before="40" w:after="40"/>
      <w:outlineLvl w:val="2"/>
    </w:pPr>
    <w:rPr>
      <w:rFonts w:ascii="Tahoma" w:hAnsi="Tahoma" w:cs="Tahoma"/>
      <w:b/>
      <w:bCs/>
      <w:sz w:val="16"/>
      <w:lang w:val="lt-LT"/>
    </w:rPr>
  </w:style>
  <w:style w:type="paragraph" w:styleId="Heading4">
    <w:name w:val="heading 4"/>
    <w:basedOn w:val="Normal"/>
    <w:next w:val="Normal"/>
    <w:qFormat/>
    <w:pPr>
      <w:keepNext/>
      <w:jc w:val="center"/>
      <w:outlineLvl w:val="3"/>
    </w:pPr>
    <w:rPr>
      <w:b/>
      <w:sz w:val="20"/>
      <w:szCs w:val="20"/>
      <w:lang w:val="en-AU"/>
    </w:rPr>
  </w:style>
  <w:style w:type="paragraph" w:styleId="Heading5">
    <w:name w:val="heading 5"/>
    <w:basedOn w:val="Normal"/>
    <w:next w:val="Normal"/>
    <w:qFormat/>
    <w:pPr>
      <w:keepNext/>
      <w:outlineLvl w:val="4"/>
    </w:pPr>
    <w:rPr>
      <w:rFonts w:ascii="Arial" w:hAnsi="Arial"/>
      <w:b/>
      <w:sz w:val="18"/>
      <w:szCs w:val="20"/>
      <w:lang w:val="en-GB"/>
    </w:rPr>
  </w:style>
  <w:style w:type="paragraph" w:styleId="Heading6">
    <w:name w:val="heading 6"/>
    <w:basedOn w:val="Normal"/>
    <w:next w:val="Normal"/>
    <w:qFormat/>
    <w:pPr>
      <w:keepNext/>
      <w:jc w:val="center"/>
      <w:outlineLvl w:val="5"/>
    </w:pPr>
    <w:rPr>
      <w:rFonts w:ascii="Arial" w:hAnsi="Arial"/>
      <w:b/>
      <w:sz w:val="18"/>
      <w:szCs w:val="20"/>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sz w:val="20"/>
      <w:szCs w:val="20"/>
      <w:lang w:val="en-AU"/>
    </w:rPr>
  </w:style>
  <w:style w:type="paragraph" w:styleId="BodyTextIndent">
    <w:name w:val="Body Text Indent"/>
    <w:basedOn w:val="Normal"/>
    <w:semiHidden/>
    <w:pPr>
      <w:ind w:firstLine="720"/>
      <w:jc w:val="both"/>
    </w:pPr>
    <w:rPr>
      <w:rFonts w:ascii="TimesLT" w:hAnsi="TimesLT"/>
      <w:szCs w:val="20"/>
      <w:lang w:val="en-AU"/>
    </w:rPr>
  </w:style>
  <w:style w:type="paragraph" w:styleId="BodyText3">
    <w:name w:val="Body Text 3"/>
    <w:basedOn w:val="Normal"/>
    <w:semiHidden/>
    <w:rPr>
      <w:rFonts w:ascii="Arial" w:hAnsi="Arial"/>
      <w:b/>
      <w:sz w:val="28"/>
      <w:szCs w:val="20"/>
      <w:lang w:val="en-GB"/>
    </w:rPr>
  </w:style>
  <w:style w:type="paragraph" w:styleId="BodyText">
    <w:name w:val="Body Text"/>
    <w:basedOn w:val="Normal"/>
    <w:semiHidden/>
    <w:pPr>
      <w:jc w:val="center"/>
    </w:pPr>
    <w:rPr>
      <w:b/>
      <w:bCs/>
      <w:caps/>
      <w:lang w:val="lt-LT"/>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284"/>
      <w:outlineLvl w:val="0"/>
    </w:pPr>
    <w:rPr>
      <w:szCs w:val="20"/>
      <w:lang w:val="lt-LT"/>
    </w:rPr>
  </w:style>
  <w:style w:type="paragraph" w:styleId="Heading2">
    <w:name w:val="heading 2"/>
    <w:basedOn w:val="Normal"/>
    <w:next w:val="Normal"/>
    <w:qFormat/>
    <w:pPr>
      <w:keepNext/>
      <w:jc w:val="both"/>
      <w:outlineLvl w:val="1"/>
    </w:pPr>
    <w:rPr>
      <w:szCs w:val="20"/>
      <w:lang w:val="lt-LT"/>
    </w:rPr>
  </w:style>
  <w:style w:type="paragraph" w:styleId="Heading3">
    <w:name w:val="heading 3"/>
    <w:basedOn w:val="Normal"/>
    <w:next w:val="Normal"/>
    <w:qFormat/>
    <w:pPr>
      <w:keepNext/>
      <w:spacing w:before="40" w:after="40"/>
      <w:outlineLvl w:val="2"/>
    </w:pPr>
    <w:rPr>
      <w:rFonts w:ascii="Tahoma" w:hAnsi="Tahoma" w:cs="Tahoma"/>
      <w:b/>
      <w:bCs/>
      <w:sz w:val="16"/>
      <w:lang w:val="lt-LT"/>
    </w:rPr>
  </w:style>
  <w:style w:type="paragraph" w:styleId="Heading4">
    <w:name w:val="heading 4"/>
    <w:basedOn w:val="Normal"/>
    <w:next w:val="Normal"/>
    <w:qFormat/>
    <w:pPr>
      <w:keepNext/>
      <w:jc w:val="center"/>
      <w:outlineLvl w:val="3"/>
    </w:pPr>
    <w:rPr>
      <w:b/>
      <w:sz w:val="20"/>
      <w:szCs w:val="20"/>
      <w:lang w:val="en-AU"/>
    </w:rPr>
  </w:style>
  <w:style w:type="paragraph" w:styleId="Heading5">
    <w:name w:val="heading 5"/>
    <w:basedOn w:val="Normal"/>
    <w:next w:val="Normal"/>
    <w:qFormat/>
    <w:pPr>
      <w:keepNext/>
      <w:outlineLvl w:val="4"/>
    </w:pPr>
    <w:rPr>
      <w:rFonts w:ascii="Arial" w:hAnsi="Arial"/>
      <w:b/>
      <w:sz w:val="18"/>
      <w:szCs w:val="20"/>
      <w:lang w:val="en-GB"/>
    </w:rPr>
  </w:style>
  <w:style w:type="paragraph" w:styleId="Heading6">
    <w:name w:val="heading 6"/>
    <w:basedOn w:val="Normal"/>
    <w:next w:val="Normal"/>
    <w:qFormat/>
    <w:pPr>
      <w:keepNext/>
      <w:jc w:val="center"/>
      <w:outlineLvl w:val="5"/>
    </w:pPr>
    <w:rPr>
      <w:rFonts w:ascii="Arial" w:hAnsi="Arial"/>
      <w:b/>
      <w:sz w:val="18"/>
      <w:szCs w:val="20"/>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sz w:val="20"/>
      <w:szCs w:val="20"/>
      <w:lang w:val="en-AU"/>
    </w:rPr>
  </w:style>
  <w:style w:type="paragraph" w:styleId="BodyTextIndent">
    <w:name w:val="Body Text Indent"/>
    <w:basedOn w:val="Normal"/>
    <w:semiHidden/>
    <w:pPr>
      <w:ind w:firstLine="720"/>
      <w:jc w:val="both"/>
    </w:pPr>
    <w:rPr>
      <w:rFonts w:ascii="TimesLT" w:hAnsi="TimesLT"/>
      <w:szCs w:val="20"/>
      <w:lang w:val="en-AU"/>
    </w:rPr>
  </w:style>
  <w:style w:type="paragraph" w:styleId="BodyText3">
    <w:name w:val="Body Text 3"/>
    <w:basedOn w:val="Normal"/>
    <w:semiHidden/>
    <w:rPr>
      <w:rFonts w:ascii="Arial" w:hAnsi="Arial"/>
      <w:b/>
      <w:sz w:val="28"/>
      <w:szCs w:val="20"/>
      <w:lang w:val="en-GB"/>
    </w:rPr>
  </w:style>
  <w:style w:type="paragraph" w:styleId="BodyText">
    <w:name w:val="Body Text"/>
    <w:basedOn w:val="Normal"/>
    <w:semiHidden/>
    <w:pPr>
      <w:jc w:val="center"/>
    </w:pPr>
    <w:rPr>
      <w:b/>
      <w:bCs/>
      <w:caps/>
      <w:lang w:val="lt-LT"/>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994</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PROJEKTAS</vt:lpstr>
    </vt:vector>
  </TitlesOfParts>
  <Company>Lietuvos bankas</Company>
  <LinksUpToDate>false</LinksUpToDate>
  <CharactersWithSpaces>1559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2014-09-02T11:34:00Z</dcterms:created>
  <dc:creator>ssilgaliene</dc:creator>
  <lastModifiedBy>Almida Blaževičiūtė</lastModifiedBy>
  <lastPrinted>2013-02-04T07:16:00Z</lastPrinted>
  <dcterms:modified xsi:type="dcterms:W3CDTF">2014-09-02T11:34:00Z</dcterms:modified>
  <revision>2</revision>
  <dc:title>PROJEKTAS</dc:title>
</coreProperties>
</file>