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0C" w:rsidRDefault="00E80023">
      <w:pPr>
        <w:ind w:firstLine="5102"/>
      </w:pPr>
      <w:bookmarkStart w:id="0" w:name="X494c0facfcf140c6954096d93fc8f9b3"/>
      <w:bookmarkStart w:id="1" w:name="X2c904e869f994afd919cc24649f53ad4"/>
      <w:r>
        <w:t xml:space="preserve">Duomenų apie mėsos gamybą, kiaušinių </w:t>
      </w:r>
    </w:p>
    <w:p w:rsidR="00D7430C" w:rsidRDefault="00E80023">
      <w:pPr>
        <w:ind w:firstLine="5102"/>
      </w:pPr>
      <w:r>
        <w:t xml:space="preserve">gavybą ir prekybą šiais produktais </w:t>
      </w:r>
    </w:p>
    <w:p w:rsidR="00D7430C" w:rsidRDefault="00E80023">
      <w:pPr>
        <w:ind w:firstLine="5102"/>
      </w:pPr>
      <w:r>
        <w:t>teikimo taisyklių</w:t>
      </w:r>
    </w:p>
    <w:p w:rsidR="00D7430C" w:rsidRDefault="00E80023">
      <w:pPr>
        <w:ind w:firstLine="5102"/>
      </w:pPr>
      <w:r>
        <w:t>4 priedas</w:t>
      </w:r>
    </w:p>
    <w:p w:rsidR="00D7430C" w:rsidRDefault="00D7430C">
      <w:pPr>
        <w:ind w:firstLine="567"/>
        <w:jc w:val="both"/>
      </w:pPr>
    </w:p>
    <w:p w:rsidR="00D7430C" w:rsidRDefault="00E80023">
      <w:pPr>
        <w:jc w:val="center"/>
        <w:rPr>
          <w:b/>
        </w:rPr>
      </w:pPr>
      <w:r>
        <w:rPr>
          <w:b/>
        </w:rPr>
        <w:t>(Kiaušinių pardavimo savaitės ataskaitos KPS-3 forma)</w:t>
      </w:r>
    </w:p>
    <w:p w:rsidR="00D7430C" w:rsidRDefault="00D7430C">
      <w:pPr>
        <w:jc w:val="center"/>
        <w:rPr>
          <w:b/>
        </w:rPr>
      </w:pPr>
    </w:p>
    <w:p w:rsidR="00D7430C" w:rsidRDefault="00E80023">
      <w:pPr>
        <w:jc w:val="center"/>
        <w:rPr>
          <w:b/>
          <w:caps/>
        </w:rPr>
      </w:pPr>
      <w:r>
        <w:rPr>
          <w:b/>
          <w:caps/>
        </w:rPr>
        <w:t>KIAUŠINIŲ pardavimo* SAVAITĖs ATASKAITA KPS-3</w:t>
      </w:r>
    </w:p>
    <w:p w:rsidR="00D7430C" w:rsidRDefault="00D7430C">
      <w:pPr>
        <w:jc w:val="center"/>
        <w:rPr>
          <w:b/>
          <w:caps/>
        </w:rPr>
      </w:pPr>
    </w:p>
    <w:p w:rsidR="00D7430C" w:rsidRDefault="00E80023">
      <w:pPr>
        <w:jc w:val="center"/>
      </w:pPr>
      <w:r>
        <w:t>________________________</w:t>
      </w:r>
    </w:p>
    <w:p w:rsidR="00D7430C" w:rsidRDefault="00E80023">
      <w:pPr>
        <w:jc w:val="center"/>
        <w:rPr>
          <w:sz w:val="20"/>
        </w:rPr>
      </w:pPr>
      <w:r>
        <w:rPr>
          <w:sz w:val="20"/>
        </w:rPr>
        <w:t>(įmonės pavadinimas)</w:t>
      </w:r>
    </w:p>
    <w:p w:rsidR="00D7430C" w:rsidRDefault="00D7430C">
      <w:pPr>
        <w:jc w:val="center"/>
        <w:rPr>
          <w:u w:val="single"/>
        </w:rPr>
      </w:pPr>
    </w:p>
    <w:p w:rsidR="00D7430C" w:rsidRDefault="00E80023">
      <w:pPr>
        <w:jc w:val="center"/>
        <w:rPr>
          <w:u w:val="single"/>
        </w:rPr>
      </w:pPr>
      <w:r>
        <w:t>____________ Nr.</w:t>
      </w:r>
      <w:r>
        <w:rPr>
          <w:u w:val="single"/>
        </w:rPr>
        <w:t xml:space="preserve"> _________</w:t>
      </w:r>
    </w:p>
    <w:p w:rsidR="00D7430C" w:rsidRDefault="00E80023">
      <w:pPr>
        <w:jc w:val="center"/>
        <w:rPr>
          <w:sz w:val="20"/>
          <w:u w:val="single"/>
        </w:rPr>
      </w:pPr>
      <w:r>
        <w:rPr>
          <w:sz w:val="20"/>
        </w:rPr>
        <w:t>(data)</w:t>
      </w:r>
    </w:p>
    <w:p w:rsidR="00D7430C" w:rsidRDefault="00D7430C">
      <w:pPr>
        <w:tabs>
          <w:tab w:val="center" w:pos="5385"/>
          <w:tab w:val="left" w:pos="7215"/>
        </w:tabs>
        <w:jc w:val="center"/>
      </w:pPr>
    </w:p>
    <w:tbl>
      <w:tblPr>
        <w:tblW w:w="9070" w:type="dxa"/>
        <w:tblLayout w:type="fixed"/>
        <w:tblCellMar>
          <w:left w:w="107" w:type="dxa"/>
          <w:right w:w="107" w:type="dxa"/>
        </w:tblCellMar>
        <w:tblLook w:val="0000" w:firstRow="0" w:lastRow="0" w:firstColumn="0" w:lastColumn="0" w:noHBand="0" w:noVBand="0"/>
      </w:tblPr>
      <w:tblGrid>
        <w:gridCol w:w="1487"/>
        <w:gridCol w:w="287"/>
        <w:gridCol w:w="287"/>
        <w:gridCol w:w="287"/>
        <w:gridCol w:w="287"/>
        <w:gridCol w:w="287"/>
        <w:gridCol w:w="287"/>
        <w:gridCol w:w="287"/>
        <w:gridCol w:w="287"/>
        <w:gridCol w:w="287"/>
        <w:gridCol w:w="234"/>
        <w:gridCol w:w="243"/>
        <w:gridCol w:w="4289"/>
        <w:gridCol w:w="234"/>
      </w:tblGrid>
      <w:tr w:rsidR="00D7430C">
        <w:trPr>
          <w:cantSplit/>
          <w:trHeight w:val="328"/>
        </w:trPr>
        <w:tc>
          <w:tcPr>
            <w:tcW w:w="1487" w:type="dxa"/>
            <w:tcBorders>
              <w:top w:val="single" w:sz="12" w:space="0" w:color="auto"/>
              <w:left w:val="single" w:sz="12" w:space="0" w:color="auto"/>
              <w:bottom w:val="single" w:sz="6" w:space="0" w:color="auto"/>
              <w:right w:val="single" w:sz="6" w:space="0" w:color="auto"/>
            </w:tcBorders>
          </w:tcPr>
          <w:p w:rsidR="00D7430C" w:rsidRDefault="00E80023">
            <w:pPr>
              <w:tabs>
                <w:tab w:val="center" w:pos="4819"/>
                <w:tab w:val="right" w:pos="9638"/>
              </w:tabs>
              <w:rPr>
                <w:sz w:val="17"/>
                <w:szCs w:val="17"/>
              </w:rPr>
            </w:pPr>
            <w:r>
              <w:rPr>
                <w:sz w:val="18"/>
                <w:szCs w:val="18"/>
              </w:rPr>
              <w:t>Įmonės kodas registre</w:t>
            </w: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nil"/>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dotted" w:sz="4" w:space="0" w:color="auto"/>
            </w:tcBorders>
          </w:tcPr>
          <w:p w:rsidR="00D7430C" w:rsidRDefault="00D7430C">
            <w:pPr>
              <w:jc w:val="center"/>
              <w:rPr>
                <w:sz w:val="17"/>
                <w:szCs w:val="17"/>
              </w:rPr>
            </w:pPr>
          </w:p>
        </w:tc>
        <w:tc>
          <w:tcPr>
            <w:tcW w:w="287" w:type="dxa"/>
            <w:tcBorders>
              <w:top w:val="single" w:sz="12" w:space="0" w:color="auto"/>
              <w:left w:val="dotted" w:sz="4" w:space="0" w:color="auto"/>
              <w:bottom w:val="single" w:sz="6" w:space="0" w:color="auto"/>
              <w:right w:val="single" w:sz="12" w:space="0" w:color="auto"/>
            </w:tcBorders>
          </w:tcPr>
          <w:p w:rsidR="00D7430C" w:rsidRDefault="00D7430C">
            <w:pPr>
              <w:jc w:val="center"/>
              <w:rPr>
                <w:sz w:val="17"/>
                <w:szCs w:val="17"/>
              </w:rPr>
            </w:pPr>
          </w:p>
        </w:tc>
        <w:tc>
          <w:tcPr>
            <w:tcW w:w="234" w:type="dxa"/>
            <w:vMerge w:val="restart"/>
            <w:tcBorders>
              <w:left w:val="nil"/>
            </w:tcBorders>
          </w:tcPr>
          <w:p w:rsidR="00D7430C" w:rsidRDefault="00D7430C">
            <w:pPr>
              <w:rPr>
                <w:sz w:val="17"/>
                <w:szCs w:val="17"/>
              </w:rPr>
            </w:pPr>
          </w:p>
        </w:tc>
        <w:tc>
          <w:tcPr>
            <w:tcW w:w="4766" w:type="dxa"/>
            <w:gridSpan w:val="3"/>
            <w:vMerge w:val="restart"/>
          </w:tcPr>
          <w:p w:rsidR="00D7430C" w:rsidRDefault="00E80023">
            <w:pPr>
              <w:ind w:left="1096" w:hanging="1096"/>
              <w:rPr>
                <w:sz w:val="20"/>
              </w:rPr>
            </w:pPr>
            <w:r>
              <w:rPr>
                <w:b/>
                <w:sz w:val="20"/>
                <w:u w:val="single"/>
              </w:rPr>
              <w:t>Pateikiama</w:t>
            </w:r>
            <w:r>
              <w:rPr>
                <w:sz w:val="20"/>
                <w:u w:val="single"/>
              </w:rPr>
              <w:t>:</w:t>
            </w:r>
            <w:r>
              <w:rPr>
                <w:sz w:val="20"/>
              </w:rPr>
              <w:t xml:space="preserve"> už praėjusią savaitę iki einamosios savaitės antradienio 12 val.;</w:t>
            </w:r>
          </w:p>
          <w:p w:rsidR="00D7430C" w:rsidRDefault="00E80023">
            <w:pPr>
              <w:ind w:left="1096" w:hanging="1096"/>
              <w:rPr>
                <w:sz w:val="20"/>
              </w:rPr>
            </w:pPr>
            <w:r>
              <w:rPr>
                <w:b/>
                <w:color w:val="000000"/>
                <w:sz w:val="20"/>
                <w:u w:val="single"/>
              </w:rPr>
              <w:t>Pateikia</w:t>
            </w:r>
            <w:r>
              <w:rPr>
                <w:color w:val="000000"/>
                <w:sz w:val="20"/>
                <w:u w:val="single"/>
              </w:rPr>
              <w:t>:</w:t>
            </w:r>
            <w:r>
              <w:rPr>
                <w:color w:val="000000"/>
                <w:sz w:val="20"/>
              </w:rPr>
              <w:t xml:space="preserve"> </w:t>
            </w:r>
            <w:r>
              <w:rPr>
                <w:sz w:val="18"/>
                <w:szCs w:val="18"/>
              </w:rPr>
              <w:t>kiaušinių gavybos ir prekybos įmonės.</w:t>
            </w:r>
          </w:p>
        </w:tc>
      </w:tr>
      <w:tr w:rsidR="00D7430C">
        <w:tblPrEx>
          <w:tblBorders>
            <w:insideH w:val="single" w:sz="6" w:space="0" w:color="auto"/>
            <w:insideV w:val="single" w:sz="6" w:space="0" w:color="auto"/>
          </w:tblBorders>
        </w:tblPrEx>
        <w:trPr>
          <w:cantSplit/>
          <w:trHeight w:val="328"/>
        </w:trPr>
        <w:tc>
          <w:tcPr>
            <w:tcW w:w="4070" w:type="dxa"/>
            <w:gridSpan w:val="10"/>
            <w:tcBorders>
              <w:top w:val="nil"/>
              <w:left w:val="single" w:sz="12" w:space="0" w:color="auto"/>
              <w:bottom w:val="dotted" w:sz="4" w:space="0" w:color="auto"/>
              <w:right w:val="single" w:sz="12" w:space="0" w:color="auto"/>
            </w:tcBorders>
            <w:shd w:val="solid" w:color="FFFFFF" w:fill="FFFFFF"/>
          </w:tcPr>
          <w:p w:rsidR="00D7430C" w:rsidRDefault="00E80023">
            <w:pPr>
              <w:rPr>
                <w:sz w:val="17"/>
                <w:szCs w:val="17"/>
              </w:rPr>
            </w:pPr>
            <w:r>
              <w:rPr>
                <w:sz w:val="17"/>
                <w:szCs w:val="17"/>
              </w:rPr>
              <w:t>Adresas</w:t>
            </w: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4766" w:type="dxa"/>
            <w:gridSpan w:val="3"/>
            <w:vMerge/>
            <w:tcBorders>
              <w:top w:val="nil"/>
              <w:left w:val="nil"/>
              <w:bottom w:val="nil"/>
              <w:right w:val="nil"/>
            </w:tcBorders>
          </w:tcPr>
          <w:p w:rsidR="00D7430C" w:rsidRDefault="00D7430C">
            <w:pPr>
              <w:ind w:left="709" w:hanging="709"/>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nil"/>
              <w:left w:val="single" w:sz="12" w:space="0" w:color="auto"/>
              <w:bottom w:val="dotted" w:sz="4" w:space="0" w:color="auto"/>
              <w:right w:val="single" w:sz="12" w:space="0" w:color="auto"/>
            </w:tcBorders>
            <w:shd w:val="solid" w:color="FFFFFF" w:fill="FFFFFF"/>
          </w:tcPr>
          <w:p w:rsidR="00D7430C" w:rsidRDefault="00D7430C">
            <w:pPr>
              <w:rPr>
                <w:sz w:val="17"/>
                <w:szCs w:val="17"/>
              </w:rPr>
            </w:pP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4766" w:type="dxa"/>
            <w:gridSpan w:val="3"/>
            <w:vMerge/>
            <w:tcBorders>
              <w:top w:val="nil"/>
              <w:left w:val="nil"/>
              <w:bottom w:val="nil"/>
              <w:right w:val="nil"/>
            </w:tcBorders>
          </w:tcPr>
          <w:p w:rsidR="00D7430C" w:rsidRDefault="00D7430C">
            <w:pPr>
              <w:ind w:left="709" w:hanging="709"/>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dotted" w:sz="4" w:space="0" w:color="auto"/>
              <w:left w:val="single" w:sz="12" w:space="0" w:color="auto"/>
              <w:bottom w:val="single" w:sz="6" w:space="0" w:color="auto"/>
              <w:right w:val="single" w:sz="12" w:space="0" w:color="auto"/>
            </w:tcBorders>
            <w:shd w:val="solid" w:color="FFFFFF" w:fill="FFFFFF"/>
          </w:tcPr>
          <w:p w:rsidR="00D7430C" w:rsidRDefault="00D7430C">
            <w:pPr>
              <w:rPr>
                <w:sz w:val="17"/>
                <w:szCs w:val="17"/>
              </w:rPr>
            </w:pPr>
          </w:p>
        </w:tc>
        <w:tc>
          <w:tcPr>
            <w:tcW w:w="234" w:type="dxa"/>
            <w:vMerge/>
            <w:tcBorders>
              <w:left w:val="single" w:sz="12" w:space="0" w:color="auto"/>
              <w:right w:val="nil"/>
            </w:tcBorders>
            <w:shd w:val="solid" w:color="FFFFFF" w:fill="FFFFFF"/>
          </w:tcPr>
          <w:p w:rsidR="00D7430C" w:rsidRDefault="00D7430C">
            <w:pPr>
              <w:rPr>
                <w:sz w:val="17"/>
                <w:szCs w:val="17"/>
              </w:rPr>
            </w:pPr>
          </w:p>
        </w:tc>
        <w:tc>
          <w:tcPr>
            <w:tcW w:w="243" w:type="dxa"/>
            <w:vMerge w:val="restart"/>
            <w:tcBorders>
              <w:top w:val="nil"/>
              <w:left w:val="nil"/>
              <w:bottom w:val="nil"/>
              <w:right w:val="nil"/>
            </w:tcBorders>
            <w:shd w:val="solid" w:color="FFFFFF" w:fill="FFFFFF"/>
          </w:tcPr>
          <w:p w:rsidR="00D7430C" w:rsidRDefault="00D7430C">
            <w:pPr>
              <w:jc w:val="center"/>
              <w:rPr>
                <w:sz w:val="17"/>
                <w:szCs w:val="17"/>
              </w:rPr>
            </w:pPr>
          </w:p>
        </w:tc>
        <w:tc>
          <w:tcPr>
            <w:tcW w:w="4289" w:type="dxa"/>
            <w:tcBorders>
              <w:top w:val="nil"/>
              <w:left w:val="nil"/>
              <w:bottom w:val="single" w:sz="4" w:space="0" w:color="auto"/>
              <w:right w:val="nil"/>
            </w:tcBorders>
            <w:shd w:val="solid" w:color="FFFFFF" w:fill="FFFFFF"/>
          </w:tcPr>
          <w:p w:rsidR="00D7430C" w:rsidRDefault="00D7430C">
            <w:pPr>
              <w:jc w:val="center"/>
              <w:rPr>
                <w:sz w:val="17"/>
                <w:szCs w:val="17"/>
              </w:rPr>
            </w:pPr>
          </w:p>
        </w:tc>
        <w:tc>
          <w:tcPr>
            <w:tcW w:w="234" w:type="dxa"/>
            <w:vMerge w:val="restart"/>
            <w:tcBorders>
              <w:top w:val="nil"/>
              <w:left w:val="nil"/>
              <w:right w:val="nil"/>
            </w:tcBorders>
            <w:shd w:val="solid" w:color="FFFFFF" w:fill="FFFFFF"/>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2348" w:type="dxa"/>
            <w:gridSpan w:val="4"/>
            <w:tcBorders>
              <w:top w:val="single" w:sz="6" w:space="0" w:color="auto"/>
              <w:left w:val="single" w:sz="12" w:space="0" w:color="auto"/>
              <w:bottom w:val="single" w:sz="6" w:space="0" w:color="auto"/>
              <w:right w:val="single" w:sz="6" w:space="0" w:color="auto"/>
            </w:tcBorders>
            <w:shd w:val="clear" w:color="FFFFFF" w:fill="FFFFFF"/>
          </w:tcPr>
          <w:p w:rsidR="00D7430C" w:rsidRDefault="00E80023">
            <w:pPr>
              <w:rPr>
                <w:sz w:val="17"/>
                <w:szCs w:val="17"/>
              </w:rPr>
            </w:pPr>
            <w:r>
              <w:rPr>
                <w:sz w:val="17"/>
                <w:szCs w:val="17"/>
              </w:rPr>
              <w:t>Pagrindinės veiklos kodas (EVRK)</w:t>
            </w:r>
          </w:p>
        </w:tc>
        <w:tc>
          <w:tcPr>
            <w:tcW w:w="287" w:type="dxa"/>
            <w:tcBorders>
              <w:top w:val="single" w:sz="6" w:space="0" w:color="auto"/>
              <w:left w:val="nil"/>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single" w:sz="6" w:space="0" w:color="auto"/>
              <w:left w:val="dotted" w:sz="4" w:space="0" w:color="auto"/>
              <w:bottom w:val="single" w:sz="6" w:space="0" w:color="auto"/>
              <w:right w:val="dotted" w:sz="4" w:space="0" w:color="auto"/>
            </w:tcBorders>
            <w:shd w:val="clear" w:color="FFFFFF" w:fill="FFFFFF"/>
          </w:tcPr>
          <w:p w:rsidR="00D7430C" w:rsidRDefault="00D7430C">
            <w:pPr>
              <w:rPr>
                <w:sz w:val="17"/>
                <w:szCs w:val="17"/>
              </w:rPr>
            </w:pPr>
          </w:p>
        </w:tc>
        <w:tc>
          <w:tcPr>
            <w:tcW w:w="287" w:type="dxa"/>
            <w:tcBorders>
              <w:top w:val="nil"/>
              <w:left w:val="dotted" w:sz="4" w:space="0" w:color="auto"/>
              <w:bottom w:val="single" w:sz="6" w:space="0" w:color="auto"/>
              <w:right w:val="single" w:sz="12" w:space="0" w:color="auto"/>
            </w:tcBorders>
            <w:shd w:val="clear" w:color="FFFFFF" w:fill="FFFFFF"/>
          </w:tcPr>
          <w:p w:rsidR="00D7430C" w:rsidRDefault="00D7430C">
            <w:pPr>
              <w:rPr>
                <w:sz w:val="17"/>
                <w:szCs w:val="17"/>
              </w:rPr>
            </w:pPr>
          </w:p>
        </w:tc>
        <w:tc>
          <w:tcPr>
            <w:tcW w:w="234" w:type="dxa"/>
            <w:vMerge/>
            <w:tcBorders>
              <w:left w:val="nil"/>
              <w:right w:val="nil"/>
            </w:tcBorders>
            <w:shd w:val="clear" w:color="FFFFFF" w:fill="FFFFFF"/>
          </w:tcPr>
          <w:p w:rsidR="00D7430C" w:rsidRDefault="00D7430C">
            <w:pPr>
              <w:rPr>
                <w:sz w:val="17"/>
                <w:szCs w:val="17"/>
              </w:rPr>
            </w:pPr>
          </w:p>
        </w:tc>
        <w:tc>
          <w:tcPr>
            <w:tcW w:w="243" w:type="dxa"/>
            <w:vMerge/>
            <w:tcBorders>
              <w:top w:val="single" w:sz="6" w:space="0" w:color="auto"/>
              <w:left w:val="nil"/>
              <w:bottom w:val="nil"/>
              <w:right w:val="single" w:sz="4" w:space="0" w:color="auto"/>
            </w:tcBorders>
            <w:shd w:val="clear" w:color="FFFFFF" w:fill="FFFFFF"/>
          </w:tcPr>
          <w:p w:rsidR="00D7430C" w:rsidRDefault="00D7430C">
            <w:pPr>
              <w:jc w:val="center"/>
              <w:rPr>
                <w:sz w:val="17"/>
                <w:szCs w:val="17"/>
              </w:rPr>
            </w:pPr>
          </w:p>
        </w:tc>
        <w:tc>
          <w:tcPr>
            <w:tcW w:w="4289" w:type="dxa"/>
            <w:tcBorders>
              <w:top w:val="single" w:sz="4" w:space="0" w:color="auto"/>
              <w:left w:val="single" w:sz="4" w:space="0" w:color="auto"/>
              <w:bottom w:val="single" w:sz="2" w:space="0" w:color="auto"/>
              <w:right w:val="single" w:sz="4" w:space="0" w:color="auto"/>
            </w:tcBorders>
            <w:shd w:val="clear" w:color="FFFFFF" w:fill="FFFFFF"/>
          </w:tcPr>
          <w:p w:rsidR="00D7430C" w:rsidRDefault="00E80023">
            <w:pPr>
              <w:jc w:val="center"/>
              <w:rPr>
                <w:sz w:val="17"/>
                <w:szCs w:val="17"/>
              </w:rPr>
            </w:pPr>
            <w:r>
              <w:rPr>
                <w:sz w:val="18"/>
                <w:szCs w:val="18"/>
              </w:rPr>
              <w:t>Garantuojamas gautų duomenų konfidencialumas</w:t>
            </w:r>
          </w:p>
        </w:tc>
        <w:tc>
          <w:tcPr>
            <w:tcW w:w="234" w:type="dxa"/>
            <w:vMerge/>
            <w:tcBorders>
              <w:left w:val="single" w:sz="4" w:space="0" w:color="auto"/>
              <w:right w:val="nil"/>
            </w:tcBorders>
            <w:shd w:val="clear" w:color="FFFFFF" w:fill="FFFFFF"/>
          </w:tcPr>
          <w:p w:rsidR="00D7430C" w:rsidRDefault="00D7430C">
            <w:pPr>
              <w:jc w:val="center"/>
              <w:rPr>
                <w:sz w:val="17"/>
                <w:szCs w:val="17"/>
              </w:rPr>
            </w:pPr>
          </w:p>
        </w:tc>
      </w:tr>
      <w:tr w:rsidR="00D7430C">
        <w:tblPrEx>
          <w:tblBorders>
            <w:insideH w:val="single" w:sz="6" w:space="0" w:color="auto"/>
            <w:insideV w:val="single" w:sz="6" w:space="0" w:color="auto"/>
          </w:tblBorders>
        </w:tblPrEx>
        <w:trPr>
          <w:cantSplit/>
          <w:trHeight w:val="328"/>
        </w:trPr>
        <w:tc>
          <w:tcPr>
            <w:tcW w:w="4070" w:type="dxa"/>
            <w:gridSpan w:val="10"/>
            <w:tcBorders>
              <w:top w:val="single" w:sz="6" w:space="0" w:color="auto"/>
              <w:left w:val="single" w:sz="12" w:space="0" w:color="auto"/>
              <w:bottom w:val="dotted" w:sz="4" w:space="0" w:color="auto"/>
              <w:right w:val="single" w:sz="12" w:space="0" w:color="auto"/>
            </w:tcBorders>
            <w:shd w:val="clear" w:color="FFFFFF" w:fill="FFFFFF"/>
          </w:tcPr>
          <w:p w:rsidR="00D7430C" w:rsidRDefault="00E80023">
            <w:pPr>
              <w:rPr>
                <w:sz w:val="17"/>
                <w:szCs w:val="17"/>
              </w:rPr>
            </w:pPr>
            <w:r>
              <w:rPr>
                <w:sz w:val="17"/>
                <w:szCs w:val="17"/>
              </w:rPr>
              <w:t>Pagrindinės veiklos pavadinimas (EVRK)</w:t>
            </w: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24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4289" w:type="dxa"/>
            <w:vMerge w:val="restart"/>
            <w:tcBorders>
              <w:top w:val="single" w:sz="2" w:space="0" w:color="auto"/>
              <w:left w:val="single" w:sz="2" w:space="0" w:color="auto"/>
              <w:bottom w:val="single" w:sz="2" w:space="0" w:color="auto"/>
              <w:right w:val="single" w:sz="2" w:space="0" w:color="auto"/>
            </w:tcBorders>
            <w:shd w:val="clear" w:color="FFFFFF" w:fill="FFFFFF"/>
          </w:tcPr>
          <w:p w:rsidR="00D7430C" w:rsidRDefault="00E80023">
            <w:pPr>
              <w:jc w:val="center"/>
              <w:rPr>
                <w:sz w:val="18"/>
                <w:szCs w:val="18"/>
              </w:rPr>
            </w:pPr>
            <w:r>
              <w:rPr>
                <w:sz w:val="18"/>
                <w:szCs w:val="18"/>
              </w:rPr>
              <w:t>Kviečiame pildyti elektroninę ataskaitos formą. Pildymo tvarką rasite interneto svetainėje</w:t>
            </w:r>
          </w:p>
          <w:p w:rsidR="00D7430C" w:rsidRDefault="00E80023">
            <w:pPr>
              <w:jc w:val="center"/>
              <w:rPr>
                <w:sz w:val="18"/>
                <w:szCs w:val="18"/>
              </w:rPr>
            </w:pPr>
            <w:r>
              <w:rPr>
                <w:sz w:val="18"/>
                <w:szCs w:val="18"/>
              </w:rPr>
              <w:t>http://www.vic.lt/ris</w:t>
            </w:r>
          </w:p>
          <w:p w:rsidR="00D7430C" w:rsidRDefault="00E80023">
            <w:pPr>
              <w:ind w:left="-113" w:right="-113"/>
              <w:jc w:val="center"/>
              <w:rPr>
                <w:spacing w:val="-2"/>
                <w:sz w:val="17"/>
                <w:szCs w:val="17"/>
              </w:rPr>
            </w:pPr>
            <w:r>
              <w:rPr>
                <w:sz w:val="18"/>
                <w:szCs w:val="18"/>
              </w:rPr>
              <w:t>Registruotiems naudotojams</w:t>
            </w:r>
          </w:p>
        </w:tc>
        <w:tc>
          <w:tcPr>
            <w:tcW w:w="234"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r w:rsidR="00D7430C">
        <w:tblPrEx>
          <w:tblBorders>
            <w:insideH w:val="single" w:sz="6" w:space="0" w:color="auto"/>
            <w:insideV w:val="single" w:sz="6" w:space="0" w:color="auto"/>
          </w:tblBorders>
        </w:tblPrEx>
        <w:trPr>
          <w:cantSplit/>
          <w:trHeight w:val="237"/>
        </w:trPr>
        <w:tc>
          <w:tcPr>
            <w:tcW w:w="4070" w:type="dxa"/>
            <w:gridSpan w:val="10"/>
            <w:tcBorders>
              <w:top w:val="dotted" w:sz="4" w:space="0" w:color="auto"/>
              <w:left w:val="single" w:sz="12" w:space="0" w:color="auto"/>
              <w:bottom w:val="dotted" w:sz="4" w:space="0" w:color="auto"/>
              <w:right w:val="single" w:sz="12" w:space="0" w:color="auto"/>
            </w:tcBorders>
            <w:shd w:val="clear" w:color="FFFFFF" w:fill="FFFFFF"/>
          </w:tcPr>
          <w:p w:rsidR="00D7430C" w:rsidRDefault="00D7430C">
            <w:pPr>
              <w:rPr>
                <w:sz w:val="17"/>
                <w:szCs w:val="17"/>
              </w:rPr>
            </w:pP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24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4289" w:type="dxa"/>
            <w:vMerge/>
            <w:tcBorders>
              <w:top w:val="single" w:sz="6" w:space="0" w:color="auto"/>
              <w:left w:val="single" w:sz="2" w:space="0" w:color="auto"/>
              <w:bottom w:val="single" w:sz="2" w:space="0" w:color="auto"/>
              <w:right w:val="single" w:sz="2" w:space="0" w:color="auto"/>
            </w:tcBorders>
            <w:shd w:val="clear" w:color="FFFFFF" w:fill="FFFFFF"/>
          </w:tcPr>
          <w:p w:rsidR="00D7430C" w:rsidRDefault="00D7430C">
            <w:pPr>
              <w:ind w:left="-113" w:right="-113"/>
              <w:jc w:val="center"/>
              <w:rPr>
                <w:spacing w:val="-2"/>
                <w:sz w:val="17"/>
                <w:szCs w:val="17"/>
              </w:rPr>
            </w:pPr>
          </w:p>
        </w:tc>
        <w:tc>
          <w:tcPr>
            <w:tcW w:w="234"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r w:rsidR="00D7430C">
        <w:tblPrEx>
          <w:tblBorders>
            <w:insideH w:val="single" w:sz="6" w:space="0" w:color="auto"/>
            <w:insideV w:val="single" w:sz="6" w:space="0" w:color="auto"/>
          </w:tblBorders>
        </w:tblPrEx>
        <w:trPr>
          <w:cantSplit/>
          <w:trHeight w:val="236"/>
        </w:trPr>
        <w:tc>
          <w:tcPr>
            <w:tcW w:w="4070" w:type="dxa"/>
            <w:gridSpan w:val="10"/>
            <w:tcBorders>
              <w:top w:val="dotted" w:sz="4" w:space="0" w:color="auto"/>
              <w:left w:val="single" w:sz="12" w:space="0" w:color="auto"/>
              <w:bottom w:val="single" w:sz="12" w:space="0" w:color="auto"/>
              <w:right w:val="single" w:sz="12" w:space="0" w:color="auto"/>
            </w:tcBorders>
            <w:shd w:val="clear" w:color="FFFFFF" w:fill="FFFFFF"/>
          </w:tcPr>
          <w:p w:rsidR="00D7430C" w:rsidRDefault="00D7430C">
            <w:pPr>
              <w:rPr>
                <w:sz w:val="17"/>
                <w:szCs w:val="17"/>
              </w:rPr>
            </w:pPr>
          </w:p>
        </w:tc>
        <w:tc>
          <w:tcPr>
            <w:tcW w:w="234" w:type="dxa"/>
            <w:vMerge/>
            <w:tcBorders>
              <w:left w:val="single" w:sz="12" w:space="0" w:color="auto"/>
              <w:right w:val="nil"/>
            </w:tcBorders>
            <w:shd w:val="clear" w:color="FFFFFF" w:fill="FFFFFF"/>
          </w:tcPr>
          <w:p w:rsidR="00D7430C" w:rsidRDefault="00D7430C">
            <w:pPr>
              <w:rPr>
                <w:sz w:val="17"/>
                <w:szCs w:val="17"/>
              </w:rPr>
            </w:pPr>
          </w:p>
        </w:tc>
        <w:tc>
          <w:tcPr>
            <w:tcW w:w="243" w:type="dxa"/>
            <w:vMerge/>
            <w:tcBorders>
              <w:top w:val="single" w:sz="6" w:space="0" w:color="auto"/>
              <w:left w:val="nil"/>
              <w:bottom w:val="nil"/>
              <w:right w:val="single" w:sz="2" w:space="0" w:color="auto"/>
            </w:tcBorders>
            <w:shd w:val="clear" w:color="FFFFFF" w:fill="FFFFFF"/>
          </w:tcPr>
          <w:p w:rsidR="00D7430C" w:rsidRDefault="00D7430C">
            <w:pPr>
              <w:ind w:left="-113" w:right="-113"/>
              <w:jc w:val="center"/>
              <w:rPr>
                <w:spacing w:val="-2"/>
                <w:sz w:val="17"/>
                <w:szCs w:val="17"/>
              </w:rPr>
            </w:pPr>
          </w:p>
        </w:tc>
        <w:tc>
          <w:tcPr>
            <w:tcW w:w="4289" w:type="dxa"/>
            <w:vMerge/>
            <w:tcBorders>
              <w:top w:val="single" w:sz="6" w:space="0" w:color="auto"/>
              <w:left w:val="single" w:sz="2" w:space="0" w:color="auto"/>
              <w:bottom w:val="single" w:sz="2" w:space="0" w:color="auto"/>
              <w:right w:val="single" w:sz="2" w:space="0" w:color="auto"/>
            </w:tcBorders>
            <w:shd w:val="clear" w:color="FFFFFF" w:fill="FFFFFF"/>
          </w:tcPr>
          <w:p w:rsidR="00D7430C" w:rsidRDefault="00D7430C">
            <w:pPr>
              <w:jc w:val="center"/>
              <w:rPr>
                <w:sz w:val="18"/>
                <w:szCs w:val="18"/>
              </w:rPr>
            </w:pPr>
          </w:p>
        </w:tc>
        <w:tc>
          <w:tcPr>
            <w:tcW w:w="234" w:type="dxa"/>
            <w:vMerge/>
            <w:tcBorders>
              <w:left w:val="single" w:sz="2" w:space="0" w:color="auto"/>
              <w:right w:val="nil"/>
            </w:tcBorders>
            <w:shd w:val="clear" w:color="FFFFFF" w:fill="FFFFFF"/>
          </w:tcPr>
          <w:p w:rsidR="00D7430C" w:rsidRDefault="00D7430C">
            <w:pPr>
              <w:ind w:left="-113" w:right="-113"/>
              <w:jc w:val="center"/>
              <w:rPr>
                <w:spacing w:val="-2"/>
                <w:sz w:val="17"/>
                <w:szCs w:val="17"/>
              </w:rPr>
            </w:pPr>
          </w:p>
        </w:tc>
      </w:tr>
    </w:tbl>
    <w:p w:rsidR="00D7430C" w:rsidRDefault="00D7430C">
      <w:pPr>
        <w:rPr>
          <w:sz w:val="20"/>
        </w:rPr>
      </w:pPr>
    </w:p>
    <w:p w:rsidR="00D7430C" w:rsidRDefault="00E80023">
      <w:pPr>
        <w:rPr>
          <w:sz w:val="20"/>
        </w:rPr>
      </w:pPr>
      <w:r>
        <w:rPr>
          <w:sz w:val="20"/>
        </w:rPr>
        <w:t xml:space="preserve">201___ </w:t>
      </w:r>
      <w:proofErr w:type="spellStart"/>
      <w:r>
        <w:rPr>
          <w:sz w:val="20"/>
        </w:rPr>
        <w:t>m._______sav</w:t>
      </w:r>
      <w:proofErr w:type="spellEnd"/>
      <w:r>
        <w:rPr>
          <w:sz w:val="20"/>
        </w:rPr>
        <w:t>. ataskaita</w:t>
      </w:r>
    </w:p>
    <w:p w:rsidR="00D7430C" w:rsidRDefault="00D7430C">
      <w:pPr>
        <w:rPr>
          <w:sz w:val="20"/>
        </w:rPr>
      </w:pPr>
    </w:p>
    <w:tbl>
      <w:tblPr>
        <w:tblW w:w="907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75"/>
        <w:gridCol w:w="2799"/>
        <w:gridCol w:w="1241"/>
        <w:gridCol w:w="1653"/>
        <w:gridCol w:w="1802"/>
      </w:tblGrid>
      <w:tr w:rsidR="00D7430C">
        <w:trPr>
          <w:cantSplit/>
          <w:trHeight w:val="702"/>
          <w:jc w:val="center"/>
        </w:trPr>
        <w:tc>
          <w:tcPr>
            <w:tcW w:w="4500" w:type="dxa"/>
            <w:gridSpan w:val="2"/>
            <w:vAlign w:val="center"/>
          </w:tcPr>
          <w:p w:rsidR="00D7430C" w:rsidRDefault="00E80023">
            <w:pPr>
              <w:jc w:val="center"/>
              <w:rPr>
                <w:rFonts w:eastAsia="Arial Unicode MS"/>
                <w:sz w:val="18"/>
                <w:szCs w:val="18"/>
              </w:rPr>
            </w:pPr>
            <w:r>
              <w:rPr>
                <w:sz w:val="18"/>
                <w:szCs w:val="18"/>
              </w:rPr>
              <w:t>Pavadinimas**</w:t>
            </w:r>
          </w:p>
        </w:tc>
        <w:tc>
          <w:tcPr>
            <w:tcW w:w="1276" w:type="dxa"/>
            <w:vAlign w:val="center"/>
          </w:tcPr>
          <w:p w:rsidR="00D7430C" w:rsidRDefault="00E80023">
            <w:pPr>
              <w:jc w:val="center"/>
              <w:rPr>
                <w:rFonts w:eastAsia="Arial Unicode MS"/>
                <w:sz w:val="18"/>
                <w:szCs w:val="18"/>
              </w:rPr>
            </w:pPr>
            <w:r>
              <w:rPr>
                <w:rFonts w:eastAsia="Arial Unicode MS"/>
                <w:sz w:val="18"/>
                <w:szCs w:val="18"/>
              </w:rPr>
              <w:t>KN</w:t>
            </w:r>
          </w:p>
          <w:p w:rsidR="00D7430C" w:rsidRDefault="00E80023">
            <w:pPr>
              <w:jc w:val="center"/>
              <w:rPr>
                <w:rFonts w:eastAsia="Arial Unicode MS"/>
                <w:sz w:val="18"/>
                <w:szCs w:val="18"/>
              </w:rPr>
            </w:pPr>
            <w:r>
              <w:rPr>
                <w:rFonts w:eastAsia="Arial Unicode MS"/>
                <w:sz w:val="18"/>
                <w:szCs w:val="18"/>
              </w:rPr>
              <w:t>Kodas***</w:t>
            </w:r>
          </w:p>
        </w:tc>
        <w:tc>
          <w:tcPr>
            <w:tcW w:w="1701" w:type="dxa"/>
            <w:vAlign w:val="center"/>
          </w:tcPr>
          <w:p w:rsidR="00D7430C" w:rsidRDefault="00E80023">
            <w:pPr>
              <w:jc w:val="center"/>
              <w:rPr>
                <w:sz w:val="18"/>
                <w:szCs w:val="18"/>
              </w:rPr>
            </w:pPr>
            <w:r>
              <w:rPr>
                <w:sz w:val="18"/>
                <w:szCs w:val="18"/>
              </w:rPr>
              <w:t>Parduota</w:t>
            </w:r>
          </w:p>
          <w:p w:rsidR="00D7430C" w:rsidRDefault="00E80023">
            <w:pPr>
              <w:jc w:val="center"/>
              <w:rPr>
                <w:rFonts w:eastAsia="Arial Unicode MS"/>
                <w:sz w:val="18"/>
                <w:szCs w:val="18"/>
              </w:rPr>
            </w:pPr>
            <w:r>
              <w:rPr>
                <w:sz w:val="18"/>
                <w:szCs w:val="18"/>
              </w:rPr>
              <w:t>kg</w:t>
            </w:r>
          </w:p>
        </w:tc>
        <w:tc>
          <w:tcPr>
            <w:tcW w:w="1854" w:type="dxa"/>
            <w:vAlign w:val="center"/>
          </w:tcPr>
          <w:p w:rsidR="00D7430C" w:rsidRDefault="00E80023">
            <w:pPr>
              <w:jc w:val="center"/>
              <w:rPr>
                <w:sz w:val="18"/>
                <w:szCs w:val="18"/>
              </w:rPr>
            </w:pPr>
            <w:r>
              <w:rPr>
                <w:sz w:val="18"/>
                <w:szCs w:val="18"/>
              </w:rPr>
              <w:t>Vertė</w:t>
            </w:r>
          </w:p>
          <w:p w:rsidR="00D7430C" w:rsidRDefault="00E80023">
            <w:pPr>
              <w:jc w:val="center"/>
              <w:rPr>
                <w:rFonts w:eastAsia="Arial Unicode MS"/>
                <w:sz w:val="18"/>
                <w:szCs w:val="18"/>
              </w:rPr>
            </w:pPr>
            <w:r>
              <w:rPr>
                <w:sz w:val="18"/>
                <w:szCs w:val="18"/>
              </w:rPr>
              <w:t>Lt be PVM</w:t>
            </w:r>
          </w:p>
        </w:tc>
      </w:tr>
      <w:tr w:rsidR="00D7430C">
        <w:trPr>
          <w:jc w:val="center"/>
        </w:trPr>
        <w:tc>
          <w:tcPr>
            <w:tcW w:w="4500" w:type="dxa"/>
            <w:gridSpan w:val="2"/>
            <w:vAlign w:val="center"/>
          </w:tcPr>
          <w:p w:rsidR="00D7430C" w:rsidRDefault="00E80023">
            <w:pPr>
              <w:ind w:left="57"/>
              <w:jc w:val="center"/>
              <w:rPr>
                <w:sz w:val="18"/>
                <w:szCs w:val="18"/>
              </w:rPr>
            </w:pPr>
            <w:r>
              <w:rPr>
                <w:sz w:val="18"/>
                <w:szCs w:val="18"/>
              </w:rPr>
              <w:t>A</w:t>
            </w:r>
          </w:p>
        </w:tc>
        <w:tc>
          <w:tcPr>
            <w:tcW w:w="1276" w:type="dxa"/>
            <w:vAlign w:val="center"/>
          </w:tcPr>
          <w:p w:rsidR="00D7430C" w:rsidRDefault="00E80023">
            <w:pPr>
              <w:jc w:val="center"/>
              <w:rPr>
                <w:sz w:val="18"/>
                <w:szCs w:val="18"/>
              </w:rPr>
            </w:pPr>
            <w:r>
              <w:rPr>
                <w:sz w:val="18"/>
                <w:szCs w:val="18"/>
              </w:rPr>
              <w:t>1</w:t>
            </w:r>
          </w:p>
        </w:tc>
        <w:tc>
          <w:tcPr>
            <w:tcW w:w="1701" w:type="dxa"/>
            <w:vAlign w:val="center"/>
          </w:tcPr>
          <w:p w:rsidR="00D7430C" w:rsidRDefault="00E80023">
            <w:pPr>
              <w:jc w:val="center"/>
              <w:rPr>
                <w:sz w:val="18"/>
                <w:szCs w:val="18"/>
              </w:rPr>
            </w:pPr>
            <w:r>
              <w:rPr>
                <w:sz w:val="18"/>
                <w:szCs w:val="18"/>
              </w:rPr>
              <w:t>2</w:t>
            </w:r>
          </w:p>
        </w:tc>
        <w:tc>
          <w:tcPr>
            <w:tcW w:w="1854" w:type="dxa"/>
            <w:vAlign w:val="center"/>
          </w:tcPr>
          <w:p w:rsidR="00D7430C" w:rsidRDefault="00E80023">
            <w:pPr>
              <w:jc w:val="center"/>
              <w:rPr>
                <w:sz w:val="18"/>
                <w:szCs w:val="18"/>
              </w:rPr>
            </w:pPr>
            <w:r>
              <w:rPr>
                <w:sz w:val="18"/>
                <w:szCs w:val="18"/>
              </w:rPr>
              <w:t>3</w:t>
            </w:r>
          </w:p>
        </w:tc>
      </w:tr>
      <w:tr w:rsidR="00D7430C">
        <w:trPr>
          <w:trHeight w:val="300"/>
          <w:jc w:val="center"/>
        </w:trPr>
        <w:tc>
          <w:tcPr>
            <w:tcW w:w="4500" w:type="dxa"/>
            <w:gridSpan w:val="2"/>
            <w:vAlign w:val="center"/>
          </w:tcPr>
          <w:p w:rsidR="00D7430C" w:rsidRDefault="00E80023">
            <w:pPr>
              <w:ind w:left="57"/>
              <w:rPr>
                <w:sz w:val="18"/>
                <w:szCs w:val="18"/>
              </w:rPr>
            </w:pPr>
            <w:r>
              <w:rPr>
                <w:sz w:val="18"/>
                <w:szCs w:val="18"/>
              </w:rPr>
              <w:t>Narvuose laikomų vištų kiaušiniai (A klasė)</w:t>
            </w:r>
          </w:p>
        </w:tc>
        <w:tc>
          <w:tcPr>
            <w:tcW w:w="1276" w:type="dxa"/>
            <w:vAlign w:val="center"/>
          </w:tcPr>
          <w:p w:rsidR="00D7430C" w:rsidRDefault="00E80023">
            <w:pPr>
              <w:jc w:val="center"/>
              <w:rPr>
                <w:rFonts w:eastAsia="Arial Unicode MS"/>
                <w:sz w:val="18"/>
                <w:szCs w:val="18"/>
              </w:rPr>
            </w:pPr>
            <w:r>
              <w:rPr>
                <w:rFonts w:eastAsia="Arial Unicode MS"/>
                <w:sz w:val="18"/>
                <w:szCs w:val="18"/>
              </w:rPr>
              <w:t>0407.00.30.03</w:t>
            </w:r>
          </w:p>
        </w:tc>
        <w:tc>
          <w:tcPr>
            <w:tcW w:w="1701" w:type="dxa"/>
            <w:vAlign w:val="center"/>
          </w:tcPr>
          <w:p w:rsidR="00D7430C" w:rsidRDefault="00E80023">
            <w:pPr>
              <w:jc w:val="center"/>
              <w:rPr>
                <w:sz w:val="18"/>
                <w:szCs w:val="18"/>
              </w:rPr>
            </w:pPr>
            <w:r>
              <w:rPr>
                <w:sz w:val="18"/>
                <w:szCs w:val="18"/>
              </w:rPr>
              <w:t>×</w:t>
            </w:r>
          </w:p>
        </w:tc>
        <w:tc>
          <w:tcPr>
            <w:tcW w:w="1854" w:type="dxa"/>
            <w:vAlign w:val="center"/>
          </w:tcPr>
          <w:p w:rsidR="00D7430C" w:rsidRDefault="00E80023">
            <w:pPr>
              <w:jc w:val="center"/>
              <w:rPr>
                <w:sz w:val="18"/>
                <w:szCs w:val="18"/>
              </w:rPr>
            </w:pPr>
            <w:r>
              <w:rPr>
                <w:sz w:val="18"/>
                <w:szCs w:val="18"/>
              </w:rPr>
              <w:t>×</w:t>
            </w:r>
          </w:p>
        </w:tc>
      </w:tr>
      <w:tr w:rsidR="00D7430C">
        <w:trPr>
          <w:cantSplit/>
          <w:trHeight w:val="300"/>
          <w:jc w:val="center"/>
        </w:trPr>
        <w:tc>
          <w:tcPr>
            <w:tcW w:w="1620" w:type="dxa"/>
            <w:vMerge w:val="restart"/>
            <w:vAlign w:val="bottom"/>
          </w:tcPr>
          <w:p w:rsidR="00D7430C" w:rsidRDefault="00D7430C">
            <w:pPr>
              <w:jc w:val="center"/>
              <w:rPr>
                <w:rFonts w:eastAsia="Arial Unicode MS"/>
                <w:sz w:val="18"/>
                <w:szCs w:val="18"/>
              </w:rPr>
            </w:pPr>
          </w:p>
        </w:tc>
        <w:tc>
          <w:tcPr>
            <w:tcW w:w="2880" w:type="dxa"/>
            <w:vAlign w:val="center"/>
          </w:tcPr>
          <w:p w:rsidR="00D7430C" w:rsidRDefault="00E80023">
            <w:pPr>
              <w:ind w:left="57"/>
              <w:rPr>
                <w:rFonts w:eastAsia="Arial Unicode MS"/>
                <w:sz w:val="18"/>
                <w:szCs w:val="18"/>
              </w:rPr>
            </w:pPr>
            <w:r>
              <w:rPr>
                <w:rFonts w:eastAsia="Arial Unicode MS"/>
                <w:sz w:val="18"/>
                <w:szCs w:val="18"/>
              </w:rPr>
              <w:t>L (nuo 63 iki 73 g)</w:t>
            </w:r>
          </w:p>
        </w:tc>
        <w:tc>
          <w:tcPr>
            <w:tcW w:w="1276" w:type="dxa"/>
            <w:vAlign w:val="center"/>
          </w:tcPr>
          <w:p w:rsidR="00D7430C" w:rsidRDefault="00D7430C">
            <w:pPr>
              <w:jc w:val="center"/>
              <w:rPr>
                <w:rFonts w:eastAsia="Arial Unicode MS"/>
                <w:sz w:val="18"/>
                <w:szCs w:val="18"/>
              </w:rPr>
            </w:pPr>
          </w:p>
        </w:tc>
        <w:tc>
          <w:tcPr>
            <w:tcW w:w="1701" w:type="dxa"/>
            <w:vAlign w:val="center"/>
          </w:tcPr>
          <w:p w:rsidR="00D7430C" w:rsidRDefault="00D7430C">
            <w:pPr>
              <w:rPr>
                <w:rFonts w:eastAsia="Arial Unicode MS"/>
                <w:sz w:val="18"/>
                <w:szCs w:val="18"/>
              </w:rPr>
            </w:pPr>
          </w:p>
        </w:tc>
        <w:tc>
          <w:tcPr>
            <w:tcW w:w="1854" w:type="dxa"/>
            <w:vAlign w:val="center"/>
          </w:tcPr>
          <w:p w:rsidR="00D7430C" w:rsidRDefault="00D7430C">
            <w:pPr>
              <w:rPr>
                <w:rFonts w:eastAsia="Arial Unicode MS"/>
                <w:sz w:val="18"/>
                <w:szCs w:val="18"/>
              </w:rPr>
            </w:pPr>
          </w:p>
        </w:tc>
      </w:tr>
      <w:tr w:rsidR="00D7430C">
        <w:trPr>
          <w:cantSplit/>
          <w:trHeight w:val="300"/>
          <w:jc w:val="center"/>
        </w:trPr>
        <w:tc>
          <w:tcPr>
            <w:tcW w:w="1620" w:type="dxa"/>
            <w:vMerge/>
            <w:vAlign w:val="bottom"/>
          </w:tcPr>
          <w:p w:rsidR="00D7430C" w:rsidRDefault="00D7430C">
            <w:pPr>
              <w:jc w:val="center"/>
              <w:rPr>
                <w:rFonts w:eastAsia="Arial Unicode MS"/>
                <w:sz w:val="18"/>
                <w:szCs w:val="18"/>
              </w:rPr>
            </w:pPr>
          </w:p>
        </w:tc>
        <w:tc>
          <w:tcPr>
            <w:tcW w:w="2880" w:type="dxa"/>
            <w:vAlign w:val="center"/>
          </w:tcPr>
          <w:p w:rsidR="00D7430C" w:rsidRDefault="00E80023">
            <w:pPr>
              <w:ind w:left="57"/>
              <w:rPr>
                <w:rFonts w:eastAsia="Arial Unicode MS"/>
                <w:sz w:val="18"/>
                <w:szCs w:val="18"/>
              </w:rPr>
            </w:pPr>
            <w:r>
              <w:rPr>
                <w:rFonts w:eastAsia="Arial Unicode MS"/>
                <w:sz w:val="18"/>
                <w:szCs w:val="18"/>
              </w:rPr>
              <w:t>M (nuo 53 iki 63 g)</w:t>
            </w:r>
          </w:p>
        </w:tc>
        <w:tc>
          <w:tcPr>
            <w:tcW w:w="1276" w:type="dxa"/>
            <w:vAlign w:val="center"/>
          </w:tcPr>
          <w:p w:rsidR="00D7430C" w:rsidRDefault="00D7430C">
            <w:pPr>
              <w:jc w:val="center"/>
              <w:rPr>
                <w:rFonts w:eastAsia="Arial Unicode MS"/>
                <w:sz w:val="18"/>
                <w:szCs w:val="18"/>
              </w:rPr>
            </w:pPr>
          </w:p>
        </w:tc>
        <w:tc>
          <w:tcPr>
            <w:tcW w:w="1701" w:type="dxa"/>
            <w:vAlign w:val="center"/>
          </w:tcPr>
          <w:p w:rsidR="00D7430C" w:rsidRDefault="00D7430C">
            <w:pPr>
              <w:rPr>
                <w:rFonts w:eastAsia="Arial Unicode MS"/>
                <w:sz w:val="18"/>
                <w:szCs w:val="18"/>
              </w:rPr>
            </w:pPr>
          </w:p>
        </w:tc>
        <w:tc>
          <w:tcPr>
            <w:tcW w:w="1854" w:type="dxa"/>
            <w:vAlign w:val="center"/>
          </w:tcPr>
          <w:p w:rsidR="00D7430C" w:rsidRDefault="00D7430C">
            <w:pPr>
              <w:rPr>
                <w:rFonts w:eastAsia="Arial Unicode MS"/>
                <w:sz w:val="18"/>
                <w:szCs w:val="18"/>
              </w:rPr>
            </w:pPr>
          </w:p>
        </w:tc>
      </w:tr>
      <w:tr w:rsidR="00D7430C">
        <w:trPr>
          <w:cantSplit/>
          <w:trHeight w:val="300"/>
          <w:jc w:val="center"/>
        </w:trPr>
        <w:tc>
          <w:tcPr>
            <w:tcW w:w="4500" w:type="dxa"/>
            <w:gridSpan w:val="2"/>
            <w:vAlign w:val="bottom"/>
          </w:tcPr>
          <w:p w:rsidR="00D7430C" w:rsidRDefault="00E80023">
            <w:pPr>
              <w:ind w:left="57"/>
              <w:rPr>
                <w:rFonts w:eastAsia="Arial Unicode MS"/>
                <w:sz w:val="18"/>
                <w:szCs w:val="18"/>
              </w:rPr>
            </w:pPr>
            <w:r>
              <w:rPr>
                <w:rFonts w:eastAsia="Arial Unicode MS"/>
                <w:sz w:val="18"/>
                <w:szCs w:val="18"/>
              </w:rPr>
              <w:t>Ant kraiko laikomų vištų kiaušiniai (A klasė)</w:t>
            </w:r>
          </w:p>
        </w:tc>
        <w:tc>
          <w:tcPr>
            <w:tcW w:w="1276" w:type="dxa"/>
            <w:vAlign w:val="center"/>
          </w:tcPr>
          <w:p w:rsidR="00D7430C" w:rsidRDefault="00E80023">
            <w:pPr>
              <w:jc w:val="center"/>
              <w:rPr>
                <w:rFonts w:eastAsia="Arial Unicode MS"/>
                <w:sz w:val="18"/>
                <w:szCs w:val="18"/>
              </w:rPr>
            </w:pPr>
            <w:r>
              <w:rPr>
                <w:rFonts w:eastAsia="Arial Unicode MS"/>
                <w:sz w:val="18"/>
                <w:szCs w:val="18"/>
              </w:rPr>
              <w:t>0407.00.30.02</w:t>
            </w:r>
          </w:p>
        </w:tc>
        <w:tc>
          <w:tcPr>
            <w:tcW w:w="1701" w:type="dxa"/>
            <w:vAlign w:val="center"/>
          </w:tcPr>
          <w:p w:rsidR="00D7430C" w:rsidRDefault="00E80023">
            <w:pPr>
              <w:jc w:val="center"/>
              <w:rPr>
                <w:rFonts w:eastAsia="Arial Unicode MS"/>
                <w:sz w:val="18"/>
                <w:szCs w:val="18"/>
              </w:rPr>
            </w:pPr>
            <w:r>
              <w:rPr>
                <w:sz w:val="18"/>
                <w:szCs w:val="18"/>
              </w:rPr>
              <w:t>×</w:t>
            </w:r>
          </w:p>
        </w:tc>
        <w:tc>
          <w:tcPr>
            <w:tcW w:w="1854" w:type="dxa"/>
            <w:vAlign w:val="center"/>
          </w:tcPr>
          <w:p w:rsidR="00D7430C" w:rsidRDefault="00E80023">
            <w:pPr>
              <w:jc w:val="center"/>
              <w:rPr>
                <w:rFonts w:eastAsia="Arial Unicode MS"/>
                <w:sz w:val="18"/>
                <w:szCs w:val="18"/>
              </w:rPr>
            </w:pPr>
            <w:r>
              <w:rPr>
                <w:sz w:val="18"/>
                <w:szCs w:val="18"/>
              </w:rPr>
              <w:t>×</w:t>
            </w:r>
          </w:p>
        </w:tc>
      </w:tr>
      <w:tr w:rsidR="00D7430C">
        <w:trPr>
          <w:cantSplit/>
          <w:trHeight w:val="300"/>
          <w:jc w:val="center"/>
        </w:trPr>
        <w:tc>
          <w:tcPr>
            <w:tcW w:w="1620" w:type="dxa"/>
            <w:vMerge w:val="restart"/>
            <w:vAlign w:val="bottom"/>
          </w:tcPr>
          <w:p w:rsidR="00D7430C" w:rsidRDefault="00D7430C">
            <w:pPr>
              <w:jc w:val="center"/>
              <w:rPr>
                <w:rFonts w:eastAsia="Arial Unicode MS"/>
                <w:sz w:val="18"/>
                <w:szCs w:val="18"/>
              </w:rPr>
            </w:pPr>
          </w:p>
        </w:tc>
        <w:tc>
          <w:tcPr>
            <w:tcW w:w="2880" w:type="dxa"/>
            <w:vAlign w:val="center"/>
          </w:tcPr>
          <w:p w:rsidR="00D7430C" w:rsidRDefault="00E80023">
            <w:pPr>
              <w:ind w:left="57"/>
              <w:rPr>
                <w:rFonts w:eastAsia="Arial Unicode MS"/>
                <w:sz w:val="18"/>
                <w:szCs w:val="18"/>
              </w:rPr>
            </w:pPr>
            <w:r>
              <w:rPr>
                <w:rFonts w:eastAsia="Arial Unicode MS"/>
                <w:sz w:val="18"/>
                <w:szCs w:val="18"/>
              </w:rPr>
              <w:t>L (nuo 63 iki 73 g)</w:t>
            </w:r>
          </w:p>
        </w:tc>
        <w:tc>
          <w:tcPr>
            <w:tcW w:w="1276" w:type="dxa"/>
            <w:vAlign w:val="center"/>
          </w:tcPr>
          <w:p w:rsidR="00D7430C" w:rsidRDefault="00D7430C">
            <w:pPr>
              <w:jc w:val="center"/>
              <w:rPr>
                <w:rFonts w:eastAsia="Arial Unicode MS"/>
                <w:sz w:val="18"/>
                <w:szCs w:val="18"/>
              </w:rPr>
            </w:pPr>
          </w:p>
        </w:tc>
        <w:tc>
          <w:tcPr>
            <w:tcW w:w="1701" w:type="dxa"/>
            <w:vAlign w:val="center"/>
          </w:tcPr>
          <w:p w:rsidR="00D7430C" w:rsidRDefault="00D7430C">
            <w:pPr>
              <w:jc w:val="center"/>
              <w:rPr>
                <w:rFonts w:eastAsia="Arial Unicode MS"/>
                <w:sz w:val="18"/>
                <w:szCs w:val="18"/>
              </w:rPr>
            </w:pPr>
          </w:p>
        </w:tc>
        <w:tc>
          <w:tcPr>
            <w:tcW w:w="1854" w:type="dxa"/>
            <w:vAlign w:val="center"/>
          </w:tcPr>
          <w:p w:rsidR="00D7430C" w:rsidRDefault="00D7430C">
            <w:pPr>
              <w:jc w:val="center"/>
              <w:rPr>
                <w:rFonts w:eastAsia="Arial Unicode MS"/>
                <w:sz w:val="18"/>
                <w:szCs w:val="18"/>
              </w:rPr>
            </w:pPr>
          </w:p>
        </w:tc>
      </w:tr>
      <w:tr w:rsidR="00D7430C">
        <w:trPr>
          <w:cantSplit/>
          <w:trHeight w:val="300"/>
          <w:jc w:val="center"/>
        </w:trPr>
        <w:tc>
          <w:tcPr>
            <w:tcW w:w="1620" w:type="dxa"/>
            <w:vMerge/>
            <w:vAlign w:val="bottom"/>
          </w:tcPr>
          <w:p w:rsidR="00D7430C" w:rsidRDefault="00D7430C">
            <w:pPr>
              <w:jc w:val="center"/>
              <w:rPr>
                <w:rFonts w:eastAsia="Arial Unicode MS"/>
                <w:sz w:val="18"/>
                <w:szCs w:val="18"/>
              </w:rPr>
            </w:pPr>
          </w:p>
        </w:tc>
        <w:tc>
          <w:tcPr>
            <w:tcW w:w="2880" w:type="dxa"/>
            <w:vAlign w:val="center"/>
          </w:tcPr>
          <w:p w:rsidR="00D7430C" w:rsidRDefault="00E80023">
            <w:pPr>
              <w:ind w:left="57"/>
              <w:rPr>
                <w:rFonts w:eastAsia="Arial Unicode MS"/>
                <w:sz w:val="18"/>
                <w:szCs w:val="18"/>
              </w:rPr>
            </w:pPr>
            <w:r>
              <w:rPr>
                <w:rFonts w:eastAsia="Arial Unicode MS"/>
                <w:sz w:val="18"/>
                <w:szCs w:val="18"/>
              </w:rPr>
              <w:t>M (nuo 53 iki 63 g)</w:t>
            </w:r>
          </w:p>
        </w:tc>
        <w:tc>
          <w:tcPr>
            <w:tcW w:w="1276" w:type="dxa"/>
            <w:vAlign w:val="center"/>
          </w:tcPr>
          <w:p w:rsidR="00D7430C" w:rsidRDefault="00D7430C">
            <w:pPr>
              <w:jc w:val="center"/>
              <w:rPr>
                <w:rFonts w:eastAsia="Arial Unicode MS"/>
                <w:sz w:val="18"/>
                <w:szCs w:val="18"/>
              </w:rPr>
            </w:pPr>
          </w:p>
        </w:tc>
        <w:tc>
          <w:tcPr>
            <w:tcW w:w="1701" w:type="dxa"/>
            <w:vAlign w:val="center"/>
          </w:tcPr>
          <w:p w:rsidR="00D7430C" w:rsidRDefault="00D7430C">
            <w:pPr>
              <w:jc w:val="center"/>
              <w:rPr>
                <w:rFonts w:eastAsia="Arial Unicode MS"/>
                <w:sz w:val="18"/>
                <w:szCs w:val="18"/>
              </w:rPr>
            </w:pPr>
          </w:p>
        </w:tc>
        <w:tc>
          <w:tcPr>
            <w:tcW w:w="1854" w:type="dxa"/>
            <w:vAlign w:val="center"/>
          </w:tcPr>
          <w:p w:rsidR="00D7430C" w:rsidRDefault="00D7430C">
            <w:pPr>
              <w:jc w:val="center"/>
              <w:rPr>
                <w:rFonts w:eastAsia="Arial Unicode MS"/>
                <w:sz w:val="18"/>
                <w:szCs w:val="18"/>
              </w:rPr>
            </w:pPr>
          </w:p>
        </w:tc>
      </w:tr>
    </w:tbl>
    <w:p w:rsidR="00D7430C" w:rsidRDefault="00E80023">
      <w:pPr>
        <w:tabs>
          <w:tab w:val="left" w:pos="567"/>
        </w:tabs>
        <w:jc w:val="both"/>
        <w:rPr>
          <w:sz w:val="16"/>
          <w:szCs w:val="16"/>
        </w:rPr>
      </w:pPr>
      <w:r>
        <w:rPr>
          <w:sz w:val="16"/>
          <w:szCs w:val="16"/>
        </w:rPr>
        <w:t>*  Didmeninėje prekyboje.</w:t>
      </w:r>
    </w:p>
    <w:p w:rsidR="00D7430C" w:rsidRDefault="00E80023">
      <w:pPr>
        <w:tabs>
          <w:tab w:val="left" w:pos="567"/>
        </w:tabs>
        <w:jc w:val="both"/>
        <w:rPr>
          <w:iCs/>
          <w:sz w:val="16"/>
          <w:szCs w:val="16"/>
        </w:rPr>
      </w:pPr>
      <w:r>
        <w:rPr>
          <w:sz w:val="16"/>
          <w:szCs w:val="16"/>
        </w:rPr>
        <w:t xml:space="preserve">**2007 m. spalio 22 d. Tarybos reglamento (EB) Nr. 1234/2007, nustatančio bendrą žemės ūkio rinkų organizavimą ir konkrečias tam tikriems žemės ūkio produktams taikomas nuostatas (OL 2007 L 299, p. 1), su paskutiniai pakeitimais, padarytais 2009 m. lapkričio 20 d. Tarybos reglamentu (EB) Nr. 1140/2009 (OL 2009 L 112, p. 1), IV priedo A dalis; </w:t>
      </w:r>
      <w:r>
        <w:rPr>
          <w:bCs/>
          <w:sz w:val="16"/>
          <w:szCs w:val="16"/>
        </w:rPr>
        <w:t>2008 m. birželio 23 d. Komisijos reglamentas (EB) Nr. 589/2008, kuriuo nustatomos išsamios Tarybos reglamento (EB) Nr. 1234/2007 įgyvendinimo taisyklės dėl prekybos kiaušiniais standartų (OL 2008</w:t>
      </w:r>
      <w:r>
        <w:rPr>
          <w:iCs/>
          <w:sz w:val="16"/>
          <w:szCs w:val="16"/>
        </w:rPr>
        <w:t xml:space="preserve"> L 163, p. 6), </w:t>
      </w:r>
      <w:r>
        <w:rPr>
          <w:sz w:val="16"/>
          <w:szCs w:val="16"/>
        </w:rPr>
        <w:t>su paskutiniais pakeitimais, padarytais 2008 m. birželio 14 d. Komisijos reglamentu (EB) Nr. 598/2008 (OL 2008 L 164, p. 14).</w:t>
      </w:r>
    </w:p>
    <w:p w:rsidR="00D7430C" w:rsidRDefault="00E80023">
      <w:pPr>
        <w:jc w:val="both"/>
        <w:rPr>
          <w:sz w:val="16"/>
          <w:szCs w:val="16"/>
        </w:rPr>
      </w:pPr>
      <w:r>
        <w:rPr>
          <w:iCs/>
          <w:sz w:val="16"/>
          <w:szCs w:val="16"/>
        </w:rPr>
        <w:t>***1–8 ženklai atitinka kombinuotąją nomenklatūrą, nustatytą 1987 m. liepos 23 d. Tarybos reglamentu (EEB) Nr. 2658/87 dėl tarifų ir statistinės nomenklatūros bei dėl Bendrojo muitų tarifo su paskutiniais pakeitimais, padarytais 2009 m. rugsėjo 30 d. Komisijos reglamentu (EB) Nr. 948/2009 (OL 2009 L 287, p. 1), 9–10 ženklai skirti pažymėti</w:t>
      </w:r>
      <w:r>
        <w:rPr>
          <w:sz w:val="16"/>
          <w:szCs w:val="16"/>
        </w:rPr>
        <w:t xml:space="preserve"> dedeklių vištų laikymo būdą, nurodytą  </w:t>
      </w:r>
      <w:r>
        <w:rPr>
          <w:bCs/>
          <w:sz w:val="16"/>
          <w:szCs w:val="16"/>
        </w:rPr>
        <w:t>2008 m. birželio 23 d. Komisijos reglamento (EB) Nr. 589/2008 12 straipsnio 2 dalyje.</w:t>
      </w:r>
    </w:p>
    <w:p w:rsidR="00D7430C" w:rsidRDefault="00D7430C">
      <w:pPr>
        <w:jc w:val="both"/>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681"/>
        <w:gridCol w:w="681"/>
        <w:gridCol w:w="1895"/>
      </w:tblGrid>
      <w:tr w:rsidR="00D7430C">
        <w:trPr>
          <w:trHeight w:val="418"/>
        </w:trPr>
        <w:tc>
          <w:tcPr>
            <w:tcW w:w="6300" w:type="dxa"/>
            <w:vAlign w:val="center"/>
          </w:tcPr>
          <w:p w:rsidR="00D7430C" w:rsidRDefault="00E80023">
            <w:pPr>
              <w:ind w:right="-85"/>
              <w:jc w:val="center"/>
              <w:rPr>
                <w:spacing w:val="-2"/>
                <w:sz w:val="18"/>
                <w:szCs w:val="18"/>
              </w:rPr>
            </w:pPr>
            <w:r>
              <w:rPr>
                <w:spacing w:val="-2"/>
                <w:sz w:val="18"/>
                <w:szCs w:val="18"/>
              </w:rPr>
              <w:t>Prašome nurodyti, kiek valandų sugaišote statistiniams duomenims rengti ir ataskaitai pildyti</w:t>
            </w:r>
          </w:p>
        </w:tc>
        <w:tc>
          <w:tcPr>
            <w:tcW w:w="720" w:type="dxa"/>
            <w:vAlign w:val="center"/>
          </w:tcPr>
          <w:p w:rsidR="00D7430C" w:rsidRDefault="00E80023">
            <w:pPr>
              <w:ind w:right="-108"/>
              <w:jc w:val="right"/>
              <w:rPr>
                <w:sz w:val="18"/>
                <w:szCs w:val="18"/>
              </w:rPr>
            </w:pPr>
            <w:r>
              <w:rPr>
                <w:sz w:val="18"/>
                <w:szCs w:val="18"/>
              </w:rPr>
              <w:t>val.</w:t>
            </w:r>
          </w:p>
        </w:tc>
        <w:tc>
          <w:tcPr>
            <w:tcW w:w="720" w:type="dxa"/>
            <w:tcBorders>
              <w:right w:val="single" w:sz="2" w:space="0" w:color="auto"/>
            </w:tcBorders>
            <w:vAlign w:val="center"/>
          </w:tcPr>
          <w:p w:rsidR="00D7430C" w:rsidRDefault="00E80023">
            <w:pPr>
              <w:ind w:right="-108"/>
              <w:jc w:val="right"/>
              <w:rPr>
                <w:sz w:val="18"/>
                <w:szCs w:val="18"/>
              </w:rPr>
            </w:pPr>
            <w:r>
              <w:rPr>
                <w:sz w:val="18"/>
                <w:szCs w:val="18"/>
              </w:rPr>
              <w:t>min.</w:t>
            </w:r>
          </w:p>
        </w:tc>
        <w:tc>
          <w:tcPr>
            <w:tcW w:w="2040" w:type="dxa"/>
            <w:tcBorders>
              <w:top w:val="nil"/>
              <w:left w:val="single" w:sz="2" w:space="0" w:color="auto"/>
              <w:bottom w:val="nil"/>
              <w:right w:val="nil"/>
            </w:tcBorders>
            <w:vAlign w:val="center"/>
          </w:tcPr>
          <w:p w:rsidR="00D7430C" w:rsidRDefault="00E80023">
            <w:pPr>
              <w:ind w:right="-85"/>
              <w:jc w:val="center"/>
              <w:rPr>
                <w:spacing w:val="-2"/>
                <w:sz w:val="18"/>
                <w:szCs w:val="18"/>
              </w:rPr>
            </w:pPr>
            <w:r>
              <w:rPr>
                <w:spacing w:val="-2"/>
                <w:sz w:val="18"/>
                <w:szCs w:val="18"/>
              </w:rPr>
              <w:t xml:space="preserve">Pildoma ataskaitoje už </w:t>
            </w:r>
          </w:p>
          <w:p w:rsidR="00D7430C" w:rsidRDefault="00E80023">
            <w:pPr>
              <w:ind w:right="-85"/>
              <w:jc w:val="center"/>
              <w:rPr>
                <w:spacing w:val="-2"/>
                <w:sz w:val="18"/>
                <w:szCs w:val="18"/>
              </w:rPr>
            </w:pPr>
            <w:r>
              <w:rPr>
                <w:spacing w:val="-2"/>
                <w:sz w:val="18"/>
                <w:szCs w:val="18"/>
              </w:rPr>
              <w:t>gegužės mėn. I sav.</w:t>
            </w:r>
          </w:p>
        </w:tc>
      </w:tr>
    </w:tbl>
    <w:p w:rsidR="00D7430C" w:rsidRDefault="00D7430C">
      <w:pPr>
        <w:tabs>
          <w:tab w:val="left" w:leader="underscore" w:pos="10065"/>
        </w:tabs>
        <w:rPr>
          <w:sz w:val="18"/>
          <w:szCs w:val="18"/>
        </w:rPr>
      </w:pPr>
    </w:p>
    <w:tbl>
      <w:tblPr>
        <w:tblW w:w="9070" w:type="dxa"/>
        <w:tblLook w:val="01E0" w:firstRow="1" w:lastRow="1" w:firstColumn="1" w:lastColumn="1" w:noHBand="0" w:noVBand="0"/>
      </w:tblPr>
      <w:tblGrid>
        <w:gridCol w:w="3032"/>
        <w:gridCol w:w="3026"/>
        <w:gridCol w:w="3012"/>
      </w:tblGrid>
      <w:tr w:rsidR="00D7430C">
        <w:tc>
          <w:tcPr>
            <w:tcW w:w="3032" w:type="dxa"/>
          </w:tcPr>
          <w:p w:rsidR="00D7430C" w:rsidRDefault="00E80023">
            <w:pPr>
              <w:rPr>
                <w:sz w:val="18"/>
              </w:rPr>
            </w:pPr>
            <w:r>
              <w:rPr>
                <w:sz w:val="18"/>
                <w:szCs w:val="18"/>
              </w:rPr>
              <w:t>(Įmonės vadovas arba jo įgaliotas asmuo</w:t>
            </w:r>
          </w:p>
        </w:tc>
        <w:tc>
          <w:tcPr>
            <w:tcW w:w="3026" w:type="dxa"/>
          </w:tcPr>
          <w:p w:rsidR="00D7430C" w:rsidRDefault="00E80023">
            <w:pPr>
              <w:jc w:val="center"/>
              <w:rPr>
                <w:sz w:val="18"/>
              </w:rPr>
            </w:pPr>
            <w:r>
              <w:rPr>
                <w:sz w:val="18"/>
                <w:szCs w:val="18"/>
              </w:rPr>
              <w:t>(Parašas)</w:t>
            </w:r>
          </w:p>
        </w:tc>
        <w:tc>
          <w:tcPr>
            <w:tcW w:w="3012" w:type="dxa"/>
          </w:tcPr>
          <w:p w:rsidR="00D7430C" w:rsidRDefault="00E80023">
            <w:pPr>
              <w:jc w:val="center"/>
              <w:rPr>
                <w:sz w:val="18"/>
              </w:rPr>
            </w:pPr>
            <w:r>
              <w:rPr>
                <w:sz w:val="18"/>
                <w:szCs w:val="18"/>
              </w:rPr>
              <w:t>(Vardas ir pavardė)</w:t>
            </w:r>
          </w:p>
        </w:tc>
      </w:tr>
    </w:tbl>
    <w:p w:rsidR="00D7430C" w:rsidRDefault="00D7430C">
      <w:pPr>
        <w:jc w:val="both"/>
        <w:rPr>
          <w:sz w:val="18"/>
        </w:rPr>
      </w:pPr>
    </w:p>
    <w:p w:rsidR="00D7430C" w:rsidRDefault="00E80023">
      <w:pPr>
        <w:rPr>
          <w:sz w:val="18"/>
          <w:szCs w:val="18"/>
        </w:rPr>
      </w:pPr>
      <w:r>
        <w:rPr>
          <w:spacing w:val="-2"/>
          <w:sz w:val="18"/>
          <w:szCs w:val="18"/>
        </w:rPr>
        <w:t xml:space="preserve">(Ataskaitą parengusio asmens vardas, pavardė, tel., faks., el. p.) </w:t>
      </w:r>
    </w:p>
    <w:p w:rsidR="00D7430C" w:rsidRDefault="00D7430C">
      <w:pPr>
        <w:rPr>
          <w:sz w:val="16"/>
          <w:szCs w:val="16"/>
        </w:rPr>
      </w:pPr>
    </w:p>
    <w:p w:rsidR="00D7430C" w:rsidRDefault="00E80023">
      <w:pPr>
        <w:rPr>
          <w:sz w:val="18"/>
          <w:szCs w:val="18"/>
        </w:rPr>
      </w:pPr>
      <w:r>
        <w:rPr>
          <w:spacing w:val="-2"/>
          <w:sz w:val="18"/>
          <w:szCs w:val="18"/>
        </w:rPr>
        <w:t>Pasiteirauti tel.: (8 37) 39 78 02, (8 5) 236 2369; faks. (8 37) 40 66 91; el. p. paukstiena_kiausiniai@vic.lt</w:t>
      </w:r>
    </w:p>
    <w:p w:rsidR="00D7430C" w:rsidRDefault="00D7430C">
      <w:pPr>
        <w:rPr>
          <w:sz w:val="20"/>
        </w:rPr>
      </w:pPr>
    </w:p>
    <w:p w:rsidR="00D7430C" w:rsidRDefault="00E80023">
      <w:pPr>
        <w:jc w:val="center"/>
        <w:rPr>
          <w:b/>
        </w:rPr>
      </w:pPr>
      <w:r>
        <w:rPr>
          <w:b/>
        </w:rPr>
        <w:t>INFORMACIJA APIE KIAUŠINIŲ PARDAVIMO STATISTINĮ TYRIMĄ</w:t>
      </w:r>
    </w:p>
    <w:p w:rsidR="00D7430C" w:rsidRDefault="00E80023">
      <w:pPr>
        <w:jc w:val="center"/>
        <w:rPr>
          <w:sz w:val="20"/>
        </w:rPr>
      </w:pPr>
      <w:r>
        <w:rPr>
          <w:sz w:val="20"/>
        </w:rPr>
        <w:t>(ataskaita KPS-3 savaitės)</w:t>
      </w:r>
    </w:p>
    <w:p w:rsidR="00D7430C" w:rsidRDefault="00D7430C">
      <w:pPr>
        <w:jc w:val="center"/>
        <w:rPr>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42"/>
      </w:tblGrid>
      <w:tr w:rsidR="00D7430C">
        <w:tc>
          <w:tcPr>
            <w:tcW w:w="2628" w:type="dxa"/>
            <w:vAlign w:val="center"/>
          </w:tcPr>
          <w:p w:rsidR="00D7430C" w:rsidRDefault="00E80023">
            <w:pPr>
              <w:jc w:val="center"/>
              <w:rPr>
                <w:sz w:val="20"/>
              </w:rPr>
            </w:pPr>
            <w:r>
              <w:rPr>
                <w:sz w:val="20"/>
              </w:rPr>
              <w:t>STATISTINIO TYRIMO TEISINIS PAGRINDAS</w:t>
            </w:r>
          </w:p>
        </w:tc>
        <w:tc>
          <w:tcPr>
            <w:tcW w:w="6442" w:type="dxa"/>
          </w:tcPr>
          <w:p w:rsidR="00D7430C" w:rsidRDefault="00E80023">
            <w:pPr>
              <w:rPr>
                <w:sz w:val="20"/>
              </w:rPr>
            </w:pPr>
            <w:r>
              <w:rPr>
                <w:sz w:val="20"/>
              </w:rPr>
              <w:t>Lietuvos Respublikos statistikos įstatymas (</w:t>
            </w:r>
            <w:proofErr w:type="spellStart"/>
            <w:r>
              <w:rPr>
                <w:sz w:val="20"/>
              </w:rPr>
              <w:t>Žin</w:t>
            </w:r>
            <w:proofErr w:type="spellEnd"/>
            <w:r>
              <w:rPr>
                <w:sz w:val="20"/>
              </w:rPr>
              <w:t>., 1993, Nr. 54-1048; 1999, Nr. 114-3299);</w:t>
            </w:r>
          </w:p>
          <w:p w:rsidR="00D7430C" w:rsidRDefault="00E80023">
            <w:pPr>
              <w:rPr>
                <w:sz w:val="20"/>
              </w:rPr>
            </w:pPr>
            <w:r>
              <w:rPr>
                <w:sz w:val="20"/>
              </w:rPr>
              <w:t>2003 m. kovo 27 d. Komisijos reglamentas (EB) Nr. 546/2003 dėl tam tikrų pranešimų, susijusių su Tarybos reglamentų (EEB) Nr. 2771/75, (EEB) Nr. 2777/75 ir (EEB) Nr. 2783/75 taikymu kiaušinių ir paukštienos sektoriuose (O</w:t>
            </w:r>
            <w:r>
              <w:rPr>
                <w:iCs/>
                <w:sz w:val="20"/>
              </w:rPr>
              <w:t xml:space="preserve">L 2004 m. </w:t>
            </w:r>
            <w:r>
              <w:rPr>
                <w:i/>
                <w:iCs/>
                <w:sz w:val="20"/>
              </w:rPr>
              <w:t>specialusis leidimas</w:t>
            </w:r>
            <w:r>
              <w:rPr>
                <w:iCs/>
                <w:sz w:val="20"/>
              </w:rPr>
              <w:t>, 3 skyrius, 38 tomas, p. 348), su paskutiniais pakeitimais, padarytais 2009 m. birželio 15 d. Komisijos reglamentu (EB) Nr. 504/2009 (OL 2009 L 151, p. 22).</w:t>
            </w:r>
          </w:p>
        </w:tc>
      </w:tr>
      <w:tr w:rsidR="00D7430C">
        <w:tc>
          <w:tcPr>
            <w:tcW w:w="2628" w:type="dxa"/>
            <w:vAlign w:val="center"/>
          </w:tcPr>
          <w:p w:rsidR="00D7430C" w:rsidRDefault="00E80023">
            <w:pPr>
              <w:jc w:val="center"/>
              <w:rPr>
                <w:sz w:val="20"/>
              </w:rPr>
            </w:pPr>
            <w:r>
              <w:rPr>
                <w:sz w:val="20"/>
              </w:rPr>
              <w:t>STATISTINIO TYRIMO RŪŠIS, TIKSLAS IR APIMTIS</w:t>
            </w:r>
          </w:p>
        </w:tc>
        <w:tc>
          <w:tcPr>
            <w:tcW w:w="6442" w:type="dxa"/>
          </w:tcPr>
          <w:p w:rsidR="00D7430C" w:rsidRDefault="00E80023">
            <w:pPr>
              <w:rPr>
                <w:sz w:val="20"/>
              </w:rPr>
            </w:pPr>
            <w:r>
              <w:rPr>
                <w:sz w:val="20"/>
              </w:rPr>
              <w:t xml:space="preserve">Tai – savaitės ištisinis tyrimas. </w:t>
            </w:r>
          </w:p>
          <w:p w:rsidR="00D7430C" w:rsidRDefault="00E80023">
            <w:pPr>
              <w:rPr>
                <w:sz w:val="20"/>
              </w:rPr>
            </w:pPr>
            <w:r>
              <w:rPr>
                <w:sz w:val="20"/>
              </w:rPr>
              <w:t>Ataskaitą pildo visų rūšių įmonės, vykdančios vištų kiaušinių rinkimą, pakavimą ir prekybą.</w:t>
            </w:r>
          </w:p>
          <w:p w:rsidR="00D7430C" w:rsidRDefault="00E80023">
            <w:pPr>
              <w:rPr>
                <w:sz w:val="20"/>
              </w:rPr>
            </w:pPr>
            <w:r>
              <w:rPr>
                <w:sz w:val="20"/>
              </w:rPr>
              <w:t>Tiriamasis laikotarpis – kalendorinė savaitė.</w:t>
            </w:r>
          </w:p>
          <w:p w:rsidR="00D7430C" w:rsidRDefault="00E80023">
            <w:pPr>
              <w:rPr>
                <w:sz w:val="20"/>
              </w:rPr>
            </w:pPr>
            <w:r>
              <w:rPr>
                <w:sz w:val="20"/>
              </w:rPr>
              <w:t>Tyrimo tikslas – nustatyti narvuose laikomų vištų ir ant kraiko laikomų vištų A kokybės klasės, L ir M svorio kategorijų kiaušinių pardavimo apimtis, kainas ir jų pokytį.</w:t>
            </w:r>
          </w:p>
        </w:tc>
      </w:tr>
      <w:tr w:rsidR="00D7430C">
        <w:tc>
          <w:tcPr>
            <w:tcW w:w="2628" w:type="dxa"/>
          </w:tcPr>
          <w:p w:rsidR="00D7430C" w:rsidRDefault="00E80023">
            <w:pPr>
              <w:jc w:val="center"/>
              <w:rPr>
                <w:sz w:val="20"/>
              </w:rPr>
            </w:pPr>
            <w:r>
              <w:rPr>
                <w:sz w:val="20"/>
              </w:rPr>
              <w:t xml:space="preserve">STATISTINIO TYRIMO </w:t>
            </w:r>
            <w:r>
              <w:rPr>
                <w:spacing w:val="-2"/>
                <w:sz w:val="20"/>
              </w:rPr>
              <w:t>SUVESTINĖS INFORMACIJOS</w:t>
            </w:r>
            <w:r>
              <w:rPr>
                <w:sz w:val="20"/>
              </w:rPr>
              <w:t xml:space="preserve"> PASKELBIMO VIETA</w:t>
            </w:r>
          </w:p>
        </w:tc>
        <w:tc>
          <w:tcPr>
            <w:tcW w:w="6442" w:type="dxa"/>
          </w:tcPr>
          <w:p w:rsidR="00D7430C" w:rsidRDefault="00E80023">
            <w:pPr>
              <w:rPr>
                <w:sz w:val="20"/>
              </w:rPr>
            </w:pPr>
            <w:r>
              <w:rPr>
                <w:sz w:val="20"/>
              </w:rPr>
              <w:t>Oficialusis informacinis statistinis leidinys „</w:t>
            </w:r>
            <w:proofErr w:type="spellStart"/>
            <w:r>
              <w:rPr>
                <w:sz w:val="20"/>
              </w:rPr>
              <w:t>Agro</w:t>
            </w:r>
            <w:proofErr w:type="spellEnd"/>
            <w:r>
              <w:rPr>
                <w:sz w:val="20"/>
              </w:rPr>
              <w:t xml:space="preserve"> RINKA“</w:t>
            </w:r>
          </w:p>
          <w:p w:rsidR="00D7430C" w:rsidRDefault="00E80023">
            <w:pPr>
              <w:rPr>
                <w:sz w:val="20"/>
                <w:u w:val="single"/>
              </w:rPr>
            </w:pPr>
            <w:r>
              <w:rPr>
                <w:sz w:val="20"/>
              </w:rPr>
              <w:t>Interneto svetainėje http://www.vic.lt/ris</w:t>
            </w:r>
          </w:p>
        </w:tc>
      </w:tr>
      <w:tr w:rsidR="00D7430C">
        <w:tc>
          <w:tcPr>
            <w:tcW w:w="2628" w:type="dxa"/>
            <w:vAlign w:val="center"/>
          </w:tcPr>
          <w:p w:rsidR="00D7430C" w:rsidRDefault="00E80023">
            <w:pPr>
              <w:jc w:val="center"/>
              <w:rPr>
                <w:sz w:val="20"/>
              </w:rPr>
            </w:pPr>
            <w:r>
              <w:rPr>
                <w:sz w:val="20"/>
              </w:rPr>
              <w:t>STATISTINIŲ DUOMENŲ PATEIKIMO PAREIGA</w:t>
            </w:r>
          </w:p>
        </w:tc>
        <w:tc>
          <w:tcPr>
            <w:tcW w:w="6442" w:type="dxa"/>
          </w:tcPr>
          <w:p w:rsidR="00D7430C" w:rsidRDefault="00E80023">
            <w:pPr>
              <w:rPr>
                <w:sz w:val="20"/>
              </w:rPr>
            </w:pPr>
            <w:r>
              <w:rPr>
                <w:sz w:val="20"/>
              </w:rPr>
              <w:t>Lietuvos Respublikos statistikos įstatymo 14 straipsnio 2 dalis:</w:t>
            </w:r>
          </w:p>
          <w:p w:rsidR="00D7430C" w:rsidRDefault="00E80023">
            <w:pPr>
              <w:rPr>
                <w:sz w:val="20"/>
              </w:rPr>
            </w:pPr>
            <w:r>
              <w:rPr>
                <w:sz w:val="20"/>
              </w:rPr>
              <w:t>„Juridiniai asmenys privalo neatlygintinai teikti statistinius duomenis Oficialiosios statistikos darbų programai įgyvendinti.“</w:t>
            </w:r>
          </w:p>
          <w:p w:rsidR="00D7430C" w:rsidRDefault="00D7430C">
            <w:pPr>
              <w:rPr>
                <w:sz w:val="20"/>
              </w:rPr>
            </w:pPr>
          </w:p>
        </w:tc>
      </w:tr>
      <w:tr w:rsidR="00D7430C">
        <w:tc>
          <w:tcPr>
            <w:tcW w:w="2628" w:type="dxa"/>
          </w:tcPr>
          <w:p w:rsidR="00D7430C" w:rsidRDefault="00E80023">
            <w:pPr>
              <w:jc w:val="center"/>
              <w:rPr>
                <w:sz w:val="20"/>
              </w:rPr>
            </w:pPr>
            <w:r>
              <w:rPr>
                <w:sz w:val="20"/>
              </w:rPr>
              <w:t>STATISTINIO TYRIMO DUOMENŲ KONFIDENCIALUMAS</w:t>
            </w:r>
          </w:p>
        </w:tc>
        <w:tc>
          <w:tcPr>
            <w:tcW w:w="6442" w:type="dxa"/>
          </w:tcPr>
          <w:p w:rsidR="00D7430C" w:rsidRDefault="00E80023">
            <w:pPr>
              <w:rPr>
                <w:sz w:val="20"/>
              </w:rPr>
            </w:pPr>
            <w:r>
              <w:rPr>
                <w:sz w:val="20"/>
              </w:rPr>
              <w:t>Lietuvos Respublikos statistikos įstatymo 15 straipsnio 2 dalis:</w:t>
            </w:r>
          </w:p>
          <w:p w:rsidR="00D7430C" w:rsidRDefault="00E80023">
            <w:pPr>
              <w:rPr>
                <w:sz w:val="20"/>
              </w:rPr>
            </w:pPr>
            <w:r>
              <w:rPr>
                <w:sz w:val="20"/>
              </w:rPr>
              <w:t xml:space="preserve">„Oficialiosios statistikos duomenys, jeigu pagal juos tiesiogiai ar netiesiogiai galima identifikuoti respondentą, apie kurį ar kurio veiklos rezultatus buvo surinkti pirminiai statistiniai duomenys, yra konfidencialūs ir saugomi įstatymų nustatyta tvarka.“ </w:t>
            </w:r>
          </w:p>
        </w:tc>
      </w:tr>
      <w:tr w:rsidR="00D7430C">
        <w:tc>
          <w:tcPr>
            <w:tcW w:w="2628" w:type="dxa"/>
            <w:vAlign w:val="center"/>
          </w:tcPr>
          <w:p w:rsidR="00D7430C" w:rsidRDefault="00E80023">
            <w:pPr>
              <w:jc w:val="center"/>
              <w:rPr>
                <w:sz w:val="20"/>
              </w:rPr>
            </w:pPr>
            <w:r>
              <w:rPr>
                <w:sz w:val="20"/>
              </w:rPr>
              <w:t>STATISTINIO TYRIMO DUOMENŲ PATEIKIMO TVARKOS PAŽEIDIMAS</w:t>
            </w:r>
          </w:p>
        </w:tc>
        <w:tc>
          <w:tcPr>
            <w:tcW w:w="6442" w:type="dxa"/>
          </w:tcPr>
          <w:p w:rsidR="00D7430C" w:rsidRDefault="00E80023">
            <w:pPr>
              <w:rPr>
                <w:sz w:val="20"/>
              </w:rPr>
            </w:pPr>
            <w:r>
              <w:rPr>
                <w:sz w:val="20"/>
              </w:rPr>
              <w:t>Lietuvos Respublikos statistikos įstatymo 17 straipsnis:</w:t>
            </w:r>
          </w:p>
          <w:p w:rsidR="00D7430C" w:rsidRDefault="00E80023">
            <w:pPr>
              <w:rPr>
                <w:sz w:val="20"/>
              </w:rPr>
            </w:pPr>
            <w:r>
              <w:rPr>
                <w:sz w:val="20"/>
              </w:rPr>
              <w:t>„Fiziniai asmenys, įmonių, įstaigų ar organizacijų vadovai ir kiti atsakingi už oficialiosios statistikos duomenų rengimą ir teikimą asmenys, pažeidę šio įstatymo ir kitų su statistika susijusių teisės aktų reikalavimus, atsako pagal Lietuvos Respublikos įstatymus.“</w:t>
            </w:r>
          </w:p>
          <w:p w:rsidR="00D7430C" w:rsidRDefault="00E80023">
            <w:pPr>
              <w:rPr>
                <w:sz w:val="20"/>
              </w:rPr>
            </w:pPr>
            <w:r>
              <w:rPr>
                <w:sz w:val="20"/>
              </w:rPr>
              <w:t>Lietuvos Respublikos administracinių teisės pažeidimų kodekso 173</w:t>
            </w:r>
            <w:r>
              <w:rPr>
                <w:sz w:val="20"/>
                <w:vertAlign w:val="superscript"/>
              </w:rPr>
              <w:t>2</w:t>
            </w:r>
            <w:r>
              <w:rPr>
                <w:sz w:val="20"/>
              </w:rPr>
              <w:t xml:space="preserve"> straipsnis (</w:t>
            </w:r>
            <w:proofErr w:type="spellStart"/>
            <w:r>
              <w:rPr>
                <w:sz w:val="20"/>
              </w:rPr>
              <w:t>Žin</w:t>
            </w:r>
            <w:proofErr w:type="spellEnd"/>
            <w:r>
              <w:rPr>
                <w:sz w:val="20"/>
              </w:rPr>
              <w:t>., 1985, Nr. 1-1; 1992, Nr. 21-610; 2000, Nr. 54-1557):</w:t>
            </w:r>
          </w:p>
          <w:p w:rsidR="00D7430C" w:rsidRDefault="00E80023">
            <w:pPr>
              <w:rPr>
                <w:sz w:val="20"/>
              </w:rPr>
            </w:pPr>
            <w:r>
              <w:rPr>
                <w:sz w:val="20"/>
              </w:rPr>
              <w:t>„Statistinių duomenų nepateikimas nustatyta tvarka oficialiąją statistiką tvarkančioms institucijoms ir įstaigoms arba melagingų statistinių duomenų joms pateikimas užtraukia baudą nuo 500 iki 1000 Lt.</w:t>
            </w:r>
          </w:p>
          <w:p w:rsidR="00D7430C" w:rsidRDefault="00E80023">
            <w:pPr>
              <w:rPr>
                <w:sz w:val="20"/>
              </w:rPr>
            </w:pPr>
            <w:r>
              <w:rPr>
                <w:sz w:val="20"/>
              </w:rPr>
              <w:t>Tokia pat veika, padaryta asmens, bausto administracine nuobauda už šio straipsnio pirmojoje dalyje numatytus pažeidimus, užtraukia baudą nuo 3000 iki 6000 Lt.</w:t>
            </w:r>
          </w:p>
          <w:p w:rsidR="00D7430C" w:rsidRDefault="00E80023">
            <w:pPr>
              <w:rPr>
                <w:sz w:val="20"/>
              </w:rPr>
            </w:pPr>
            <w:r>
              <w:rPr>
                <w:sz w:val="20"/>
              </w:rPr>
              <w:t>Dokumentų, patvirtinančių pateiktus statistinius duomenis, nepateikimas oficialiąją statistiką tvarkančių institucijų ir įstaigų valstybės tarnautojams arba šių dokumentų nuslėpimas, taip pat minėtų valstybės tarnautojų teisėtų reikalavimų nevykdymas užtraukia baudą pareigūnams nuo 500 iki 1000 Lt.“</w:t>
            </w:r>
          </w:p>
        </w:tc>
      </w:tr>
    </w:tbl>
    <w:p w:rsidR="00D7430C" w:rsidRDefault="00D7430C">
      <w:pPr>
        <w:rPr>
          <w:sz w:val="18"/>
          <w:szCs w:val="18"/>
        </w:rPr>
      </w:pPr>
    </w:p>
    <w:p w:rsidR="00D7430C" w:rsidRDefault="00E80023">
      <w:pPr>
        <w:rPr>
          <w:sz w:val="22"/>
          <w:szCs w:val="22"/>
        </w:rPr>
      </w:pPr>
      <w:r>
        <w:rPr>
          <w:sz w:val="22"/>
          <w:szCs w:val="22"/>
        </w:rPr>
        <w:t>PASTABOS IR PAAIŠKINIMAI:</w:t>
      </w:r>
    </w:p>
    <w:p w:rsidR="00D7430C" w:rsidRDefault="00D7430C">
      <w:pPr>
        <w:rPr>
          <w:sz w:val="20"/>
        </w:rPr>
      </w:pPr>
    </w:p>
    <w:p w:rsidR="00D7430C" w:rsidRDefault="00E80023">
      <w:pPr>
        <w:jc w:val="both"/>
        <w:rPr>
          <w:sz w:val="20"/>
        </w:rPr>
      </w:pPr>
      <w:r>
        <w:rPr>
          <w:sz w:val="20"/>
        </w:rPr>
        <w:t>1.</w:t>
      </w:r>
      <w:r>
        <w:rPr>
          <w:b/>
          <w:sz w:val="20"/>
        </w:rPr>
        <w:t xml:space="preserve"> </w:t>
      </w:r>
      <w:r>
        <w:rPr>
          <w:sz w:val="20"/>
        </w:rPr>
        <w:t xml:space="preserve">Vertė (Lt) nurodoma be PVM. </w:t>
      </w:r>
    </w:p>
    <w:p w:rsidR="00D7430C" w:rsidRDefault="00E80023">
      <w:pPr>
        <w:jc w:val="both"/>
        <w:rPr>
          <w:color w:val="000000"/>
          <w:sz w:val="20"/>
        </w:rPr>
      </w:pPr>
      <w:r>
        <w:rPr>
          <w:sz w:val="20"/>
        </w:rPr>
        <w:t>2. Parduotas kiekis (kg) – per tam tikrą savaitę iš viso parduotas produktų kiekis vidaus rinkoje (Lietuvoje).</w:t>
      </w:r>
      <w:r>
        <w:rPr>
          <w:color w:val="000000"/>
          <w:sz w:val="20"/>
        </w:rPr>
        <w:t xml:space="preserve"> </w:t>
      </w:r>
    </w:p>
    <w:p w:rsidR="00D7430C" w:rsidRDefault="00E80023">
      <w:pPr>
        <w:jc w:val="both"/>
        <w:rPr>
          <w:spacing w:val="-6"/>
          <w:sz w:val="20"/>
        </w:rPr>
      </w:pPr>
      <w:r>
        <w:rPr>
          <w:sz w:val="20"/>
        </w:rPr>
        <w:t xml:space="preserve">3. Ataskaita teikiama VĮ Žemės ūkio informacijos ir kaimo verslo centrui naudojant interaktyviąją duomenų įvesties sistemą (IDIS) adresu http://www.vic.lt/ris/Registruotiems naudotojams. Jei nėra techninių galimybių naudoti IDIS, duomenys teikiami elektroniniu paštu </w:t>
      </w:r>
      <w:proofErr w:type="spellStart"/>
      <w:r>
        <w:rPr>
          <w:iCs/>
          <w:sz w:val="20"/>
        </w:rPr>
        <w:t>paukstiena_kiausiniai@vic.lt</w:t>
      </w:r>
      <w:proofErr w:type="spellEnd"/>
      <w:r>
        <w:rPr>
          <w:iCs/>
          <w:sz w:val="20"/>
        </w:rPr>
        <w:t xml:space="preserve">, </w:t>
      </w:r>
      <w:r>
        <w:rPr>
          <w:i/>
          <w:sz w:val="20"/>
        </w:rPr>
        <w:t>MS Office Excel 97/2000</w:t>
      </w:r>
      <w:r>
        <w:rPr>
          <w:sz w:val="20"/>
        </w:rPr>
        <w:t xml:space="preserve"> arba aukštesnės versijos rinkmenoje, </w:t>
      </w:r>
      <w:r>
        <w:rPr>
          <w:spacing w:val="-6"/>
          <w:sz w:val="20"/>
        </w:rPr>
        <w:t xml:space="preserve">faksu (8 37) 40 66 91 arba paštu: VĮ ŽŪIKVC Rinkos informacijos ir ekonominės analizės skyrius, Universiteto g. 8A (IV r.), </w:t>
      </w:r>
    </w:p>
    <w:p w:rsidR="00D7430C" w:rsidRDefault="00E80023">
      <w:pPr>
        <w:jc w:val="both"/>
        <w:rPr>
          <w:sz w:val="20"/>
        </w:rPr>
      </w:pPr>
      <w:r>
        <w:rPr>
          <w:spacing w:val="-6"/>
          <w:sz w:val="20"/>
        </w:rPr>
        <w:t>LT-53345 Akademija</w:t>
      </w:r>
      <w:r>
        <w:rPr>
          <w:sz w:val="20"/>
        </w:rPr>
        <w:t>, Kauno rajonas. Elektronines ataskaitų formas galima rasti interneto svetainėje adresu http://www.vic.lt/ris–&gt;Paukštienos sektorius–&gt;Teisės aktai–&gt;Duomenų teikimo teisės aktai.</w:t>
      </w:r>
    </w:p>
    <w:p w:rsidR="00D7430C" w:rsidRDefault="00E80023">
      <w:pPr>
        <w:jc w:val="center"/>
      </w:pPr>
      <w:r>
        <w:t>_________________</w:t>
      </w:r>
      <w:bookmarkStart w:id="2" w:name="_GoBack"/>
      <w:bookmarkEnd w:id="2"/>
    </w:p>
    <w:bookmarkEnd w:id="1"/>
    <w:bookmarkEnd w:id="0"/>
    <w:sectPr w:rsidR="00D7430C" w:rsidSect="008401A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296"/>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0C"/>
    <w:rsid w:val="00816A4F"/>
    <w:rsid w:val="008401AC"/>
    <w:rsid w:val="008E6502"/>
    <w:rsid w:val="00CA1621"/>
    <w:rsid w:val="00CB686B"/>
    <w:rsid w:val="00D7430C"/>
    <w:rsid w:val="00E80023"/>
    <w:rsid w:val="00F450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67DD3"/>
    <w:rPr>
      <w:sz w:val="24"/>
      <w:lang w:eastAsia="en-US"/>
    </w:rPr>
  </w:style>
  <w:style w:type="paragraph" w:styleId="Antrat1">
    <w:name w:val="heading 1"/>
    <w:basedOn w:val="prastasis"/>
    <w:next w:val="prastasis"/>
    <w:qFormat/>
    <w:rsid w:val="00667DD3"/>
    <w:pPr>
      <w:keepNext/>
      <w:spacing w:before="240" w:after="60"/>
      <w:outlineLvl w:val="0"/>
    </w:pPr>
    <w:rPr>
      <w:rFonts w:ascii="Arial" w:hAnsi="Arial"/>
      <w:b/>
      <w:kern w:val="28"/>
      <w:sz w:val="28"/>
    </w:rPr>
  </w:style>
  <w:style w:type="paragraph" w:styleId="Antrat4">
    <w:name w:val="heading 4"/>
    <w:basedOn w:val="prastasis"/>
    <w:next w:val="prastasis"/>
    <w:qFormat/>
    <w:rsid w:val="00667DD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67DD3"/>
    <w:rPr>
      <w:rFonts w:ascii="Tahoma" w:hAnsi="Tahoma" w:cs="Tahoma"/>
      <w:sz w:val="16"/>
      <w:szCs w:val="16"/>
    </w:rPr>
  </w:style>
  <w:style w:type="paragraph" w:customStyle="1" w:styleId="Stilius1">
    <w:name w:val="Stilius1"/>
    <w:basedOn w:val="prastasis"/>
    <w:autoRedefine/>
    <w:rsid w:val="00667DD3"/>
  </w:style>
  <w:style w:type="paragraph" w:customStyle="1" w:styleId="Stilius2">
    <w:name w:val="Stilius2"/>
    <w:basedOn w:val="Antrat1"/>
    <w:autoRedefine/>
    <w:rsid w:val="00667DD3"/>
    <w:rPr>
      <w:rFonts w:ascii="Times New Roman" w:hAnsi="Times New Roman"/>
    </w:rPr>
  </w:style>
  <w:style w:type="paragraph" w:customStyle="1" w:styleId="Stilius3">
    <w:name w:val="Stilius3"/>
    <w:basedOn w:val="Antrat1"/>
    <w:autoRedefine/>
    <w:rsid w:val="00667DD3"/>
  </w:style>
  <w:style w:type="paragraph" w:customStyle="1" w:styleId="Stilius4">
    <w:name w:val="Stilius4"/>
    <w:basedOn w:val="Antrat1"/>
    <w:autoRedefine/>
    <w:rsid w:val="00667DD3"/>
    <w:rPr>
      <w:rFonts w:ascii="Times New Roman" w:hAnsi="Times New Roman"/>
    </w:rPr>
  </w:style>
  <w:style w:type="paragraph" w:customStyle="1" w:styleId="Preformatted">
    <w:name w:val="Preformatted"/>
    <w:basedOn w:val="prastasis"/>
    <w:rsid w:val="00667D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67DD3"/>
    <w:pPr>
      <w:tabs>
        <w:tab w:val="center" w:pos="4153"/>
        <w:tab w:val="right" w:pos="8306"/>
      </w:tabs>
    </w:pPr>
    <w:rPr>
      <w:lang w:val="en-GB"/>
    </w:rPr>
  </w:style>
  <w:style w:type="paragraph" w:customStyle="1" w:styleId="LLPTekstas">
    <w:name w:val="LLPTekstas"/>
    <w:basedOn w:val="prastasis"/>
    <w:rsid w:val="00667DD3"/>
    <w:pPr>
      <w:ind w:firstLine="567"/>
      <w:jc w:val="both"/>
    </w:pPr>
  </w:style>
  <w:style w:type="paragraph" w:customStyle="1" w:styleId="LLPPavadinimas">
    <w:name w:val="LLPPavadinimas"/>
    <w:basedOn w:val="LLPTekstas"/>
    <w:rsid w:val="00667DD3"/>
    <w:pPr>
      <w:ind w:firstLine="0"/>
      <w:jc w:val="center"/>
    </w:pPr>
    <w:rPr>
      <w:b/>
    </w:rPr>
  </w:style>
  <w:style w:type="paragraph" w:customStyle="1" w:styleId="LLPNepastraip">
    <w:name w:val="LLPNepastraip"/>
    <w:basedOn w:val="LLPTekstas"/>
    <w:rsid w:val="00667DD3"/>
    <w:pPr>
      <w:ind w:firstLine="0"/>
      <w:jc w:val="left"/>
    </w:pPr>
  </w:style>
  <w:style w:type="character" w:styleId="Puslapionumeris">
    <w:name w:val="page number"/>
    <w:basedOn w:val="Numatytasispastraiposriftas"/>
    <w:rsid w:val="00667DD3"/>
  </w:style>
  <w:style w:type="character" w:styleId="Komentaronuoroda">
    <w:name w:val="annotation reference"/>
    <w:basedOn w:val="Numatytasispastraiposriftas"/>
    <w:semiHidden/>
    <w:rsid w:val="00667DD3"/>
    <w:rPr>
      <w:sz w:val="16"/>
    </w:rPr>
  </w:style>
  <w:style w:type="paragraph" w:styleId="Komentarotekstas">
    <w:name w:val="annotation text"/>
    <w:basedOn w:val="prastasis"/>
    <w:semiHidden/>
    <w:rsid w:val="00667DD3"/>
  </w:style>
  <w:style w:type="character" w:styleId="Hipersaitas">
    <w:name w:val="Hyperlink"/>
    <w:basedOn w:val="Numatytasispastraiposriftas"/>
    <w:rsid w:val="00667DD3"/>
    <w:rPr>
      <w:color w:val="0000FF"/>
      <w:u w:val="single"/>
    </w:rPr>
  </w:style>
  <w:style w:type="character" w:styleId="Perirtashipersaitas">
    <w:name w:val="FollowedHyperlink"/>
    <w:basedOn w:val="Numatytasispastraiposriftas"/>
    <w:rsid w:val="00667DD3"/>
    <w:rPr>
      <w:color w:val="800080"/>
      <w:u w:val="single"/>
    </w:rPr>
  </w:style>
  <w:style w:type="character" w:customStyle="1" w:styleId="LLCStraipsnis">
    <w:name w:val="LLCStraipsnis"/>
    <w:basedOn w:val="LLCTekstas"/>
    <w:rsid w:val="00667DD3"/>
    <w:rPr>
      <w:b/>
      <w:color w:val="auto"/>
    </w:rPr>
  </w:style>
  <w:style w:type="character" w:customStyle="1" w:styleId="LLCRedakcija">
    <w:name w:val="LLCRedakcija"/>
    <w:basedOn w:val="LLCTekstas"/>
    <w:rsid w:val="00667DD3"/>
    <w:rPr>
      <w:i/>
      <w:color w:val="auto"/>
    </w:rPr>
  </w:style>
  <w:style w:type="paragraph" w:customStyle="1" w:styleId="LLPStraipsnis">
    <w:name w:val="LLPStraipsnis"/>
    <w:basedOn w:val="LLPTekstas"/>
    <w:next w:val="LLPTekstas"/>
    <w:rsid w:val="00667DD3"/>
    <w:pPr>
      <w:ind w:left="1843" w:hanging="1276"/>
    </w:pPr>
  </w:style>
  <w:style w:type="character" w:customStyle="1" w:styleId="LLCTekstas">
    <w:name w:val="LLCTekstas"/>
    <w:basedOn w:val="Numatytasispastraiposriftas"/>
    <w:rsid w:val="00667DD3"/>
    <w:rPr>
      <w:color w:val="auto"/>
    </w:rPr>
  </w:style>
  <w:style w:type="character" w:customStyle="1" w:styleId="LLCStraipsnPav">
    <w:name w:val="LLCStraipsnPav"/>
    <w:basedOn w:val="LLCStraipsnis"/>
    <w:rsid w:val="00667DD3"/>
    <w:rPr>
      <w:rFonts w:ascii="Times New Roman" w:hAnsi="Times New Roman"/>
      <w:b/>
      <w:color w:val="auto"/>
      <w:sz w:val="24"/>
    </w:rPr>
  </w:style>
  <w:style w:type="character" w:customStyle="1" w:styleId="LLCFixed">
    <w:name w:val="LLCFixed"/>
    <w:basedOn w:val="Numatytasispastraiposriftas"/>
    <w:rsid w:val="00667DD3"/>
    <w:rPr>
      <w:rFonts w:ascii="Courier New" w:hAnsi="Courier New"/>
      <w:noProof w:val="0"/>
      <w:sz w:val="20"/>
      <w:lang w:val="lt-LT"/>
    </w:rPr>
  </w:style>
  <w:style w:type="paragraph" w:customStyle="1" w:styleId="LLPSignatura">
    <w:name w:val="LLPSignatura"/>
    <w:basedOn w:val="LLPNepastraip"/>
    <w:rsid w:val="00667DD3"/>
    <w:pPr>
      <w:tabs>
        <w:tab w:val="right" w:pos="9639"/>
      </w:tabs>
    </w:pPr>
  </w:style>
  <w:style w:type="paragraph" w:customStyle="1" w:styleId="LLPPriedelis">
    <w:name w:val="LLPPriedelis"/>
    <w:basedOn w:val="LLPTekstas"/>
    <w:autoRedefine/>
    <w:rsid w:val="00667DD3"/>
    <w:pPr>
      <w:ind w:firstLine="5670"/>
      <w:jc w:val="left"/>
    </w:pPr>
  </w:style>
  <w:style w:type="paragraph" w:customStyle="1" w:styleId="LLPPunktoRedakcija">
    <w:name w:val="LLPPunktoRedakcija"/>
    <w:basedOn w:val="LLPTekstas"/>
    <w:rsid w:val="00667DD3"/>
    <w:pPr>
      <w:tabs>
        <w:tab w:val="left" w:pos="992"/>
      </w:tabs>
      <w:ind w:left="992" w:hanging="425"/>
    </w:pPr>
  </w:style>
  <w:style w:type="paragraph" w:customStyle="1" w:styleId="LLPStraipsnPav">
    <w:name w:val="LLPStraipsnPav"/>
    <w:basedOn w:val="LLPStraipsnis"/>
    <w:rsid w:val="00667DD3"/>
    <w:pPr>
      <w:ind w:left="2410" w:hanging="1701"/>
    </w:pPr>
    <w:rPr>
      <w:b/>
    </w:rPr>
  </w:style>
  <w:style w:type="paragraph" w:styleId="Pagrindiniotekstotrauka">
    <w:name w:val="Body Text Indent"/>
    <w:basedOn w:val="prastasis"/>
    <w:rsid w:val="00667DD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67DD3"/>
    <w:pPr>
      <w:jc w:val="center"/>
    </w:pPr>
  </w:style>
  <w:style w:type="paragraph" w:styleId="Pagrindinistekstas2">
    <w:name w:val="Body Text 2"/>
    <w:basedOn w:val="prastasis"/>
    <w:rsid w:val="00667DD3"/>
    <w:pPr>
      <w:tabs>
        <w:tab w:val="left" w:pos="0"/>
      </w:tabs>
      <w:spacing w:line="360" w:lineRule="auto"/>
      <w:jc w:val="both"/>
    </w:pPr>
    <w:rPr>
      <w:rFonts w:ascii="TimesLT" w:hAnsi="TimesLT"/>
    </w:rPr>
  </w:style>
  <w:style w:type="paragraph" w:customStyle="1" w:styleId="TPSkyrius">
    <w:name w:val="TPSkyrius"/>
    <w:basedOn w:val="prastasis"/>
    <w:rsid w:val="00667DD3"/>
    <w:pPr>
      <w:autoSpaceDE w:val="0"/>
      <w:autoSpaceDN w:val="0"/>
      <w:adjustRightInd w:val="0"/>
    </w:pPr>
    <w:rPr>
      <w:rFonts w:cs="Courier New"/>
      <w:noProof/>
      <w:sz w:val="22"/>
    </w:rPr>
  </w:style>
  <w:style w:type="paragraph" w:customStyle="1" w:styleId="TPSkirsnis">
    <w:name w:val="TPSkirsnis"/>
    <w:basedOn w:val="prastasis"/>
    <w:link w:val="TPSkirsnisChar"/>
    <w:rsid w:val="00667DD3"/>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67DD3"/>
    <w:rPr>
      <w:rFonts w:cs="Courier New"/>
      <w:noProof/>
      <w:sz w:val="22"/>
      <w:lang w:val="lt-LT" w:eastAsia="en-US" w:bidi="ar-SA"/>
    </w:rPr>
  </w:style>
  <w:style w:type="paragraph" w:customStyle="1" w:styleId="TPStraipsnis">
    <w:name w:val="TPStraipsnis"/>
    <w:basedOn w:val="prastasis"/>
    <w:rsid w:val="00667DD3"/>
    <w:pPr>
      <w:autoSpaceDE w:val="0"/>
      <w:autoSpaceDN w:val="0"/>
      <w:adjustRightInd w:val="0"/>
    </w:pPr>
    <w:rPr>
      <w:rFonts w:cs="Courier New"/>
      <w:noProof/>
      <w:sz w:val="22"/>
    </w:rPr>
  </w:style>
  <w:style w:type="paragraph" w:customStyle="1" w:styleId="TPDalis">
    <w:name w:val="TPDalis"/>
    <w:basedOn w:val="prastasis"/>
    <w:rsid w:val="00667DD3"/>
    <w:pPr>
      <w:autoSpaceDE w:val="0"/>
      <w:autoSpaceDN w:val="0"/>
      <w:adjustRightInd w:val="0"/>
    </w:pPr>
    <w:rPr>
      <w:rFonts w:cs="Courier New"/>
      <w:noProof/>
      <w:sz w:val="22"/>
    </w:rPr>
  </w:style>
  <w:style w:type="paragraph" w:customStyle="1" w:styleId="TPPunktas">
    <w:name w:val="TPPunktas"/>
    <w:basedOn w:val="prastasis"/>
    <w:rsid w:val="00667DD3"/>
    <w:pPr>
      <w:autoSpaceDE w:val="0"/>
      <w:autoSpaceDN w:val="0"/>
      <w:adjustRightInd w:val="0"/>
    </w:pPr>
    <w:rPr>
      <w:rFonts w:cs="Courier New"/>
      <w:noProof/>
      <w:sz w:val="22"/>
    </w:rPr>
  </w:style>
  <w:style w:type="paragraph" w:customStyle="1" w:styleId="TPPapunktis">
    <w:name w:val="TPPapunktis"/>
    <w:basedOn w:val="prastasis"/>
    <w:rsid w:val="00667DD3"/>
    <w:pPr>
      <w:autoSpaceDE w:val="0"/>
      <w:autoSpaceDN w:val="0"/>
      <w:adjustRightInd w:val="0"/>
    </w:pPr>
    <w:rPr>
      <w:rFonts w:cs="Courier New"/>
      <w:noProof/>
    </w:rPr>
  </w:style>
  <w:style w:type="paragraph" w:customStyle="1" w:styleId="TPPriedas">
    <w:name w:val="TPPriedas"/>
    <w:basedOn w:val="prastasis"/>
    <w:rsid w:val="00667DD3"/>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67DD3"/>
    <w:rPr>
      <w:rFonts w:ascii="Times New Roman" w:hAnsi="Times New Roman"/>
      <w:sz w:val="22"/>
    </w:rPr>
  </w:style>
  <w:style w:type="character" w:customStyle="1" w:styleId="TCSkirsnis">
    <w:name w:val="TCSkirsnis"/>
    <w:basedOn w:val="Numatytasispastraiposriftas"/>
    <w:rsid w:val="00667DD3"/>
    <w:rPr>
      <w:rFonts w:ascii="Times New Roman" w:hAnsi="Times New Roman"/>
      <w:sz w:val="22"/>
    </w:rPr>
  </w:style>
  <w:style w:type="character" w:customStyle="1" w:styleId="TCStraipsnis">
    <w:name w:val="TCStraipsnis"/>
    <w:basedOn w:val="Numatytasispastraiposriftas"/>
    <w:rsid w:val="00667DD3"/>
    <w:rPr>
      <w:rFonts w:ascii="Times New Roman" w:hAnsi="Times New Roman"/>
      <w:sz w:val="22"/>
    </w:rPr>
  </w:style>
  <w:style w:type="character" w:customStyle="1" w:styleId="Dalis">
    <w:name w:val="Dalis"/>
    <w:basedOn w:val="Numatytasispastraiposriftas"/>
    <w:rsid w:val="00667DD3"/>
    <w:rPr>
      <w:rFonts w:ascii="Times New Roman" w:hAnsi="Times New Roman"/>
      <w:sz w:val="22"/>
    </w:rPr>
  </w:style>
  <w:style w:type="character" w:customStyle="1" w:styleId="TCPunktas">
    <w:name w:val="TCPunktas"/>
    <w:basedOn w:val="Numatytasispastraiposriftas"/>
    <w:rsid w:val="00667DD3"/>
    <w:rPr>
      <w:rFonts w:ascii="Verdana" w:hAnsi="Verdana"/>
      <w:sz w:val="24"/>
    </w:rPr>
  </w:style>
  <w:style w:type="character" w:customStyle="1" w:styleId="TCPapunktis">
    <w:name w:val="TCPapunktis"/>
    <w:basedOn w:val="Numatytasispastraiposriftas"/>
    <w:rsid w:val="00667DD3"/>
    <w:rPr>
      <w:rFonts w:ascii="Verdana" w:hAnsi="Verdana"/>
      <w:sz w:val="20"/>
    </w:rPr>
  </w:style>
  <w:style w:type="character" w:customStyle="1" w:styleId="TCPriedas">
    <w:name w:val="TCPriedas"/>
    <w:basedOn w:val="Numatytasispastraiposriftas"/>
    <w:rsid w:val="00667DD3"/>
    <w:rPr>
      <w:rFonts w:ascii="Courier New" w:hAnsi="Courier New"/>
      <w:sz w:val="20"/>
    </w:rPr>
  </w:style>
  <w:style w:type="character" w:customStyle="1" w:styleId="TCDalis">
    <w:name w:val="TCDalis"/>
    <w:basedOn w:val="Numatytasispastraiposriftas"/>
    <w:rsid w:val="00667DD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4127</Words>
  <Characters>2353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6468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2016-05-04T07:50:00Z</dcterms:created>
  <dc:creator>Rima</dc:creator>
  <lastModifiedBy>GUMBYTĖ Danguolė</lastModifiedBy>
  <dcterms:modified xsi:type="dcterms:W3CDTF">2016-05-04T07:57:00Z</dcterms:modified>
  <revision>3</revision>
  <dc:title>LIETUVOS RESPUBLIKOS ŽEMĖS ŪKIO MINISTRO</dc:title>
</coreProperties>
</file>