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80" w:rsidRPr="0054632D" w:rsidRDefault="00A81C80" w:rsidP="00A81C80">
      <w:pPr>
        <w:keepNext/>
        <w:ind w:left="3894" w:firstLine="1298"/>
        <w:jc w:val="both"/>
        <w:outlineLvl w:val="0"/>
        <w:rPr>
          <w:rFonts w:ascii="Times New Roman" w:eastAsia="Times New Roman" w:hAnsi="Times New Roman"/>
          <w:bCs/>
          <w:kern w:val="32"/>
          <w:sz w:val="24"/>
          <w:szCs w:val="24"/>
          <w:lang w:eastAsia="ko-KR"/>
        </w:rPr>
      </w:pPr>
      <w:bookmarkStart w:id="0" w:name="_GoBack"/>
      <w:bookmarkEnd w:id="0"/>
      <w:r w:rsidRPr="0054632D">
        <w:rPr>
          <w:rFonts w:ascii="Times New Roman" w:eastAsia="Times New Roman" w:hAnsi="Times New Roman"/>
          <w:bCs/>
          <w:kern w:val="32"/>
          <w:sz w:val="24"/>
          <w:szCs w:val="24"/>
          <w:lang w:eastAsia="ko-KR"/>
        </w:rPr>
        <w:t>PATVIRTINTA</w:t>
      </w:r>
    </w:p>
    <w:p w:rsidR="00A81C80" w:rsidRPr="0054632D" w:rsidRDefault="00A81C80" w:rsidP="00A81C80">
      <w:pPr>
        <w:ind w:left="3888" w:firstLine="1296"/>
        <w:rPr>
          <w:rFonts w:ascii="Times New Roman" w:hAnsi="Times New Roman"/>
          <w:sz w:val="24"/>
          <w:szCs w:val="24"/>
        </w:rPr>
      </w:pPr>
      <w:r w:rsidRPr="0054632D">
        <w:rPr>
          <w:rFonts w:ascii="Times New Roman" w:hAnsi="Times New Roman"/>
          <w:sz w:val="24"/>
          <w:szCs w:val="24"/>
        </w:rPr>
        <w:t>Alytaus miesto savivaldybės tarybos</w:t>
      </w:r>
    </w:p>
    <w:p w:rsidR="00A81C80" w:rsidRPr="0054632D" w:rsidRDefault="00A81C80" w:rsidP="00A81C80">
      <w:pPr>
        <w:rPr>
          <w:rFonts w:ascii="Times New Roman" w:eastAsia="Times New Roman" w:hAnsi="Times New Roman"/>
          <w:sz w:val="24"/>
          <w:szCs w:val="24"/>
        </w:rPr>
      </w:pPr>
      <w:r w:rsidRPr="0054632D">
        <w:rPr>
          <w:rFonts w:ascii="Times New Roman" w:hAnsi="Times New Roman"/>
          <w:sz w:val="24"/>
          <w:szCs w:val="24"/>
        </w:rPr>
        <w:tab/>
      </w:r>
      <w:r w:rsidRPr="0054632D">
        <w:rPr>
          <w:rFonts w:ascii="Times New Roman" w:hAnsi="Times New Roman"/>
          <w:sz w:val="24"/>
          <w:szCs w:val="24"/>
        </w:rPr>
        <w:tab/>
      </w:r>
      <w:r w:rsidRPr="0054632D">
        <w:rPr>
          <w:rFonts w:ascii="Times New Roman" w:hAnsi="Times New Roman"/>
          <w:sz w:val="24"/>
          <w:szCs w:val="24"/>
        </w:rPr>
        <w:tab/>
      </w:r>
      <w:r w:rsidRPr="0054632D">
        <w:rPr>
          <w:rFonts w:ascii="Times New Roman" w:hAnsi="Times New Roman"/>
          <w:sz w:val="24"/>
          <w:szCs w:val="24"/>
        </w:rPr>
        <w:tab/>
      </w:r>
      <w:r w:rsidR="00882EDE">
        <w:rPr>
          <w:rFonts w:ascii="Times New Roman" w:eastAsia="Times New Roman" w:hAnsi="Times New Roman"/>
          <w:sz w:val="24"/>
          <w:szCs w:val="24"/>
        </w:rPr>
        <w:t>2017</w:t>
      </w:r>
      <w:r w:rsidRPr="0054632D">
        <w:rPr>
          <w:rFonts w:ascii="Times New Roman" w:eastAsia="Times New Roman" w:hAnsi="Times New Roman"/>
          <w:sz w:val="24"/>
          <w:szCs w:val="24"/>
        </w:rPr>
        <w:t xml:space="preserve"> m.</w:t>
      </w:r>
      <w:r w:rsidR="00430721">
        <w:rPr>
          <w:rFonts w:ascii="Times New Roman" w:eastAsia="Times New Roman" w:hAnsi="Times New Roman"/>
          <w:sz w:val="24"/>
          <w:szCs w:val="24"/>
        </w:rPr>
        <w:t xml:space="preserve"> vasario 9</w:t>
      </w:r>
      <w:r w:rsidR="00882EDE">
        <w:rPr>
          <w:rFonts w:ascii="Times New Roman" w:eastAsia="Times New Roman" w:hAnsi="Times New Roman"/>
          <w:sz w:val="24"/>
          <w:szCs w:val="24"/>
        </w:rPr>
        <w:t xml:space="preserve"> </w:t>
      </w:r>
      <w:r w:rsidRPr="0054632D">
        <w:rPr>
          <w:rFonts w:ascii="Times New Roman" w:eastAsia="Times New Roman" w:hAnsi="Times New Roman"/>
          <w:sz w:val="24"/>
          <w:szCs w:val="24"/>
        </w:rPr>
        <w:t>d. sprendimu Nr.</w:t>
      </w:r>
      <w:r w:rsidR="00430721">
        <w:rPr>
          <w:rFonts w:ascii="Times New Roman" w:eastAsia="Times New Roman" w:hAnsi="Times New Roman"/>
          <w:sz w:val="24"/>
          <w:szCs w:val="24"/>
        </w:rPr>
        <w:t>T</w:t>
      </w:r>
      <w:r w:rsidR="00863E50">
        <w:rPr>
          <w:rFonts w:ascii="Times New Roman" w:eastAsia="Times New Roman" w:hAnsi="Times New Roman"/>
          <w:sz w:val="24"/>
          <w:szCs w:val="24"/>
        </w:rPr>
        <w:t>-39</w:t>
      </w:r>
    </w:p>
    <w:p w:rsidR="00A81C80" w:rsidRPr="0054632D" w:rsidRDefault="00A81C80" w:rsidP="00A81C80">
      <w:pPr>
        <w:jc w:val="both"/>
        <w:rPr>
          <w:rFonts w:ascii="Times New Roman" w:hAnsi="Times New Roman"/>
          <w:sz w:val="24"/>
          <w:szCs w:val="24"/>
        </w:rPr>
      </w:pPr>
    </w:p>
    <w:p w:rsidR="00A81C80" w:rsidRPr="0054632D" w:rsidRDefault="00A81C80" w:rsidP="00A81C80">
      <w:pPr>
        <w:jc w:val="center"/>
        <w:rPr>
          <w:rFonts w:ascii="Times New Roman" w:eastAsia="Times New Roman" w:hAnsi="Times New Roman"/>
          <w:b/>
          <w:sz w:val="24"/>
          <w:szCs w:val="24"/>
          <w:lang w:eastAsia="ko-KR"/>
        </w:rPr>
      </w:pPr>
      <w:r w:rsidRPr="0054632D">
        <w:rPr>
          <w:rFonts w:ascii="Times New Roman" w:eastAsia="Times New Roman" w:hAnsi="Times New Roman"/>
          <w:b/>
          <w:sz w:val="24"/>
          <w:szCs w:val="24"/>
          <w:lang w:eastAsia="ko-KR"/>
        </w:rPr>
        <w:t>ALYTAUS MIESTO SAVIVALDYBĖS 2017–2019 METŲ STRATEGINIS VEIKLOS PLANAS</w:t>
      </w:r>
    </w:p>
    <w:p w:rsidR="00A81C80" w:rsidRPr="0054632D" w:rsidRDefault="00A81C80" w:rsidP="00A81C80">
      <w:pPr>
        <w:rPr>
          <w:rFonts w:ascii="Times New Roman" w:eastAsia="Times New Roman" w:hAnsi="Times New Roman"/>
          <w:b/>
          <w:sz w:val="24"/>
          <w:szCs w:val="24"/>
          <w:lang w:eastAsia="ko-KR"/>
        </w:rPr>
      </w:pPr>
    </w:p>
    <w:p w:rsidR="00A81C80" w:rsidRPr="0054632D" w:rsidRDefault="00A81C80" w:rsidP="00A81C80">
      <w:pPr>
        <w:jc w:val="center"/>
        <w:rPr>
          <w:rFonts w:ascii="Times New Roman" w:eastAsia="Times New Roman" w:hAnsi="Times New Roman"/>
          <w:b/>
          <w:bCs/>
          <w:sz w:val="24"/>
          <w:szCs w:val="24"/>
        </w:rPr>
      </w:pPr>
      <w:r w:rsidRPr="0054632D">
        <w:rPr>
          <w:rFonts w:ascii="Times New Roman" w:eastAsia="Times New Roman" w:hAnsi="Times New Roman"/>
          <w:b/>
          <w:bCs/>
          <w:sz w:val="24"/>
          <w:szCs w:val="24"/>
        </w:rPr>
        <w:t>VEIKLOS KONTEKSTAS</w:t>
      </w:r>
    </w:p>
    <w:p w:rsidR="00A81C80" w:rsidRPr="0054632D" w:rsidRDefault="00A81C80" w:rsidP="00A81C80">
      <w:pPr>
        <w:jc w:val="center"/>
        <w:rPr>
          <w:rFonts w:ascii="Times New Roman" w:eastAsia="Times New Roman" w:hAnsi="Times New Roman"/>
          <w:bCs/>
          <w:sz w:val="24"/>
          <w:szCs w:val="24"/>
        </w:rPr>
      </w:pPr>
    </w:p>
    <w:p w:rsidR="00A81C80" w:rsidRPr="0054632D" w:rsidRDefault="00A81C80" w:rsidP="00A81C80">
      <w:pPr>
        <w:tabs>
          <w:tab w:val="left" w:pos="1298"/>
        </w:tabs>
        <w:jc w:val="both"/>
        <w:rPr>
          <w:rFonts w:ascii="Times New Roman" w:eastAsia="Times New Roman" w:hAnsi="Times New Roman"/>
          <w:color w:val="FF0000"/>
          <w:sz w:val="24"/>
          <w:szCs w:val="24"/>
        </w:rPr>
      </w:pPr>
      <w:r w:rsidRPr="0054632D">
        <w:rPr>
          <w:rFonts w:ascii="Times New Roman" w:hAnsi="Times New Roman"/>
          <w:sz w:val="24"/>
          <w:szCs w:val="24"/>
        </w:rPr>
        <w:tab/>
        <w:t>Alytaus miesto savivaldybės, kaip institucijos, misija – plėtoti ir skatinti vietos savivaldą kaip demokratinės valstybės raidos pagrindą, kurti ir vykdyti efektyvią Alytaus miesto savivaldybės ūkinę-finansinę veiklą, užtikrinti miesto bendruomenės poreikių tenkinimą ir subalansuotą plėtrą.</w:t>
      </w:r>
    </w:p>
    <w:p w:rsidR="00A81C80" w:rsidRPr="0054632D" w:rsidRDefault="00A81C80" w:rsidP="00A81C80">
      <w:pPr>
        <w:tabs>
          <w:tab w:val="left" w:pos="1298"/>
        </w:tabs>
        <w:jc w:val="both"/>
        <w:rPr>
          <w:rFonts w:ascii="Times New Roman" w:hAnsi="Times New Roman"/>
          <w:sz w:val="24"/>
          <w:szCs w:val="24"/>
        </w:rPr>
      </w:pPr>
      <w:r w:rsidRPr="0054632D">
        <w:rPr>
          <w:rFonts w:ascii="Times New Roman" w:eastAsia="Times New Roman" w:hAnsi="Times New Roman"/>
          <w:color w:val="FF0000"/>
          <w:sz w:val="24"/>
          <w:szCs w:val="24"/>
        </w:rPr>
        <w:tab/>
      </w:r>
      <w:r w:rsidRPr="0054632D">
        <w:rPr>
          <w:rFonts w:ascii="Times New Roman" w:hAnsi="Times New Roman"/>
          <w:sz w:val="24"/>
          <w:szCs w:val="24"/>
        </w:rPr>
        <w:t>Alytaus miesto savivaldybės</w:t>
      </w:r>
      <w:r w:rsidRPr="0054632D">
        <w:rPr>
          <w:rFonts w:ascii="Times New Roman" w:hAnsi="Times New Roman"/>
          <w:sz w:val="24"/>
          <w:szCs w:val="24"/>
          <w:lang w:eastAsia="ar-SA"/>
        </w:rPr>
        <w:t xml:space="preserve"> </w:t>
      </w:r>
      <w:r w:rsidRPr="0054632D">
        <w:rPr>
          <w:rFonts w:ascii="Times New Roman" w:hAnsi="Times New Roman"/>
          <w:sz w:val="24"/>
          <w:szCs w:val="24"/>
        </w:rPr>
        <w:t>2017–2019 m.</w:t>
      </w:r>
      <w:r w:rsidRPr="0054632D">
        <w:rPr>
          <w:rFonts w:ascii="Times New Roman" w:hAnsi="Times New Roman"/>
          <w:sz w:val="24"/>
          <w:szCs w:val="24"/>
          <w:lang w:eastAsia="ar-SA"/>
        </w:rPr>
        <w:t xml:space="preserve"> strateginis veiklos planas skirtas įgyvendinti </w:t>
      </w:r>
      <w:r w:rsidRPr="0054632D">
        <w:rPr>
          <w:rFonts w:ascii="Times New Roman" w:hAnsi="Times New Roman"/>
          <w:bCs/>
          <w:sz w:val="24"/>
          <w:szCs w:val="24"/>
        </w:rPr>
        <w:t xml:space="preserve">Alytaus miesto plėtros iki 2020 metų strateginį planą, </w:t>
      </w:r>
      <w:r w:rsidRPr="0054632D">
        <w:rPr>
          <w:rFonts w:ascii="Times New Roman" w:hAnsi="Times New Roman"/>
          <w:sz w:val="24"/>
          <w:szCs w:val="24"/>
          <w:lang w:eastAsia="ar-SA"/>
        </w:rPr>
        <w:t xml:space="preserve">patvirtintą </w:t>
      </w:r>
      <w:r w:rsidRPr="0054632D">
        <w:rPr>
          <w:rFonts w:ascii="Times New Roman" w:hAnsi="Times New Roman"/>
          <w:sz w:val="24"/>
          <w:szCs w:val="24"/>
        </w:rPr>
        <w:t xml:space="preserve">Alytaus miesto savivaldybės tarybos 2014-02-27 </w:t>
      </w:r>
      <w:r w:rsidRPr="0054632D">
        <w:rPr>
          <w:rFonts w:ascii="Times New Roman" w:hAnsi="Times New Roman"/>
          <w:sz w:val="24"/>
          <w:szCs w:val="24"/>
          <w:lang w:eastAsia="ar-SA"/>
        </w:rPr>
        <w:t xml:space="preserve">sprendimu Nr. </w:t>
      </w:r>
      <w:r w:rsidRPr="0054632D">
        <w:rPr>
          <w:rFonts w:ascii="Times New Roman" w:hAnsi="Times New Roman"/>
          <w:bCs/>
          <w:sz w:val="24"/>
          <w:szCs w:val="24"/>
        </w:rPr>
        <w:t>T-34</w:t>
      </w:r>
      <w:r w:rsidRPr="0054632D">
        <w:rPr>
          <w:rFonts w:ascii="Times New Roman" w:hAnsi="Times New Roman"/>
          <w:sz w:val="24"/>
          <w:szCs w:val="24"/>
          <w:lang w:eastAsia="ar-SA"/>
        </w:rPr>
        <w:t xml:space="preserve">. </w:t>
      </w:r>
      <w:r w:rsidRPr="0054632D">
        <w:rPr>
          <w:rFonts w:ascii="Times New Roman" w:hAnsi="Times New Roman"/>
          <w:sz w:val="24"/>
          <w:szCs w:val="24"/>
        </w:rPr>
        <w:t>Alytaus miesto savivaldybės</w:t>
      </w:r>
      <w:r w:rsidRPr="0054632D">
        <w:rPr>
          <w:rFonts w:ascii="Times New Roman" w:hAnsi="Times New Roman"/>
          <w:sz w:val="24"/>
          <w:szCs w:val="24"/>
          <w:lang w:eastAsia="ar-SA"/>
        </w:rPr>
        <w:t xml:space="preserve"> strateginio veiklos plano strateginiai tikslai atitinka </w:t>
      </w:r>
      <w:r w:rsidRPr="0054632D">
        <w:rPr>
          <w:rFonts w:ascii="Times New Roman" w:hAnsi="Times New Roman"/>
          <w:bCs/>
          <w:sz w:val="24"/>
          <w:szCs w:val="24"/>
        </w:rPr>
        <w:t xml:space="preserve">Alytaus miesto plėtros iki 2020 metų plano </w:t>
      </w:r>
      <w:r w:rsidRPr="0054632D">
        <w:rPr>
          <w:rFonts w:ascii="Times New Roman" w:hAnsi="Times New Roman"/>
          <w:sz w:val="24"/>
          <w:szCs w:val="24"/>
          <w:lang w:eastAsia="ar-SA"/>
        </w:rPr>
        <w:t xml:space="preserve">tikslus. </w:t>
      </w:r>
      <w:r w:rsidRPr="0054632D">
        <w:rPr>
          <w:rFonts w:ascii="Times New Roman" w:hAnsi="Times New Roman"/>
          <w:sz w:val="24"/>
          <w:szCs w:val="24"/>
        </w:rPr>
        <w:t>Strateginis veiklos planas parengtas siekiant efektyviai panaudoti turimus bei planuojamus gauti finansinius, materialiuosius ir darbo išteklius misijai vykdyti ir užsibrėžtiems tikslams pasiekti, atlikti veiklos stebėseną ir atsiskaitymą už rezultatus. Alytaus miesto savivaldybės 2017</w:t>
      </w:r>
      <w:r>
        <w:rPr>
          <w:rFonts w:ascii="Times New Roman" w:hAnsi="Times New Roman"/>
          <w:sz w:val="24"/>
          <w:szCs w:val="24"/>
        </w:rPr>
        <w:t>–</w:t>
      </w:r>
      <w:r w:rsidRPr="0054632D">
        <w:rPr>
          <w:rFonts w:ascii="Times New Roman" w:hAnsi="Times New Roman"/>
          <w:sz w:val="24"/>
          <w:szCs w:val="24"/>
        </w:rPr>
        <w:t xml:space="preserve">2019 m. strateginį veiklos planą sudaro dešimt programų. Kiekvienoje programoje iškelti trejų metų veiklos tikslai, </w:t>
      </w:r>
      <w:r>
        <w:rPr>
          <w:rFonts w:ascii="Times New Roman" w:hAnsi="Times New Roman"/>
          <w:sz w:val="24"/>
          <w:szCs w:val="24"/>
        </w:rPr>
        <w:t xml:space="preserve">jų siekimo </w:t>
      </w:r>
      <w:r w:rsidRPr="0054632D">
        <w:rPr>
          <w:rFonts w:ascii="Times New Roman" w:hAnsi="Times New Roman"/>
          <w:sz w:val="24"/>
          <w:szCs w:val="24"/>
        </w:rPr>
        <w:t xml:space="preserve">uždaviniai, suformuluotos priemonės ir konkretizuoti jų pasiekimo rodikliai. </w:t>
      </w:r>
    </w:p>
    <w:p w:rsidR="00A81C80" w:rsidRPr="0054632D" w:rsidRDefault="00A81C80" w:rsidP="00A81C80">
      <w:pPr>
        <w:ind w:firstLine="1298"/>
        <w:jc w:val="both"/>
        <w:rPr>
          <w:rFonts w:ascii="Times New Roman" w:eastAsia="Times New Roman" w:hAnsi="Times New Roman"/>
          <w:color w:val="FF0000"/>
          <w:sz w:val="24"/>
          <w:szCs w:val="24"/>
        </w:rPr>
      </w:pPr>
    </w:p>
    <w:p w:rsidR="00A81C80" w:rsidRPr="0054632D" w:rsidRDefault="00A81C80" w:rsidP="00A81C80">
      <w:pPr>
        <w:jc w:val="center"/>
        <w:rPr>
          <w:rFonts w:ascii="Times New Roman" w:eastAsia="Times New Roman" w:hAnsi="Times New Roman"/>
          <w:b/>
          <w:sz w:val="24"/>
          <w:szCs w:val="24"/>
        </w:rPr>
      </w:pPr>
      <w:r w:rsidRPr="0054632D">
        <w:rPr>
          <w:rFonts w:ascii="Times New Roman" w:eastAsia="Times New Roman" w:hAnsi="Times New Roman"/>
          <w:b/>
          <w:sz w:val="24"/>
          <w:szCs w:val="24"/>
        </w:rPr>
        <w:t xml:space="preserve">ALYTAUS MIESTO VYSTYMOSI </w:t>
      </w:r>
      <w:r>
        <w:rPr>
          <w:rFonts w:ascii="Times New Roman" w:eastAsia="Times New Roman" w:hAnsi="Times New Roman"/>
          <w:b/>
          <w:sz w:val="24"/>
          <w:szCs w:val="24"/>
        </w:rPr>
        <w:t>POKYČIAI</w:t>
      </w:r>
    </w:p>
    <w:p w:rsidR="00A81C80" w:rsidRPr="0054632D" w:rsidRDefault="00A81C80" w:rsidP="00A81C80">
      <w:pPr>
        <w:ind w:firstLine="1298"/>
        <w:jc w:val="both"/>
        <w:rPr>
          <w:rFonts w:ascii="Times New Roman" w:eastAsia="Times New Roman" w:hAnsi="Times New Roman"/>
          <w:sz w:val="24"/>
          <w:szCs w:val="24"/>
        </w:rPr>
      </w:pPr>
    </w:p>
    <w:p w:rsidR="00A81C80" w:rsidRDefault="00A81C80" w:rsidP="00F579F2">
      <w:pPr>
        <w:ind w:firstLine="1298"/>
        <w:jc w:val="both"/>
        <w:rPr>
          <w:rFonts w:ascii="Times New Roman" w:eastAsia="Times New Roman" w:hAnsi="Times New Roman"/>
          <w:sz w:val="24"/>
          <w:szCs w:val="24"/>
        </w:rPr>
      </w:pPr>
      <w:r w:rsidRPr="0054632D">
        <w:rPr>
          <w:rFonts w:ascii="Times New Roman" w:eastAsia="Times New Roman" w:hAnsi="Times New Roman"/>
          <w:sz w:val="24"/>
          <w:szCs w:val="24"/>
        </w:rPr>
        <w:t>Viena didžiausių problemų, kurias patiria Lietuva ir Alytaus miestas, yra prastėjantys demografiniai rodikliai. Mažėja gyventojų skaičius – per pastaruosius keletą metų mieste gyventojų sumažėjo beveik 10 proc.:  2011 m</w:t>
      </w:r>
      <w:r>
        <w:rPr>
          <w:rFonts w:ascii="Times New Roman" w:eastAsia="Times New Roman" w:hAnsi="Times New Roman"/>
          <w:sz w:val="24"/>
          <w:szCs w:val="24"/>
        </w:rPr>
        <w:t>.</w:t>
      </w:r>
      <w:r w:rsidRPr="0054632D">
        <w:rPr>
          <w:rFonts w:ascii="Times New Roman" w:eastAsia="Times New Roman" w:hAnsi="Times New Roman"/>
          <w:sz w:val="24"/>
          <w:szCs w:val="24"/>
        </w:rPr>
        <w:t xml:space="preserve"> Alytaus mieste gyve</w:t>
      </w:r>
      <w:r w:rsidR="002961F9">
        <w:rPr>
          <w:rFonts w:ascii="Times New Roman" w:eastAsia="Times New Roman" w:hAnsi="Times New Roman"/>
          <w:sz w:val="24"/>
          <w:szCs w:val="24"/>
        </w:rPr>
        <w:t>no 60,3 tūkst. gyventojų, o 2017-01-01</w:t>
      </w:r>
      <w:r>
        <w:rPr>
          <w:rFonts w:ascii="Times New Roman" w:eastAsia="Times New Roman" w:hAnsi="Times New Roman"/>
          <w:sz w:val="24"/>
          <w:szCs w:val="24"/>
        </w:rPr>
        <w:t xml:space="preserve"> </w:t>
      </w:r>
      <w:r w:rsidR="002961F9">
        <w:rPr>
          <w:rFonts w:ascii="Times New Roman" w:eastAsia="Times New Roman" w:hAnsi="Times New Roman"/>
          <w:sz w:val="24"/>
          <w:szCs w:val="24"/>
        </w:rPr>
        <w:t>dienai išankstinais duomenimis – 52,9</w:t>
      </w:r>
      <w:r>
        <w:rPr>
          <w:rFonts w:ascii="Times New Roman" w:eastAsia="Times New Roman" w:hAnsi="Times New Roman"/>
          <w:sz w:val="24"/>
          <w:szCs w:val="24"/>
        </w:rPr>
        <w:t xml:space="preserve"> tūkst. (žr. 1 pav.).</w:t>
      </w:r>
    </w:p>
    <w:p w:rsidR="00F579F2" w:rsidRDefault="00F579F2" w:rsidP="00F579F2">
      <w:pPr>
        <w:ind w:firstLine="1298"/>
        <w:jc w:val="both"/>
        <w:rPr>
          <w:rFonts w:ascii="Times New Roman" w:eastAsia="Times New Roman" w:hAnsi="Times New Roman"/>
          <w:sz w:val="24"/>
          <w:szCs w:val="24"/>
        </w:rPr>
      </w:pPr>
    </w:p>
    <w:p w:rsidR="00F579F2" w:rsidRPr="0054632D" w:rsidRDefault="002961F9" w:rsidP="00F579F2">
      <w:pPr>
        <w:ind w:firstLine="284"/>
        <w:jc w:val="both"/>
        <w:rPr>
          <w:rFonts w:ascii="Times New Roman" w:eastAsia="Times New Roman" w:hAnsi="Times New Roman"/>
          <w:sz w:val="24"/>
          <w:szCs w:val="24"/>
        </w:rPr>
      </w:pPr>
      <w:r>
        <w:rPr>
          <w:noProof/>
          <w:lang w:eastAsia="lt-LT"/>
        </w:rPr>
        <w:drawing>
          <wp:inline distT="0" distB="0" distL="0" distR="0" wp14:anchorId="64230552" wp14:editId="687C9E8C">
            <wp:extent cx="5867400" cy="1987550"/>
            <wp:effectExtent l="0" t="0" r="19050" b="1270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1C80" w:rsidRPr="0054632D" w:rsidRDefault="00A81C80" w:rsidP="00A81C80">
      <w:pPr>
        <w:spacing w:before="100" w:beforeAutospacing="1" w:after="100" w:afterAutospacing="1"/>
        <w:ind w:firstLine="1298"/>
        <w:jc w:val="center"/>
        <w:rPr>
          <w:rFonts w:ascii="Times New Roman" w:eastAsia="Times New Roman" w:hAnsi="Times New Roman"/>
          <w:color w:val="FF0000"/>
          <w:sz w:val="24"/>
          <w:szCs w:val="24"/>
        </w:rPr>
      </w:pPr>
      <w:r w:rsidRPr="0054632D">
        <w:rPr>
          <w:rFonts w:ascii="Times New Roman" w:eastAsia="Times New Roman" w:hAnsi="Times New Roman"/>
          <w:sz w:val="24"/>
          <w:szCs w:val="24"/>
        </w:rPr>
        <w:t xml:space="preserve">1 pav. </w:t>
      </w:r>
      <w:r w:rsidRPr="0054632D">
        <w:rPr>
          <w:rFonts w:ascii="Times New Roman" w:eastAsia="Times New Roman" w:hAnsi="Times New Roman"/>
          <w:sz w:val="24"/>
          <w:szCs w:val="24"/>
          <w:lang w:eastAsia="lt-LT"/>
        </w:rPr>
        <w:t>Alytaus m. gyventojų s</w:t>
      </w:r>
      <w:r w:rsidR="009746AC">
        <w:rPr>
          <w:rFonts w:ascii="Times New Roman" w:eastAsia="Times New Roman" w:hAnsi="Times New Roman"/>
          <w:sz w:val="24"/>
          <w:szCs w:val="24"/>
          <w:lang w:eastAsia="lt-LT"/>
        </w:rPr>
        <w:t>kaičius metų pradžioje 2011–2017- 01-01</w:t>
      </w:r>
      <w:r w:rsidRPr="0054632D">
        <w:rPr>
          <w:rFonts w:ascii="Times New Roman" w:eastAsia="Times New Roman" w:hAnsi="Times New Roman"/>
          <w:sz w:val="24"/>
          <w:szCs w:val="24"/>
          <w:lang w:eastAsia="lt-LT"/>
        </w:rPr>
        <w:t xml:space="preserve"> m.</w:t>
      </w:r>
      <w:r w:rsidR="009746AC">
        <w:rPr>
          <w:rFonts w:ascii="Times New Roman" w:eastAsia="Times New Roman" w:hAnsi="Times New Roman"/>
          <w:sz w:val="24"/>
          <w:szCs w:val="24"/>
          <w:lang w:eastAsia="lt-LT"/>
        </w:rPr>
        <w:t>*</w:t>
      </w:r>
      <w:r w:rsidRPr="0054632D">
        <w:rPr>
          <w:rFonts w:ascii="Times New Roman" w:eastAsia="Times New Roman" w:hAnsi="Times New Roman"/>
          <w:sz w:val="24"/>
          <w:szCs w:val="24"/>
          <w:lang w:eastAsia="lt-LT"/>
        </w:rPr>
        <w:t xml:space="preserve"> Šaltinis – Lietuvos statistikos departamentas</w:t>
      </w:r>
      <w:r w:rsidR="009746AC">
        <w:rPr>
          <w:rFonts w:ascii="Times New Roman" w:eastAsia="Times New Roman" w:hAnsi="Times New Roman"/>
          <w:sz w:val="24"/>
          <w:szCs w:val="24"/>
          <w:lang w:eastAsia="lt-LT"/>
        </w:rPr>
        <w:t xml:space="preserve"> (*– išankstiniai duomenys)</w:t>
      </w:r>
    </w:p>
    <w:p w:rsidR="00A81C80" w:rsidRPr="0054632D" w:rsidRDefault="00A81C80" w:rsidP="00A81C80">
      <w:pPr>
        <w:ind w:firstLine="1298"/>
        <w:jc w:val="both"/>
        <w:rPr>
          <w:rFonts w:ascii="Times New Roman" w:hAnsi="Times New Roman"/>
          <w:sz w:val="24"/>
          <w:szCs w:val="24"/>
          <w:lang w:eastAsia="lt-LT"/>
        </w:rPr>
      </w:pPr>
      <w:r w:rsidRPr="0054632D">
        <w:rPr>
          <w:rFonts w:ascii="Times New Roman" w:hAnsi="Times New Roman"/>
          <w:sz w:val="24"/>
          <w:szCs w:val="24"/>
          <w:lang w:eastAsia="lt-LT"/>
        </w:rPr>
        <w:t>Gyventojų mažėja dėl kelių priežasčių – neigiama natūrali gyventojų kaita, migracija į užsienio šalis</w:t>
      </w:r>
      <w:r w:rsidR="002F2D91">
        <w:rPr>
          <w:rFonts w:ascii="Times New Roman" w:hAnsi="Times New Roman"/>
          <w:sz w:val="24"/>
          <w:szCs w:val="24"/>
          <w:lang w:eastAsia="lt-LT"/>
        </w:rPr>
        <w:t xml:space="preserve"> ( neto tarptautinė migracija 2016 m. pradžioje buvo -754)</w:t>
      </w:r>
      <w:r w:rsidRPr="0054632D">
        <w:rPr>
          <w:rFonts w:ascii="Times New Roman" w:hAnsi="Times New Roman"/>
          <w:sz w:val="24"/>
          <w:szCs w:val="24"/>
          <w:lang w:eastAsia="lt-LT"/>
        </w:rPr>
        <w:t>, vidinė migracija į kitas savivaldybes</w:t>
      </w:r>
      <w:r w:rsidR="002F2D91">
        <w:rPr>
          <w:rFonts w:ascii="Times New Roman" w:hAnsi="Times New Roman"/>
          <w:sz w:val="24"/>
          <w:szCs w:val="24"/>
          <w:lang w:eastAsia="lt-LT"/>
        </w:rPr>
        <w:t xml:space="preserve"> (neto</w:t>
      </w:r>
      <w:r w:rsidR="007C288E">
        <w:rPr>
          <w:rFonts w:ascii="Times New Roman" w:hAnsi="Times New Roman"/>
          <w:sz w:val="24"/>
          <w:szCs w:val="24"/>
          <w:lang w:eastAsia="lt-LT"/>
        </w:rPr>
        <w:t xml:space="preserve"> bendra</w:t>
      </w:r>
      <w:r w:rsidR="002F2D91">
        <w:rPr>
          <w:rFonts w:ascii="Times New Roman" w:hAnsi="Times New Roman"/>
          <w:sz w:val="24"/>
          <w:szCs w:val="24"/>
          <w:lang w:eastAsia="lt-LT"/>
        </w:rPr>
        <w:t xml:space="preserve"> migracija 2016 m. pradžioje buvo -1027)</w:t>
      </w:r>
      <w:r w:rsidRPr="0054632D">
        <w:rPr>
          <w:rFonts w:ascii="Times New Roman" w:hAnsi="Times New Roman"/>
          <w:sz w:val="24"/>
          <w:szCs w:val="24"/>
          <w:lang w:eastAsia="lt-LT"/>
        </w:rPr>
        <w:t xml:space="preserve">. Pastaroji priežastis turi didelės įtakos gyventojų skaičiaus mažėjimui Alytaus mieste, nes gyventojai, turintys didesnes pajamas, dažnai yra linkę persikelti į didesnius miestus arba užmiestį. Gyventojų netenkina gyvenimo kokybė miesto daugiabučių namų kvartaluose, kur dauguma namų yra energetiškai neefektyvūs, neestetiškos išvaizdos, viešųjų erdvių ir kiemų infrastruktūra susidėvėjusi ir nepatraukli, </w:t>
      </w:r>
      <w:r w:rsidRPr="0054632D">
        <w:rPr>
          <w:rFonts w:ascii="Times New Roman" w:hAnsi="Times New Roman"/>
          <w:sz w:val="24"/>
          <w:szCs w:val="24"/>
          <w:lang w:eastAsia="lt-LT"/>
        </w:rPr>
        <w:lastRenderedPageBreak/>
        <w:t>nesutvarkyti želdiniai, trūksta vietų automobiliams statyti.  Dėl to žmonės siekia susikurti naują gyvenimo kokybę individualių namų kvartaluose užmiestyje.</w:t>
      </w:r>
      <w:r w:rsidR="006D41C5">
        <w:rPr>
          <w:rFonts w:ascii="Times New Roman" w:hAnsi="Times New Roman"/>
          <w:sz w:val="24"/>
          <w:szCs w:val="24"/>
          <w:lang w:eastAsia="lt-LT"/>
        </w:rPr>
        <w:t xml:space="preserve"> 2016 m. mieste gyveno 63,1 proc. darbingo amžiaus žmonių, 22,7 proc. pensijinio amžiaus ir 14,2 proc. gyventojų iki 15 metų.</w:t>
      </w:r>
    </w:p>
    <w:p w:rsidR="00A81C80" w:rsidRPr="0054632D" w:rsidRDefault="00A81C80" w:rsidP="00A81C80">
      <w:pPr>
        <w:ind w:firstLine="1298"/>
        <w:jc w:val="both"/>
        <w:rPr>
          <w:rFonts w:ascii="Times New Roman" w:hAnsi="Times New Roman"/>
          <w:sz w:val="24"/>
          <w:szCs w:val="24"/>
          <w:lang w:eastAsia="lt-LT"/>
        </w:rPr>
      </w:pPr>
      <w:r w:rsidRPr="0054632D">
        <w:rPr>
          <w:rFonts w:ascii="Times New Roman" w:hAnsi="Times New Roman"/>
          <w:sz w:val="24"/>
          <w:szCs w:val="24"/>
          <w:lang w:eastAsia="lt-LT"/>
        </w:rPr>
        <w:t xml:space="preserve">Kita problema – senėjanti visuomenė. Keičiasi visuomenės struktūra – mažėja darbingo amžiaus, vaikų procentas, daugėja pensinio amžiaus žmonių. Demografinės senatvės koeficientas rodo, kiek </w:t>
      </w:r>
      <w:r w:rsidRPr="0054632D">
        <w:rPr>
          <w:rFonts w:ascii="Times New Roman" w:hAnsi="Times New Roman"/>
          <w:sz w:val="24"/>
          <w:szCs w:val="24"/>
          <w:shd w:val="clear" w:color="auto" w:fill="FFFFFF"/>
          <w:lang w:eastAsia="lt-LT"/>
        </w:rPr>
        <w:t>pagyvenusių (65 metų ir vyresnio amžiaus) žmonių tenka šimtui vaikų iki 15 metų amžiaus</w:t>
      </w:r>
      <w:r>
        <w:rPr>
          <w:rFonts w:ascii="Times New Roman" w:hAnsi="Times New Roman"/>
          <w:sz w:val="24"/>
          <w:szCs w:val="24"/>
          <w:shd w:val="clear" w:color="auto" w:fill="FFFFFF"/>
          <w:lang w:eastAsia="lt-LT"/>
        </w:rPr>
        <w:t xml:space="preserve"> –</w:t>
      </w:r>
      <w:r w:rsidRPr="0054632D">
        <w:rPr>
          <w:rFonts w:ascii="Times New Roman" w:hAnsi="Times New Roman"/>
          <w:sz w:val="24"/>
          <w:szCs w:val="24"/>
          <w:shd w:val="clear" w:color="auto" w:fill="FFFFFF"/>
          <w:lang w:eastAsia="lt-LT"/>
        </w:rPr>
        <w:t xml:space="preserve"> Alytaus mieste nuo 2011 m. </w:t>
      </w:r>
      <w:r>
        <w:rPr>
          <w:rFonts w:ascii="Times New Roman" w:hAnsi="Times New Roman"/>
          <w:sz w:val="24"/>
          <w:szCs w:val="24"/>
          <w:shd w:val="clear" w:color="auto" w:fill="FFFFFF"/>
          <w:lang w:eastAsia="lt-LT"/>
        </w:rPr>
        <w:t xml:space="preserve">jis </w:t>
      </w:r>
      <w:r w:rsidRPr="0054632D">
        <w:rPr>
          <w:rFonts w:ascii="Times New Roman" w:hAnsi="Times New Roman"/>
          <w:sz w:val="24"/>
          <w:szCs w:val="24"/>
          <w:shd w:val="clear" w:color="auto" w:fill="FFFFFF"/>
          <w:lang w:eastAsia="lt-LT"/>
        </w:rPr>
        <w:t>išaugo beveik 40 proc. (žr. 2 pav.).</w:t>
      </w:r>
      <w:r w:rsidRPr="0054632D">
        <w:rPr>
          <w:rFonts w:ascii="Times New Roman" w:hAnsi="Times New Roman"/>
          <w:sz w:val="24"/>
          <w:szCs w:val="24"/>
          <w:lang w:eastAsia="lt-LT"/>
        </w:rPr>
        <w:t xml:space="preserve"> Ši tendencija būdinga daugumai Europos šalių, ne išimtis yra Lietuva ir Alytaus miestas. Jauni žmonės išvyksta studijuoti ar dirbti į šalies sostinę, užsienio valstybes, nebegrįžta į gimtąjį miestą. Šalys ir miestai, kuriuose trūksta jaunimo, darbingo amžiaus žmonių, nėra patrauklūs investuotojams. Taip pat augant demografinės senatvės koeficiento reikšmei, svarbu miesto infrastruktūrą bei viešąsias paslaugas pritaikyti besikeičiančiai visuomenės struktūrai.</w:t>
      </w:r>
    </w:p>
    <w:p w:rsidR="000F108F" w:rsidRDefault="00A81C80" w:rsidP="000F108F">
      <w:pPr>
        <w:spacing w:before="100" w:beforeAutospacing="1" w:after="100" w:afterAutospacing="1"/>
        <w:ind w:firstLine="709"/>
        <w:jc w:val="both"/>
        <w:rPr>
          <w:rFonts w:ascii="Times New Roman" w:eastAsia="Times New Roman" w:hAnsi="Times New Roman"/>
          <w:sz w:val="24"/>
          <w:szCs w:val="24"/>
          <w:lang w:eastAsia="lt-LT"/>
        </w:rPr>
      </w:pPr>
      <w:r w:rsidRPr="0054632D">
        <w:rPr>
          <w:rFonts w:ascii="Times New Roman" w:eastAsia="Times New Roman" w:hAnsi="Times New Roman"/>
          <w:sz w:val="24"/>
          <w:szCs w:val="24"/>
          <w:lang w:eastAsia="lt-LT"/>
        </w:rPr>
        <w:tab/>
      </w:r>
      <w:r w:rsidR="008C3651">
        <w:rPr>
          <w:noProof/>
          <w:lang w:eastAsia="lt-LT"/>
        </w:rPr>
        <w:drawing>
          <wp:inline distT="0" distB="0" distL="0" distR="0" wp14:anchorId="7430EADB" wp14:editId="364662D8">
            <wp:extent cx="4883150" cy="1866900"/>
            <wp:effectExtent l="0" t="0" r="12700"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108F" w:rsidRDefault="00A81C80" w:rsidP="000F108F">
      <w:pPr>
        <w:spacing w:before="100" w:beforeAutospacing="1" w:after="100" w:afterAutospacing="1"/>
        <w:ind w:firstLine="709"/>
        <w:jc w:val="both"/>
        <w:rPr>
          <w:rFonts w:ascii="Times New Roman" w:eastAsia="Times New Roman" w:hAnsi="Times New Roman"/>
          <w:sz w:val="24"/>
          <w:szCs w:val="24"/>
          <w:lang w:eastAsia="lt-LT"/>
        </w:rPr>
      </w:pPr>
      <w:r w:rsidRPr="00BF2F11">
        <w:rPr>
          <w:rFonts w:ascii="Times New Roman" w:hAnsi="Times New Roman"/>
          <w:sz w:val="24"/>
          <w:szCs w:val="24"/>
          <w:shd w:val="clear" w:color="auto" w:fill="FFFFFF"/>
          <w:lang w:eastAsia="lt-LT"/>
        </w:rPr>
        <w:t>2 pav. Alytaus miesto demografinės senatvės koeficientas (pagyvenusių (65 metų ir vyresnio amžiaus) žmonių skaičius, tenkantis šimtui vaikų iki 15 metų amžiaus) 2011–2015 m.</w:t>
      </w:r>
      <w:r w:rsidRPr="00BF2F11">
        <w:rPr>
          <w:rFonts w:ascii="Times New Roman" w:hAnsi="Times New Roman"/>
          <w:sz w:val="24"/>
          <w:szCs w:val="24"/>
          <w:lang w:eastAsia="lt-LT"/>
        </w:rPr>
        <w:t xml:space="preserve"> Šaltinis – Lietuvos statistikos departamentas</w:t>
      </w:r>
    </w:p>
    <w:p w:rsidR="00A81C80" w:rsidRPr="001937CE" w:rsidRDefault="00A81C80" w:rsidP="000F108F">
      <w:pPr>
        <w:spacing w:before="100" w:beforeAutospacing="1" w:after="100" w:afterAutospacing="1"/>
        <w:ind w:firstLine="709"/>
        <w:jc w:val="both"/>
        <w:rPr>
          <w:rFonts w:ascii="Times New Roman" w:eastAsia="Times New Roman" w:hAnsi="Times New Roman"/>
          <w:sz w:val="24"/>
          <w:szCs w:val="24"/>
          <w:lang w:eastAsia="lt-LT"/>
        </w:rPr>
      </w:pPr>
      <w:r w:rsidRPr="00BF2F11">
        <w:rPr>
          <w:rFonts w:ascii="Times New Roman" w:hAnsi="Times New Roman"/>
          <w:sz w:val="24"/>
          <w:szCs w:val="24"/>
        </w:rPr>
        <w:t xml:space="preserve">Dėl mažėjančio gyventojų skaičiaus mažėja ir mokinių skaičius. Iš 3 pav. matosi, </w:t>
      </w:r>
      <w:r w:rsidRPr="00BF2F11">
        <w:rPr>
          <w:rFonts w:ascii="Times New Roman" w:hAnsi="Times New Roman"/>
          <w:bCs/>
          <w:sz w:val="24"/>
          <w:szCs w:val="24"/>
          <w:lang w:eastAsia="lt-LT"/>
        </w:rPr>
        <w:t>kad nuo 2012 m</w:t>
      </w:r>
      <w:r>
        <w:rPr>
          <w:rFonts w:ascii="Times New Roman" w:hAnsi="Times New Roman"/>
          <w:bCs/>
          <w:sz w:val="24"/>
          <w:szCs w:val="24"/>
          <w:lang w:eastAsia="lt-LT"/>
        </w:rPr>
        <w:t>.</w:t>
      </w:r>
      <w:r w:rsidRPr="00BF2F11">
        <w:rPr>
          <w:rFonts w:ascii="Times New Roman" w:hAnsi="Times New Roman"/>
          <w:bCs/>
          <w:sz w:val="24"/>
          <w:szCs w:val="24"/>
          <w:lang w:eastAsia="lt-LT"/>
        </w:rPr>
        <w:t xml:space="preserve"> mokinių skaičius mieste sumažėjo 1162 mokiniais</w:t>
      </w:r>
      <w:r>
        <w:rPr>
          <w:rFonts w:ascii="Times New Roman" w:hAnsi="Times New Roman"/>
          <w:bCs/>
          <w:sz w:val="24"/>
          <w:szCs w:val="24"/>
          <w:lang w:eastAsia="lt-LT"/>
        </w:rPr>
        <w:t>,</w:t>
      </w:r>
      <w:r w:rsidRPr="00BF2F11">
        <w:rPr>
          <w:rFonts w:ascii="Times New Roman" w:hAnsi="Times New Roman"/>
          <w:bCs/>
          <w:sz w:val="24"/>
          <w:szCs w:val="24"/>
          <w:lang w:eastAsia="lt-LT"/>
        </w:rPr>
        <w:t xml:space="preserve"> t.</w:t>
      </w:r>
      <w:r>
        <w:rPr>
          <w:rFonts w:ascii="Times New Roman" w:hAnsi="Times New Roman"/>
          <w:bCs/>
          <w:sz w:val="24"/>
          <w:szCs w:val="24"/>
          <w:lang w:eastAsia="lt-LT"/>
        </w:rPr>
        <w:t xml:space="preserve"> </w:t>
      </w:r>
      <w:r w:rsidRPr="00BF2F11">
        <w:rPr>
          <w:rFonts w:ascii="Times New Roman" w:hAnsi="Times New Roman"/>
          <w:bCs/>
          <w:sz w:val="24"/>
          <w:szCs w:val="24"/>
          <w:lang w:eastAsia="lt-LT"/>
        </w:rPr>
        <w:t>y. 13,9 proc.</w:t>
      </w:r>
      <w:r w:rsidR="002961F9">
        <w:rPr>
          <w:rFonts w:ascii="Times New Roman" w:hAnsi="Times New Roman"/>
          <w:bCs/>
          <w:sz w:val="24"/>
          <w:szCs w:val="24"/>
          <w:lang w:eastAsia="lt-LT"/>
        </w:rPr>
        <w:t xml:space="preserve"> </w:t>
      </w:r>
      <w:r w:rsidR="002961F9" w:rsidRPr="001937CE">
        <w:rPr>
          <w:rFonts w:ascii="Times New Roman" w:hAnsi="Times New Roman"/>
          <w:bCs/>
          <w:sz w:val="24"/>
          <w:szCs w:val="24"/>
          <w:lang w:eastAsia="lt-LT"/>
        </w:rPr>
        <w:t>Iš kitų savivaldybių mokyklose mokosi 1130 mokinių</w:t>
      </w:r>
      <w:r w:rsidR="00593422" w:rsidRPr="001937CE">
        <w:rPr>
          <w:rFonts w:ascii="Times New Roman" w:hAnsi="Times New Roman"/>
          <w:bCs/>
          <w:sz w:val="24"/>
          <w:szCs w:val="24"/>
          <w:lang w:eastAsia="lt-LT"/>
        </w:rPr>
        <w:t>, ikimokyklinėse įstaigose – 552 vaikai, neformaliojo švietimo įstaigose (Alytaus Jaunimo centras, muzikos mokykla, dailės mokykla) – 307 v</w:t>
      </w:r>
      <w:r w:rsidR="000F108F" w:rsidRPr="001937CE">
        <w:rPr>
          <w:rFonts w:ascii="Times New Roman" w:hAnsi="Times New Roman"/>
          <w:bCs/>
          <w:sz w:val="24"/>
          <w:szCs w:val="24"/>
          <w:lang w:eastAsia="lt-LT"/>
        </w:rPr>
        <w:t>aikai.</w:t>
      </w:r>
    </w:p>
    <w:p w:rsidR="00F579F2" w:rsidRDefault="00F579F2" w:rsidP="00A81C80">
      <w:pPr>
        <w:rPr>
          <w:rFonts w:ascii="Times New Roman" w:hAnsi="Times New Roman"/>
          <w:bCs/>
          <w:sz w:val="24"/>
          <w:szCs w:val="24"/>
          <w:lang w:eastAsia="lt-LT"/>
        </w:rPr>
      </w:pPr>
    </w:p>
    <w:p w:rsidR="00A81C80" w:rsidRDefault="00A81C80" w:rsidP="00A81C80">
      <w:pPr>
        <w:rPr>
          <w:rFonts w:ascii="Times New Roman" w:hAnsi="Times New Roman"/>
          <w:bCs/>
          <w:sz w:val="24"/>
          <w:szCs w:val="24"/>
          <w:lang w:eastAsia="lt-LT"/>
        </w:rPr>
      </w:pPr>
      <w:r>
        <w:rPr>
          <w:noProof/>
          <w:lang w:eastAsia="lt-LT"/>
        </w:rPr>
        <w:tab/>
      </w:r>
      <w:r w:rsidR="002961F9">
        <w:rPr>
          <w:noProof/>
          <w:lang w:eastAsia="lt-LT"/>
        </w:rPr>
        <w:drawing>
          <wp:inline distT="0" distB="0" distL="0" distR="0" wp14:anchorId="192F791A" wp14:editId="047E7914">
            <wp:extent cx="4933950" cy="2095500"/>
            <wp:effectExtent l="0" t="0" r="19050" b="1905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1C80" w:rsidRPr="00BF2F11" w:rsidRDefault="00A81C80" w:rsidP="00A81C80">
      <w:pPr>
        <w:autoSpaceDE w:val="0"/>
        <w:autoSpaceDN w:val="0"/>
        <w:adjustRightInd w:val="0"/>
        <w:jc w:val="center"/>
        <w:rPr>
          <w:rFonts w:ascii="Times New Roman" w:hAnsi="Times New Roman"/>
          <w:color w:val="000000"/>
          <w:sz w:val="24"/>
          <w:szCs w:val="24"/>
          <w:lang w:eastAsia="lt-LT"/>
        </w:rPr>
      </w:pPr>
      <w:r>
        <w:rPr>
          <w:rFonts w:ascii="Times New Roman" w:hAnsi="Times New Roman"/>
          <w:bCs/>
          <w:sz w:val="24"/>
          <w:szCs w:val="24"/>
          <w:lang w:eastAsia="lt-LT"/>
        </w:rPr>
        <w:tab/>
        <w:t xml:space="preserve">3 pav. Mokinių skaičius Alytaus mieste. </w:t>
      </w:r>
      <w:r w:rsidRPr="00BF2F11">
        <w:rPr>
          <w:rFonts w:ascii="Times New Roman" w:hAnsi="Times New Roman"/>
          <w:color w:val="000000"/>
          <w:sz w:val="24"/>
          <w:szCs w:val="24"/>
          <w:lang w:eastAsia="lt-LT"/>
        </w:rPr>
        <w:t>Šaltinis – savivaldybės administracijos Švietimo skyrius</w:t>
      </w:r>
    </w:p>
    <w:p w:rsidR="00A81C80" w:rsidRDefault="00A81C80" w:rsidP="00A81C80">
      <w:pPr>
        <w:pStyle w:val="Default"/>
        <w:rPr>
          <w:i/>
          <w:iCs/>
          <w:color w:val="FF0000"/>
          <w:sz w:val="23"/>
          <w:szCs w:val="23"/>
        </w:rPr>
      </w:pPr>
    </w:p>
    <w:p w:rsidR="00A81C80" w:rsidRPr="001937CE" w:rsidRDefault="00A81C80" w:rsidP="00A81C80">
      <w:pPr>
        <w:pStyle w:val="Default"/>
        <w:jc w:val="both"/>
        <w:rPr>
          <w:rFonts w:eastAsia="Times New Roman"/>
          <w:color w:val="auto"/>
        </w:rPr>
      </w:pPr>
      <w:r>
        <w:rPr>
          <w:rFonts w:eastAsia="Times New Roman"/>
        </w:rPr>
        <w:tab/>
      </w:r>
      <w:r w:rsidRPr="00C007DC">
        <w:rPr>
          <w:rFonts w:eastAsia="Times New Roman"/>
        </w:rPr>
        <w:t xml:space="preserve">Tiesioginių užsienio investicijų (TUI) dydis, tenkantis vienam </w:t>
      </w:r>
      <w:r>
        <w:rPr>
          <w:rFonts w:eastAsia="Times New Roman"/>
        </w:rPr>
        <w:t>gyventojui</w:t>
      </w:r>
      <w:r w:rsidRPr="00C007DC">
        <w:rPr>
          <w:rFonts w:eastAsia="Times New Roman"/>
        </w:rPr>
        <w:t xml:space="preserve">, per pastaruosius penkerius metus išliko panašus, vienam </w:t>
      </w:r>
      <w:r>
        <w:rPr>
          <w:rFonts w:eastAsia="Times New Roman"/>
        </w:rPr>
        <w:t>Alytaus</w:t>
      </w:r>
      <w:r w:rsidRPr="00C007DC">
        <w:rPr>
          <w:rFonts w:eastAsia="Times New Roman"/>
        </w:rPr>
        <w:t xml:space="preserve"> miesto gyventojui teko </w:t>
      </w:r>
      <w:r w:rsidR="006F57D3">
        <w:rPr>
          <w:rFonts w:eastAsia="Times New Roman"/>
        </w:rPr>
        <w:t>1</w:t>
      </w:r>
      <w:r>
        <w:rPr>
          <w:rFonts w:eastAsia="Times New Roman"/>
        </w:rPr>
        <w:t>133</w:t>
      </w:r>
      <w:r w:rsidRPr="00C007DC">
        <w:rPr>
          <w:rFonts w:eastAsia="Times New Roman"/>
        </w:rPr>
        <w:t xml:space="preserve"> Eur TUI</w:t>
      </w:r>
      <w:r>
        <w:rPr>
          <w:rFonts w:eastAsia="Times New Roman"/>
        </w:rPr>
        <w:t xml:space="preserve"> </w:t>
      </w:r>
      <w:r>
        <w:rPr>
          <w:rFonts w:eastAsia="Times New Roman"/>
        </w:rPr>
        <w:lastRenderedPageBreak/>
        <w:t>(4 pav.)</w:t>
      </w:r>
      <w:r w:rsidRPr="00C007DC">
        <w:rPr>
          <w:rFonts w:eastAsia="Times New Roman"/>
        </w:rPr>
        <w:t>.</w:t>
      </w:r>
      <w:r>
        <w:rPr>
          <w:rFonts w:eastAsia="Times New Roman"/>
        </w:rPr>
        <w:t xml:space="preserve"> </w:t>
      </w:r>
      <w:r w:rsidRPr="001937CE">
        <w:rPr>
          <w:rFonts w:eastAsia="Times New Roman"/>
          <w:color w:val="auto"/>
        </w:rPr>
        <w:t>Tai yra gana žemas rodi</w:t>
      </w:r>
      <w:r w:rsidR="006F57D3" w:rsidRPr="001937CE">
        <w:rPr>
          <w:rFonts w:eastAsia="Times New Roman"/>
          <w:color w:val="auto"/>
        </w:rPr>
        <w:t>klis (Lietuvos Respublikoje – 4</w:t>
      </w:r>
      <w:r w:rsidR="002961F9" w:rsidRPr="001937CE">
        <w:rPr>
          <w:rFonts w:eastAsia="Times New Roman"/>
          <w:color w:val="auto"/>
        </w:rPr>
        <w:t>673</w:t>
      </w:r>
      <w:r w:rsidRPr="001937CE">
        <w:rPr>
          <w:rFonts w:eastAsia="Times New Roman"/>
          <w:color w:val="auto"/>
        </w:rPr>
        <w:t xml:space="preserve"> Eur</w:t>
      </w:r>
      <w:r w:rsidR="006F57D3" w:rsidRPr="001937CE">
        <w:rPr>
          <w:rFonts w:eastAsia="Times New Roman"/>
          <w:color w:val="auto"/>
        </w:rPr>
        <w:t>, Panevėžyje – 2</w:t>
      </w:r>
      <w:r w:rsidR="002961F9" w:rsidRPr="001937CE">
        <w:rPr>
          <w:rFonts w:eastAsia="Times New Roman"/>
          <w:color w:val="auto"/>
        </w:rPr>
        <w:t>614</w:t>
      </w:r>
      <w:r w:rsidRPr="001937CE">
        <w:rPr>
          <w:rFonts w:eastAsia="Times New Roman"/>
          <w:color w:val="auto"/>
        </w:rPr>
        <w:t xml:space="preserve"> Eur</w:t>
      </w:r>
      <w:r w:rsidR="006F57D3" w:rsidRPr="001937CE">
        <w:rPr>
          <w:rFonts w:eastAsia="Times New Roman"/>
          <w:color w:val="auto"/>
        </w:rPr>
        <w:t xml:space="preserve">, Klaipėdoje – </w:t>
      </w:r>
      <w:r w:rsidR="002961F9" w:rsidRPr="001937CE">
        <w:rPr>
          <w:rFonts w:eastAsia="Times New Roman"/>
          <w:color w:val="auto"/>
        </w:rPr>
        <w:t>5578</w:t>
      </w:r>
      <w:r w:rsidRPr="001937CE">
        <w:rPr>
          <w:rFonts w:eastAsia="Times New Roman"/>
          <w:color w:val="auto"/>
        </w:rPr>
        <w:t xml:space="preserve"> Eur</w:t>
      </w:r>
      <w:r w:rsidR="006F57D3" w:rsidRPr="001937CE">
        <w:rPr>
          <w:rFonts w:eastAsia="Times New Roman"/>
          <w:color w:val="auto"/>
        </w:rPr>
        <w:t xml:space="preserve">, Druskininkuose – </w:t>
      </w:r>
      <w:r w:rsidR="002961F9" w:rsidRPr="001937CE">
        <w:rPr>
          <w:rFonts w:eastAsia="Times New Roman"/>
          <w:color w:val="auto"/>
        </w:rPr>
        <w:t>1725</w:t>
      </w:r>
      <w:r w:rsidRPr="001937CE">
        <w:rPr>
          <w:rFonts w:eastAsia="Times New Roman"/>
          <w:color w:val="auto"/>
        </w:rPr>
        <w:t xml:space="preserve"> Eur</w:t>
      </w:r>
      <w:r w:rsidR="002961F9" w:rsidRPr="001937CE">
        <w:rPr>
          <w:rFonts w:eastAsia="Times New Roman"/>
          <w:color w:val="auto"/>
        </w:rPr>
        <w:t>, Marijampolėje – 410 Eur, Utenoje – 4144 Eur,</w:t>
      </w:r>
      <w:r w:rsidR="00BE7F68" w:rsidRPr="001937CE">
        <w:rPr>
          <w:rFonts w:eastAsia="Times New Roman"/>
          <w:color w:val="auto"/>
        </w:rPr>
        <w:t xml:space="preserve"> </w:t>
      </w:r>
      <w:r w:rsidR="002961F9" w:rsidRPr="001937CE">
        <w:rPr>
          <w:rFonts w:eastAsia="Times New Roman"/>
          <w:color w:val="auto"/>
        </w:rPr>
        <w:t xml:space="preserve">Tauragėje – </w:t>
      </w:r>
      <w:r w:rsidR="00BE7F68" w:rsidRPr="001937CE">
        <w:rPr>
          <w:rFonts w:eastAsia="Times New Roman"/>
          <w:color w:val="auto"/>
        </w:rPr>
        <w:t>565 Eur.</w:t>
      </w:r>
      <w:r w:rsidR="002961F9" w:rsidRPr="001937CE">
        <w:rPr>
          <w:rFonts w:eastAsia="Times New Roman"/>
          <w:color w:val="auto"/>
        </w:rPr>
        <w:t xml:space="preserve">  </w:t>
      </w:r>
    </w:p>
    <w:p w:rsidR="00A81C80" w:rsidRDefault="00A81C80" w:rsidP="00A81C80">
      <w:pPr>
        <w:pStyle w:val="Default"/>
        <w:jc w:val="both"/>
        <w:rPr>
          <w:rFonts w:eastAsia="Times New Roman"/>
        </w:rPr>
      </w:pPr>
    </w:p>
    <w:p w:rsidR="00A81C80" w:rsidRDefault="00A81C80" w:rsidP="00A81C80">
      <w:pPr>
        <w:pStyle w:val="Default"/>
        <w:jc w:val="both"/>
        <w:rPr>
          <w:rFonts w:eastAsia="Times New Roman"/>
        </w:rPr>
      </w:pPr>
      <w:r>
        <w:tab/>
      </w:r>
      <w:r w:rsidR="00BE7F68">
        <w:rPr>
          <w:noProof/>
        </w:rPr>
        <w:drawing>
          <wp:inline distT="0" distB="0" distL="0" distR="0" wp14:anchorId="433B3B6C" wp14:editId="4E979057">
            <wp:extent cx="4895850" cy="2095500"/>
            <wp:effectExtent l="0" t="0" r="19050" b="1905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1C80" w:rsidRDefault="00A81C80" w:rsidP="00A81C80">
      <w:pPr>
        <w:pStyle w:val="Default"/>
        <w:jc w:val="both"/>
        <w:rPr>
          <w:rFonts w:eastAsia="Times New Roman"/>
        </w:rPr>
      </w:pPr>
      <w:r>
        <w:rPr>
          <w:rFonts w:eastAsia="Times New Roman"/>
        </w:rPr>
        <w:tab/>
        <w:t>4 pav. Tiesioginės užsienio investicij</w:t>
      </w:r>
      <w:r w:rsidR="00BE7F68">
        <w:rPr>
          <w:rFonts w:eastAsia="Times New Roman"/>
        </w:rPr>
        <w:t xml:space="preserve">os, tenkančios 1 gyventojui 2011–2015 m. </w:t>
      </w:r>
      <w:r>
        <w:rPr>
          <w:rFonts w:eastAsia="Times New Roman"/>
        </w:rPr>
        <w:t>Eur</w:t>
      </w:r>
    </w:p>
    <w:p w:rsidR="00A81C80" w:rsidRDefault="00A81C80" w:rsidP="00A81C80">
      <w:pPr>
        <w:pStyle w:val="Default"/>
        <w:jc w:val="both"/>
        <w:rPr>
          <w:rFonts w:eastAsia="Times New Roman"/>
        </w:rPr>
      </w:pPr>
    </w:p>
    <w:p w:rsidR="00653A48" w:rsidRPr="001937CE" w:rsidRDefault="00653A48" w:rsidP="00653A48">
      <w:pPr>
        <w:pStyle w:val="Default"/>
        <w:jc w:val="both"/>
        <w:rPr>
          <w:rFonts w:eastAsia="Times New Roman"/>
          <w:color w:val="auto"/>
        </w:rPr>
      </w:pPr>
      <w:r>
        <w:rPr>
          <w:rFonts w:eastAsia="Times New Roman"/>
        </w:rPr>
        <w:tab/>
        <w:t xml:space="preserve">Materialinės investicijos mieste taip pat mažėja (žr. 5 pav.). Tai gana žemas rodiklis </w:t>
      </w:r>
      <w:r w:rsidRPr="001937CE">
        <w:rPr>
          <w:rFonts w:eastAsia="Times New Roman"/>
          <w:color w:val="auto"/>
        </w:rPr>
        <w:t>(Lietuvos Respublikoje – 5869</w:t>
      </w:r>
      <w:r w:rsidR="00AF530A" w:rsidRPr="001937CE">
        <w:rPr>
          <w:rFonts w:eastAsia="Times New Roman"/>
          <w:color w:val="auto"/>
        </w:rPr>
        <w:t>,2</w:t>
      </w:r>
      <w:r w:rsidRPr="001937CE">
        <w:rPr>
          <w:rFonts w:eastAsia="Times New Roman"/>
          <w:color w:val="auto"/>
        </w:rPr>
        <w:t xml:space="preserve"> </w:t>
      </w:r>
      <w:r w:rsidR="00AF530A" w:rsidRPr="001937CE">
        <w:rPr>
          <w:rFonts w:eastAsia="Times New Roman"/>
          <w:color w:val="auto"/>
        </w:rPr>
        <w:t xml:space="preserve">tūkst. </w:t>
      </w:r>
      <w:r w:rsidRPr="001937CE">
        <w:rPr>
          <w:rFonts w:eastAsia="Times New Roman"/>
          <w:color w:val="auto"/>
        </w:rPr>
        <w:t>Eur, Panevėžyje – 123</w:t>
      </w:r>
      <w:r w:rsidR="00AF530A" w:rsidRPr="001937CE">
        <w:rPr>
          <w:rFonts w:eastAsia="Times New Roman"/>
          <w:color w:val="auto"/>
        </w:rPr>
        <w:t>,</w:t>
      </w:r>
      <w:r w:rsidRPr="001937CE">
        <w:rPr>
          <w:rFonts w:eastAsia="Times New Roman"/>
          <w:color w:val="auto"/>
        </w:rPr>
        <w:t>1</w:t>
      </w:r>
      <w:r w:rsidR="00AF530A" w:rsidRPr="001937CE">
        <w:rPr>
          <w:rFonts w:eastAsia="Times New Roman"/>
          <w:color w:val="auto"/>
        </w:rPr>
        <w:t xml:space="preserve"> tūkst.</w:t>
      </w:r>
      <w:r w:rsidRPr="001937CE">
        <w:rPr>
          <w:rFonts w:eastAsia="Times New Roman"/>
          <w:color w:val="auto"/>
        </w:rPr>
        <w:t xml:space="preserve"> Eur, Klaipėdoje – 483</w:t>
      </w:r>
      <w:r w:rsidR="00AF530A" w:rsidRPr="001937CE">
        <w:rPr>
          <w:rFonts w:eastAsia="Times New Roman"/>
          <w:color w:val="auto"/>
        </w:rPr>
        <w:t xml:space="preserve">,4 tūkst. </w:t>
      </w:r>
      <w:r w:rsidRPr="001937CE">
        <w:rPr>
          <w:rFonts w:eastAsia="Times New Roman"/>
          <w:color w:val="auto"/>
        </w:rPr>
        <w:t>Eur, Druskininkuose – 31</w:t>
      </w:r>
      <w:r w:rsidR="00AF530A" w:rsidRPr="001937CE">
        <w:rPr>
          <w:rFonts w:eastAsia="Times New Roman"/>
          <w:color w:val="auto"/>
        </w:rPr>
        <w:t>,</w:t>
      </w:r>
      <w:r w:rsidRPr="001937CE">
        <w:rPr>
          <w:rFonts w:eastAsia="Times New Roman"/>
          <w:color w:val="auto"/>
        </w:rPr>
        <w:t>1</w:t>
      </w:r>
      <w:r w:rsidR="00AF530A" w:rsidRPr="001937CE">
        <w:rPr>
          <w:rFonts w:eastAsia="Times New Roman"/>
          <w:color w:val="auto"/>
        </w:rPr>
        <w:t xml:space="preserve"> tūkst.</w:t>
      </w:r>
      <w:r w:rsidRPr="001937CE">
        <w:rPr>
          <w:rFonts w:eastAsia="Times New Roman"/>
          <w:color w:val="auto"/>
        </w:rPr>
        <w:t xml:space="preserve"> Eur, Marijampolėje – 97</w:t>
      </w:r>
      <w:r w:rsidR="00AF530A" w:rsidRPr="001937CE">
        <w:rPr>
          <w:rFonts w:eastAsia="Times New Roman"/>
          <w:color w:val="auto"/>
        </w:rPr>
        <w:t>,</w:t>
      </w:r>
      <w:r w:rsidRPr="001937CE">
        <w:rPr>
          <w:rFonts w:eastAsia="Times New Roman"/>
          <w:color w:val="auto"/>
        </w:rPr>
        <w:t>5</w:t>
      </w:r>
      <w:r w:rsidR="00AF530A" w:rsidRPr="001937CE">
        <w:rPr>
          <w:rFonts w:eastAsia="Times New Roman"/>
          <w:color w:val="auto"/>
        </w:rPr>
        <w:t xml:space="preserve"> tūkst.</w:t>
      </w:r>
      <w:r w:rsidRPr="001937CE">
        <w:rPr>
          <w:rFonts w:eastAsia="Times New Roman"/>
          <w:color w:val="auto"/>
        </w:rPr>
        <w:t xml:space="preserve"> Eur, Utenoje – 70</w:t>
      </w:r>
      <w:r w:rsidR="00AF530A" w:rsidRPr="001937CE">
        <w:rPr>
          <w:rFonts w:eastAsia="Times New Roman"/>
          <w:color w:val="auto"/>
        </w:rPr>
        <w:t>,9 tūkst.</w:t>
      </w:r>
      <w:r w:rsidRPr="001937CE">
        <w:rPr>
          <w:rFonts w:eastAsia="Times New Roman"/>
          <w:color w:val="auto"/>
        </w:rPr>
        <w:t xml:space="preserve"> Eur, Tauragėje – 41</w:t>
      </w:r>
      <w:r w:rsidR="00AF530A" w:rsidRPr="001937CE">
        <w:rPr>
          <w:rFonts w:eastAsia="Times New Roman"/>
          <w:color w:val="auto"/>
        </w:rPr>
        <w:t>,1 tūkst.</w:t>
      </w:r>
      <w:r w:rsidRPr="001937CE">
        <w:rPr>
          <w:rFonts w:eastAsia="Times New Roman"/>
          <w:color w:val="auto"/>
        </w:rPr>
        <w:t xml:space="preserve"> Eur).</w:t>
      </w:r>
    </w:p>
    <w:p w:rsidR="00AF530A" w:rsidRDefault="00AF530A" w:rsidP="00653A48">
      <w:pPr>
        <w:pStyle w:val="Default"/>
        <w:jc w:val="both"/>
        <w:rPr>
          <w:rFonts w:eastAsia="Times New Roman"/>
        </w:rPr>
      </w:pPr>
    </w:p>
    <w:p w:rsidR="00653A48" w:rsidRDefault="00653A48" w:rsidP="00653A48">
      <w:pPr>
        <w:pStyle w:val="Default"/>
        <w:jc w:val="both"/>
        <w:rPr>
          <w:rFonts w:eastAsia="Times New Roman"/>
        </w:rPr>
      </w:pPr>
      <w:r>
        <w:rPr>
          <w:rFonts w:eastAsia="Times New Roman"/>
        </w:rPr>
        <w:tab/>
      </w:r>
      <w:r>
        <w:rPr>
          <w:noProof/>
        </w:rPr>
        <w:drawing>
          <wp:inline distT="0" distB="0" distL="0" distR="0" wp14:anchorId="6D764538" wp14:editId="5BF11497">
            <wp:extent cx="4673600" cy="1873250"/>
            <wp:effectExtent l="0" t="0" r="12700" b="1270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eastAsia="Times New Roman"/>
        </w:rPr>
        <w:t xml:space="preserve"> </w:t>
      </w:r>
      <w:r w:rsidRPr="00C007DC">
        <w:rPr>
          <w:rFonts w:eastAsia="Times New Roman"/>
        </w:rPr>
        <w:t xml:space="preserve"> </w:t>
      </w:r>
    </w:p>
    <w:p w:rsidR="00653A48" w:rsidRDefault="00AF530A" w:rsidP="00A81C80">
      <w:pPr>
        <w:pStyle w:val="Default"/>
        <w:jc w:val="both"/>
        <w:rPr>
          <w:rFonts w:eastAsia="Times New Roman"/>
        </w:rPr>
      </w:pPr>
      <w:r>
        <w:rPr>
          <w:rFonts w:eastAsia="Times New Roman"/>
        </w:rPr>
        <w:tab/>
        <w:t>5 pav. Materialinės investicijos Alytaus mieste 2011–2015 m. tūkst. Eur</w:t>
      </w:r>
    </w:p>
    <w:p w:rsidR="00653A48" w:rsidRDefault="00653A48" w:rsidP="00A81C80">
      <w:pPr>
        <w:pStyle w:val="Default"/>
        <w:jc w:val="both"/>
        <w:rPr>
          <w:rFonts w:eastAsia="Times New Roman"/>
        </w:rPr>
      </w:pPr>
    </w:p>
    <w:p w:rsidR="00A81C80" w:rsidRPr="00F96137" w:rsidRDefault="00A81C80" w:rsidP="00A81C80">
      <w:pPr>
        <w:pStyle w:val="Default"/>
        <w:jc w:val="both"/>
        <w:rPr>
          <w:i/>
          <w:iCs/>
          <w:color w:val="FF0000"/>
          <w:sz w:val="23"/>
          <w:szCs w:val="23"/>
        </w:rPr>
      </w:pPr>
      <w:r>
        <w:rPr>
          <w:rFonts w:eastAsia="Times New Roman"/>
        </w:rPr>
        <w:tab/>
      </w:r>
      <w:r w:rsidRPr="0054632D">
        <w:rPr>
          <w:rFonts w:eastAsia="Times New Roman"/>
        </w:rPr>
        <w:t>Alytaus mieste yra ir gerų pokyčių. Didėja už</w:t>
      </w:r>
      <w:r>
        <w:rPr>
          <w:rFonts w:eastAsia="Times New Roman"/>
        </w:rPr>
        <w:t>siėmusių</w:t>
      </w:r>
      <w:r w:rsidRPr="0054632D">
        <w:rPr>
          <w:rFonts w:eastAsia="Times New Roman"/>
        </w:rPr>
        <w:t xml:space="preserve"> (turinčių darbą, studijuoj</w:t>
      </w:r>
      <w:r>
        <w:rPr>
          <w:rFonts w:eastAsia="Times New Roman"/>
        </w:rPr>
        <w:t>an</w:t>
      </w:r>
      <w:r w:rsidR="00653A48">
        <w:rPr>
          <w:rFonts w:eastAsia="Times New Roman"/>
        </w:rPr>
        <w:t>čių) gyventojų skaičius (žr. 6</w:t>
      </w:r>
      <w:r w:rsidRPr="0054632D">
        <w:rPr>
          <w:rFonts w:eastAsia="Times New Roman"/>
        </w:rPr>
        <w:t xml:space="preserve"> pav.).</w:t>
      </w:r>
    </w:p>
    <w:p w:rsidR="00AF530A" w:rsidRDefault="00A81C80" w:rsidP="006F57D3">
      <w:pPr>
        <w:spacing w:before="100" w:beforeAutospacing="1" w:after="100" w:afterAutospacing="1"/>
        <w:ind w:firstLine="709"/>
        <w:jc w:val="both"/>
        <w:rPr>
          <w:rFonts w:ascii="Times New Roman" w:eastAsia="Times New Roman" w:hAnsi="Times New Roman"/>
          <w:sz w:val="24"/>
          <w:szCs w:val="24"/>
          <w:lang w:eastAsia="lt-LT"/>
        </w:rPr>
      </w:pPr>
      <w:r>
        <w:rPr>
          <w:rFonts w:ascii="Times New Roman" w:hAnsi="Times New Roman"/>
          <w:sz w:val="24"/>
          <w:szCs w:val="24"/>
        </w:rPr>
        <w:tab/>
      </w:r>
      <w:r w:rsidR="00AF530A">
        <w:rPr>
          <w:noProof/>
          <w:lang w:eastAsia="lt-LT"/>
        </w:rPr>
        <w:drawing>
          <wp:inline distT="0" distB="0" distL="0" distR="0" wp14:anchorId="74A7E46B" wp14:editId="673B2023">
            <wp:extent cx="4673600" cy="1708150"/>
            <wp:effectExtent l="0" t="0" r="12700" b="2540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1C80" w:rsidRDefault="00AF530A" w:rsidP="006F57D3">
      <w:pPr>
        <w:spacing w:before="100" w:beforeAutospacing="1" w:after="100" w:afterAutospacing="1"/>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00653A48">
        <w:rPr>
          <w:rFonts w:ascii="Times New Roman" w:eastAsia="Times New Roman" w:hAnsi="Times New Roman"/>
          <w:sz w:val="24"/>
          <w:szCs w:val="24"/>
        </w:rPr>
        <w:t>6</w:t>
      </w:r>
      <w:r w:rsidR="00A81C80" w:rsidRPr="0054632D">
        <w:rPr>
          <w:rFonts w:ascii="Times New Roman" w:eastAsia="Times New Roman" w:hAnsi="Times New Roman"/>
          <w:sz w:val="24"/>
          <w:szCs w:val="24"/>
        </w:rPr>
        <w:t xml:space="preserve"> pav. </w:t>
      </w:r>
      <w:r w:rsidR="00A81C80" w:rsidRPr="0054632D">
        <w:rPr>
          <w:rFonts w:ascii="Times New Roman" w:eastAsia="Times New Roman" w:hAnsi="Times New Roman"/>
          <w:sz w:val="24"/>
          <w:szCs w:val="24"/>
          <w:lang w:eastAsia="lt-LT"/>
        </w:rPr>
        <w:t>Alytaus m. už</w:t>
      </w:r>
      <w:r w:rsidR="00A81C80">
        <w:rPr>
          <w:rFonts w:ascii="Times New Roman" w:eastAsia="Times New Roman" w:hAnsi="Times New Roman"/>
          <w:sz w:val="24"/>
          <w:szCs w:val="24"/>
          <w:lang w:eastAsia="lt-LT"/>
        </w:rPr>
        <w:t>siėmusių</w:t>
      </w:r>
      <w:r w:rsidR="00A81C80" w:rsidRPr="0054632D">
        <w:rPr>
          <w:rFonts w:ascii="Times New Roman" w:eastAsia="Times New Roman" w:hAnsi="Times New Roman"/>
          <w:sz w:val="24"/>
          <w:szCs w:val="24"/>
          <w:lang w:eastAsia="lt-LT"/>
        </w:rPr>
        <w:t xml:space="preserve"> gyventojų skaičius metų pradžioje 2011–2015 m. (tūkst.) Šaltinis – Lietuvos stat</w:t>
      </w:r>
      <w:r w:rsidR="00A81C80">
        <w:rPr>
          <w:rFonts w:ascii="Times New Roman" w:eastAsia="Times New Roman" w:hAnsi="Times New Roman"/>
          <w:sz w:val="24"/>
          <w:szCs w:val="24"/>
          <w:lang w:eastAsia="lt-LT"/>
        </w:rPr>
        <w:t>istikos departamentas</w:t>
      </w:r>
    </w:p>
    <w:p w:rsidR="00A81C80" w:rsidRPr="00151526" w:rsidRDefault="00A81C80" w:rsidP="00A81C80">
      <w:pPr>
        <w:jc w:val="both"/>
        <w:rPr>
          <w:rFonts w:ascii="Times New Roman" w:eastAsia="Times New Roman" w:hAnsi="Times New Roman"/>
          <w:sz w:val="24"/>
          <w:szCs w:val="24"/>
          <w:lang w:eastAsia="lt-LT"/>
        </w:rPr>
      </w:pPr>
      <w:r>
        <w:rPr>
          <w:rFonts w:ascii="Times New Roman" w:hAnsi="Times New Roman"/>
          <w:sz w:val="24"/>
          <w:szCs w:val="24"/>
        </w:rPr>
        <w:lastRenderedPageBreak/>
        <w:tab/>
      </w:r>
      <w:r w:rsidRPr="00151526">
        <w:rPr>
          <w:rFonts w:ascii="Times New Roman" w:hAnsi="Times New Roman"/>
          <w:sz w:val="24"/>
          <w:szCs w:val="24"/>
        </w:rPr>
        <w:t>Didėjantis užimtumas yra svarbus ekonomikos augimo ir gerėjančios gyvenimo kokybės veiksnys. Nedarbo problemas yra siekiama spręsti kompleksiškai – ne tik taikyti aktyvios darbo rinkos politikos priemones bedarbiams, bet ir skatinti naujų darbo vietų kūrimą.</w:t>
      </w:r>
      <w:r w:rsidRPr="00151526">
        <w:rPr>
          <w:rFonts w:ascii="Times New Roman" w:eastAsia="Times New Roman" w:hAnsi="Times New Roman"/>
          <w:sz w:val="24"/>
          <w:szCs w:val="24"/>
          <w:lang w:eastAsia="lt-LT"/>
        </w:rPr>
        <w:t xml:space="preserve"> </w:t>
      </w:r>
    </w:p>
    <w:p w:rsidR="00A81C80" w:rsidRPr="00151526" w:rsidRDefault="00A81C80" w:rsidP="00A81C80">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006D41C5">
        <w:rPr>
          <w:rFonts w:ascii="Times New Roman" w:eastAsia="Times New Roman" w:hAnsi="Times New Roman"/>
          <w:sz w:val="24"/>
          <w:szCs w:val="24"/>
          <w:lang w:eastAsia="lt-LT"/>
        </w:rPr>
        <w:t xml:space="preserve">2011–2015 m. </w:t>
      </w:r>
      <w:r w:rsidRPr="00151526">
        <w:rPr>
          <w:rFonts w:ascii="Times New Roman" w:eastAsia="Times New Roman" w:hAnsi="Times New Roman"/>
          <w:sz w:val="24"/>
          <w:szCs w:val="24"/>
          <w:lang w:eastAsia="lt-LT"/>
        </w:rPr>
        <w:t xml:space="preserve">mažėjo nedarbo lygis, </w:t>
      </w:r>
      <w:r w:rsidR="006D41C5">
        <w:rPr>
          <w:rFonts w:ascii="Times New Roman" w:eastAsia="Times New Roman" w:hAnsi="Times New Roman"/>
          <w:sz w:val="24"/>
          <w:szCs w:val="24"/>
          <w:lang w:eastAsia="lt-LT"/>
        </w:rPr>
        <w:t>tačiau 2016 m. jis smarkai išaugo ir pasiekė 5,6 proc. R</w:t>
      </w:r>
      <w:r w:rsidRPr="00151526">
        <w:rPr>
          <w:rFonts w:ascii="Times New Roman" w:eastAsia="Times New Roman" w:hAnsi="Times New Roman"/>
          <w:sz w:val="24"/>
          <w:szCs w:val="24"/>
          <w:lang w:eastAsia="lt-LT"/>
        </w:rPr>
        <w:t>egistruotų bedarbių ir darbingo am</w:t>
      </w:r>
      <w:r w:rsidR="00653A48">
        <w:rPr>
          <w:rFonts w:ascii="Times New Roman" w:eastAsia="Times New Roman" w:hAnsi="Times New Roman"/>
          <w:sz w:val="24"/>
          <w:szCs w:val="24"/>
          <w:lang w:eastAsia="lt-LT"/>
        </w:rPr>
        <w:t xml:space="preserve">žiaus gyventojų santykis </w:t>
      </w:r>
      <w:r w:rsidR="006D41C5">
        <w:rPr>
          <w:rFonts w:ascii="Times New Roman" w:eastAsia="Times New Roman" w:hAnsi="Times New Roman"/>
          <w:sz w:val="24"/>
          <w:szCs w:val="24"/>
          <w:lang w:eastAsia="lt-LT"/>
        </w:rPr>
        <w:t>sudarė 10,5 proc.</w:t>
      </w:r>
      <w:r w:rsidR="00BD53FB">
        <w:rPr>
          <w:rFonts w:ascii="Times New Roman" w:eastAsia="Times New Roman" w:hAnsi="Times New Roman"/>
          <w:sz w:val="24"/>
          <w:szCs w:val="24"/>
          <w:lang w:eastAsia="lt-LT"/>
        </w:rPr>
        <w:t xml:space="preserve"> </w:t>
      </w:r>
      <w:r w:rsidR="00653A48">
        <w:rPr>
          <w:rFonts w:ascii="Times New Roman" w:eastAsia="Times New Roman" w:hAnsi="Times New Roman"/>
          <w:sz w:val="24"/>
          <w:szCs w:val="24"/>
          <w:lang w:eastAsia="lt-LT"/>
        </w:rPr>
        <w:t>(žr. 7</w:t>
      </w:r>
      <w:r w:rsidRPr="00151526">
        <w:rPr>
          <w:rFonts w:ascii="Times New Roman" w:eastAsia="Times New Roman" w:hAnsi="Times New Roman"/>
          <w:sz w:val="24"/>
          <w:szCs w:val="24"/>
          <w:lang w:eastAsia="lt-LT"/>
        </w:rPr>
        <w:t xml:space="preserve"> pav.).</w:t>
      </w:r>
    </w:p>
    <w:p w:rsidR="00A81C80" w:rsidRPr="0054632D" w:rsidRDefault="00A81C80" w:rsidP="00A81C80">
      <w:pPr>
        <w:ind w:firstLine="1298"/>
        <w:jc w:val="both"/>
        <w:rPr>
          <w:rFonts w:ascii="Times New Roman" w:eastAsia="Times New Roman" w:hAnsi="Times New Roman"/>
          <w:color w:val="FF0000"/>
          <w:sz w:val="24"/>
          <w:szCs w:val="24"/>
        </w:rPr>
      </w:pPr>
    </w:p>
    <w:p w:rsidR="00A81C80" w:rsidRDefault="00BD53FB" w:rsidP="00BD53FB">
      <w:pPr>
        <w:ind w:firstLine="1276"/>
        <w:jc w:val="both"/>
        <w:rPr>
          <w:rFonts w:ascii="Times New Roman" w:hAnsi="Times New Roman"/>
          <w:noProof/>
          <w:sz w:val="24"/>
          <w:szCs w:val="24"/>
          <w:lang w:eastAsia="lt-LT"/>
        </w:rPr>
      </w:pPr>
      <w:r>
        <w:rPr>
          <w:noProof/>
          <w:lang w:eastAsia="lt-LT"/>
        </w:rPr>
        <w:drawing>
          <wp:inline distT="0" distB="0" distL="0" distR="0" wp14:anchorId="6D16B56C" wp14:editId="3AFC5A57">
            <wp:extent cx="5016500" cy="1657350"/>
            <wp:effectExtent l="0" t="0" r="12700" b="1905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1C80" w:rsidRPr="0054632D" w:rsidRDefault="00A81C80" w:rsidP="00A81C80">
      <w:pPr>
        <w:ind w:firstLine="1298"/>
        <w:jc w:val="both"/>
        <w:rPr>
          <w:rFonts w:ascii="Times New Roman" w:eastAsia="Times New Roman" w:hAnsi="Times New Roman"/>
          <w:color w:val="FF0000"/>
          <w:sz w:val="24"/>
          <w:szCs w:val="24"/>
        </w:rPr>
      </w:pPr>
    </w:p>
    <w:p w:rsidR="00A81C80" w:rsidRDefault="00653A48" w:rsidP="00A81C80">
      <w:pPr>
        <w:ind w:firstLine="1298"/>
        <w:jc w:val="center"/>
        <w:rPr>
          <w:rFonts w:ascii="Times New Roman" w:eastAsia="Times New Roman" w:hAnsi="Times New Roman"/>
          <w:sz w:val="24"/>
          <w:szCs w:val="24"/>
          <w:lang w:eastAsia="lt-LT"/>
        </w:rPr>
      </w:pPr>
      <w:r>
        <w:rPr>
          <w:rFonts w:ascii="Times New Roman" w:eastAsia="Times New Roman" w:hAnsi="Times New Roman"/>
          <w:sz w:val="24"/>
          <w:szCs w:val="24"/>
        </w:rPr>
        <w:t>7</w:t>
      </w:r>
      <w:r w:rsidR="00A81C80" w:rsidRPr="0054632D">
        <w:rPr>
          <w:rFonts w:ascii="Times New Roman" w:eastAsia="Times New Roman" w:hAnsi="Times New Roman"/>
          <w:sz w:val="24"/>
          <w:szCs w:val="24"/>
        </w:rPr>
        <w:t xml:space="preserve"> pav. </w:t>
      </w:r>
      <w:r w:rsidR="00A81C80" w:rsidRPr="0054632D">
        <w:rPr>
          <w:rFonts w:ascii="Times New Roman" w:eastAsia="Times New Roman" w:hAnsi="Times New Roman"/>
          <w:sz w:val="24"/>
          <w:szCs w:val="24"/>
          <w:lang w:eastAsia="lt-LT"/>
        </w:rPr>
        <w:t>Alytaus m. registruotų bedarbių ir darbingo amži</w:t>
      </w:r>
      <w:r w:rsidR="00BD53FB">
        <w:rPr>
          <w:rFonts w:ascii="Times New Roman" w:eastAsia="Times New Roman" w:hAnsi="Times New Roman"/>
          <w:sz w:val="24"/>
          <w:szCs w:val="24"/>
          <w:lang w:eastAsia="lt-LT"/>
        </w:rPr>
        <w:t>aus gyventojų santykis 2011–2016</w:t>
      </w:r>
      <w:r w:rsidR="00A81C80" w:rsidRPr="0054632D">
        <w:rPr>
          <w:rFonts w:ascii="Times New Roman" w:eastAsia="Times New Roman" w:hAnsi="Times New Roman"/>
          <w:sz w:val="24"/>
          <w:szCs w:val="24"/>
          <w:lang w:eastAsia="lt-LT"/>
        </w:rPr>
        <w:t xml:space="preserve"> m. Šaltinis – Lietuvos statistikos departamentas</w:t>
      </w:r>
    </w:p>
    <w:p w:rsidR="00A81C80" w:rsidRPr="0054632D" w:rsidRDefault="00A81C80" w:rsidP="00A81C80">
      <w:pPr>
        <w:ind w:firstLine="1298"/>
        <w:jc w:val="center"/>
        <w:rPr>
          <w:rFonts w:ascii="Times New Roman" w:eastAsia="Times New Roman" w:hAnsi="Times New Roman"/>
          <w:color w:val="FF0000"/>
          <w:sz w:val="24"/>
          <w:szCs w:val="24"/>
        </w:rPr>
      </w:pPr>
    </w:p>
    <w:p w:rsidR="00A81C80" w:rsidRDefault="00A81C80" w:rsidP="00A81C80">
      <w:pPr>
        <w:jc w:val="both"/>
        <w:rPr>
          <w:rFonts w:ascii="Times New Roman" w:hAnsi="Times New Roman"/>
          <w:sz w:val="24"/>
          <w:szCs w:val="24"/>
        </w:rPr>
      </w:pPr>
      <w:r>
        <w:tab/>
      </w:r>
      <w:r w:rsidR="00BD53FB">
        <w:t>I</w:t>
      </w:r>
      <w:r w:rsidRPr="00151526">
        <w:rPr>
          <w:rFonts w:ascii="Times New Roman" w:hAnsi="Times New Roman"/>
          <w:sz w:val="24"/>
          <w:szCs w:val="24"/>
        </w:rPr>
        <w:t>šlieka kvalifikuotų darbuotojų trūkumo problema. Sparčiai augantis laisvų darbo vietų skaičius įspėja apie ryškėjančią darbo pasiūlos neatitiktį paklausai</w:t>
      </w:r>
      <w:r>
        <w:rPr>
          <w:rFonts w:ascii="Times New Roman" w:hAnsi="Times New Roman"/>
          <w:sz w:val="24"/>
          <w:szCs w:val="24"/>
        </w:rPr>
        <w:t>.</w:t>
      </w:r>
    </w:p>
    <w:p w:rsidR="00A81C80" w:rsidRPr="00151526" w:rsidRDefault="00A81C80" w:rsidP="00A81C80">
      <w:pPr>
        <w:jc w:val="both"/>
        <w:rPr>
          <w:rFonts w:ascii="Times New Roman" w:eastAsia="Times New Roman" w:hAnsi="Times New Roman"/>
          <w:sz w:val="24"/>
          <w:szCs w:val="24"/>
          <w:lang w:eastAsia="lt-LT"/>
        </w:rPr>
      </w:pPr>
      <w:r>
        <w:rPr>
          <w:rFonts w:ascii="Times New Roman" w:hAnsi="Times New Roman"/>
          <w:sz w:val="24"/>
          <w:szCs w:val="24"/>
        </w:rPr>
        <w:tab/>
      </w:r>
      <w:r w:rsidRPr="00151526">
        <w:rPr>
          <w:rFonts w:ascii="Times New Roman" w:hAnsi="Times New Roman"/>
          <w:sz w:val="24"/>
          <w:szCs w:val="24"/>
        </w:rPr>
        <w:t xml:space="preserve">Tęsiamas aktyvios darbo rinkos politikos priemonių įgyvendinimas – vykdoma viešųjų darbų programa. </w:t>
      </w:r>
      <w:r>
        <w:rPr>
          <w:rFonts w:ascii="Times New Roman" w:hAnsi="Times New Roman"/>
          <w:sz w:val="24"/>
          <w:szCs w:val="24"/>
        </w:rPr>
        <w:t xml:space="preserve">Miesto </w:t>
      </w:r>
      <w:r w:rsidRPr="00151526">
        <w:rPr>
          <w:rFonts w:ascii="Times New Roman" w:hAnsi="Times New Roman"/>
          <w:sz w:val="24"/>
          <w:szCs w:val="24"/>
        </w:rPr>
        <w:t>savivaldybės viešųjų darbų</w:t>
      </w:r>
      <w:r>
        <w:rPr>
          <w:rFonts w:ascii="Times New Roman" w:hAnsi="Times New Roman"/>
          <w:sz w:val="24"/>
          <w:szCs w:val="24"/>
        </w:rPr>
        <w:t xml:space="preserve"> programoje dalyvavo apie </w:t>
      </w:r>
      <w:r w:rsidRPr="006F57D3">
        <w:rPr>
          <w:rFonts w:ascii="Times New Roman" w:hAnsi="Times New Roman"/>
          <w:sz w:val="24"/>
          <w:szCs w:val="24"/>
        </w:rPr>
        <w:t>380</w:t>
      </w:r>
      <w:r>
        <w:rPr>
          <w:rFonts w:ascii="Times New Roman" w:hAnsi="Times New Roman"/>
          <w:sz w:val="24"/>
          <w:szCs w:val="24"/>
        </w:rPr>
        <w:t xml:space="preserve"> asmenų.</w:t>
      </w:r>
    </w:p>
    <w:p w:rsidR="00A81C80" w:rsidRPr="001937CE" w:rsidRDefault="00A81C80" w:rsidP="00BD53FB">
      <w:pPr>
        <w:pStyle w:val="Default"/>
        <w:jc w:val="both"/>
        <w:rPr>
          <w:rFonts w:eastAsia="Times New Roman"/>
          <w:color w:val="auto"/>
        </w:rPr>
      </w:pPr>
      <w:r>
        <w:rPr>
          <w:rFonts w:eastAsia="Times New Roman"/>
        </w:rPr>
        <w:tab/>
      </w:r>
      <w:r w:rsidRPr="00151526">
        <w:rPr>
          <w:rFonts w:eastAsia="Times New Roman"/>
        </w:rPr>
        <w:t>Didėja vidutinis mėnesinis darbo užmokestis mieste. Nuo 2012 m</w:t>
      </w:r>
      <w:r>
        <w:rPr>
          <w:rFonts w:eastAsia="Times New Roman"/>
        </w:rPr>
        <w:t>.</w:t>
      </w:r>
      <w:r w:rsidRPr="00151526">
        <w:rPr>
          <w:rFonts w:eastAsia="Times New Roman"/>
        </w:rPr>
        <w:t xml:space="preserve"> padidėjo 18 proc. ir </w:t>
      </w:r>
      <w:r w:rsidRPr="001937CE">
        <w:rPr>
          <w:rFonts w:eastAsia="Times New Roman"/>
          <w:color w:val="auto"/>
        </w:rPr>
        <w:t>2016 m. I</w:t>
      </w:r>
      <w:r w:rsidR="00653A48" w:rsidRPr="001937CE">
        <w:rPr>
          <w:rFonts w:eastAsia="Times New Roman"/>
          <w:color w:val="auto"/>
        </w:rPr>
        <w:t>II ketv. sudarė 691,4 Eur (žr. 8</w:t>
      </w:r>
      <w:r w:rsidRPr="001937CE">
        <w:rPr>
          <w:rFonts w:eastAsia="Times New Roman"/>
          <w:color w:val="auto"/>
        </w:rPr>
        <w:t xml:space="preserve"> pav.). Šis rod</w:t>
      </w:r>
      <w:r w:rsidR="00BD53FB" w:rsidRPr="001937CE">
        <w:rPr>
          <w:rFonts w:eastAsia="Times New Roman"/>
          <w:color w:val="auto"/>
        </w:rPr>
        <w:t xml:space="preserve">iklis nesiekia šalies vidurkio – </w:t>
      </w:r>
      <w:r w:rsidRPr="001937CE">
        <w:rPr>
          <w:rFonts w:eastAsia="Times New Roman"/>
          <w:color w:val="auto"/>
        </w:rPr>
        <w:t>748,0 Eur</w:t>
      </w:r>
      <w:r w:rsidR="00BD53FB" w:rsidRPr="001937CE">
        <w:rPr>
          <w:rFonts w:eastAsia="Times New Roman"/>
          <w:color w:val="auto"/>
        </w:rPr>
        <w:t>. (Panevėžyje – 758,9 Eur, Klaipėdoje – 845,1 Eur, Druskininkuose – 647,8 Eur, Marijampolėje – 675,1 Eur, Utenoje – 700,6 Eur, Tauragėje – 665,1 Eur).</w:t>
      </w:r>
    </w:p>
    <w:p w:rsidR="00A81C80" w:rsidRPr="0054632D" w:rsidRDefault="00A81C80" w:rsidP="00BD53FB">
      <w:pPr>
        <w:spacing w:before="100" w:beforeAutospacing="1" w:after="100" w:afterAutospacing="1"/>
        <w:ind w:left="1276" w:hanging="567"/>
        <w:jc w:val="both"/>
        <w:rPr>
          <w:rFonts w:ascii="Times New Roman" w:eastAsia="Times New Roman" w:hAnsi="Times New Roman"/>
          <w:sz w:val="24"/>
          <w:szCs w:val="24"/>
          <w:lang w:eastAsia="lt-LT"/>
        </w:rPr>
      </w:pPr>
      <w:r>
        <w:rPr>
          <w:rFonts w:ascii="Times New Roman" w:hAnsi="Times New Roman"/>
          <w:sz w:val="24"/>
          <w:szCs w:val="24"/>
        </w:rPr>
        <w:tab/>
      </w:r>
      <w:r w:rsidR="00BD53FB">
        <w:rPr>
          <w:noProof/>
          <w:lang w:eastAsia="lt-LT"/>
        </w:rPr>
        <w:drawing>
          <wp:inline distT="0" distB="0" distL="0" distR="0" wp14:anchorId="393F949B" wp14:editId="1F0A95DD">
            <wp:extent cx="4775200" cy="1695450"/>
            <wp:effectExtent l="0" t="0" r="25400" b="1905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1C80" w:rsidRDefault="00653A48" w:rsidP="00A81C80">
      <w:pPr>
        <w:ind w:firstLine="1298"/>
        <w:jc w:val="center"/>
        <w:rPr>
          <w:rFonts w:ascii="Times New Roman" w:eastAsia="Times New Roman" w:hAnsi="Times New Roman"/>
          <w:sz w:val="24"/>
          <w:szCs w:val="24"/>
        </w:rPr>
      </w:pPr>
      <w:r>
        <w:rPr>
          <w:rFonts w:ascii="Times New Roman" w:eastAsia="Times New Roman" w:hAnsi="Times New Roman"/>
          <w:sz w:val="24"/>
          <w:szCs w:val="24"/>
          <w:lang w:eastAsia="lt-LT"/>
        </w:rPr>
        <w:t>8</w:t>
      </w:r>
      <w:r w:rsidR="00A81C80">
        <w:rPr>
          <w:rFonts w:ascii="Times New Roman" w:eastAsia="Times New Roman" w:hAnsi="Times New Roman"/>
          <w:sz w:val="24"/>
          <w:szCs w:val="24"/>
          <w:lang w:eastAsia="lt-LT"/>
        </w:rPr>
        <w:t xml:space="preserve"> pav. Vidutinis mėn. darbo užmokestis Alytaus mieste 2012–2016 m. pradžioje, Eur. </w:t>
      </w:r>
      <w:r w:rsidR="00A81C80" w:rsidRPr="0054632D">
        <w:rPr>
          <w:rFonts w:ascii="Times New Roman" w:eastAsia="Times New Roman" w:hAnsi="Times New Roman"/>
          <w:sz w:val="24"/>
          <w:szCs w:val="24"/>
        </w:rPr>
        <w:t>Šaltinis – Liet</w:t>
      </w:r>
      <w:r w:rsidR="00A81C80">
        <w:rPr>
          <w:rFonts w:ascii="Times New Roman" w:eastAsia="Times New Roman" w:hAnsi="Times New Roman"/>
          <w:sz w:val="24"/>
          <w:szCs w:val="24"/>
        </w:rPr>
        <w:t>uvos statistikos departamentas</w:t>
      </w:r>
    </w:p>
    <w:p w:rsidR="00A81C80" w:rsidRDefault="00A81C80" w:rsidP="00A81C80">
      <w:pPr>
        <w:rPr>
          <w:rFonts w:ascii="Times New Roman" w:hAnsi="Times New Roman"/>
          <w:sz w:val="24"/>
          <w:szCs w:val="24"/>
          <w:lang w:eastAsia="lt-LT"/>
        </w:rPr>
      </w:pPr>
      <w:r>
        <w:rPr>
          <w:rFonts w:ascii="Times New Roman" w:hAnsi="Times New Roman"/>
          <w:sz w:val="24"/>
          <w:szCs w:val="24"/>
          <w:lang w:eastAsia="lt-LT"/>
        </w:rPr>
        <w:tab/>
      </w:r>
    </w:p>
    <w:p w:rsidR="00A81C80" w:rsidRPr="004F272C" w:rsidRDefault="00A81C80" w:rsidP="00A81C80">
      <w:pPr>
        <w:jc w:val="both"/>
        <w:rPr>
          <w:rFonts w:ascii="Times New Roman" w:hAnsi="Times New Roman"/>
          <w:sz w:val="24"/>
          <w:szCs w:val="24"/>
          <w:lang w:eastAsia="lt-LT"/>
        </w:rPr>
      </w:pPr>
      <w:r>
        <w:rPr>
          <w:rFonts w:ascii="Times New Roman" w:hAnsi="Times New Roman"/>
          <w:sz w:val="24"/>
          <w:szCs w:val="24"/>
          <w:lang w:eastAsia="lt-LT"/>
        </w:rPr>
        <w:tab/>
      </w:r>
      <w:r w:rsidRPr="004F272C">
        <w:rPr>
          <w:rFonts w:ascii="Times New Roman" w:hAnsi="Times New Roman"/>
          <w:sz w:val="24"/>
          <w:szCs w:val="24"/>
          <w:lang w:eastAsia="lt-LT"/>
        </w:rPr>
        <w:t>Vidutinė tikėtina mie</w:t>
      </w:r>
      <w:r w:rsidR="006F57D3">
        <w:rPr>
          <w:rFonts w:ascii="Times New Roman" w:hAnsi="Times New Roman"/>
          <w:sz w:val="24"/>
          <w:szCs w:val="24"/>
          <w:lang w:eastAsia="lt-LT"/>
        </w:rPr>
        <w:t xml:space="preserve">sto gyventojų gyvenimo trukmė – </w:t>
      </w:r>
      <w:r w:rsidRPr="004F272C">
        <w:rPr>
          <w:rFonts w:ascii="Times New Roman" w:hAnsi="Times New Roman"/>
          <w:sz w:val="24"/>
          <w:szCs w:val="24"/>
          <w:lang w:eastAsia="lt-LT"/>
        </w:rPr>
        <w:t xml:space="preserve">76,04 metų, </w:t>
      </w:r>
      <w:r>
        <w:rPr>
          <w:rFonts w:ascii="Times New Roman" w:hAnsi="Times New Roman"/>
          <w:sz w:val="24"/>
          <w:szCs w:val="24"/>
          <w:lang w:eastAsia="lt-LT"/>
        </w:rPr>
        <w:t xml:space="preserve">ji </w:t>
      </w:r>
      <w:r w:rsidRPr="004F272C">
        <w:rPr>
          <w:rFonts w:ascii="Times New Roman" w:hAnsi="Times New Roman"/>
          <w:sz w:val="24"/>
          <w:szCs w:val="24"/>
          <w:lang w:eastAsia="lt-LT"/>
        </w:rPr>
        <w:t>žymiai didesnė negu šalies – 74,69 metai.</w:t>
      </w:r>
    </w:p>
    <w:p w:rsidR="00A81C80" w:rsidRPr="00755076" w:rsidRDefault="00A81C80" w:rsidP="00A81C80">
      <w:pPr>
        <w:pStyle w:val="Default"/>
        <w:jc w:val="both"/>
      </w:pPr>
      <w:r>
        <w:tab/>
      </w:r>
      <w:r w:rsidRPr="004F272C">
        <w:t xml:space="preserve">Gerėja </w:t>
      </w:r>
      <w:r>
        <w:t xml:space="preserve">miesto </w:t>
      </w:r>
      <w:r w:rsidRPr="004F272C">
        <w:t>verslumo situacija. Veikian</w:t>
      </w:r>
      <w:r w:rsidR="000029FA">
        <w:t>čių ūkio subjektų  skaičius 2016</w:t>
      </w:r>
      <w:r w:rsidRPr="004F272C">
        <w:t xml:space="preserve"> m. išaugo ir sudarė 1749, mažų i</w:t>
      </w:r>
      <w:r w:rsidR="006F57D3">
        <w:t>r vidutinių įmonių – 1</w:t>
      </w:r>
      <w:r w:rsidR="00653A48">
        <w:t>230 (žr. 9</w:t>
      </w:r>
      <w:r w:rsidRPr="004F272C">
        <w:t xml:space="preserve"> pav.). Gyventojų verslumo koeficientas 2015 m. sudarė 31,1 (tūkstančiui gyventojų teko 31,1  ūkio subjektų).</w:t>
      </w:r>
      <w:r>
        <w:t xml:space="preserve"> </w:t>
      </w:r>
      <w:r w:rsidRPr="00755076">
        <w:t>Alytaus mieste labiausiai išplėtotos ekonominės veiklos sritys, sukuriančios didžiausią pridėtinę vertę, yra didmeninės ir mažmeninės prekybos, transporto prekybos ir remonto, apgyvendinimo ir maitinimo paslaugų veikla (apie 30 proc.), pramonė (apie 21 proc.), viešasis valdymas, švietimas, sveikatos priežiūra ir socialinis darbas (apie 16 proc.)</w:t>
      </w:r>
      <w:r>
        <w:t xml:space="preserve">, </w:t>
      </w:r>
      <w:r w:rsidRPr="00755076">
        <w:t xml:space="preserve"> nekilnojamo turto operacijos (apie 8 proc.) ir statyba (apie 10 proc.). </w:t>
      </w:r>
    </w:p>
    <w:p w:rsidR="00335365" w:rsidRPr="001937CE" w:rsidRDefault="00A81C80" w:rsidP="00A81C80">
      <w:pPr>
        <w:jc w:val="both"/>
        <w:rPr>
          <w:rFonts w:ascii="Times New Roman" w:hAnsi="Times New Roman"/>
          <w:sz w:val="24"/>
          <w:szCs w:val="24"/>
        </w:rPr>
      </w:pPr>
      <w:r>
        <w:rPr>
          <w:rFonts w:ascii="Times New Roman" w:hAnsi="Times New Roman"/>
          <w:sz w:val="24"/>
          <w:szCs w:val="24"/>
        </w:rPr>
        <w:lastRenderedPageBreak/>
        <w:tab/>
      </w:r>
      <w:r w:rsidRPr="00755076">
        <w:rPr>
          <w:rFonts w:ascii="Times New Roman" w:hAnsi="Times New Roman"/>
          <w:sz w:val="24"/>
          <w:szCs w:val="24"/>
        </w:rPr>
        <w:t>Mažiausią pridėtinę vertę sukuriantys ekonominės veiklos sektoriai yra administracinė ir aptarnavimo, profesinė ir mokslinė veikla (apie 2 proc.), informacijos ir ryšių veikla (apie 1 proc.), meninė, pramoginė ir poilsio organizavimo veikla (apie 3 proc.), finansinė ir draudimo veikla (apie 1 proc.).</w:t>
      </w:r>
      <w:r w:rsidR="000029FA">
        <w:rPr>
          <w:rFonts w:ascii="Times New Roman" w:hAnsi="Times New Roman"/>
          <w:sz w:val="24"/>
          <w:szCs w:val="24"/>
        </w:rPr>
        <w:t xml:space="preserve"> </w:t>
      </w:r>
      <w:r w:rsidR="000029FA" w:rsidRPr="001937CE">
        <w:rPr>
          <w:rFonts w:ascii="Times New Roman" w:hAnsi="Times New Roman"/>
          <w:sz w:val="24"/>
          <w:szCs w:val="24"/>
        </w:rPr>
        <w:t>Mieste yra 1016 darbuotojų, dirbančių valstybės tarnyboje. Tai sudaro 0,02</w:t>
      </w:r>
      <w:r w:rsidR="00B83537" w:rsidRPr="001937CE">
        <w:rPr>
          <w:rFonts w:ascii="Times New Roman" w:hAnsi="Times New Roman"/>
          <w:sz w:val="24"/>
          <w:szCs w:val="24"/>
        </w:rPr>
        <w:t xml:space="preserve"> proc.</w:t>
      </w:r>
      <w:r w:rsidR="000029FA" w:rsidRPr="001937CE">
        <w:rPr>
          <w:rFonts w:ascii="Times New Roman" w:hAnsi="Times New Roman"/>
          <w:sz w:val="24"/>
          <w:szCs w:val="24"/>
        </w:rPr>
        <w:t xml:space="preserve"> nuo visų gyventojų.</w:t>
      </w:r>
      <w:r w:rsidR="00B83537" w:rsidRPr="001937CE">
        <w:rPr>
          <w:rFonts w:ascii="Times New Roman" w:hAnsi="Times New Roman"/>
          <w:sz w:val="24"/>
          <w:szCs w:val="24"/>
        </w:rPr>
        <w:t xml:space="preserve"> (Įstaigose, pavaldžiose Teisingumo ministerijai dirba 29,1 proc., Socialinės apsaugos ir darbo ministerijai – 27,2</w:t>
      </w:r>
      <w:r w:rsidR="006B6506" w:rsidRPr="001937CE">
        <w:rPr>
          <w:rFonts w:ascii="Times New Roman" w:hAnsi="Times New Roman"/>
          <w:sz w:val="24"/>
          <w:szCs w:val="24"/>
        </w:rPr>
        <w:t xml:space="preserve"> </w:t>
      </w:r>
      <w:r w:rsidR="00B83537" w:rsidRPr="001937CE">
        <w:rPr>
          <w:rFonts w:ascii="Times New Roman" w:hAnsi="Times New Roman"/>
          <w:sz w:val="24"/>
          <w:szCs w:val="24"/>
        </w:rPr>
        <w:t>proc., savivaldybių institucijose ir įstaigose – 17,4 proc., įstaigose, pavaldžiose Vidaus reikalų ministerijai – 12,7 proc.</w:t>
      </w:r>
      <w:r w:rsidR="006B6506" w:rsidRPr="001937CE">
        <w:rPr>
          <w:rFonts w:ascii="Times New Roman" w:hAnsi="Times New Roman"/>
          <w:sz w:val="24"/>
          <w:szCs w:val="24"/>
        </w:rPr>
        <w:t xml:space="preserve"> Aplinkos ministerijai, Krašto apsaugos ministerijai pavaldžiose įstaigose, teismuose ir prokuratūroje, Vyriausybės kanceliarijoje dirba 13,6 proc valstybės tarnautojų).</w:t>
      </w:r>
    </w:p>
    <w:p w:rsidR="006B6506" w:rsidRPr="00755076" w:rsidRDefault="006B6506" w:rsidP="00A81C80">
      <w:pPr>
        <w:jc w:val="both"/>
        <w:rPr>
          <w:rFonts w:ascii="Times New Roman" w:hAnsi="Times New Roman"/>
          <w:sz w:val="24"/>
          <w:szCs w:val="24"/>
          <w:lang w:eastAsia="lt-LT"/>
        </w:rPr>
      </w:pPr>
    </w:p>
    <w:p w:rsidR="00A81C80" w:rsidRPr="004F272C" w:rsidRDefault="00A81C80" w:rsidP="00A81C80">
      <w:pPr>
        <w:rPr>
          <w:rFonts w:ascii="Times New Roman" w:hAnsi="Times New Roman"/>
          <w:sz w:val="24"/>
          <w:szCs w:val="24"/>
          <w:lang w:eastAsia="lt-LT"/>
        </w:rPr>
      </w:pPr>
      <w:r>
        <w:tab/>
      </w:r>
      <w:r w:rsidR="000029FA">
        <w:rPr>
          <w:noProof/>
          <w:lang w:eastAsia="lt-LT"/>
        </w:rPr>
        <w:drawing>
          <wp:inline distT="0" distB="0" distL="0" distR="0" wp14:anchorId="3A5A3EA9" wp14:editId="56C9C4E1">
            <wp:extent cx="5054600" cy="2057400"/>
            <wp:effectExtent l="0" t="0" r="12700"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1C80" w:rsidRPr="0054632D" w:rsidRDefault="00A81C80" w:rsidP="00A81C80">
      <w:pPr>
        <w:ind w:firstLine="1298"/>
        <w:jc w:val="both"/>
        <w:rPr>
          <w:rFonts w:ascii="Times New Roman" w:eastAsia="Times New Roman" w:hAnsi="Times New Roman"/>
          <w:color w:val="FF0000"/>
          <w:sz w:val="24"/>
          <w:szCs w:val="24"/>
        </w:rPr>
      </w:pPr>
    </w:p>
    <w:p w:rsidR="00A81C80" w:rsidRPr="0054632D" w:rsidRDefault="00653A48" w:rsidP="00A81C80">
      <w:pPr>
        <w:ind w:firstLine="1298"/>
        <w:jc w:val="center"/>
        <w:rPr>
          <w:rFonts w:ascii="Times New Roman" w:eastAsia="Times New Roman" w:hAnsi="Times New Roman"/>
          <w:sz w:val="24"/>
          <w:szCs w:val="24"/>
        </w:rPr>
      </w:pPr>
      <w:r>
        <w:rPr>
          <w:rFonts w:ascii="Times New Roman" w:eastAsia="Times New Roman" w:hAnsi="Times New Roman"/>
          <w:sz w:val="24"/>
          <w:szCs w:val="24"/>
        </w:rPr>
        <w:t>9</w:t>
      </w:r>
      <w:r w:rsidR="00A81C80" w:rsidRPr="0054632D">
        <w:rPr>
          <w:rFonts w:ascii="Times New Roman" w:eastAsia="Times New Roman" w:hAnsi="Times New Roman"/>
          <w:sz w:val="24"/>
          <w:szCs w:val="24"/>
        </w:rPr>
        <w:t xml:space="preserve"> pav. Veikiančių ūkio subjektų, mažų ir vidutinių įmonių skaičius metų pradžioje Alytaus mieste 2011–2016 m. pradžioje. Šaltinis – Lietuvos statistikos departamentas</w:t>
      </w:r>
    </w:p>
    <w:p w:rsidR="00A81C80" w:rsidRPr="0054632D" w:rsidRDefault="00A81C80" w:rsidP="00A81C80">
      <w:pPr>
        <w:ind w:firstLine="1298"/>
        <w:jc w:val="both"/>
        <w:rPr>
          <w:rFonts w:ascii="Times New Roman" w:eastAsia="Times New Roman" w:hAnsi="Times New Roman"/>
          <w:sz w:val="24"/>
          <w:szCs w:val="24"/>
        </w:rPr>
      </w:pPr>
    </w:p>
    <w:p w:rsidR="00A81C80" w:rsidRPr="0054632D" w:rsidRDefault="00A81C80" w:rsidP="00A81C80">
      <w:pPr>
        <w:ind w:firstLine="1298"/>
        <w:jc w:val="both"/>
        <w:rPr>
          <w:rFonts w:ascii="Times New Roman" w:hAnsi="Times New Roman"/>
          <w:sz w:val="24"/>
          <w:szCs w:val="24"/>
          <w:shd w:val="clear" w:color="auto" w:fill="FFFFFF"/>
          <w:lang w:eastAsia="lt-LT"/>
        </w:rPr>
      </w:pPr>
      <w:r w:rsidRPr="0054632D">
        <w:rPr>
          <w:rFonts w:ascii="Times New Roman" w:hAnsi="Times New Roman"/>
          <w:sz w:val="24"/>
          <w:szCs w:val="24"/>
          <w:shd w:val="clear" w:color="auto" w:fill="FFFFFF"/>
          <w:lang w:eastAsia="lt-LT"/>
        </w:rPr>
        <w:t xml:space="preserve">Alytaus gamtinės aplinkos kokybė yra vidutiniška – būdinga daugumai  didesnių miestų. </w:t>
      </w:r>
      <w:r w:rsidRPr="005740B4">
        <w:rPr>
          <w:rFonts w:ascii="Times New Roman" w:hAnsi="Times New Roman"/>
          <w:sz w:val="24"/>
          <w:szCs w:val="24"/>
          <w:shd w:val="clear" w:color="auto" w:fill="FFFFFF"/>
          <w:lang w:eastAsia="lt-LT"/>
        </w:rPr>
        <w:t>B</w:t>
      </w:r>
      <w:r w:rsidRPr="005740B4">
        <w:rPr>
          <w:rFonts w:ascii="Times New Roman" w:hAnsi="Times New Roman"/>
          <w:sz w:val="24"/>
          <w:szCs w:val="24"/>
        </w:rPr>
        <w:t>uvo atliekami NO2 ir SO2 koncentracijų tyrimai bei KD10 koncentracijų matavimai</w:t>
      </w:r>
      <w:r>
        <w:rPr>
          <w:sz w:val="23"/>
          <w:szCs w:val="23"/>
        </w:rPr>
        <w:t xml:space="preserve">. </w:t>
      </w:r>
      <w:r w:rsidRPr="0054632D">
        <w:rPr>
          <w:rFonts w:ascii="Times New Roman" w:hAnsi="Times New Roman"/>
          <w:sz w:val="24"/>
          <w:szCs w:val="24"/>
          <w:shd w:val="clear" w:color="auto" w:fill="FFFFFF"/>
          <w:lang w:eastAsia="lt-LT"/>
        </w:rPr>
        <w:t xml:space="preserve">Atliekant kasmetinę aplinkos stebėseną, užterštų teritorijų ir taškų nenustatoma. </w:t>
      </w:r>
    </w:p>
    <w:p w:rsidR="00A81C80" w:rsidRPr="0054632D" w:rsidRDefault="00A81C80" w:rsidP="00A81C80">
      <w:pPr>
        <w:ind w:firstLine="1298"/>
        <w:jc w:val="both"/>
        <w:rPr>
          <w:rFonts w:ascii="Times New Roman" w:hAnsi="Times New Roman"/>
          <w:sz w:val="24"/>
          <w:szCs w:val="24"/>
          <w:lang w:eastAsia="lt-LT"/>
        </w:rPr>
      </w:pPr>
      <w:r w:rsidRPr="0054632D">
        <w:rPr>
          <w:rFonts w:ascii="Times New Roman" w:hAnsi="Times New Roman"/>
          <w:sz w:val="24"/>
          <w:szCs w:val="24"/>
          <w:shd w:val="clear" w:color="auto" w:fill="FFFFFF"/>
          <w:lang w:eastAsia="lt-LT"/>
        </w:rPr>
        <w:t>Siekiant geresnės aplinkos oro kokybės, reikia mažinti eismo srautus, todėl labai svarbu išvystyti susiekimo viešuoju transportu infrastruktūrą bei maršrutus, propaguoti naudojimąsi ne individualiu automobiliu, o viešuoju transportu, pėsčiomis, dviračiu. Lyginant Alytų su kitais Lietuvos miestais, matyti, kad Alytuje viešasis transportas nėra populiarus ir žmonės retai juo naudojasi. 2015 m. vienam miesto gyventojui per metus vidutiniškai teko 43 kelionės autobusu. Kituose miestuose šis rodiklis žymiai didesnis (Šiauliuose –</w:t>
      </w:r>
      <w:r>
        <w:rPr>
          <w:rFonts w:ascii="Times New Roman" w:hAnsi="Times New Roman"/>
          <w:sz w:val="24"/>
          <w:szCs w:val="24"/>
          <w:shd w:val="clear" w:color="auto" w:fill="FFFFFF"/>
          <w:lang w:eastAsia="lt-LT"/>
        </w:rPr>
        <w:t xml:space="preserve"> </w:t>
      </w:r>
      <w:r w:rsidRPr="0054632D">
        <w:rPr>
          <w:rFonts w:ascii="Times New Roman" w:hAnsi="Times New Roman"/>
          <w:sz w:val="24"/>
          <w:szCs w:val="24"/>
          <w:shd w:val="clear" w:color="auto" w:fill="FFFFFF"/>
          <w:lang w:eastAsia="lt-LT"/>
        </w:rPr>
        <w:t>154, Kaune – 180).</w:t>
      </w:r>
    </w:p>
    <w:p w:rsidR="00A81C80" w:rsidRPr="00755076" w:rsidRDefault="00A81C80" w:rsidP="00A81C80">
      <w:pPr>
        <w:ind w:firstLine="1298"/>
        <w:jc w:val="both"/>
        <w:rPr>
          <w:rFonts w:ascii="Times New Roman" w:hAnsi="Times New Roman"/>
          <w:sz w:val="24"/>
          <w:szCs w:val="24"/>
          <w:lang w:eastAsia="lt-LT"/>
        </w:rPr>
      </w:pPr>
      <w:r w:rsidRPr="0054632D">
        <w:rPr>
          <w:rFonts w:ascii="Times New Roman" w:hAnsi="Times New Roman"/>
          <w:sz w:val="24"/>
          <w:szCs w:val="24"/>
          <w:lang w:eastAsia="lt-LT"/>
        </w:rPr>
        <w:t xml:space="preserve">Taip pat labai svarbu pritaikyti susisiekimo infrastruktūrą pėstiesiems, dviratininkams ir sudaryti saugias eismo sąlygas visiems eismo dalyviams. </w:t>
      </w:r>
      <w:r w:rsidR="0017371C">
        <w:rPr>
          <w:rFonts w:ascii="Times New Roman" w:hAnsi="Times New Roman"/>
          <w:sz w:val="24"/>
          <w:szCs w:val="24"/>
          <w:lang w:eastAsia="lt-LT"/>
        </w:rPr>
        <w:t>2016 m. Alytuje įregistruoti 275 kelių eismo įvykiai.</w:t>
      </w:r>
      <w:r>
        <w:rPr>
          <w:rFonts w:ascii="Times New Roman" w:hAnsi="Times New Roman"/>
          <w:sz w:val="24"/>
          <w:szCs w:val="24"/>
          <w:lang w:eastAsia="lt-LT"/>
        </w:rPr>
        <w:t xml:space="preserve"> </w:t>
      </w:r>
    </w:p>
    <w:p w:rsidR="00A81C80" w:rsidRDefault="00A81C80" w:rsidP="00A81C80">
      <w:pPr>
        <w:spacing w:before="100" w:beforeAutospacing="1" w:after="100" w:afterAutospacing="1"/>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VEIKSNIAI, SĄLYGOJANTYS MIESTO PLĖTRĄ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81C80" w:rsidRPr="0056265D" w:rsidTr="00EC3C1A">
        <w:tc>
          <w:tcPr>
            <w:tcW w:w="4927" w:type="dxa"/>
            <w:shd w:val="clear" w:color="auto" w:fill="auto"/>
          </w:tcPr>
          <w:p w:rsidR="00A81C80" w:rsidRPr="0056265D" w:rsidRDefault="00A81C80" w:rsidP="00EC3C1A">
            <w:pPr>
              <w:spacing w:before="100" w:beforeAutospacing="1" w:after="100" w:afterAutospacing="1"/>
              <w:jc w:val="center"/>
              <w:rPr>
                <w:rFonts w:ascii="Times New Roman" w:eastAsia="Times New Roman" w:hAnsi="Times New Roman"/>
                <w:b/>
                <w:bCs/>
                <w:sz w:val="24"/>
                <w:szCs w:val="24"/>
                <w:lang w:eastAsia="lt-LT"/>
              </w:rPr>
            </w:pPr>
            <w:r w:rsidRPr="0056265D">
              <w:rPr>
                <w:rFonts w:ascii="Times New Roman" w:hAnsi="Times New Roman"/>
                <w:b/>
                <w:bCs/>
                <w:sz w:val="24"/>
                <w:szCs w:val="24"/>
              </w:rPr>
              <w:t xml:space="preserve">Savivaldybės veiklai teigiamą poveikį darantys ir </w:t>
            </w:r>
            <w:r>
              <w:rPr>
                <w:rFonts w:ascii="Times New Roman" w:hAnsi="Times New Roman"/>
                <w:b/>
                <w:bCs/>
                <w:sz w:val="24"/>
                <w:szCs w:val="24"/>
              </w:rPr>
              <w:t xml:space="preserve">veiklos plėtros </w:t>
            </w:r>
            <w:r w:rsidRPr="0056265D">
              <w:rPr>
                <w:rFonts w:ascii="Times New Roman" w:hAnsi="Times New Roman"/>
                <w:b/>
                <w:bCs/>
                <w:sz w:val="24"/>
                <w:szCs w:val="24"/>
              </w:rPr>
              <w:t>galimybes sąlygojantys veiksniai</w:t>
            </w:r>
          </w:p>
        </w:tc>
        <w:tc>
          <w:tcPr>
            <w:tcW w:w="4927" w:type="dxa"/>
            <w:shd w:val="clear" w:color="auto" w:fill="auto"/>
          </w:tcPr>
          <w:p w:rsidR="00A81C80" w:rsidRPr="0056265D" w:rsidRDefault="00A81C80" w:rsidP="00EC3C1A">
            <w:pPr>
              <w:spacing w:before="100" w:beforeAutospacing="1" w:after="100" w:afterAutospacing="1"/>
              <w:jc w:val="center"/>
              <w:rPr>
                <w:rFonts w:ascii="Times New Roman" w:eastAsia="Times New Roman" w:hAnsi="Times New Roman"/>
                <w:b/>
                <w:bCs/>
                <w:sz w:val="24"/>
                <w:szCs w:val="24"/>
                <w:lang w:eastAsia="lt-LT"/>
              </w:rPr>
            </w:pPr>
            <w:r w:rsidRPr="0056265D">
              <w:rPr>
                <w:rFonts w:ascii="Times New Roman" w:hAnsi="Times New Roman"/>
                <w:b/>
                <w:bCs/>
                <w:sz w:val="24"/>
                <w:szCs w:val="24"/>
              </w:rPr>
              <w:t>Savivaldybės silpnybės ir galimos grėsmės</w:t>
            </w:r>
          </w:p>
        </w:tc>
      </w:tr>
      <w:tr w:rsidR="00A81C80" w:rsidRPr="0056265D" w:rsidTr="00EC3C1A">
        <w:tc>
          <w:tcPr>
            <w:tcW w:w="4927" w:type="dxa"/>
            <w:shd w:val="clear" w:color="auto" w:fill="auto"/>
          </w:tcPr>
          <w:p w:rsidR="00A81C80" w:rsidRPr="00EC3C1A" w:rsidRDefault="00A81C80" w:rsidP="00EC3C1A">
            <w:pPr>
              <w:pStyle w:val="Default"/>
            </w:pPr>
            <w:r w:rsidRPr="00EC3C1A">
              <w:t xml:space="preserve">Pakankamas viešojo sektoriaus aktyvumas ir valdymo srities kompetencija </w:t>
            </w:r>
          </w:p>
        </w:tc>
        <w:tc>
          <w:tcPr>
            <w:tcW w:w="4927" w:type="dxa"/>
            <w:shd w:val="clear" w:color="auto" w:fill="auto"/>
          </w:tcPr>
          <w:p w:rsidR="00A81C80" w:rsidRPr="00B156C9" w:rsidRDefault="00A81C80" w:rsidP="00EC3C1A">
            <w:pPr>
              <w:spacing w:before="100" w:beforeAutospacing="1" w:after="100" w:afterAutospacing="1"/>
              <w:rPr>
                <w:rFonts w:ascii="Times New Roman" w:eastAsia="Times New Roman" w:hAnsi="Times New Roman"/>
                <w:b/>
                <w:bCs/>
                <w:sz w:val="24"/>
                <w:szCs w:val="24"/>
                <w:lang w:eastAsia="lt-LT"/>
              </w:rPr>
            </w:pPr>
            <w:r w:rsidRPr="00B156C9">
              <w:rPr>
                <w:rFonts w:ascii="Times New Roman" w:hAnsi="Times New Roman"/>
                <w:sz w:val="24"/>
                <w:szCs w:val="24"/>
              </w:rPr>
              <w:t xml:space="preserve">Valstybės </w:t>
            </w:r>
            <w:r>
              <w:rPr>
                <w:rFonts w:ascii="Times New Roman" w:hAnsi="Times New Roman"/>
                <w:sz w:val="24"/>
                <w:szCs w:val="24"/>
              </w:rPr>
              <w:t>regioninės plėtros</w:t>
            </w:r>
            <w:r w:rsidRPr="00265551">
              <w:rPr>
                <w:rFonts w:ascii="Times New Roman" w:hAnsi="Times New Roman"/>
                <w:sz w:val="24"/>
                <w:szCs w:val="24"/>
              </w:rPr>
              <w:t xml:space="preserve"> </w:t>
            </w:r>
            <w:r w:rsidRPr="00B156C9">
              <w:rPr>
                <w:rFonts w:ascii="Times New Roman" w:hAnsi="Times New Roman"/>
                <w:sz w:val="24"/>
                <w:szCs w:val="24"/>
              </w:rPr>
              <w:t>politikos kaita ir nepalankių teisės aktų priėmimas</w:t>
            </w:r>
          </w:p>
        </w:tc>
      </w:tr>
      <w:tr w:rsidR="00A81C80" w:rsidRPr="0056265D" w:rsidTr="00EC3C1A">
        <w:tc>
          <w:tcPr>
            <w:tcW w:w="4927" w:type="dxa"/>
            <w:shd w:val="clear" w:color="auto" w:fill="auto"/>
          </w:tcPr>
          <w:p w:rsidR="00A81C80" w:rsidRPr="00EC3C1A" w:rsidRDefault="00A81C80" w:rsidP="00EC3C1A">
            <w:pPr>
              <w:pStyle w:val="Default"/>
            </w:pPr>
            <w:r w:rsidRPr="00EC3C1A">
              <w:t xml:space="preserve">Pažangių ir inovatyvių veiklos formų, metodų taikymas viešajame ir privačiame sektoriuose </w:t>
            </w:r>
          </w:p>
        </w:tc>
        <w:tc>
          <w:tcPr>
            <w:tcW w:w="4927" w:type="dxa"/>
            <w:shd w:val="clear" w:color="auto" w:fill="auto"/>
          </w:tcPr>
          <w:p w:rsidR="00A81C80" w:rsidRPr="0071559A" w:rsidRDefault="00A81C80" w:rsidP="00EC3C1A">
            <w:pPr>
              <w:pStyle w:val="Default"/>
              <w:rPr>
                <w:rFonts w:eastAsia="Times New Roman"/>
                <w:b/>
                <w:bCs/>
              </w:rPr>
            </w:pPr>
            <w:r w:rsidRPr="00EC3C1A">
              <w:t xml:space="preserve"> Administracijos struktūrą, valstybės tarnautojų ir darbuotojų kaitą bei veiklos kokybę įtakoja savivaldybių tarybų rinkimų rezultatai</w:t>
            </w:r>
          </w:p>
        </w:tc>
      </w:tr>
      <w:tr w:rsidR="00A81C80" w:rsidRPr="0056265D" w:rsidTr="00EC3C1A">
        <w:tc>
          <w:tcPr>
            <w:tcW w:w="4927" w:type="dxa"/>
            <w:shd w:val="clear" w:color="auto" w:fill="auto"/>
          </w:tcPr>
          <w:p w:rsidR="00A81C80" w:rsidRPr="0071559A" w:rsidRDefault="00A81C80" w:rsidP="00EC3C1A">
            <w:pPr>
              <w:rPr>
                <w:rFonts w:ascii="Times New Roman" w:eastAsia="Times New Roman" w:hAnsi="Times New Roman"/>
                <w:sz w:val="24"/>
                <w:szCs w:val="24"/>
                <w:lang w:eastAsia="lt-LT"/>
              </w:rPr>
            </w:pPr>
            <w:r w:rsidRPr="0071559A">
              <w:rPr>
                <w:rFonts w:ascii="Times New Roman" w:eastAsia="Times New Roman" w:hAnsi="Times New Roman"/>
                <w:sz w:val="24"/>
                <w:szCs w:val="24"/>
                <w:lang w:eastAsia="lt-LT"/>
              </w:rPr>
              <w:t>Palaikomi glaudūs ryšiai su tarptautinėmis organizacijomis ir užsienio šalių miestais</w:t>
            </w:r>
          </w:p>
          <w:p w:rsidR="00A81C80" w:rsidRPr="00EC3C1A" w:rsidRDefault="00A81C80" w:rsidP="00EC3C1A">
            <w:pPr>
              <w:pStyle w:val="Default"/>
            </w:pPr>
          </w:p>
        </w:tc>
        <w:tc>
          <w:tcPr>
            <w:tcW w:w="4927" w:type="dxa"/>
            <w:shd w:val="clear" w:color="auto" w:fill="auto"/>
          </w:tcPr>
          <w:p w:rsidR="00A81C80" w:rsidRPr="00EC3C1A" w:rsidRDefault="00A81C80" w:rsidP="00EC3C1A">
            <w:pPr>
              <w:pStyle w:val="Default"/>
            </w:pPr>
            <w:r w:rsidRPr="00EC3C1A">
              <w:t xml:space="preserve">Europos Sąjungos struktūrinės paramos apimčių mažėjimas </w:t>
            </w:r>
          </w:p>
          <w:p w:rsidR="00A81C80" w:rsidRPr="00EC3C1A" w:rsidRDefault="00A81C80" w:rsidP="00EC3C1A">
            <w:pPr>
              <w:pStyle w:val="Default"/>
            </w:pPr>
          </w:p>
        </w:tc>
      </w:tr>
      <w:tr w:rsidR="00A81C80" w:rsidRPr="0056265D" w:rsidTr="00EC3C1A">
        <w:tc>
          <w:tcPr>
            <w:tcW w:w="4927" w:type="dxa"/>
            <w:shd w:val="clear" w:color="auto" w:fill="auto"/>
          </w:tcPr>
          <w:p w:rsidR="00A81C80" w:rsidRPr="00EC3C1A" w:rsidRDefault="00A81C80" w:rsidP="00EC3C1A">
            <w:pPr>
              <w:pStyle w:val="Default"/>
            </w:pPr>
            <w:r w:rsidRPr="00EC3C1A">
              <w:lastRenderedPageBreak/>
              <w:t xml:space="preserve">Aktyvios pilietinės ir visuomeninės veiklos, smulkaus ir vidutinio verslo iniciatyvų skatinimas ir rėmimas. Užimtumo darbo rinkoje didinimas </w:t>
            </w:r>
          </w:p>
        </w:tc>
        <w:tc>
          <w:tcPr>
            <w:tcW w:w="4927" w:type="dxa"/>
            <w:shd w:val="clear" w:color="auto" w:fill="auto"/>
          </w:tcPr>
          <w:p w:rsidR="00A81C80" w:rsidRPr="00EC3C1A" w:rsidRDefault="00A81C80" w:rsidP="00EC3C1A">
            <w:pPr>
              <w:pStyle w:val="Default"/>
            </w:pPr>
            <w:r w:rsidRPr="00EC3C1A">
              <w:t xml:space="preserve">Nepakankamas tiesioginių užsienio ir materialinių investicijų pritraukimas </w:t>
            </w:r>
          </w:p>
          <w:p w:rsidR="00A81C80" w:rsidRPr="0071559A" w:rsidRDefault="00A81C80" w:rsidP="00EC3C1A">
            <w:pPr>
              <w:pStyle w:val="Default"/>
              <w:rPr>
                <w:rFonts w:eastAsia="Times New Roman"/>
                <w:b/>
                <w:bCs/>
              </w:rPr>
            </w:pPr>
          </w:p>
        </w:tc>
      </w:tr>
      <w:tr w:rsidR="00A81C80" w:rsidRPr="0056265D" w:rsidTr="00EC3C1A">
        <w:tc>
          <w:tcPr>
            <w:tcW w:w="4927" w:type="dxa"/>
            <w:shd w:val="clear" w:color="auto" w:fill="auto"/>
          </w:tcPr>
          <w:p w:rsidR="00A81C80" w:rsidRPr="00EC3C1A" w:rsidRDefault="00A81C80" w:rsidP="00EC3C1A">
            <w:pPr>
              <w:pStyle w:val="Default"/>
            </w:pPr>
            <w:r w:rsidRPr="00EC3C1A">
              <w:t>Vykdomos investicijos į viešosios infrastruktūros modernizavimą ir pritaikymą viešosioms bendruomeninėms reikmėms, pastatų</w:t>
            </w:r>
            <w:r>
              <w:t xml:space="preserve"> </w:t>
            </w:r>
            <w:r w:rsidRPr="00EC3C1A">
              <w:t>/</w:t>
            </w:r>
            <w:r>
              <w:t xml:space="preserve"> </w:t>
            </w:r>
            <w:r w:rsidRPr="00EC3C1A">
              <w:t xml:space="preserve">daugiabučių namų energinio efektyvumo didinimą </w:t>
            </w:r>
          </w:p>
        </w:tc>
        <w:tc>
          <w:tcPr>
            <w:tcW w:w="4927" w:type="dxa"/>
            <w:shd w:val="clear" w:color="auto" w:fill="auto"/>
          </w:tcPr>
          <w:p w:rsidR="00A81C80" w:rsidRPr="00EC3C1A" w:rsidRDefault="00A81C80" w:rsidP="00EC3C1A">
            <w:pPr>
              <w:pStyle w:val="Default"/>
            </w:pPr>
            <w:r w:rsidRPr="00EC3C1A">
              <w:t xml:space="preserve">Mažas verslo sektoriaus konkurencingumas ir investicinės aplinkos patrauklumas </w:t>
            </w:r>
          </w:p>
          <w:p w:rsidR="00A81C80" w:rsidRPr="0071559A" w:rsidRDefault="00A81C80" w:rsidP="00EC3C1A">
            <w:pPr>
              <w:spacing w:before="100" w:beforeAutospacing="1" w:after="100" w:afterAutospacing="1"/>
              <w:jc w:val="center"/>
              <w:rPr>
                <w:rFonts w:ascii="Times New Roman" w:eastAsia="Times New Roman" w:hAnsi="Times New Roman"/>
                <w:b/>
                <w:bCs/>
                <w:sz w:val="24"/>
                <w:szCs w:val="24"/>
                <w:lang w:eastAsia="lt-LT"/>
              </w:rPr>
            </w:pPr>
          </w:p>
        </w:tc>
      </w:tr>
      <w:tr w:rsidR="00A81C80" w:rsidRPr="0056265D" w:rsidTr="00EC3C1A">
        <w:tc>
          <w:tcPr>
            <w:tcW w:w="4927" w:type="dxa"/>
            <w:shd w:val="clear" w:color="auto" w:fill="auto"/>
          </w:tcPr>
          <w:p w:rsidR="00A81C80" w:rsidRPr="00EC3C1A" w:rsidRDefault="00A81C80" w:rsidP="00EC3C1A">
            <w:pPr>
              <w:pStyle w:val="Default"/>
            </w:pPr>
            <w:r w:rsidRPr="00EC3C1A">
              <w:t>Vykdomos kryptingos investicijos į socialinių paslaugų teikimo, sveikatos priežiūros, švietimo sistemos modernizavimą</w:t>
            </w:r>
          </w:p>
        </w:tc>
        <w:tc>
          <w:tcPr>
            <w:tcW w:w="4927" w:type="dxa"/>
            <w:shd w:val="clear" w:color="auto" w:fill="auto"/>
          </w:tcPr>
          <w:p w:rsidR="00A81C80" w:rsidRPr="0071559A" w:rsidRDefault="00A81C80" w:rsidP="003E6A49">
            <w:pPr>
              <w:spacing w:before="100" w:beforeAutospacing="1" w:after="100" w:afterAutospacing="1"/>
              <w:rPr>
                <w:rFonts w:ascii="Times New Roman" w:eastAsia="Times New Roman" w:hAnsi="Times New Roman"/>
                <w:b/>
                <w:bCs/>
                <w:sz w:val="24"/>
                <w:szCs w:val="24"/>
                <w:lang w:eastAsia="lt-LT"/>
              </w:rPr>
            </w:pPr>
            <w:r w:rsidRPr="00EC3C1A">
              <w:rPr>
                <w:rFonts w:ascii="Times New Roman" w:hAnsi="Times New Roman"/>
                <w:color w:val="000000"/>
                <w:sz w:val="24"/>
                <w:szCs w:val="24"/>
                <w:lang w:eastAsia="lt-LT"/>
              </w:rPr>
              <w:t>Mieste trūksta automobilių stovėjimo vietų. Neišasfaltuotos gatvės, esančios atokiau nuo miesto centro</w:t>
            </w:r>
            <w:r w:rsidR="003E6A49">
              <w:rPr>
                <w:rFonts w:ascii="Times New Roman" w:hAnsi="Times New Roman"/>
                <w:color w:val="000000"/>
                <w:sz w:val="24"/>
                <w:szCs w:val="24"/>
                <w:lang w:eastAsia="lt-LT"/>
              </w:rPr>
              <w:t xml:space="preserve">, </w:t>
            </w:r>
          </w:p>
        </w:tc>
      </w:tr>
      <w:tr w:rsidR="00A81C80" w:rsidRPr="0056265D" w:rsidTr="00EC3C1A">
        <w:tc>
          <w:tcPr>
            <w:tcW w:w="4927" w:type="dxa"/>
            <w:shd w:val="clear" w:color="auto" w:fill="auto"/>
          </w:tcPr>
          <w:p w:rsidR="00A81C80" w:rsidRPr="00EC3C1A" w:rsidRDefault="00A81C80" w:rsidP="003E6A49">
            <w:pPr>
              <w:pStyle w:val="Default"/>
            </w:pPr>
            <w:r w:rsidRPr="00EC3C1A">
              <w:t>Mažėjantis įvairių socialin</w:t>
            </w:r>
            <w:r w:rsidR="003E6A49">
              <w:t>ių išmokų gavimo, bet didėjanti</w:t>
            </w:r>
            <w:r w:rsidRPr="00EC3C1A">
              <w:t xml:space="preserve"> socialinių paslaugų </w:t>
            </w:r>
            <w:r w:rsidR="003E6A49">
              <w:t xml:space="preserve">įvairovė </w:t>
            </w:r>
            <w:r w:rsidRPr="00EC3C1A">
              <w:t>ir poreikis</w:t>
            </w:r>
          </w:p>
        </w:tc>
        <w:tc>
          <w:tcPr>
            <w:tcW w:w="4927" w:type="dxa"/>
            <w:shd w:val="clear" w:color="auto" w:fill="auto"/>
          </w:tcPr>
          <w:p w:rsidR="00A81C80" w:rsidRPr="00EC3C1A" w:rsidRDefault="00A81C80" w:rsidP="00EC3C1A">
            <w:pPr>
              <w:pStyle w:val="Default"/>
            </w:pPr>
            <w:r w:rsidRPr="0071559A">
              <w:t>Nepalankios demografinės tendencijos – senstanti visuomenė, sparti emigracija</w:t>
            </w:r>
          </w:p>
        </w:tc>
      </w:tr>
      <w:tr w:rsidR="00A81C80" w:rsidRPr="0056265D" w:rsidTr="00EC3C1A">
        <w:tc>
          <w:tcPr>
            <w:tcW w:w="4927" w:type="dxa"/>
            <w:shd w:val="clear" w:color="auto" w:fill="auto"/>
          </w:tcPr>
          <w:p w:rsidR="00A81C80" w:rsidRPr="00EC3C1A" w:rsidRDefault="00A81C80" w:rsidP="00EC3C1A">
            <w:pPr>
              <w:pStyle w:val="Default"/>
            </w:pPr>
            <w:r w:rsidRPr="00EC3C1A">
              <w:t xml:space="preserve">Patogi ir išskirtinė Alytaus miesto geografinė padėtis, turtinga gamtinė aplinka </w:t>
            </w:r>
          </w:p>
        </w:tc>
        <w:tc>
          <w:tcPr>
            <w:tcW w:w="4927" w:type="dxa"/>
            <w:shd w:val="clear" w:color="auto" w:fill="auto"/>
          </w:tcPr>
          <w:p w:rsidR="00A81C80" w:rsidRPr="00EC3C1A" w:rsidRDefault="00A81C80" w:rsidP="00EC3C1A">
            <w:pPr>
              <w:pStyle w:val="Default"/>
            </w:pPr>
            <w:r w:rsidRPr="0071559A">
              <w:rPr>
                <w:color w:val="auto"/>
              </w:rPr>
              <w:t>Mažos daugiabučių gyve</w:t>
            </w:r>
            <w:r w:rsidRPr="0071559A">
              <w:t>namųjų namų atnaujinimo apimtys, s</w:t>
            </w:r>
            <w:r w:rsidRPr="00EC3C1A">
              <w:t xml:space="preserve">ocialinio būsto fondo trūkumas </w:t>
            </w:r>
          </w:p>
        </w:tc>
      </w:tr>
      <w:tr w:rsidR="00A81C80" w:rsidRPr="0056265D" w:rsidTr="00EC3C1A">
        <w:tc>
          <w:tcPr>
            <w:tcW w:w="4927" w:type="dxa"/>
            <w:shd w:val="clear" w:color="auto" w:fill="auto"/>
          </w:tcPr>
          <w:p w:rsidR="00A81C80" w:rsidRPr="00EC3C1A" w:rsidRDefault="00A81C80" w:rsidP="00EC3C1A">
            <w:pPr>
              <w:tabs>
                <w:tab w:val="left" w:pos="0"/>
                <w:tab w:val="num" w:pos="3498"/>
              </w:tabs>
              <w:jc w:val="both"/>
              <w:rPr>
                <w:rFonts w:ascii="Times New Roman" w:hAnsi="Times New Roman"/>
                <w:sz w:val="24"/>
                <w:szCs w:val="24"/>
              </w:rPr>
            </w:pPr>
            <w:r w:rsidRPr="00EC3C1A">
              <w:rPr>
                <w:rFonts w:ascii="Times New Roman" w:eastAsia="Times New Roman" w:hAnsi="Times New Roman"/>
                <w:sz w:val="24"/>
                <w:szCs w:val="24"/>
              </w:rPr>
              <w:t>Intensyvėjantis gyvenimo tempas ir dėl to augantys vartotojų reikalavimai poilsio kokybei ir infrastruktūrai</w:t>
            </w:r>
          </w:p>
        </w:tc>
        <w:tc>
          <w:tcPr>
            <w:tcW w:w="4927" w:type="dxa"/>
            <w:shd w:val="clear" w:color="auto" w:fill="auto"/>
          </w:tcPr>
          <w:p w:rsidR="00A81C80" w:rsidRPr="0071559A" w:rsidRDefault="00A81C80" w:rsidP="00EC3C1A">
            <w:pPr>
              <w:pStyle w:val="Default"/>
              <w:rPr>
                <w:color w:val="auto"/>
              </w:rPr>
            </w:pPr>
          </w:p>
        </w:tc>
      </w:tr>
    </w:tbl>
    <w:p w:rsidR="00A81C80" w:rsidRPr="0054632D" w:rsidRDefault="00A81C80" w:rsidP="00A81C80">
      <w:pPr>
        <w:spacing w:before="100" w:beforeAutospacing="1" w:after="100" w:afterAutospacing="1"/>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ALYTAUS</w:t>
      </w:r>
      <w:r w:rsidRPr="0054632D">
        <w:rPr>
          <w:rFonts w:ascii="Times New Roman" w:eastAsia="Times New Roman" w:hAnsi="Times New Roman"/>
          <w:b/>
          <w:bCs/>
          <w:sz w:val="24"/>
          <w:szCs w:val="24"/>
          <w:lang w:eastAsia="lt-LT"/>
        </w:rPr>
        <w:t xml:space="preserve"> MIESTO VYSTYMO PRIORITETAI</w:t>
      </w:r>
    </w:p>
    <w:p w:rsidR="00A81C80" w:rsidRDefault="00A81C80" w:rsidP="00A81C80">
      <w:pPr>
        <w:jc w:val="both"/>
        <w:rPr>
          <w:rFonts w:ascii="Times New Roman" w:hAnsi="Times New Roman"/>
          <w:sz w:val="24"/>
          <w:szCs w:val="24"/>
          <w:lang w:eastAsia="lt-LT"/>
        </w:rPr>
      </w:pPr>
      <w:r>
        <w:rPr>
          <w:rFonts w:ascii="Times New Roman" w:hAnsi="Times New Roman"/>
          <w:sz w:val="24"/>
          <w:szCs w:val="24"/>
          <w:lang w:eastAsia="lt-LT"/>
        </w:rPr>
        <w:tab/>
      </w:r>
      <w:r w:rsidRPr="00E56166">
        <w:rPr>
          <w:rFonts w:ascii="Times New Roman" w:hAnsi="Times New Roman"/>
          <w:sz w:val="24"/>
          <w:szCs w:val="24"/>
          <w:lang w:eastAsia="lt-LT"/>
        </w:rPr>
        <w:t>Alytaus miesto savivaldybės plėtros</w:t>
      </w:r>
      <w:r w:rsidRPr="00E56166">
        <w:rPr>
          <w:rFonts w:ascii="Times New Roman" w:hAnsi="Times New Roman"/>
          <w:b/>
          <w:bCs/>
          <w:sz w:val="24"/>
          <w:szCs w:val="24"/>
          <w:lang w:eastAsia="lt-LT"/>
        </w:rPr>
        <w:t xml:space="preserve"> </w:t>
      </w:r>
      <w:r w:rsidRPr="00E56166">
        <w:rPr>
          <w:rFonts w:ascii="Times New Roman" w:hAnsi="Times New Roman"/>
          <w:bCs/>
          <w:sz w:val="24"/>
          <w:szCs w:val="24"/>
          <w:lang w:eastAsia="lt-LT"/>
        </w:rPr>
        <w:t>iki 2020 metų</w:t>
      </w:r>
      <w:r w:rsidRPr="00E56166">
        <w:rPr>
          <w:rFonts w:ascii="Times New Roman" w:hAnsi="Times New Roman"/>
          <w:b/>
          <w:bCs/>
          <w:sz w:val="24"/>
          <w:szCs w:val="24"/>
          <w:lang w:eastAsia="lt-LT"/>
        </w:rPr>
        <w:t xml:space="preserve"> </w:t>
      </w:r>
      <w:r w:rsidRPr="00E56166">
        <w:rPr>
          <w:rFonts w:ascii="Times New Roman" w:hAnsi="Times New Roman"/>
          <w:sz w:val="24"/>
          <w:szCs w:val="24"/>
          <w:lang w:eastAsia="lt-LT"/>
        </w:rPr>
        <w:t xml:space="preserve">plane išskirti trys miesto vystymo prioritetai: </w:t>
      </w:r>
    </w:p>
    <w:p w:rsidR="00A81C80" w:rsidRDefault="00A81C80" w:rsidP="00A81C80">
      <w:pPr>
        <w:jc w:val="both"/>
        <w:rPr>
          <w:rFonts w:ascii="Times New Roman" w:hAnsi="Times New Roman"/>
          <w:sz w:val="24"/>
          <w:szCs w:val="24"/>
          <w:lang w:eastAsia="lt-LT"/>
        </w:rPr>
      </w:pPr>
      <w:r>
        <w:rPr>
          <w:rFonts w:ascii="Times New Roman" w:hAnsi="Times New Roman"/>
          <w:sz w:val="24"/>
          <w:szCs w:val="24"/>
          <w:lang w:eastAsia="lt-LT"/>
        </w:rPr>
        <w:tab/>
      </w:r>
      <w:r w:rsidRPr="00E56166">
        <w:rPr>
          <w:rFonts w:ascii="Times New Roman" w:hAnsi="Times New Roman"/>
          <w:sz w:val="24"/>
          <w:szCs w:val="24"/>
          <w:lang w:eastAsia="lt-LT"/>
        </w:rPr>
        <w:t>1. Viešųjų paslaugų kokybės ir prieinamumo užtikrinimas, ugdant sumanią, veiklią i</w:t>
      </w:r>
      <w:r>
        <w:rPr>
          <w:rFonts w:ascii="Times New Roman" w:hAnsi="Times New Roman"/>
          <w:sz w:val="24"/>
          <w:szCs w:val="24"/>
          <w:lang w:eastAsia="lt-LT"/>
        </w:rPr>
        <w:t>r solidarią miesto bendruomenę.</w:t>
      </w:r>
    </w:p>
    <w:p w:rsidR="00A81C80" w:rsidRDefault="00A81C80" w:rsidP="00A81C80">
      <w:pPr>
        <w:jc w:val="both"/>
        <w:rPr>
          <w:rFonts w:ascii="Times New Roman" w:hAnsi="Times New Roman"/>
          <w:sz w:val="24"/>
          <w:szCs w:val="24"/>
          <w:lang w:eastAsia="lt-LT"/>
        </w:rPr>
      </w:pPr>
      <w:r>
        <w:rPr>
          <w:rFonts w:ascii="Times New Roman" w:hAnsi="Times New Roman"/>
          <w:sz w:val="24"/>
          <w:szCs w:val="24"/>
          <w:lang w:eastAsia="lt-LT"/>
        </w:rPr>
        <w:tab/>
      </w:r>
      <w:r w:rsidRPr="00E56166">
        <w:rPr>
          <w:rFonts w:ascii="Times New Roman" w:hAnsi="Times New Roman"/>
          <w:sz w:val="24"/>
          <w:szCs w:val="24"/>
          <w:lang w:eastAsia="lt-LT"/>
        </w:rPr>
        <w:t xml:space="preserve"> 2. Miesto ekonominio augimo skatinimas, didinant verslo konkurencingumą, eksport</w:t>
      </w:r>
      <w:r>
        <w:rPr>
          <w:rFonts w:ascii="Times New Roman" w:hAnsi="Times New Roman"/>
          <w:sz w:val="24"/>
          <w:szCs w:val="24"/>
          <w:lang w:eastAsia="lt-LT"/>
        </w:rPr>
        <w:t>o apimtis ir gyventojų užimtumą.</w:t>
      </w:r>
    </w:p>
    <w:p w:rsidR="00A81C80" w:rsidRDefault="00A81C80" w:rsidP="00A81C80">
      <w:pPr>
        <w:jc w:val="both"/>
        <w:rPr>
          <w:rFonts w:ascii="Times New Roman" w:hAnsi="Times New Roman"/>
          <w:sz w:val="24"/>
          <w:szCs w:val="24"/>
          <w:lang w:eastAsia="lt-LT"/>
        </w:rPr>
      </w:pPr>
      <w:r>
        <w:rPr>
          <w:rFonts w:ascii="Times New Roman" w:hAnsi="Times New Roman"/>
          <w:sz w:val="24"/>
          <w:szCs w:val="24"/>
          <w:lang w:eastAsia="lt-LT"/>
        </w:rPr>
        <w:tab/>
      </w:r>
      <w:r w:rsidRPr="00E56166">
        <w:rPr>
          <w:rFonts w:ascii="Times New Roman" w:hAnsi="Times New Roman"/>
          <w:sz w:val="24"/>
          <w:szCs w:val="24"/>
          <w:lang w:eastAsia="lt-LT"/>
        </w:rPr>
        <w:t xml:space="preserve"> 3. Darni miesto infrastruktūros plėtra. </w:t>
      </w:r>
    </w:p>
    <w:p w:rsidR="00A81C80" w:rsidRPr="000B1BAF" w:rsidRDefault="00A81C80" w:rsidP="00A81C80">
      <w:pPr>
        <w:jc w:val="both"/>
        <w:rPr>
          <w:rFonts w:ascii="Times New Roman" w:hAnsi="Times New Roman"/>
          <w:sz w:val="24"/>
          <w:szCs w:val="24"/>
        </w:rPr>
      </w:pPr>
      <w:r>
        <w:rPr>
          <w:rFonts w:ascii="Times New Roman" w:hAnsi="Times New Roman"/>
          <w:sz w:val="24"/>
          <w:szCs w:val="24"/>
        </w:rPr>
        <w:tab/>
        <w:t>Alytaus</w:t>
      </w:r>
      <w:r w:rsidRPr="000B1BAF">
        <w:rPr>
          <w:rFonts w:ascii="Times New Roman" w:hAnsi="Times New Roman"/>
          <w:sz w:val="24"/>
          <w:szCs w:val="24"/>
        </w:rPr>
        <w:t xml:space="preserve"> miesto savivaldybės veiklos rezultatams pov</w:t>
      </w:r>
      <w:r>
        <w:rPr>
          <w:rFonts w:ascii="Times New Roman" w:hAnsi="Times New Roman"/>
          <w:sz w:val="24"/>
          <w:szCs w:val="24"/>
        </w:rPr>
        <w:t>eikį darantys siekiai yra glaudž</w:t>
      </w:r>
      <w:r w:rsidRPr="000B1BAF">
        <w:rPr>
          <w:rFonts w:ascii="Times New Roman" w:hAnsi="Times New Roman"/>
          <w:sz w:val="24"/>
          <w:szCs w:val="24"/>
        </w:rPr>
        <w:t xml:space="preserve">iai susiję ne tik su </w:t>
      </w:r>
      <w:r>
        <w:rPr>
          <w:rFonts w:ascii="Times New Roman" w:hAnsi="Times New Roman"/>
          <w:sz w:val="24"/>
          <w:szCs w:val="24"/>
        </w:rPr>
        <w:t>Alytaus</w:t>
      </w:r>
      <w:r w:rsidRPr="000B1BAF">
        <w:rPr>
          <w:rFonts w:ascii="Times New Roman" w:hAnsi="Times New Roman"/>
          <w:sz w:val="24"/>
          <w:szCs w:val="24"/>
        </w:rPr>
        <w:t xml:space="preserve"> miesto savivaldybės strateginio plėtros plano prioritetinėse s</w:t>
      </w:r>
      <w:r>
        <w:rPr>
          <w:rFonts w:ascii="Times New Roman" w:hAnsi="Times New Roman"/>
          <w:sz w:val="24"/>
          <w:szCs w:val="24"/>
        </w:rPr>
        <w:t>rityse nurodytais tikslais ir už</w:t>
      </w:r>
      <w:r w:rsidRPr="000B1BAF">
        <w:rPr>
          <w:rFonts w:ascii="Times New Roman" w:hAnsi="Times New Roman"/>
          <w:sz w:val="24"/>
          <w:szCs w:val="24"/>
        </w:rPr>
        <w:t xml:space="preserve">daviniais, bet ir </w:t>
      </w:r>
      <w:r>
        <w:rPr>
          <w:rFonts w:ascii="Times New Roman" w:hAnsi="Times New Roman"/>
          <w:sz w:val="24"/>
          <w:szCs w:val="24"/>
        </w:rPr>
        <w:t>Alytaus</w:t>
      </w:r>
      <w:r w:rsidRPr="000B1BAF">
        <w:rPr>
          <w:rFonts w:ascii="Times New Roman" w:hAnsi="Times New Roman"/>
          <w:sz w:val="24"/>
          <w:szCs w:val="24"/>
        </w:rPr>
        <w:t xml:space="preserve"> miesto savivaldybės tarybos daugumos veiklos programos nuostatomis. </w:t>
      </w:r>
      <w:r>
        <w:rPr>
          <w:rFonts w:ascii="Times New Roman" w:hAnsi="Times New Roman"/>
          <w:sz w:val="24"/>
          <w:szCs w:val="24"/>
        </w:rPr>
        <w:t xml:space="preserve">Alytaus </w:t>
      </w:r>
      <w:r w:rsidRPr="000B1BAF">
        <w:rPr>
          <w:rFonts w:ascii="Times New Roman" w:hAnsi="Times New Roman"/>
          <w:sz w:val="24"/>
          <w:szCs w:val="24"/>
        </w:rPr>
        <w:t>miesto savivaldybės strateginio planavimo dokumentai rengiami ir veiklos prioritetai nustatyti vadovaujantis darnaus miestų plėtros principais.</w:t>
      </w:r>
    </w:p>
    <w:p w:rsidR="00A81C80" w:rsidRPr="006B6506" w:rsidRDefault="00A81C80" w:rsidP="006B6506">
      <w:pPr>
        <w:jc w:val="both"/>
        <w:rPr>
          <w:rFonts w:ascii="Times New Roman" w:hAnsi="Times New Roman"/>
          <w:sz w:val="24"/>
          <w:szCs w:val="24"/>
          <w:lang w:eastAsia="lt-LT"/>
        </w:rPr>
      </w:pPr>
      <w:r>
        <w:rPr>
          <w:rFonts w:ascii="Times New Roman" w:hAnsi="Times New Roman"/>
          <w:sz w:val="24"/>
          <w:szCs w:val="24"/>
          <w:lang w:eastAsia="lt-LT"/>
        </w:rPr>
        <w:tab/>
      </w:r>
      <w:r w:rsidRPr="00E56166">
        <w:rPr>
          <w:rFonts w:ascii="Times New Roman" w:hAnsi="Times New Roman"/>
          <w:sz w:val="24"/>
          <w:szCs w:val="24"/>
          <w:lang w:eastAsia="lt-LT"/>
        </w:rPr>
        <w:t xml:space="preserve">Toliau pateikiama informacija, ką Alytaus miesto savivaldybės institucijos ketina nuveikti 2017–2019 m., įgyvendindamos prioritetuose numatytus tikslus, uždavinius ir priemones. </w:t>
      </w:r>
    </w:p>
    <w:p w:rsidR="00A81C80" w:rsidRPr="003C467F" w:rsidRDefault="00A81C80" w:rsidP="00A81C80">
      <w:pPr>
        <w:pStyle w:val="Default"/>
        <w:spacing w:after="9"/>
        <w:ind w:firstLine="1296"/>
        <w:jc w:val="both"/>
        <w:rPr>
          <w:color w:val="auto"/>
          <w:sz w:val="23"/>
          <w:szCs w:val="23"/>
        </w:rPr>
      </w:pPr>
      <w:r w:rsidRPr="00775C64">
        <w:rPr>
          <w:sz w:val="23"/>
          <w:szCs w:val="23"/>
        </w:rPr>
        <w:t>Veiklos prioritetų įgyvendinimas yra siejamas su numatomais strateginiais savivaldybės ekonominės, socia</w:t>
      </w:r>
      <w:r>
        <w:rPr>
          <w:sz w:val="23"/>
          <w:szCs w:val="23"/>
        </w:rPr>
        <w:t>linės plėtros ir valdymo sričių</w:t>
      </w:r>
      <w:r w:rsidRPr="00775C64">
        <w:rPr>
          <w:sz w:val="23"/>
          <w:szCs w:val="23"/>
        </w:rPr>
        <w:t xml:space="preserve"> pokyčiais. </w:t>
      </w:r>
      <w:r>
        <w:rPr>
          <w:sz w:val="23"/>
          <w:szCs w:val="23"/>
        </w:rPr>
        <w:t>Jie</w:t>
      </w:r>
      <w:r w:rsidRPr="00775C64">
        <w:rPr>
          <w:sz w:val="23"/>
          <w:szCs w:val="23"/>
        </w:rPr>
        <w:t xml:space="preserve"> orientuoti į savivaldybės ekonominio konkurencingumo didinimą, socialinės aplinkos patrauklumą ir </w:t>
      </w:r>
      <w:r>
        <w:rPr>
          <w:sz w:val="23"/>
          <w:szCs w:val="23"/>
        </w:rPr>
        <w:t>gyvenamosios aplinkos gerinimą</w:t>
      </w:r>
      <w:r w:rsidRPr="00775C64">
        <w:rPr>
          <w:sz w:val="23"/>
          <w:szCs w:val="23"/>
        </w:rPr>
        <w:t>, verslo subjektų, viešojo sektoriaus institucijų ir įstaigų, nevyriausybinių organizacijų partnerystės ir bendradarbiavimo stiprinimą, v</w:t>
      </w:r>
      <w:r>
        <w:rPr>
          <w:sz w:val="23"/>
          <w:szCs w:val="23"/>
        </w:rPr>
        <w:t>aldymo efektyvumo didinimą. 2017–2019</w:t>
      </w:r>
      <w:r w:rsidRPr="00775C64">
        <w:rPr>
          <w:sz w:val="23"/>
          <w:szCs w:val="23"/>
        </w:rPr>
        <w:t xml:space="preserve"> met</w:t>
      </w:r>
      <w:r>
        <w:rPr>
          <w:sz w:val="23"/>
          <w:szCs w:val="23"/>
        </w:rPr>
        <w:t>ais</w:t>
      </w:r>
      <w:r w:rsidRPr="00775C64">
        <w:rPr>
          <w:sz w:val="23"/>
          <w:szCs w:val="23"/>
        </w:rPr>
        <w:t xml:space="preserve"> išskiriamos trys pagrindinės sritys, kuriose turi įvykti esminiai pokyčiai: </w:t>
      </w:r>
      <w:r w:rsidRPr="003C467F">
        <w:rPr>
          <w:color w:val="auto"/>
          <w:sz w:val="23"/>
          <w:szCs w:val="23"/>
        </w:rPr>
        <w:t xml:space="preserve">darni bendruomenė, konkurencinga ekonomika, saugi ir patogi gyventi aplinka. </w:t>
      </w:r>
    </w:p>
    <w:p w:rsidR="00A81C80" w:rsidRDefault="00A81C80" w:rsidP="00A81C80">
      <w:pPr>
        <w:pStyle w:val="Default"/>
        <w:spacing w:after="9"/>
        <w:ind w:left="720"/>
        <w:rPr>
          <w:sz w:val="23"/>
          <w:szCs w:val="23"/>
        </w:rPr>
      </w:pPr>
    </w:p>
    <w:p w:rsidR="00A81C80" w:rsidRPr="00EC3C1A" w:rsidRDefault="00A81C80" w:rsidP="00A81C80">
      <w:pPr>
        <w:pStyle w:val="Default"/>
        <w:spacing w:after="9"/>
        <w:jc w:val="center"/>
        <w:rPr>
          <w:b/>
          <w:sz w:val="23"/>
          <w:szCs w:val="23"/>
        </w:rPr>
      </w:pPr>
      <w:r w:rsidRPr="00EC3C1A">
        <w:rPr>
          <w:b/>
          <w:sz w:val="23"/>
          <w:szCs w:val="23"/>
        </w:rPr>
        <w:t>2017–2019 METŲ POKYČIŲ INICIATYVOS</w:t>
      </w:r>
    </w:p>
    <w:p w:rsidR="00A81C80" w:rsidRDefault="00A81C80" w:rsidP="00A81C80">
      <w:pPr>
        <w:pStyle w:val="Default"/>
        <w:spacing w:after="9"/>
        <w:ind w:left="720"/>
        <w:jc w:val="center"/>
        <w:rPr>
          <w:sz w:val="23"/>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5353"/>
        <w:gridCol w:w="1417"/>
      </w:tblGrid>
      <w:tr w:rsidR="00A81C80" w:rsidRPr="006B645D" w:rsidTr="00EC3C1A">
        <w:tc>
          <w:tcPr>
            <w:tcW w:w="2019" w:type="dxa"/>
            <w:shd w:val="clear" w:color="auto" w:fill="auto"/>
          </w:tcPr>
          <w:p w:rsidR="00A81C80" w:rsidRPr="00EC3C1A" w:rsidRDefault="00A81C80" w:rsidP="00EC3C1A">
            <w:pPr>
              <w:pStyle w:val="Default"/>
              <w:spacing w:after="9"/>
              <w:jc w:val="center"/>
              <w:rPr>
                <w:sz w:val="22"/>
                <w:szCs w:val="22"/>
              </w:rPr>
            </w:pPr>
            <w:r w:rsidRPr="00EC3C1A">
              <w:rPr>
                <w:sz w:val="22"/>
                <w:szCs w:val="22"/>
              </w:rPr>
              <w:t>Pokyčių kryptys</w:t>
            </w:r>
          </w:p>
        </w:tc>
        <w:tc>
          <w:tcPr>
            <w:tcW w:w="5353" w:type="dxa"/>
            <w:shd w:val="clear" w:color="auto" w:fill="auto"/>
          </w:tcPr>
          <w:p w:rsidR="00A81C80" w:rsidRPr="00EC3C1A" w:rsidRDefault="00A81C80" w:rsidP="00EC3C1A">
            <w:pPr>
              <w:pStyle w:val="Default"/>
              <w:spacing w:after="9"/>
              <w:jc w:val="center"/>
              <w:rPr>
                <w:sz w:val="22"/>
                <w:szCs w:val="22"/>
              </w:rPr>
            </w:pPr>
            <w:r w:rsidRPr="00EC3C1A">
              <w:rPr>
                <w:sz w:val="22"/>
                <w:szCs w:val="22"/>
              </w:rPr>
              <w:t>Numatomi darbai</w:t>
            </w:r>
          </w:p>
        </w:tc>
        <w:tc>
          <w:tcPr>
            <w:tcW w:w="1417" w:type="dxa"/>
            <w:shd w:val="clear" w:color="auto" w:fill="auto"/>
          </w:tcPr>
          <w:p w:rsidR="00A81C80" w:rsidRPr="00EC3C1A" w:rsidRDefault="00A81C80" w:rsidP="00EC3C1A">
            <w:pPr>
              <w:pStyle w:val="Default"/>
              <w:spacing w:after="9"/>
              <w:jc w:val="center"/>
              <w:rPr>
                <w:sz w:val="22"/>
                <w:szCs w:val="22"/>
              </w:rPr>
            </w:pPr>
          </w:p>
        </w:tc>
      </w:tr>
      <w:tr w:rsidR="00A81C80" w:rsidRPr="006B645D" w:rsidTr="00EC3C1A">
        <w:tc>
          <w:tcPr>
            <w:tcW w:w="2019"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03"/>
            </w:tblGrid>
            <w:tr w:rsidR="00A81C80" w:rsidRPr="00461DB6" w:rsidTr="00EC3C1A">
              <w:trPr>
                <w:trHeight w:val="320"/>
              </w:trPr>
              <w:tc>
                <w:tcPr>
                  <w:tcW w:w="0" w:type="auto"/>
                </w:tcPr>
                <w:p w:rsidR="00A81C80" w:rsidRPr="00461DB6" w:rsidRDefault="00A81C80" w:rsidP="00EC3C1A">
                  <w:pPr>
                    <w:pStyle w:val="Default"/>
                  </w:pPr>
                  <w:r w:rsidRPr="00461DB6">
                    <w:t xml:space="preserve">Efektyvus viešasis valdymas ir administravimas </w:t>
                  </w:r>
                </w:p>
              </w:tc>
            </w:tr>
          </w:tbl>
          <w:p w:rsidR="00A81C80" w:rsidRPr="00461DB6" w:rsidRDefault="00A81C80" w:rsidP="00EC3C1A">
            <w:pPr>
              <w:pStyle w:val="Default"/>
              <w:spacing w:after="9"/>
              <w:jc w:val="center"/>
            </w:pPr>
          </w:p>
        </w:tc>
        <w:tc>
          <w:tcPr>
            <w:tcW w:w="5353" w:type="dxa"/>
            <w:shd w:val="clear" w:color="auto" w:fill="auto"/>
          </w:tcPr>
          <w:p w:rsidR="00A81C80" w:rsidRPr="001937CE" w:rsidRDefault="00A81C80" w:rsidP="00EC3C1A">
            <w:pPr>
              <w:pStyle w:val="Default"/>
              <w:rPr>
                <w:color w:val="auto"/>
              </w:rPr>
            </w:pPr>
            <w:r w:rsidRPr="001937CE">
              <w:rPr>
                <w:color w:val="auto"/>
              </w:rPr>
              <w:t>Parengti švietimo sistemos tobulinimo strategiją</w:t>
            </w:r>
          </w:p>
        </w:tc>
        <w:tc>
          <w:tcPr>
            <w:tcW w:w="1417" w:type="dxa"/>
            <w:shd w:val="clear" w:color="auto" w:fill="auto"/>
          </w:tcPr>
          <w:p w:rsidR="00A81C80" w:rsidRPr="006B645D" w:rsidRDefault="00A81C80" w:rsidP="00EC3C1A">
            <w:pPr>
              <w:pStyle w:val="Default"/>
              <w:spacing w:after="9"/>
              <w:jc w:val="center"/>
              <w:rPr>
                <w:sz w:val="23"/>
                <w:szCs w:val="23"/>
              </w:rPr>
            </w:pPr>
            <w:r w:rsidRPr="006B645D">
              <w:rPr>
                <w:sz w:val="23"/>
                <w:szCs w:val="23"/>
              </w:rPr>
              <w:t>2017</w:t>
            </w:r>
          </w:p>
        </w:tc>
      </w:tr>
      <w:tr w:rsidR="00A81C80" w:rsidRPr="006B645D" w:rsidTr="00EC3C1A">
        <w:tc>
          <w:tcPr>
            <w:tcW w:w="2019" w:type="dxa"/>
            <w:vMerge/>
            <w:shd w:val="clear" w:color="auto" w:fill="auto"/>
          </w:tcPr>
          <w:p w:rsidR="00A81C80" w:rsidRPr="00461DB6" w:rsidRDefault="00A81C80" w:rsidP="00EC3C1A">
            <w:pPr>
              <w:pStyle w:val="Default"/>
            </w:pPr>
          </w:p>
        </w:tc>
        <w:tc>
          <w:tcPr>
            <w:tcW w:w="5353" w:type="dxa"/>
            <w:shd w:val="clear" w:color="auto" w:fill="auto"/>
          </w:tcPr>
          <w:p w:rsidR="00A81C80" w:rsidRDefault="00A81C80" w:rsidP="00EC3C1A">
            <w:pPr>
              <w:pStyle w:val="Default"/>
            </w:pPr>
            <w:r>
              <w:t xml:space="preserve">Optimizuoti </w:t>
            </w:r>
            <w:r w:rsidRPr="00824565">
              <w:t xml:space="preserve"> Alytaus miesto švietimo </w:t>
            </w:r>
            <w:r>
              <w:t>įstaigų tinklą</w:t>
            </w:r>
          </w:p>
        </w:tc>
        <w:tc>
          <w:tcPr>
            <w:tcW w:w="1417" w:type="dxa"/>
            <w:shd w:val="clear" w:color="auto" w:fill="auto"/>
          </w:tcPr>
          <w:p w:rsidR="00A81C80" w:rsidRPr="006B645D" w:rsidRDefault="00A81C80" w:rsidP="00EC3C1A">
            <w:pPr>
              <w:pStyle w:val="Default"/>
              <w:spacing w:after="9"/>
              <w:jc w:val="center"/>
              <w:rPr>
                <w:sz w:val="23"/>
                <w:szCs w:val="23"/>
              </w:rPr>
            </w:pPr>
            <w:r w:rsidRPr="006B645D">
              <w:rPr>
                <w:sz w:val="23"/>
                <w:szCs w:val="23"/>
              </w:rPr>
              <w:t>2017–2019</w:t>
            </w:r>
          </w:p>
        </w:tc>
      </w:tr>
      <w:tr w:rsidR="00A81C80" w:rsidRPr="006B645D" w:rsidTr="00EC3C1A">
        <w:tc>
          <w:tcPr>
            <w:tcW w:w="2019" w:type="dxa"/>
            <w:vMerge/>
            <w:shd w:val="clear" w:color="auto" w:fill="auto"/>
          </w:tcPr>
          <w:p w:rsidR="00A81C80" w:rsidRPr="00461DB6" w:rsidRDefault="00A81C80" w:rsidP="00EC3C1A">
            <w:pPr>
              <w:pStyle w:val="Default"/>
              <w:spacing w:after="9"/>
              <w:jc w:val="center"/>
            </w:pPr>
          </w:p>
        </w:tc>
        <w:tc>
          <w:tcPr>
            <w:tcW w:w="5353" w:type="dxa"/>
            <w:shd w:val="clear" w:color="auto" w:fill="auto"/>
          </w:tcPr>
          <w:p w:rsidR="00A81C80" w:rsidRPr="00824565" w:rsidRDefault="00A81C80" w:rsidP="00EC3C1A">
            <w:pPr>
              <w:pStyle w:val="Default"/>
            </w:pPr>
            <w:r w:rsidRPr="00824565">
              <w:t xml:space="preserve">Didinti </w:t>
            </w:r>
            <w:r>
              <w:t>savivaldybės įmonių, įstaigų ir organizacijų</w:t>
            </w:r>
            <w:r w:rsidRPr="00824565">
              <w:t xml:space="preserve"> veiklos efektyvumą ir skaidrumą </w:t>
            </w:r>
          </w:p>
        </w:tc>
        <w:tc>
          <w:tcPr>
            <w:tcW w:w="1417" w:type="dxa"/>
            <w:shd w:val="clear" w:color="auto" w:fill="auto"/>
          </w:tcPr>
          <w:p w:rsidR="00A81C80" w:rsidRPr="006B645D" w:rsidRDefault="00A81C80" w:rsidP="00EC3C1A">
            <w:pPr>
              <w:pStyle w:val="Default"/>
              <w:spacing w:after="9"/>
              <w:jc w:val="center"/>
              <w:rPr>
                <w:sz w:val="23"/>
                <w:szCs w:val="23"/>
              </w:rPr>
            </w:pPr>
            <w:r>
              <w:rPr>
                <w:sz w:val="23"/>
                <w:szCs w:val="23"/>
              </w:rPr>
              <w:t>2017–2019</w:t>
            </w:r>
          </w:p>
        </w:tc>
      </w:tr>
      <w:tr w:rsidR="00A81C80" w:rsidRPr="006B645D" w:rsidTr="00EC3C1A">
        <w:tc>
          <w:tcPr>
            <w:tcW w:w="2019" w:type="dxa"/>
            <w:vMerge/>
            <w:shd w:val="clear" w:color="auto" w:fill="auto"/>
          </w:tcPr>
          <w:p w:rsidR="00A81C80" w:rsidRPr="00461DB6" w:rsidRDefault="00A81C80" w:rsidP="00EC3C1A">
            <w:pPr>
              <w:pStyle w:val="Default"/>
              <w:spacing w:after="9"/>
              <w:jc w:val="center"/>
            </w:pPr>
          </w:p>
        </w:tc>
        <w:tc>
          <w:tcPr>
            <w:tcW w:w="5353" w:type="dxa"/>
            <w:shd w:val="clear" w:color="auto" w:fill="auto"/>
          </w:tcPr>
          <w:p w:rsidR="00A81C80" w:rsidRPr="00824565" w:rsidRDefault="00A81C80" w:rsidP="00F22D49">
            <w:pPr>
              <w:pStyle w:val="Default"/>
            </w:pPr>
            <w:r>
              <w:t xml:space="preserve">Centralizuoti standartinių paslaugų teikimą </w:t>
            </w:r>
            <w:r w:rsidR="00F22D49">
              <w:t>savivaldybės įstaigoms</w:t>
            </w:r>
          </w:p>
        </w:tc>
        <w:tc>
          <w:tcPr>
            <w:tcW w:w="1417" w:type="dxa"/>
            <w:shd w:val="clear" w:color="auto" w:fill="auto"/>
          </w:tcPr>
          <w:p w:rsidR="00A81C80" w:rsidRPr="006B645D" w:rsidRDefault="00A81C80" w:rsidP="00EC3C1A">
            <w:pPr>
              <w:pStyle w:val="Default"/>
              <w:spacing w:after="9"/>
              <w:jc w:val="center"/>
              <w:rPr>
                <w:sz w:val="23"/>
                <w:szCs w:val="23"/>
              </w:rPr>
            </w:pPr>
            <w:r>
              <w:rPr>
                <w:sz w:val="23"/>
                <w:szCs w:val="23"/>
              </w:rPr>
              <w:t>2017–2019</w:t>
            </w:r>
          </w:p>
        </w:tc>
      </w:tr>
      <w:tr w:rsidR="00A81C80" w:rsidRPr="006B645D" w:rsidTr="00EC3C1A">
        <w:tc>
          <w:tcPr>
            <w:tcW w:w="2019" w:type="dxa"/>
            <w:vMerge/>
            <w:shd w:val="clear" w:color="auto" w:fill="auto"/>
          </w:tcPr>
          <w:p w:rsidR="00A81C80" w:rsidRPr="00461DB6" w:rsidRDefault="00A81C80" w:rsidP="00EC3C1A">
            <w:pPr>
              <w:pStyle w:val="Default"/>
              <w:spacing w:after="9"/>
              <w:jc w:val="center"/>
            </w:pPr>
          </w:p>
        </w:tc>
        <w:tc>
          <w:tcPr>
            <w:tcW w:w="5353" w:type="dxa"/>
            <w:shd w:val="clear" w:color="auto" w:fill="auto"/>
          </w:tcPr>
          <w:p w:rsidR="00A81C80" w:rsidRPr="006B645D" w:rsidRDefault="00A81C80" w:rsidP="00EC3C1A">
            <w:pPr>
              <w:pStyle w:val="Default"/>
              <w:spacing w:after="9"/>
              <w:rPr>
                <w:sz w:val="23"/>
                <w:szCs w:val="23"/>
              </w:rPr>
            </w:pPr>
            <w:r w:rsidRPr="006B645D">
              <w:rPr>
                <w:sz w:val="23"/>
                <w:szCs w:val="23"/>
              </w:rPr>
              <w:t xml:space="preserve"> </w:t>
            </w:r>
            <w:r>
              <w:rPr>
                <w:sz w:val="23"/>
                <w:szCs w:val="23"/>
              </w:rPr>
              <w:t>Skatinti piliečius ir verslo subjektus naudotis savivaldybės teikiamomis elektroninėmis paslaugomis</w:t>
            </w:r>
          </w:p>
        </w:tc>
        <w:tc>
          <w:tcPr>
            <w:tcW w:w="1417" w:type="dxa"/>
            <w:shd w:val="clear" w:color="auto" w:fill="auto"/>
          </w:tcPr>
          <w:p w:rsidR="00A81C80" w:rsidRPr="006B645D" w:rsidRDefault="00A81C80" w:rsidP="00EC3C1A">
            <w:pPr>
              <w:pStyle w:val="Default"/>
              <w:spacing w:after="9"/>
              <w:jc w:val="center"/>
              <w:rPr>
                <w:sz w:val="23"/>
                <w:szCs w:val="23"/>
              </w:rPr>
            </w:pPr>
            <w:r>
              <w:rPr>
                <w:sz w:val="23"/>
                <w:szCs w:val="23"/>
              </w:rPr>
              <w:t>2017–2019</w:t>
            </w:r>
          </w:p>
        </w:tc>
      </w:tr>
      <w:tr w:rsidR="00A81C80" w:rsidRPr="006B645D" w:rsidTr="00EC3C1A">
        <w:tc>
          <w:tcPr>
            <w:tcW w:w="2019" w:type="dxa"/>
            <w:vMerge/>
            <w:shd w:val="clear" w:color="auto" w:fill="auto"/>
          </w:tcPr>
          <w:p w:rsidR="00A81C80" w:rsidRPr="006B645D" w:rsidRDefault="00A81C80" w:rsidP="00EC3C1A">
            <w:pPr>
              <w:pStyle w:val="Default"/>
              <w:spacing w:after="9"/>
              <w:jc w:val="center"/>
              <w:rPr>
                <w:sz w:val="23"/>
                <w:szCs w:val="23"/>
              </w:rPr>
            </w:pPr>
          </w:p>
        </w:tc>
        <w:tc>
          <w:tcPr>
            <w:tcW w:w="5353" w:type="dxa"/>
            <w:shd w:val="clear" w:color="auto" w:fill="auto"/>
          </w:tcPr>
          <w:p w:rsidR="00A81C80" w:rsidRPr="006B645D" w:rsidRDefault="00A81C80" w:rsidP="00EC3C1A">
            <w:pPr>
              <w:pStyle w:val="Default"/>
              <w:spacing w:after="9"/>
              <w:rPr>
                <w:sz w:val="23"/>
                <w:szCs w:val="23"/>
              </w:rPr>
            </w:pPr>
            <w:r w:rsidRPr="006B645D">
              <w:rPr>
                <w:sz w:val="23"/>
                <w:szCs w:val="23"/>
              </w:rPr>
              <w:t xml:space="preserve"> </w:t>
            </w:r>
            <w:r>
              <w:rPr>
                <w:sz w:val="23"/>
                <w:szCs w:val="23"/>
              </w:rPr>
              <w:t>Modernizuoti</w:t>
            </w:r>
            <w:r w:rsidRPr="006B645D">
              <w:rPr>
                <w:sz w:val="23"/>
                <w:szCs w:val="23"/>
              </w:rPr>
              <w:t xml:space="preserve"> Alytaus miesto </w:t>
            </w:r>
            <w:r>
              <w:rPr>
                <w:sz w:val="23"/>
                <w:szCs w:val="23"/>
              </w:rPr>
              <w:t>savivaldybės interneto svetainę (portalą)_</w:t>
            </w:r>
          </w:p>
        </w:tc>
        <w:tc>
          <w:tcPr>
            <w:tcW w:w="1417" w:type="dxa"/>
            <w:shd w:val="clear" w:color="auto" w:fill="auto"/>
          </w:tcPr>
          <w:p w:rsidR="00A81C80" w:rsidRPr="006B645D" w:rsidRDefault="00A81C80" w:rsidP="00EC3C1A">
            <w:pPr>
              <w:pStyle w:val="Default"/>
              <w:spacing w:after="9"/>
              <w:jc w:val="center"/>
              <w:rPr>
                <w:sz w:val="23"/>
                <w:szCs w:val="23"/>
              </w:rPr>
            </w:pPr>
            <w:r>
              <w:rPr>
                <w:sz w:val="23"/>
                <w:szCs w:val="23"/>
              </w:rPr>
              <w:t>2017–2019</w:t>
            </w:r>
          </w:p>
        </w:tc>
      </w:tr>
      <w:tr w:rsidR="00A81C80" w:rsidRPr="006B645D" w:rsidTr="00EC3C1A">
        <w:tc>
          <w:tcPr>
            <w:tcW w:w="2019" w:type="dxa"/>
            <w:vMerge/>
            <w:shd w:val="clear" w:color="auto" w:fill="auto"/>
          </w:tcPr>
          <w:p w:rsidR="00A81C80" w:rsidRPr="006B645D" w:rsidRDefault="00A81C80" w:rsidP="00EC3C1A">
            <w:pPr>
              <w:pStyle w:val="Default"/>
              <w:spacing w:after="9"/>
              <w:jc w:val="center"/>
              <w:rPr>
                <w:sz w:val="23"/>
                <w:szCs w:val="23"/>
              </w:rPr>
            </w:pPr>
          </w:p>
        </w:tc>
        <w:tc>
          <w:tcPr>
            <w:tcW w:w="5353" w:type="dxa"/>
            <w:shd w:val="clear" w:color="auto" w:fill="auto"/>
          </w:tcPr>
          <w:p w:rsidR="00A81C80" w:rsidRPr="006B645D" w:rsidRDefault="00A81C80" w:rsidP="00EC3C1A">
            <w:pPr>
              <w:pStyle w:val="Default"/>
              <w:spacing w:after="9"/>
              <w:rPr>
                <w:sz w:val="23"/>
                <w:szCs w:val="23"/>
              </w:rPr>
            </w:pPr>
            <w:r w:rsidRPr="006B645D">
              <w:rPr>
                <w:sz w:val="23"/>
                <w:szCs w:val="23"/>
              </w:rPr>
              <w:t xml:space="preserve"> Reguliariai vykdyti tikslines suinteresuotų šalių pasitenkinimo paslaugomis, savivaldybės vy</w:t>
            </w:r>
            <w:r>
              <w:rPr>
                <w:sz w:val="23"/>
                <w:szCs w:val="23"/>
              </w:rPr>
              <w:t>kdoma veikla apklausas, tyrimus</w:t>
            </w:r>
          </w:p>
        </w:tc>
        <w:tc>
          <w:tcPr>
            <w:tcW w:w="1417" w:type="dxa"/>
            <w:shd w:val="clear" w:color="auto" w:fill="auto"/>
          </w:tcPr>
          <w:p w:rsidR="00A81C80" w:rsidRPr="006B645D" w:rsidRDefault="00A81C80" w:rsidP="00EC3C1A">
            <w:pPr>
              <w:pStyle w:val="Default"/>
              <w:spacing w:after="9"/>
              <w:jc w:val="center"/>
              <w:rPr>
                <w:sz w:val="23"/>
                <w:szCs w:val="23"/>
              </w:rPr>
            </w:pPr>
            <w:r>
              <w:rPr>
                <w:sz w:val="23"/>
                <w:szCs w:val="23"/>
              </w:rPr>
              <w:t>2017–2019</w:t>
            </w:r>
          </w:p>
        </w:tc>
      </w:tr>
      <w:tr w:rsidR="00A81C80" w:rsidRPr="006B645D" w:rsidTr="00EC3C1A">
        <w:tc>
          <w:tcPr>
            <w:tcW w:w="2019" w:type="dxa"/>
            <w:vMerge/>
            <w:shd w:val="clear" w:color="auto" w:fill="auto"/>
          </w:tcPr>
          <w:p w:rsidR="00A81C80" w:rsidRPr="006B645D" w:rsidRDefault="00A81C80" w:rsidP="00EC3C1A">
            <w:pPr>
              <w:pStyle w:val="Default"/>
              <w:spacing w:after="9"/>
              <w:jc w:val="center"/>
              <w:rPr>
                <w:sz w:val="23"/>
                <w:szCs w:val="23"/>
              </w:rPr>
            </w:pPr>
          </w:p>
        </w:tc>
        <w:tc>
          <w:tcPr>
            <w:tcW w:w="5353" w:type="dxa"/>
            <w:shd w:val="clear" w:color="auto" w:fill="auto"/>
          </w:tcPr>
          <w:p w:rsidR="00A81C80" w:rsidRDefault="00A81C80" w:rsidP="009C1085">
            <w:pPr>
              <w:pStyle w:val="Default"/>
            </w:pPr>
            <w:r>
              <w:t xml:space="preserve"> Parengti Alytaus miesto </w:t>
            </w:r>
            <w:r w:rsidR="00FC029B">
              <w:t xml:space="preserve">administracinių </w:t>
            </w:r>
            <w:r>
              <w:t xml:space="preserve">ribų </w:t>
            </w:r>
            <w:r w:rsidR="009C1085">
              <w:t>pakeitimo schemą</w:t>
            </w:r>
          </w:p>
        </w:tc>
        <w:tc>
          <w:tcPr>
            <w:tcW w:w="1417" w:type="dxa"/>
            <w:shd w:val="clear" w:color="auto" w:fill="auto"/>
          </w:tcPr>
          <w:p w:rsidR="00A81C80" w:rsidRPr="006B645D" w:rsidRDefault="00A81C80" w:rsidP="00EC3C1A">
            <w:pPr>
              <w:pStyle w:val="Default"/>
              <w:spacing w:after="9"/>
              <w:jc w:val="center"/>
              <w:rPr>
                <w:sz w:val="23"/>
                <w:szCs w:val="23"/>
              </w:rPr>
            </w:pPr>
            <w:r>
              <w:rPr>
                <w:sz w:val="23"/>
                <w:szCs w:val="23"/>
              </w:rPr>
              <w:t>2017</w:t>
            </w:r>
            <w:r w:rsidR="009C1085">
              <w:rPr>
                <w:sz w:val="23"/>
                <w:szCs w:val="23"/>
              </w:rPr>
              <w:t>–2018</w:t>
            </w:r>
          </w:p>
        </w:tc>
      </w:tr>
      <w:tr w:rsidR="008D4387" w:rsidRPr="006B645D" w:rsidTr="00EC3C1A">
        <w:tc>
          <w:tcPr>
            <w:tcW w:w="2019" w:type="dxa"/>
            <w:vMerge/>
            <w:shd w:val="clear" w:color="auto" w:fill="auto"/>
          </w:tcPr>
          <w:p w:rsidR="008D4387" w:rsidRPr="006B645D" w:rsidRDefault="008D4387" w:rsidP="00EC3C1A">
            <w:pPr>
              <w:pStyle w:val="Default"/>
              <w:spacing w:after="9"/>
              <w:jc w:val="center"/>
              <w:rPr>
                <w:sz w:val="23"/>
                <w:szCs w:val="23"/>
              </w:rPr>
            </w:pPr>
          </w:p>
        </w:tc>
        <w:tc>
          <w:tcPr>
            <w:tcW w:w="5353" w:type="dxa"/>
            <w:shd w:val="clear" w:color="auto" w:fill="auto"/>
          </w:tcPr>
          <w:p w:rsidR="008D4387" w:rsidRDefault="008D4387" w:rsidP="008D4387">
            <w:pPr>
              <w:pStyle w:val="Default"/>
            </w:pPr>
            <w:r>
              <w:t xml:space="preserve">Aktyvinti savivaldybės bendruomenių, NVO, verslo subjektų dalyvavimą priimant sprendimus </w:t>
            </w:r>
          </w:p>
        </w:tc>
        <w:tc>
          <w:tcPr>
            <w:tcW w:w="1417" w:type="dxa"/>
            <w:shd w:val="clear" w:color="auto" w:fill="auto"/>
          </w:tcPr>
          <w:p w:rsidR="008D4387" w:rsidRDefault="008D4387" w:rsidP="00EC3C1A">
            <w:pPr>
              <w:pStyle w:val="Default"/>
              <w:spacing w:after="9"/>
              <w:jc w:val="center"/>
              <w:rPr>
                <w:sz w:val="23"/>
                <w:szCs w:val="23"/>
              </w:rPr>
            </w:pPr>
            <w:r>
              <w:rPr>
                <w:sz w:val="23"/>
                <w:szCs w:val="23"/>
              </w:rPr>
              <w:t>2017–2019</w:t>
            </w:r>
          </w:p>
        </w:tc>
      </w:tr>
      <w:tr w:rsidR="00A81C80" w:rsidRPr="006B645D" w:rsidTr="00EC3C1A">
        <w:trPr>
          <w:trHeight w:val="2254"/>
        </w:trPr>
        <w:tc>
          <w:tcPr>
            <w:tcW w:w="2019" w:type="dxa"/>
            <w:vMerge/>
            <w:shd w:val="clear" w:color="auto" w:fill="auto"/>
          </w:tcPr>
          <w:p w:rsidR="00A81C80" w:rsidRPr="006B645D" w:rsidRDefault="00A81C80" w:rsidP="00EC3C1A">
            <w:pPr>
              <w:pStyle w:val="Default"/>
              <w:spacing w:after="9"/>
              <w:jc w:val="center"/>
              <w:rPr>
                <w:sz w:val="23"/>
                <w:szCs w:val="23"/>
              </w:rPr>
            </w:pPr>
          </w:p>
        </w:tc>
        <w:tc>
          <w:tcPr>
            <w:tcW w:w="5353" w:type="dxa"/>
            <w:shd w:val="clear" w:color="auto" w:fill="auto"/>
          </w:tcPr>
          <w:p w:rsidR="00A81C80" w:rsidRDefault="00A81C80" w:rsidP="00EC3C1A">
            <w:pPr>
              <w:pStyle w:val="Default"/>
            </w:pPr>
            <w:r w:rsidRPr="00E337BD">
              <w:t>Diegti intelektualias kultūros, švietimo, viešojo valdymo sri</w:t>
            </w:r>
            <w:r>
              <w:t xml:space="preserve">čių </w:t>
            </w:r>
            <w:r w:rsidRPr="00E337BD">
              <w:t>informacines technologijas</w:t>
            </w:r>
            <w:r>
              <w:t xml:space="preserve">: </w:t>
            </w:r>
          </w:p>
          <w:p w:rsidR="00A81C80" w:rsidRDefault="00A81C80" w:rsidP="00EC3C1A">
            <w:pPr>
              <w:pStyle w:val="Default"/>
              <w:numPr>
                <w:ilvl w:val="0"/>
                <w:numId w:val="7"/>
              </w:numPr>
            </w:pPr>
            <w:r>
              <w:t xml:space="preserve">didinti </w:t>
            </w:r>
            <w:r w:rsidRPr="004F298F">
              <w:t>muziejaus ekspozicijų atraktyvum</w:t>
            </w:r>
            <w:r>
              <w:t>ą;</w:t>
            </w:r>
            <w:r w:rsidRPr="004F298F">
              <w:t xml:space="preserve"> </w:t>
            </w:r>
          </w:p>
          <w:p w:rsidR="00A81C80" w:rsidRDefault="00A81C80" w:rsidP="00EC3C1A">
            <w:pPr>
              <w:pStyle w:val="Default"/>
              <w:numPr>
                <w:ilvl w:val="0"/>
                <w:numId w:val="7"/>
              </w:numPr>
            </w:pPr>
            <w:r>
              <w:t xml:space="preserve">didinti bibliotekos paslaugų </w:t>
            </w:r>
            <w:r w:rsidRPr="004F298F">
              <w:t>atraktyvum</w:t>
            </w:r>
            <w:r>
              <w:t>ą;</w:t>
            </w:r>
          </w:p>
          <w:p w:rsidR="00A81C80" w:rsidRDefault="00A81C80" w:rsidP="00EC3C1A">
            <w:pPr>
              <w:pStyle w:val="Default"/>
              <w:numPr>
                <w:ilvl w:val="0"/>
                <w:numId w:val="7"/>
              </w:numPr>
            </w:pPr>
            <w:r>
              <w:t>diegti elektronines sistemas švietimo įstaigose;</w:t>
            </w:r>
          </w:p>
          <w:p w:rsidR="00A81C80" w:rsidRDefault="00E033E7" w:rsidP="00E033E7">
            <w:pPr>
              <w:pStyle w:val="Default"/>
              <w:numPr>
                <w:ilvl w:val="0"/>
                <w:numId w:val="7"/>
              </w:numPr>
            </w:pPr>
            <w:r>
              <w:t>parengti skaitmeninį reklamos</w:t>
            </w:r>
            <w:r w:rsidR="00A81C80">
              <w:t xml:space="preserve"> ir mažosios architektūros </w:t>
            </w:r>
            <w:r>
              <w:t>registrą</w:t>
            </w:r>
          </w:p>
        </w:tc>
        <w:tc>
          <w:tcPr>
            <w:tcW w:w="1417" w:type="dxa"/>
            <w:shd w:val="clear" w:color="auto" w:fill="auto"/>
          </w:tcPr>
          <w:p w:rsidR="00A81C80" w:rsidRPr="006B645D" w:rsidRDefault="00A81C80" w:rsidP="00EC3C1A">
            <w:pPr>
              <w:pStyle w:val="Default"/>
              <w:spacing w:after="9"/>
              <w:jc w:val="center"/>
              <w:rPr>
                <w:sz w:val="23"/>
                <w:szCs w:val="23"/>
              </w:rPr>
            </w:pPr>
            <w:r>
              <w:rPr>
                <w:sz w:val="23"/>
                <w:szCs w:val="23"/>
              </w:rPr>
              <w:t>2017–2019</w:t>
            </w:r>
          </w:p>
        </w:tc>
      </w:tr>
      <w:tr w:rsidR="009C1085" w:rsidRPr="006B645D" w:rsidTr="00EC3C1A">
        <w:tc>
          <w:tcPr>
            <w:tcW w:w="2019" w:type="dxa"/>
            <w:vMerge w:val="restart"/>
            <w:shd w:val="clear" w:color="auto" w:fill="auto"/>
          </w:tcPr>
          <w:p w:rsidR="009C1085" w:rsidRPr="009C1085" w:rsidRDefault="009C1085" w:rsidP="009C1085">
            <w:pPr>
              <w:rPr>
                <w:lang w:eastAsia="lt-LT"/>
              </w:rPr>
            </w:pPr>
            <w:r w:rsidRPr="009C1085">
              <w:rPr>
                <w:rFonts w:ascii="Times New Roman" w:hAnsi="Times New Roman"/>
                <w:color w:val="000000"/>
                <w:sz w:val="23"/>
                <w:szCs w:val="23"/>
                <w:lang w:eastAsia="lt-LT"/>
              </w:rPr>
              <w:t xml:space="preserve">Ekonominė plėtra </w:t>
            </w:r>
          </w:p>
          <w:p w:rsidR="009C1085" w:rsidRPr="009C1085" w:rsidRDefault="009C1085" w:rsidP="009C1085">
            <w:pPr>
              <w:rPr>
                <w:lang w:eastAsia="lt-LT"/>
              </w:rPr>
            </w:pPr>
          </w:p>
          <w:p w:rsidR="009C1085" w:rsidRPr="009C1085" w:rsidRDefault="009C1085" w:rsidP="009C1085">
            <w:pPr>
              <w:rPr>
                <w:lang w:eastAsia="lt-LT"/>
              </w:rPr>
            </w:pPr>
          </w:p>
          <w:p w:rsidR="009C1085" w:rsidRPr="009C1085" w:rsidRDefault="009C1085" w:rsidP="009C1085">
            <w:pPr>
              <w:rPr>
                <w:lang w:eastAsia="lt-LT"/>
              </w:rPr>
            </w:pPr>
          </w:p>
          <w:p w:rsidR="009C1085" w:rsidRPr="009C1085" w:rsidRDefault="009C1085" w:rsidP="009C1085">
            <w:pPr>
              <w:rPr>
                <w:lang w:eastAsia="lt-LT"/>
              </w:rPr>
            </w:pPr>
          </w:p>
          <w:p w:rsidR="009C1085" w:rsidRPr="009C1085" w:rsidRDefault="009C1085" w:rsidP="009C1085">
            <w:pPr>
              <w:rPr>
                <w:lang w:eastAsia="lt-LT"/>
              </w:rPr>
            </w:pPr>
          </w:p>
          <w:p w:rsidR="009C1085" w:rsidRPr="009C1085" w:rsidRDefault="009C1085" w:rsidP="009C1085">
            <w:pPr>
              <w:rPr>
                <w:lang w:eastAsia="lt-LT"/>
              </w:rPr>
            </w:pPr>
          </w:p>
          <w:p w:rsidR="009C1085" w:rsidRPr="009C1085" w:rsidRDefault="009C1085" w:rsidP="009C1085">
            <w:pPr>
              <w:jc w:val="center"/>
              <w:rPr>
                <w:lang w:eastAsia="lt-LT"/>
              </w:rPr>
            </w:pPr>
          </w:p>
        </w:tc>
        <w:tc>
          <w:tcPr>
            <w:tcW w:w="5353" w:type="dxa"/>
            <w:shd w:val="clear" w:color="auto" w:fill="auto"/>
          </w:tcPr>
          <w:p w:rsidR="009C1085" w:rsidRPr="008E38ED" w:rsidRDefault="009C1085" w:rsidP="00DC7E6E">
            <w:pPr>
              <w:pStyle w:val="Default"/>
              <w:spacing w:after="9"/>
              <w:rPr>
                <w:color w:val="auto"/>
                <w:sz w:val="23"/>
                <w:szCs w:val="23"/>
              </w:rPr>
            </w:pPr>
            <w:r>
              <w:t>Vykdyti verslo aplinkos stebėseną</w:t>
            </w:r>
            <w:r w:rsidRPr="00D91920">
              <w:t xml:space="preserve">, </w:t>
            </w:r>
            <w:r>
              <w:t>skleisti informaciją</w:t>
            </w:r>
            <w:r w:rsidRPr="00D91920">
              <w:t xml:space="preserve"> apie </w:t>
            </w:r>
            <w:r>
              <w:t xml:space="preserve">miesto </w:t>
            </w:r>
            <w:r w:rsidRPr="00D91920">
              <w:t>verslo galimybes ir sąlygas</w:t>
            </w:r>
            <w:r w:rsidR="00E033E7">
              <w:t>, parengti realiai veikiančių įmonių mieste registrą</w:t>
            </w:r>
            <w:r w:rsidRPr="00D91920">
              <w:t xml:space="preserve"> </w:t>
            </w:r>
          </w:p>
        </w:tc>
        <w:tc>
          <w:tcPr>
            <w:tcW w:w="1417" w:type="dxa"/>
            <w:shd w:val="clear" w:color="auto" w:fill="auto"/>
          </w:tcPr>
          <w:p w:rsidR="009C1085" w:rsidRPr="006B645D" w:rsidRDefault="009C1085" w:rsidP="00DC7E6E">
            <w:pPr>
              <w:pStyle w:val="Default"/>
              <w:spacing w:after="9"/>
              <w:jc w:val="center"/>
              <w:rPr>
                <w:sz w:val="23"/>
                <w:szCs w:val="23"/>
              </w:rPr>
            </w:pPr>
            <w:r>
              <w:rPr>
                <w:sz w:val="23"/>
                <w:szCs w:val="23"/>
              </w:rPr>
              <w:t>2017–2019</w:t>
            </w:r>
          </w:p>
        </w:tc>
      </w:tr>
      <w:tr w:rsidR="009C1085" w:rsidRPr="006B645D" w:rsidTr="00EC3C1A">
        <w:tc>
          <w:tcPr>
            <w:tcW w:w="2019" w:type="dxa"/>
            <w:vMerge/>
            <w:shd w:val="clear" w:color="auto" w:fill="auto"/>
          </w:tcPr>
          <w:p w:rsidR="009C1085" w:rsidRPr="006B645D" w:rsidRDefault="009C1085" w:rsidP="00EC3C1A">
            <w:pPr>
              <w:pStyle w:val="Default"/>
              <w:spacing w:after="9"/>
              <w:jc w:val="center"/>
              <w:rPr>
                <w:sz w:val="23"/>
                <w:szCs w:val="23"/>
              </w:rPr>
            </w:pPr>
          </w:p>
        </w:tc>
        <w:tc>
          <w:tcPr>
            <w:tcW w:w="5353" w:type="dxa"/>
            <w:shd w:val="clear" w:color="auto" w:fill="auto"/>
          </w:tcPr>
          <w:p w:rsidR="009C1085" w:rsidRPr="001937CE" w:rsidRDefault="00062807" w:rsidP="00DC7E6E">
            <w:pPr>
              <w:pStyle w:val="Default"/>
              <w:spacing w:after="9"/>
              <w:rPr>
                <w:color w:val="auto"/>
                <w:sz w:val="23"/>
                <w:szCs w:val="23"/>
              </w:rPr>
            </w:pPr>
            <w:r w:rsidRPr="001937CE">
              <w:rPr>
                <w:color w:val="auto"/>
                <w:sz w:val="23"/>
                <w:szCs w:val="23"/>
              </w:rPr>
              <w:t>Plėsti verslo vystymo galimybes, įrengiant tam tinkamą infrastruktūrą</w:t>
            </w:r>
          </w:p>
        </w:tc>
        <w:tc>
          <w:tcPr>
            <w:tcW w:w="1417" w:type="dxa"/>
            <w:shd w:val="clear" w:color="auto" w:fill="auto"/>
          </w:tcPr>
          <w:p w:rsidR="009C1085" w:rsidRPr="006B645D" w:rsidRDefault="009C1085" w:rsidP="00DC7E6E">
            <w:pPr>
              <w:pStyle w:val="Default"/>
              <w:spacing w:after="9"/>
              <w:jc w:val="center"/>
              <w:rPr>
                <w:sz w:val="23"/>
                <w:szCs w:val="23"/>
              </w:rPr>
            </w:pPr>
            <w:r>
              <w:rPr>
                <w:sz w:val="23"/>
                <w:szCs w:val="23"/>
              </w:rPr>
              <w:t>2017–2019</w:t>
            </w:r>
          </w:p>
        </w:tc>
      </w:tr>
      <w:tr w:rsidR="00593422" w:rsidRPr="006B645D" w:rsidTr="00EC3C1A">
        <w:tc>
          <w:tcPr>
            <w:tcW w:w="2019" w:type="dxa"/>
            <w:vMerge/>
            <w:shd w:val="clear" w:color="auto" w:fill="auto"/>
          </w:tcPr>
          <w:p w:rsidR="00593422" w:rsidRPr="006B645D" w:rsidRDefault="00593422" w:rsidP="00EC3C1A">
            <w:pPr>
              <w:pStyle w:val="Default"/>
              <w:spacing w:after="9"/>
              <w:jc w:val="center"/>
              <w:rPr>
                <w:sz w:val="23"/>
                <w:szCs w:val="23"/>
              </w:rPr>
            </w:pPr>
          </w:p>
        </w:tc>
        <w:tc>
          <w:tcPr>
            <w:tcW w:w="5353" w:type="dxa"/>
            <w:shd w:val="clear" w:color="auto" w:fill="auto"/>
          </w:tcPr>
          <w:p w:rsidR="00593422" w:rsidRPr="001937CE" w:rsidRDefault="00593422" w:rsidP="00DC7E6E">
            <w:pPr>
              <w:pStyle w:val="Default"/>
              <w:spacing w:after="9"/>
              <w:rPr>
                <w:color w:val="auto"/>
                <w:sz w:val="23"/>
                <w:szCs w:val="23"/>
              </w:rPr>
            </w:pPr>
            <w:r w:rsidRPr="001937CE">
              <w:rPr>
                <w:color w:val="auto"/>
                <w:sz w:val="23"/>
                <w:szCs w:val="23"/>
              </w:rPr>
              <w:t>Tobulinti atliekų tvarkymo infrastruktūrą</w:t>
            </w:r>
          </w:p>
        </w:tc>
        <w:tc>
          <w:tcPr>
            <w:tcW w:w="1417" w:type="dxa"/>
            <w:shd w:val="clear" w:color="auto" w:fill="auto"/>
          </w:tcPr>
          <w:p w:rsidR="00593422" w:rsidRDefault="00593422" w:rsidP="00DC7E6E">
            <w:pPr>
              <w:pStyle w:val="Default"/>
              <w:spacing w:after="9"/>
              <w:jc w:val="center"/>
              <w:rPr>
                <w:sz w:val="23"/>
                <w:szCs w:val="23"/>
              </w:rPr>
            </w:pPr>
            <w:r>
              <w:rPr>
                <w:sz w:val="23"/>
                <w:szCs w:val="23"/>
              </w:rPr>
              <w:t>2017–2019</w:t>
            </w:r>
          </w:p>
        </w:tc>
      </w:tr>
      <w:tr w:rsidR="009C1085" w:rsidRPr="006B645D" w:rsidTr="00EC3C1A">
        <w:tc>
          <w:tcPr>
            <w:tcW w:w="2019" w:type="dxa"/>
            <w:vMerge/>
            <w:shd w:val="clear" w:color="auto" w:fill="auto"/>
          </w:tcPr>
          <w:p w:rsidR="009C1085" w:rsidRPr="006B645D" w:rsidRDefault="009C1085" w:rsidP="00EC3C1A">
            <w:pPr>
              <w:pStyle w:val="Default"/>
              <w:spacing w:after="9"/>
              <w:jc w:val="center"/>
              <w:rPr>
                <w:sz w:val="23"/>
                <w:szCs w:val="23"/>
              </w:rPr>
            </w:pPr>
          </w:p>
        </w:tc>
        <w:tc>
          <w:tcPr>
            <w:tcW w:w="5353" w:type="dxa"/>
            <w:shd w:val="clear" w:color="auto" w:fill="auto"/>
          </w:tcPr>
          <w:p w:rsidR="009C1085" w:rsidRDefault="009C1085" w:rsidP="00DC7E6E">
            <w:pPr>
              <w:pStyle w:val="Default"/>
              <w:spacing w:after="9"/>
              <w:rPr>
                <w:color w:val="auto"/>
                <w:sz w:val="23"/>
                <w:szCs w:val="23"/>
              </w:rPr>
            </w:pPr>
            <w:r w:rsidRPr="00225682">
              <w:rPr>
                <w:color w:val="auto"/>
                <w:sz w:val="23"/>
                <w:szCs w:val="23"/>
              </w:rPr>
              <w:t>Skatinti viešojo ir privataus sektoriaus</w:t>
            </w:r>
            <w:r>
              <w:rPr>
                <w:color w:val="auto"/>
                <w:sz w:val="23"/>
                <w:szCs w:val="23"/>
              </w:rPr>
              <w:t xml:space="preserve"> </w:t>
            </w:r>
            <w:r w:rsidRPr="00225682">
              <w:rPr>
                <w:color w:val="auto"/>
                <w:sz w:val="23"/>
                <w:szCs w:val="23"/>
              </w:rPr>
              <w:t>ekonominės ir socialinės plėtr</w:t>
            </w:r>
            <w:r>
              <w:rPr>
                <w:color w:val="auto"/>
                <w:sz w:val="23"/>
                <w:szCs w:val="23"/>
              </w:rPr>
              <w:t>os</w:t>
            </w:r>
            <w:r w:rsidRPr="00225682">
              <w:rPr>
                <w:color w:val="auto"/>
                <w:sz w:val="23"/>
                <w:szCs w:val="23"/>
              </w:rPr>
              <w:t xml:space="preserve"> bendradarbiavimą </w:t>
            </w:r>
          </w:p>
        </w:tc>
        <w:tc>
          <w:tcPr>
            <w:tcW w:w="1417" w:type="dxa"/>
            <w:shd w:val="clear" w:color="auto" w:fill="auto"/>
          </w:tcPr>
          <w:p w:rsidR="009C1085" w:rsidRDefault="009C1085" w:rsidP="00DC7E6E">
            <w:pPr>
              <w:pStyle w:val="Default"/>
              <w:spacing w:after="9"/>
              <w:jc w:val="center"/>
              <w:rPr>
                <w:sz w:val="23"/>
                <w:szCs w:val="23"/>
              </w:rPr>
            </w:pPr>
            <w:r>
              <w:rPr>
                <w:sz w:val="23"/>
                <w:szCs w:val="23"/>
              </w:rPr>
              <w:t>2017–2019</w:t>
            </w:r>
          </w:p>
        </w:tc>
      </w:tr>
      <w:tr w:rsidR="009C1085" w:rsidRPr="006B645D" w:rsidTr="00EC3C1A">
        <w:tc>
          <w:tcPr>
            <w:tcW w:w="2019" w:type="dxa"/>
            <w:vMerge/>
            <w:shd w:val="clear" w:color="auto" w:fill="auto"/>
          </w:tcPr>
          <w:p w:rsidR="009C1085" w:rsidRPr="006B645D" w:rsidRDefault="009C1085" w:rsidP="00EC3C1A">
            <w:pPr>
              <w:pStyle w:val="Default"/>
              <w:spacing w:after="9"/>
              <w:jc w:val="center"/>
              <w:rPr>
                <w:sz w:val="23"/>
                <w:szCs w:val="23"/>
              </w:rPr>
            </w:pPr>
          </w:p>
        </w:tc>
        <w:tc>
          <w:tcPr>
            <w:tcW w:w="5353" w:type="dxa"/>
            <w:shd w:val="clear" w:color="auto" w:fill="auto"/>
          </w:tcPr>
          <w:p w:rsidR="009C1085" w:rsidRPr="006B645D" w:rsidRDefault="009C1085" w:rsidP="00DC7E6E">
            <w:pPr>
              <w:pStyle w:val="Default"/>
              <w:spacing w:after="9"/>
              <w:rPr>
                <w:sz w:val="23"/>
                <w:szCs w:val="23"/>
              </w:rPr>
            </w:pPr>
            <w:r w:rsidRPr="00305C5B">
              <w:t>Stiprinti bendradarbiavimą su Alytaus aukštojo ir profesinio mokymo įstaigomis, rengiant miestui labiausiai reikalingus specialistus</w:t>
            </w:r>
            <w:r w:rsidR="008D4387" w:rsidRPr="001937CE">
              <w:rPr>
                <w:color w:val="auto"/>
              </w:rPr>
              <w:t>, siekiant išlaikyti ir pritraukti jaunimą Alytaus mieste</w:t>
            </w:r>
          </w:p>
        </w:tc>
        <w:tc>
          <w:tcPr>
            <w:tcW w:w="1417" w:type="dxa"/>
            <w:shd w:val="clear" w:color="auto" w:fill="auto"/>
          </w:tcPr>
          <w:p w:rsidR="009C1085" w:rsidRPr="006B645D" w:rsidRDefault="009C1085" w:rsidP="00DC7E6E">
            <w:pPr>
              <w:pStyle w:val="Default"/>
              <w:spacing w:after="9"/>
              <w:jc w:val="center"/>
              <w:rPr>
                <w:sz w:val="23"/>
                <w:szCs w:val="23"/>
              </w:rPr>
            </w:pPr>
            <w:r>
              <w:rPr>
                <w:sz w:val="23"/>
                <w:szCs w:val="23"/>
              </w:rPr>
              <w:t>2017–2019</w:t>
            </w:r>
          </w:p>
        </w:tc>
      </w:tr>
      <w:tr w:rsidR="00A058D9" w:rsidRPr="006B645D" w:rsidTr="00EC3C1A">
        <w:tc>
          <w:tcPr>
            <w:tcW w:w="2019" w:type="dxa"/>
            <w:vMerge w:val="restart"/>
            <w:shd w:val="clear" w:color="auto" w:fill="auto"/>
          </w:tcPr>
          <w:p w:rsidR="00A058D9" w:rsidRDefault="00A058D9" w:rsidP="009C1085">
            <w:pPr>
              <w:pStyle w:val="Default"/>
              <w:spacing w:after="9"/>
              <w:jc w:val="center"/>
              <w:rPr>
                <w:sz w:val="23"/>
                <w:szCs w:val="23"/>
              </w:rPr>
            </w:pPr>
            <w:r w:rsidRPr="006B645D">
              <w:rPr>
                <w:sz w:val="23"/>
                <w:szCs w:val="23"/>
              </w:rPr>
              <w:t>Gyvenimo kokybė ir aplinka</w:t>
            </w:r>
          </w:p>
          <w:p w:rsidR="00A058D9" w:rsidRDefault="00A058D9" w:rsidP="009C1085">
            <w:pPr>
              <w:jc w:val="center"/>
              <w:rPr>
                <w:sz w:val="23"/>
                <w:szCs w:val="23"/>
              </w:rPr>
            </w:pPr>
          </w:p>
          <w:p w:rsidR="00A058D9" w:rsidRPr="00A058D9" w:rsidRDefault="00A058D9" w:rsidP="00A058D9">
            <w:pPr>
              <w:rPr>
                <w:sz w:val="23"/>
                <w:szCs w:val="23"/>
              </w:rPr>
            </w:pPr>
          </w:p>
          <w:p w:rsidR="00A058D9" w:rsidRPr="00A058D9" w:rsidRDefault="00A058D9" w:rsidP="00A058D9">
            <w:pPr>
              <w:rPr>
                <w:sz w:val="23"/>
                <w:szCs w:val="23"/>
              </w:rPr>
            </w:pPr>
          </w:p>
          <w:p w:rsidR="00A058D9" w:rsidRPr="00A058D9" w:rsidRDefault="00A058D9" w:rsidP="00A058D9">
            <w:pPr>
              <w:rPr>
                <w:sz w:val="23"/>
                <w:szCs w:val="23"/>
              </w:rPr>
            </w:pPr>
          </w:p>
          <w:p w:rsidR="00A058D9" w:rsidRPr="00A058D9" w:rsidRDefault="00A058D9" w:rsidP="00A058D9">
            <w:pPr>
              <w:rPr>
                <w:sz w:val="23"/>
                <w:szCs w:val="23"/>
              </w:rPr>
            </w:pPr>
          </w:p>
          <w:p w:rsidR="00A058D9" w:rsidRPr="00A058D9" w:rsidRDefault="00A058D9" w:rsidP="00A058D9">
            <w:pPr>
              <w:rPr>
                <w:sz w:val="23"/>
                <w:szCs w:val="23"/>
              </w:rPr>
            </w:pPr>
          </w:p>
          <w:p w:rsidR="00A058D9" w:rsidRPr="00A058D9" w:rsidRDefault="00A058D9" w:rsidP="00A058D9">
            <w:pPr>
              <w:rPr>
                <w:sz w:val="23"/>
                <w:szCs w:val="23"/>
              </w:rPr>
            </w:pPr>
          </w:p>
          <w:p w:rsidR="00A058D9" w:rsidRDefault="00A058D9" w:rsidP="00A058D9">
            <w:pPr>
              <w:rPr>
                <w:sz w:val="23"/>
                <w:szCs w:val="23"/>
              </w:rPr>
            </w:pPr>
          </w:p>
          <w:p w:rsidR="00A058D9" w:rsidRPr="00A058D9" w:rsidRDefault="00A058D9" w:rsidP="00A058D9">
            <w:pPr>
              <w:jc w:val="center"/>
              <w:rPr>
                <w:sz w:val="23"/>
                <w:szCs w:val="23"/>
              </w:rPr>
            </w:pPr>
          </w:p>
        </w:tc>
        <w:tc>
          <w:tcPr>
            <w:tcW w:w="5353" w:type="dxa"/>
            <w:shd w:val="clear" w:color="auto" w:fill="auto"/>
          </w:tcPr>
          <w:p w:rsidR="00A058D9" w:rsidRPr="00824565" w:rsidRDefault="00A058D9" w:rsidP="00DC7E6E">
            <w:pPr>
              <w:pStyle w:val="Default"/>
              <w:spacing w:after="9"/>
            </w:pPr>
            <w:r w:rsidRPr="00824565">
              <w:t>Modernizuoti</w:t>
            </w:r>
            <w:r>
              <w:t xml:space="preserve"> </w:t>
            </w:r>
            <w:r w:rsidRPr="00824565">
              <w:t>/</w:t>
            </w:r>
            <w:r>
              <w:t xml:space="preserve"> </w:t>
            </w:r>
            <w:r w:rsidRPr="00824565">
              <w:t xml:space="preserve">plėtoti komunalinio ūkio infrastruktūrą, prioritetą teikiant gatvių ir perėjų apšvietimo </w:t>
            </w:r>
            <w:r>
              <w:t xml:space="preserve">ir </w:t>
            </w:r>
            <w:r w:rsidRPr="00824565">
              <w:t xml:space="preserve">modernizavimo, gatvių asfaltavimo, </w:t>
            </w:r>
            <w:r>
              <w:t xml:space="preserve">pėsčiųjų ir dviračių takų plėtrai, </w:t>
            </w:r>
            <w:r w:rsidRPr="00824565">
              <w:t>šaligatvių remonto darb</w:t>
            </w:r>
            <w:r>
              <w:t>ams</w:t>
            </w:r>
            <w:r w:rsidRPr="00824565">
              <w:t xml:space="preserve"> vykdy</w:t>
            </w:r>
            <w:r>
              <w:t>t</w:t>
            </w:r>
            <w:r w:rsidRPr="00824565">
              <w:t>i</w:t>
            </w:r>
            <w:r w:rsidR="008D4387">
              <w:t xml:space="preserve">, </w:t>
            </w:r>
            <w:r w:rsidR="008D4387" w:rsidRPr="001937CE">
              <w:rPr>
                <w:color w:val="auto"/>
              </w:rPr>
              <w:t>taikant universalaus dizaino principus, kuriant visiems patogią aplinką</w:t>
            </w:r>
            <w:r w:rsidRPr="001937CE">
              <w:rPr>
                <w:color w:val="auto"/>
              </w:rPr>
              <w:t xml:space="preserve"> </w:t>
            </w:r>
          </w:p>
        </w:tc>
        <w:tc>
          <w:tcPr>
            <w:tcW w:w="1417" w:type="dxa"/>
            <w:shd w:val="clear" w:color="auto" w:fill="auto"/>
          </w:tcPr>
          <w:p w:rsidR="00A058D9" w:rsidRPr="006B645D" w:rsidRDefault="00A058D9" w:rsidP="00DC7E6E">
            <w:pPr>
              <w:pStyle w:val="Default"/>
              <w:spacing w:after="9"/>
              <w:jc w:val="center"/>
              <w:rPr>
                <w:sz w:val="23"/>
                <w:szCs w:val="23"/>
              </w:rPr>
            </w:pPr>
            <w:r>
              <w:rPr>
                <w:sz w:val="23"/>
                <w:szCs w:val="23"/>
              </w:rPr>
              <w:t>2017–2019</w:t>
            </w:r>
          </w:p>
        </w:tc>
      </w:tr>
      <w:tr w:rsidR="00A058D9" w:rsidRPr="006B645D" w:rsidTr="00EC3C1A">
        <w:tc>
          <w:tcPr>
            <w:tcW w:w="2019" w:type="dxa"/>
            <w:vMerge/>
            <w:shd w:val="clear" w:color="auto" w:fill="auto"/>
          </w:tcPr>
          <w:p w:rsidR="00A058D9" w:rsidRPr="006B645D" w:rsidRDefault="00A058D9" w:rsidP="00EC3C1A">
            <w:pPr>
              <w:pStyle w:val="Default"/>
              <w:spacing w:after="9"/>
              <w:jc w:val="center"/>
              <w:rPr>
                <w:sz w:val="23"/>
                <w:szCs w:val="23"/>
              </w:rPr>
            </w:pPr>
          </w:p>
        </w:tc>
        <w:tc>
          <w:tcPr>
            <w:tcW w:w="5353" w:type="dxa"/>
            <w:shd w:val="clear" w:color="auto" w:fill="auto"/>
          </w:tcPr>
          <w:p w:rsidR="00A058D9" w:rsidRPr="006B645D" w:rsidRDefault="00A058D9" w:rsidP="00EC3C1A">
            <w:pPr>
              <w:pStyle w:val="Default"/>
              <w:spacing w:after="9"/>
              <w:rPr>
                <w:sz w:val="23"/>
                <w:szCs w:val="23"/>
              </w:rPr>
            </w:pPr>
            <w:r w:rsidRPr="006B645D">
              <w:rPr>
                <w:sz w:val="23"/>
                <w:szCs w:val="23"/>
              </w:rPr>
              <w:t xml:space="preserve">Skatinti savivaldybės bendruomenių, nevyriausybinių organizacijų, verslo subjektų </w:t>
            </w:r>
            <w:r>
              <w:rPr>
                <w:sz w:val="23"/>
                <w:szCs w:val="23"/>
              </w:rPr>
              <w:t>veiklą, aktyviai įsitraukiant į sprendimų priėmimą, dalyvaujant projektinėje veikloje</w:t>
            </w:r>
            <w:r w:rsidRPr="006B645D">
              <w:rPr>
                <w:sz w:val="23"/>
                <w:szCs w:val="23"/>
              </w:rPr>
              <w:t xml:space="preserve"> </w:t>
            </w:r>
          </w:p>
        </w:tc>
        <w:tc>
          <w:tcPr>
            <w:tcW w:w="1417" w:type="dxa"/>
            <w:shd w:val="clear" w:color="auto" w:fill="auto"/>
          </w:tcPr>
          <w:p w:rsidR="00A058D9" w:rsidRPr="006B645D" w:rsidRDefault="00A058D9" w:rsidP="00EC3C1A">
            <w:pPr>
              <w:pStyle w:val="Default"/>
              <w:spacing w:after="9"/>
              <w:jc w:val="center"/>
              <w:rPr>
                <w:sz w:val="23"/>
                <w:szCs w:val="23"/>
              </w:rPr>
            </w:pPr>
            <w:r>
              <w:rPr>
                <w:sz w:val="23"/>
                <w:szCs w:val="23"/>
              </w:rPr>
              <w:t>2017–2019</w:t>
            </w:r>
          </w:p>
        </w:tc>
      </w:tr>
      <w:tr w:rsidR="00A058D9" w:rsidRPr="006B645D" w:rsidTr="00EC3C1A">
        <w:tc>
          <w:tcPr>
            <w:tcW w:w="2019" w:type="dxa"/>
            <w:vMerge/>
            <w:shd w:val="clear" w:color="auto" w:fill="auto"/>
          </w:tcPr>
          <w:p w:rsidR="00A058D9" w:rsidRPr="006B645D" w:rsidRDefault="00A058D9" w:rsidP="00EC3C1A">
            <w:pPr>
              <w:pStyle w:val="Default"/>
              <w:spacing w:after="9"/>
              <w:jc w:val="center"/>
              <w:rPr>
                <w:sz w:val="23"/>
                <w:szCs w:val="23"/>
              </w:rPr>
            </w:pPr>
          </w:p>
        </w:tc>
        <w:tc>
          <w:tcPr>
            <w:tcW w:w="5353" w:type="dxa"/>
            <w:shd w:val="clear" w:color="auto" w:fill="auto"/>
          </w:tcPr>
          <w:p w:rsidR="00A058D9" w:rsidRPr="00824565" w:rsidRDefault="00A058D9" w:rsidP="00A058D9">
            <w:pPr>
              <w:pStyle w:val="Default"/>
              <w:spacing w:after="9"/>
            </w:pPr>
            <w:r>
              <w:t>Taikyti įvairias paramos formas vykdant investicijas į daugiabučių</w:t>
            </w:r>
            <w:r w:rsidRPr="00824565">
              <w:t xml:space="preserve"> nam</w:t>
            </w:r>
            <w:r>
              <w:t xml:space="preserve">ų </w:t>
            </w:r>
            <w:r w:rsidRPr="00824565">
              <w:t>infrastruk</w:t>
            </w:r>
            <w:r>
              <w:t>tūros modernizavimą / atnaujinimą</w:t>
            </w:r>
          </w:p>
        </w:tc>
        <w:tc>
          <w:tcPr>
            <w:tcW w:w="1417" w:type="dxa"/>
            <w:shd w:val="clear" w:color="auto" w:fill="auto"/>
          </w:tcPr>
          <w:p w:rsidR="00A058D9" w:rsidRPr="006B645D" w:rsidRDefault="00A058D9" w:rsidP="00EC3C1A">
            <w:pPr>
              <w:pStyle w:val="Default"/>
              <w:spacing w:after="9"/>
              <w:jc w:val="center"/>
              <w:rPr>
                <w:sz w:val="23"/>
                <w:szCs w:val="23"/>
              </w:rPr>
            </w:pPr>
            <w:r>
              <w:rPr>
                <w:sz w:val="23"/>
                <w:szCs w:val="23"/>
              </w:rPr>
              <w:t>2017–2019</w:t>
            </w:r>
          </w:p>
        </w:tc>
      </w:tr>
      <w:tr w:rsidR="00A058D9" w:rsidRPr="006B645D" w:rsidTr="00EC3C1A">
        <w:tc>
          <w:tcPr>
            <w:tcW w:w="2019" w:type="dxa"/>
            <w:vMerge/>
            <w:shd w:val="clear" w:color="auto" w:fill="auto"/>
          </w:tcPr>
          <w:p w:rsidR="00A058D9" w:rsidRPr="006B645D" w:rsidRDefault="00A058D9" w:rsidP="00EC3C1A">
            <w:pPr>
              <w:pStyle w:val="Default"/>
              <w:spacing w:after="9"/>
              <w:jc w:val="center"/>
              <w:rPr>
                <w:sz w:val="23"/>
                <w:szCs w:val="23"/>
              </w:rPr>
            </w:pPr>
          </w:p>
        </w:tc>
        <w:tc>
          <w:tcPr>
            <w:tcW w:w="5353" w:type="dxa"/>
            <w:shd w:val="clear" w:color="auto" w:fill="auto"/>
          </w:tcPr>
          <w:p w:rsidR="00A058D9" w:rsidRPr="00824565" w:rsidRDefault="008D4387" w:rsidP="008D4387">
            <w:pPr>
              <w:pStyle w:val="Default"/>
            </w:pPr>
            <w:r>
              <w:t>Vystyti Alytaus aerodromą</w:t>
            </w:r>
            <w:r w:rsidR="00A058D9">
              <w:t xml:space="preserve"> </w:t>
            </w:r>
          </w:p>
        </w:tc>
        <w:tc>
          <w:tcPr>
            <w:tcW w:w="1417" w:type="dxa"/>
            <w:shd w:val="clear" w:color="auto" w:fill="auto"/>
          </w:tcPr>
          <w:p w:rsidR="00A058D9" w:rsidRPr="006B645D" w:rsidRDefault="00A058D9" w:rsidP="00EC3C1A">
            <w:pPr>
              <w:pStyle w:val="Default"/>
              <w:spacing w:after="9"/>
              <w:jc w:val="center"/>
              <w:rPr>
                <w:sz w:val="23"/>
                <w:szCs w:val="23"/>
              </w:rPr>
            </w:pPr>
            <w:r>
              <w:rPr>
                <w:sz w:val="23"/>
                <w:szCs w:val="23"/>
              </w:rPr>
              <w:t>2017–2019</w:t>
            </w:r>
          </w:p>
        </w:tc>
      </w:tr>
      <w:tr w:rsidR="00A058D9" w:rsidRPr="006B645D" w:rsidTr="00EC3C1A">
        <w:tc>
          <w:tcPr>
            <w:tcW w:w="2019" w:type="dxa"/>
            <w:vMerge/>
            <w:shd w:val="clear" w:color="auto" w:fill="auto"/>
          </w:tcPr>
          <w:p w:rsidR="00A058D9" w:rsidRPr="006B645D" w:rsidRDefault="00A058D9" w:rsidP="00EC3C1A">
            <w:pPr>
              <w:pStyle w:val="Default"/>
              <w:spacing w:after="9"/>
              <w:jc w:val="center"/>
              <w:rPr>
                <w:sz w:val="23"/>
                <w:szCs w:val="23"/>
              </w:rPr>
            </w:pPr>
          </w:p>
        </w:tc>
        <w:tc>
          <w:tcPr>
            <w:tcW w:w="5353" w:type="dxa"/>
            <w:shd w:val="clear" w:color="auto" w:fill="auto"/>
          </w:tcPr>
          <w:p w:rsidR="00A058D9" w:rsidRPr="007B3639" w:rsidRDefault="00A058D9" w:rsidP="00EC3C1A">
            <w:pPr>
              <w:pStyle w:val="Default"/>
              <w:rPr>
                <w:color w:val="auto"/>
              </w:rPr>
            </w:pPr>
            <w:r w:rsidRPr="007B3639">
              <w:rPr>
                <w:color w:val="auto"/>
              </w:rPr>
              <w:t xml:space="preserve">Įrengti aktyvaus ir ekstremalaus sporto aikšteles </w:t>
            </w:r>
          </w:p>
        </w:tc>
        <w:tc>
          <w:tcPr>
            <w:tcW w:w="1417" w:type="dxa"/>
            <w:shd w:val="clear" w:color="auto" w:fill="auto"/>
          </w:tcPr>
          <w:p w:rsidR="00A058D9" w:rsidRPr="006B645D" w:rsidRDefault="00A058D9" w:rsidP="00EC3C1A">
            <w:pPr>
              <w:pStyle w:val="Default"/>
              <w:spacing w:after="9"/>
              <w:jc w:val="center"/>
              <w:rPr>
                <w:sz w:val="23"/>
                <w:szCs w:val="23"/>
              </w:rPr>
            </w:pPr>
            <w:r>
              <w:rPr>
                <w:sz w:val="23"/>
                <w:szCs w:val="23"/>
              </w:rPr>
              <w:t>2017–2019</w:t>
            </w:r>
          </w:p>
        </w:tc>
      </w:tr>
      <w:tr w:rsidR="00A058D9" w:rsidRPr="006B645D" w:rsidTr="00EC3C1A">
        <w:tc>
          <w:tcPr>
            <w:tcW w:w="2019" w:type="dxa"/>
            <w:vMerge/>
            <w:shd w:val="clear" w:color="auto" w:fill="auto"/>
          </w:tcPr>
          <w:p w:rsidR="00A058D9" w:rsidRPr="006B645D" w:rsidRDefault="00A058D9" w:rsidP="00EC3C1A">
            <w:pPr>
              <w:pStyle w:val="Default"/>
              <w:spacing w:after="9"/>
              <w:jc w:val="center"/>
              <w:rPr>
                <w:sz w:val="23"/>
                <w:szCs w:val="23"/>
              </w:rPr>
            </w:pPr>
          </w:p>
        </w:tc>
        <w:tc>
          <w:tcPr>
            <w:tcW w:w="5353" w:type="dxa"/>
            <w:shd w:val="clear" w:color="auto" w:fill="auto"/>
          </w:tcPr>
          <w:p w:rsidR="00A058D9" w:rsidRDefault="00A058D9" w:rsidP="008D4387">
            <w:pPr>
              <w:pStyle w:val="Default"/>
            </w:pPr>
            <w:r w:rsidRPr="001937CE">
              <w:rPr>
                <w:color w:val="auto"/>
              </w:rPr>
              <w:t xml:space="preserve">Perimti Alytaus šilumos </w:t>
            </w:r>
            <w:r w:rsidR="008D4387" w:rsidRPr="001937CE">
              <w:rPr>
                <w:color w:val="auto"/>
              </w:rPr>
              <w:t>ūkį</w:t>
            </w:r>
            <w:r w:rsidRPr="001937CE">
              <w:rPr>
                <w:color w:val="auto"/>
              </w:rPr>
              <w:t xml:space="preserve"> iš „Litesko“ir </w:t>
            </w:r>
            <w:r w:rsidR="008D4387" w:rsidRPr="001937CE">
              <w:rPr>
                <w:color w:val="auto"/>
              </w:rPr>
              <w:t>optimalizuoti</w:t>
            </w:r>
            <w:r w:rsidRPr="001937CE">
              <w:rPr>
                <w:color w:val="auto"/>
              </w:rPr>
              <w:t xml:space="preserve"> šilumos kainas</w:t>
            </w:r>
          </w:p>
        </w:tc>
        <w:tc>
          <w:tcPr>
            <w:tcW w:w="1417" w:type="dxa"/>
            <w:shd w:val="clear" w:color="auto" w:fill="auto"/>
          </w:tcPr>
          <w:p w:rsidR="00A058D9" w:rsidRPr="006B645D" w:rsidRDefault="00A058D9" w:rsidP="00EC3C1A">
            <w:pPr>
              <w:pStyle w:val="Default"/>
              <w:spacing w:after="9"/>
              <w:jc w:val="center"/>
              <w:rPr>
                <w:sz w:val="23"/>
                <w:szCs w:val="23"/>
              </w:rPr>
            </w:pPr>
            <w:r>
              <w:rPr>
                <w:sz w:val="23"/>
                <w:szCs w:val="23"/>
              </w:rPr>
              <w:t>2017–2018</w:t>
            </w:r>
          </w:p>
        </w:tc>
      </w:tr>
      <w:tr w:rsidR="00A058D9" w:rsidRPr="006B645D" w:rsidTr="00EC3C1A">
        <w:tc>
          <w:tcPr>
            <w:tcW w:w="2019" w:type="dxa"/>
            <w:vMerge/>
            <w:shd w:val="clear" w:color="auto" w:fill="auto"/>
          </w:tcPr>
          <w:p w:rsidR="00A058D9" w:rsidRPr="006B645D" w:rsidRDefault="00A058D9" w:rsidP="00EC3C1A">
            <w:pPr>
              <w:pStyle w:val="Default"/>
              <w:spacing w:after="9"/>
              <w:jc w:val="center"/>
              <w:rPr>
                <w:sz w:val="23"/>
                <w:szCs w:val="23"/>
              </w:rPr>
            </w:pPr>
          </w:p>
        </w:tc>
        <w:tc>
          <w:tcPr>
            <w:tcW w:w="5353" w:type="dxa"/>
            <w:shd w:val="clear" w:color="auto" w:fill="auto"/>
          </w:tcPr>
          <w:p w:rsidR="00A058D9" w:rsidRDefault="00A058D9" w:rsidP="00EC3C1A">
            <w:pPr>
              <w:pStyle w:val="Default"/>
            </w:pPr>
            <w:r>
              <w:t>Tobulinti viešojo reguliaraus susisiekimo paslaugas</w:t>
            </w:r>
          </w:p>
        </w:tc>
        <w:tc>
          <w:tcPr>
            <w:tcW w:w="1417" w:type="dxa"/>
            <w:shd w:val="clear" w:color="auto" w:fill="auto"/>
          </w:tcPr>
          <w:p w:rsidR="00A058D9" w:rsidRPr="006B645D" w:rsidRDefault="00A058D9" w:rsidP="00EC3C1A">
            <w:pPr>
              <w:pStyle w:val="Default"/>
              <w:spacing w:after="9"/>
              <w:jc w:val="center"/>
              <w:rPr>
                <w:sz w:val="23"/>
                <w:szCs w:val="23"/>
              </w:rPr>
            </w:pPr>
            <w:r>
              <w:rPr>
                <w:sz w:val="23"/>
                <w:szCs w:val="23"/>
              </w:rPr>
              <w:t>2017–2019</w:t>
            </w:r>
          </w:p>
        </w:tc>
      </w:tr>
      <w:tr w:rsidR="00A058D9" w:rsidRPr="006B645D" w:rsidTr="00EC3C1A">
        <w:tc>
          <w:tcPr>
            <w:tcW w:w="2019" w:type="dxa"/>
            <w:vMerge/>
            <w:shd w:val="clear" w:color="auto" w:fill="auto"/>
          </w:tcPr>
          <w:p w:rsidR="00A058D9" w:rsidRPr="006B645D" w:rsidRDefault="00A058D9" w:rsidP="00EC3C1A">
            <w:pPr>
              <w:pStyle w:val="Default"/>
              <w:spacing w:after="9"/>
              <w:jc w:val="center"/>
              <w:rPr>
                <w:sz w:val="23"/>
                <w:szCs w:val="23"/>
              </w:rPr>
            </w:pPr>
          </w:p>
        </w:tc>
        <w:tc>
          <w:tcPr>
            <w:tcW w:w="5353" w:type="dxa"/>
            <w:shd w:val="clear" w:color="auto" w:fill="auto"/>
          </w:tcPr>
          <w:p w:rsidR="00A058D9" w:rsidRDefault="00A058D9" w:rsidP="00EC3C1A">
            <w:pPr>
              <w:pStyle w:val="Default"/>
            </w:pPr>
            <w:r w:rsidRPr="00305C5B">
              <w:t xml:space="preserve">Parengti miesto mažosios architektūros ir meno </w:t>
            </w:r>
            <w:r w:rsidRPr="00305C5B">
              <w:lastRenderedPageBreak/>
              <w:t>objektų, aplinkotvarkos įrangos  išdėstymo schemas, įrengti ir atnaujinti lankytinų vietų nuorodas</w:t>
            </w:r>
          </w:p>
        </w:tc>
        <w:tc>
          <w:tcPr>
            <w:tcW w:w="1417" w:type="dxa"/>
            <w:shd w:val="clear" w:color="auto" w:fill="auto"/>
          </w:tcPr>
          <w:p w:rsidR="00A058D9" w:rsidRPr="006B645D" w:rsidRDefault="00A058D9" w:rsidP="00EC3C1A">
            <w:pPr>
              <w:pStyle w:val="Default"/>
              <w:spacing w:after="9"/>
              <w:jc w:val="center"/>
              <w:rPr>
                <w:sz w:val="23"/>
                <w:szCs w:val="23"/>
              </w:rPr>
            </w:pPr>
            <w:r>
              <w:rPr>
                <w:sz w:val="23"/>
                <w:szCs w:val="23"/>
              </w:rPr>
              <w:lastRenderedPageBreak/>
              <w:t>2017–2019</w:t>
            </w:r>
          </w:p>
        </w:tc>
      </w:tr>
      <w:tr w:rsidR="00593422" w:rsidRPr="006B645D" w:rsidTr="00EC3C1A">
        <w:tc>
          <w:tcPr>
            <w:tcW w:w="2019" w:type="dxa"/>
            <w:shd w:val="clear" w:color="auto" w:fill="auto"/>
          </w:tcPr>
          <w:p w:rsidR="00593422" w:rsidRPr="006B645D" w:rsidRDefault="00593422" w:rsidP="00EC3C1A">
            <w:pPr>
              <w:pStyle w:val="Default"/>
              <w:spacing w:after="9"/>
              <w:jc w:val="center"/>
              <w:rPr>
                <w:sz w:val="23"/>
                <w:szCs w:val="23"/>
              </w:rPr>
            </w:pPr>
          </w:p>
        </w:tc>
        <w:tc>
          <w:tcPr>
            <w:tcW w:w="5353" w:type="dxa"/>
            <w:shd w:val="clear" w:color="auto" w:fill="auto"/>
          </w:tcPr>
          <w:p w:rsidR="00593422" w:rsidRPr="00305C5B" w:rsidRDefault="00593422" w:rsidP="00593422">
            <w:pPr>
              <w:pStyle w:val="Default"/>
            </w:pPr>
            <w:r w:rsidRPr="001937CE">
              <w:rPr>
                <w:color w:val="auto"/>
              </w:rPr>
              <w:t xml:space="preserve">Formuoti miesto išskirtinumą,kuriant naujas patrauklias erdves </w:t>
            </w:r>
          </w:p>
        </w:tc>
        <w:tc>
          <w:tcPr>
            <w:tcW w:w="1417" w:type="dxa"/>
            <w:shd w:val="clear" w:color="auto" w:fill="auto"/>
          </w:tcPr>
          <w:p w:rsidR="00593422" w:rsidRDefault="00593422" w:rsidP="00EC3C1A">
            <w:pPr>
              <w:pStyle w:val="Default"/>
              <w:spacing w:after="9"/>
              <w:jc w:val="center"/>
              <w:rPr>
                <w:sz w:val="23"/>
                <w:szCs w:val="23"/>
              </w:rPr>
            </w:pPr>
            <w:r>
              <w:rPr>
                <w:sz w:val="23"/>
                <w:szCs w:val="23"/>
              </w:rPr>
              <w:t>2017–2019</w:t>
            </w:r>
          </w:p>
        </w:tc>
      </w:tr>
    </w:tbl>
    <w:p w:rsidR="00A81C80" w:rsidRDefault="00A81C80" w:rsidP="00A81C80">
      <w:pPr>
        <w:pStyle w:val="Default"/>
        <w:rPr>
          <w:b/>
          <w:bCs/>
          <w:sz w:val="23"/>
          <w:szCs w:val="23"/>
        </w:rPr>
      </w:pPr>
    </w:p>
    <w:p w:rsidR="00A81C80" w:rsidRDefault="00A81C80" w:rsidP="00A81C80">
      <w:pPr>
        <w:pStyle w:val="Default"/>
        <w:jc w:val="center"/>
        <w:rPr>
          <w:b/>
          <w:bCs/>
          <w:sz w:val="23"/>
          <w:szCs w:val="23"/>
        </w:rPr>
      </w:pPr>
      <w:r>
        <w:rPr>
          <w:b/>
          <w:bCs/>
          <w:sz w:val="23"/>
          <w:szCs w:val="23"/>
        </w:rPr>
        <w:t>STRATEGINIAI TIKSLAI IR PROGRAMŲ ĮGYVENDINIMAS</w:t>
      </w:r>
    </w:p>
    <w:p w:rsidR="00A81C80" w:rsidRDefault="00A81C80" w:rsidP="00A81C80">
      <w:pPr>
        <w:rPr>
          <w:rFonts w:ascii="Times New Roman" w:hAnsi="Times New Roman"/>
          <w:sz w:val="24"/>
          <w:szCs w:val="24"/>
          <w:lang w:eastAsia="lt-LT"/>
        </w:rPr>
      </w:pPr>
    </w:p>
    <w:tbl>
      <w:tblPr>
        <w:tblW w:w="9923"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36"/>
        <w:gridCol w:w="8287"/>
      </w:tblGrid>
      <w:tr w:rsidR="00A81C80" w:rsidRPr="00C007DC" w:rsidTr="00EC3C1A">
        <w:trPr>
          <w:cantSplit/>
          <w:trHeight w:val="471"/>
        </w:trPr>
        <w:tc>
          <w:tcPr>
            <w:tcW w:w="9923"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81C80" w:rsidRPr="00C007DC" w:rsidRDefault="00A81C80" w:rsidP="00885CA6">
            <w:pPr>
              <w:spacing w:before="100" w:beforeAutospacing="1" w:after="100" w:afterAutospacing="1"/>
              <w:jc w:val="both"/>
              <w:rPr>
                <w:rFonts w:ascii="Times New Roman" w:eastAsia="Times New Roman" w:hAnsi="Times New Roman"/>
                <w:sz w:val="24"/>
                <w:szCs w:val="24"/>
                <w:lang w:eastAsia="lt-LT"/>
              </w:rPr>
            </w:pPr>
            <w:r w:rsidRPr="00C007DC">
              <w:rPr>
                <w:rFonts w:ascii="Times New Roman" w:eastAsia="Times New Roman" w:hAnsi="Times New Roman"/>
                <w:b/>
                <w:bCs/>
                <w:sz w:val="24"/>
                <w:szCs w:val="24"/>
                <w:lang w:eastAsia="lt-LT"/>
              </w:rPr>
              <w:t xml:space="preserve">01 STRATEGINIS TIKSLAS – užtikrinti gyventojams </w:t>
            </w:r>
            <w:r>
              <w:rPr>
                <w:rFonts w:ascii="Times New Roman" w:eastAsia="Times New Roman" w:hAnsi="Times New Roman"/>
                <w:b/>
                <w:bCs/>
                <w:sz w:val="24"/>
                <w:szCs w:val="24"/>
                <w:lang w:eastAsia="lt-LT"/>
              </w:rPr>
              <w:t>viešųjų paslaugų įvairovę</w:t>
            </w:r>
            <w:r w:rsidR="00885CA6">
              <w:rPr>
                <w:rFonts w:ascii="Times New Roman" w:eastAsia="Times New Roman" w:hAnsi="Times New Roman"/>
                <w:b/>
                <w:bCs/>
                <w:sz w:val="24"/>
                <w:szCs w:val="24"/>
                <w:lang w:eastAsia="lt-LT"/>
              </w:rPr>
              <w:t>,</w:t>
            </w:r>
            <w:r>
              <w:rPr>
                <w:rFonts w:ascii="Times New Roman" w:eastAsia="Times New Roman" w:hAnsi="Times New Roman"/>
                <w:b/>
                <w:bCs/>
                <w:sz w:val="24"/>
                <w:szCs w:val="24"/>
                <w:lang w:eastAsia="lt-LT"/>
              </w:rPr>
              <w:t xml:space="preserve"> </w:t>
            </w:r>
            <w:r w:rsidRPr="00C007DC">
              <w:rPr>
                <w:rFonts w:ascii="Times New Roman" w:eastAsia="Times New Roman" w:hAnsi="Times New Roman"/>
                <w:b/>
                <w:bCs/>
                <w:sz w:val="24"/>
                <w:szCs w:val="24"/>
                <w:lang w:eastAsia="lt-LT"/>
              </w:rPr>
              <w:t>kokybę ir prieinamumą</w:t>
            </w:r>
          </w:p>
        </w:tc>
      </w:tr>
      <w:tr w:rsidR="00A81C80" w:rsidRPr="00C007DC" w:rsidTr="00EC3C1A">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jc w:val="center"/>
              <w:rPr>
                <w:rFonts w:ascii="Times New Roman" w:eastAsia="Times New Roman" w:hAnsi="Times New Roman"/>
                <w:sz w:val="24"/>
                <w:szCs w:val="24"/>
                <w:lang w:eastAsia="lt-LT"/>
              </w:rPr>
            </w:pPr>
            <w:r w:rsidRPr="00C007DC">
              <w:rPr>
                <w:rFonts w:ascii="Times New Roman" w:eastAsia="Times New Roman" w:hAnsi="Times New Roman"/>
                <w:sz w:val="24"/>
                <w:szCs w:val="24"/>
                <w:lang w:eastAsia="lt-LT"/>
              </w:rPr>
              <w:t>Kodas</w:t>
            </w:r>
          </w:p>
        </w:tc>
        <w:tc>
          <w:tcPr>
            <w:tcW w:w="8287"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jc w:val="both"/>
              <w:rPr>
                <w:rFonts w:ascii="Times New Roman" w:eastAsia="Times New Roman" w:hAnsi="Times New Roman"/>
                <w:sz w:val="24"/>
                <w:szCs w:val="24"/>
                <w:lang w:eastAsia="lt-LT"/>
              </w:rPr>
            </w:pPr>
            <w:r w:rsidRPr="00C007DC">
              <w:rPr>
                <w:rFonts w:ascii="Times New Roman" w:eastAsia="Times New Roman" w:hAnsi="Times New Roman"/>
                <w:sz w:val="24"/>
                <w:szCs w:val="24"/>
                <w:lang w:eastAsia="lt-LT"/>
              </w:rPr>
              <w:t>Įgyvendinant šį strateginį tikslą, vykdomos programos:</w:t>
            </w:r>
          </w:p>
        </w:tc>
      </w:tr>
      <w:tr w:rsidR="00A81C80" w:rsidRPr="00C007DC" w:rsidTr="00EC3C1A">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21</w:t>
            </w:r>
          </w:p>
        </w:tc>
        <w:tc>
          <w:tcPr>
            <w:tcW w:w="8287"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Švietimo programa</w:t>
            </w:r>
          </w:p>
        </w:tc>
      </w:tr>
      <w:tr w:rsidR="00A81C80" w:rsidRPr="00C007DC" w:rsidTr="00EC3C1A">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22</w:t>
            </w:r>
          </w:p>
        </w:tc>
        <w:tc>
          <w:tcPr>
            <w:tcW w:w="8287"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jc w:val="both"/>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Sveikatos apsaugos programa</w:t>
            </w:r>
          </w:p>
        </w:tc>
      </w:tr>
      <w:tr w:rsidR="00A81C80" w:rsidRPr="00C007DC" w:rsidTr="00EC3C1A">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23</w:t>
            </w:r>
          </w:p>
        </w:tc>
        <w:tc>
          <w:tcPr>
            <w:tcW w:w="8287"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jc w:val="both"/>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Socialinės apsaugos programa</w:t>
            </w:r>
          </w:p>
        </w:tc>
      </w:tr>
      <w:tr w:rsidR="00A81C80" w:rsidRPr="00C007DC" w:rsidTr="00EC3C1A">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24</w:t>
            </w:r>
          </w:p>
        </w:tc>
        <w:tc>
          <w:tcPr>
            <w:tcW w:w="8287"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Kultūros programa</w:t>
            </w:r>
          </w:p>
        </w:tc>
      </w:tr>
      <w:tr w:rsidR="00A81C80" w:rsidRPr="00C007DC" w:rsidTr="00EC3C1A">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C80" w:rsidRPr="00C007DC" w:rsidRDefault="00A81C80" w:rsidP="00EC3C1A">
            <w:pPr>
              <w:spacing w:before="100" w:beforeAutospacing="1" w:after="100" w:afterAutospacing="1" w:line="185" w:lineRule="atLeast"/>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25</w:t>
            </w:r>
          </w:p>
        </w:tc>
        <w:tc>
          <w:tcPr>
            <w:tcW w:w="8287" w:type="dxa"/>
            <w:tcBorders>
              <w:top w:val="nil"/>
              <w:left w:val="nil"/>
              <w:bottom w:val="single" w:sz="8" w:space="0" w:color="auto"/>
              <w:right w:val="single" w:sz="8" w:space="0" w:color="auto"/>
            </w:tcBorders>
            <w:tcMar>
              <w:top w:w="0" w:type="dxa"/>
              <w:left w:w="108" w:type="dxa"/>
              <w:bottom w:w="0" w:type="dxa"/>
              <w:right w:w="108" w:type="dxa"/>
            </w:tcMar>
          </w:tcPr>
          <w:p w:rsidR="00A81C80" w:rsidRPr="00C007DC" w:rsidRDefault="00A81C80" w:rsidP="00EC3C1A">
            <w:pPr>
              <w:spacing w:before="100" w:beforeAutospacing="1" w:after="100" w:afterAutospacing="1" w:line="185"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Kūno kultūros ir sporto programa</w:t>
            </w:r>
          </w:p>
        </w:tc>
      </w:tr>
      <w:tr w:rsidR="00A81C80" w:rsidRPr="00C007DC" w:rsidTr="00EC3C1A">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C80" w:rsidRDefault="00A81C80" w:rsidP="00EC3C1A">
            <w:pPr>
              <w:spacing w:before="100" w:beforeAutospacing="1" w:after="100" w:afterAutospacing="1" w:line="185" w:lineRule="atLeast"/>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26</w:t>
            </w:r>
          </w:p>
        </w:tc>
        <w:tc>
          <w:tcPr>
            <w:tcW w:w="8287" w:type="dxa"/>
            <w:tcBorders>
              <w:top w:val="nil"/>
              <w:left w:val="nil"/>
              <w:bottom w:val="single" w:sz="8" w:space="0" w:color="auto"/>
              <w:right w:val="single" w:sz="8" w:space="0" w:color="auto"/>
            </w:tcBorders>
            <w:tcMar>
              <w:top w:w="0" w:type="dxa"/>
              <w:left w:w="108" w:type="dxa"/>
              <w:bottom w:w="0" w:type="dxa"/>
              <w:right w:w="108" w:type="dxa"/>
            </w:tcMar>
          </w:tcPr>
          <w:p w:rsidR="00A81C80" w:rsidRDefault="00A81C80" w:rsidP="00EC3C1A">
            <w:pPr>
              <w:spacing w:before="100" w:beforeAutospacing="1" w:after="100" w:afterAutospacing="1" w:line="185"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Savivaldybės veiklos programa</w:t>
            </w:r>
          </w:p>
        </w:tc>
      </w:tr>
    </w:tbl>
    <w:p w:rsidR="00A81C80" w:rsidRDefault="00A81C80" w:rsidP="00A81C80">
      <w:pPr>
        <w:pStyle w:val="Default"/>
        <w:jc w:val="center"/>
        <w:rPr>
          <w:sz w:val="23"/>
          <w:szCs w:val="23"/>
        </w:rPr>
      </w:pPr>
    </w:p>
    <w:p w:rsidR="00A81C80" w:rsidRPr="001802D0" w:rsidRDefault="00A81C80" w:rsidP="00A81C80">
      <w:pPr>
        <w:ind w:firstLine="1247"/>
        <w:jc w:val="both"/>
        <w:rPr>
          <w:rFonts w:ascii="Times New Roman" w:eastAsia="Times New Roman" w:hAnsi="Times New Roman"/>
          <w:color w:val="000000"/>
          <w:sz w:val="24"/>
          <w:szCs w:val="24"/>
        </w:rPr>
      </w:pPr>
      <w:r w:rsidRPr="001802D0">
        <w:rPr>
          <w:rFonts w:ascii="Times New Roman" w:hAnsi="Times New Roman"/>
          <w:iCs/>
          <w:sz w:val="24"/>
          <w:szCs w:val="24"/>
        </w:rPr>
        <w:tab/>
        <w:t>V</w:t>
      </w:r>
      <w:r w:rsidRPr="001802D0">
        <w:rPr>
          <w:rFonts w:ascii="Times New Roman" w:eastAsia="Times New Roman" w:hAnsi="Times New Roman"/>
          <w:color w:val="000000"/>
          <w:sz w:val="24"/>
          <w:szCs w:val="24"/>
        </w:rPr>
        <w:t>iešojo administravimo organizacijose per pastaruosius kelerius metus galima pastebėti labai didelį susidomėjimą viešojo sektoriaus valdymo efektyvumo gerinimo sprendima</w:t>
      </w:r>
      <w:r>
        <w:rPr>
          <w:rFonts w:ascii="Times New Roman" w:eastAsia="Times New Roman" w:hAnsi="Times New Roman"/>
          <w:color w:val="000000"/>
          <w:sz w:val="24"/>
          <w:szCs w:val="24"/>
        </w:rPr>
        <w:t>i</w:t>
      </w:r>
      <w:r w:rsidRPr="001802D0">
        <w:rPr>
          <w:rFonts w:ascii="Times New Roman" w:eastAsia="Times New Roman" w:hAnsi="Times New Roman"/>
          <w:color w:val="000000"/>
          <w:sz w:val="24"/>
          <w:szCs w:val="24"/>
        </w:rPr>
        <w:t>s. Sistemingai gerinti, tobulinti veiklą ir didinti teikiamų paslaugų kokybę savivaldybę taip pat skatina išaugę vartotojų (piliečių) aptarnavimo lūkesčiai bei ES mastu plėtojam</w:t>
      </w:r>
      <w:r>
        <w:rPr>
          <w:rFonts w:ascii="Times New Roman" w:eastAsia="Times New Roman" w:hAnsi="Times New Roman"/>
          <w:color w:val="000000"/>
          <w:sz w:val="24"/>
          <w:szCs w:val="24"/>
        </w:rPr>
        <w:t>a</w:t>
      </w:r>
      <w:r w:rsidRPr="001802D0">
        <w:rPr>
          <w:rFonts w:ascii="Times New Roman" w:eastAsia="Times New Roman" w:hAnsi="Times New Roman"/>
          <w:color w:val="000000"/>
          <w:sz w:val="24"/>
          <w:szCs w:val="24"/>
        </w:rPr>
        <w:t xml:space="preserve"> iniciatyv</w:t>
      </w:r>
      <w:r>
        <w:rPr>
          <w:rFonts w:ascii="Times New Roman" w:eastAsia="Times New Roman" w:hAnsi="Times New Roman"/>
          <w:color w:val="000000"/>
          <w:sz w:val="24"/>
          <w:szCs w:val="24"/>
        </w:rPr>
        <w:t>a</w:t>
      </w:r>
      <w:r w:rsidRPr="001802D0">
        <w:rPr>
          <w:rFonts w:ascii="Times New Roman" w:eastAsia="Times New Roman" w:hAnsi="Times New Roman"/>
          <w:color w:val="000000"/>
          <w:sz w:val="24"/>
          <w:szCs w:val="24"/>
        </w:rPr>
        <w:t xml:space="preserve"> ir rekomendacijos. Siekiant užtikrinti savivaldybės veiklos valdymo efektyvumą ir patenkinti vartotojų aptarnavimo lūkesčius, numatomos priemonės</w:t>
      </w:r>
      <w:r>
        <w:rPr>
          <w:rFonts w:ascii="Times New Roman" w:eastAsia="Times New Roman" w:hAnsi="Times New Roman"/>
          <w:color w:val="000000"/>
          <w:sz w:val="24"/>
          <w:szCs w:val="24"/>
        </w:rPr>
        <w:t>,</w:t>
      </w:r>
      <w:r w:rsidRPr="001802D0">
        <w:rPr>
          <w:rFonts w:ascii="Times New Roman" w:eastAsia="Times New Roman" w:hAnsi="Times New Roman"/>
          <w:color w:val="000000"/>
          <w:sz w:val="24"/>
          <w:szCs w:val="24"/>
        </w:rPr>
        <w:t xml:space="preserve"> mažinančios administracinę naštą fiziniams ir juridiniams asmenims, užtikrinant sistemingą savivaldybės </w:t>
      </w:r>
      <w:r>
        <w:rPr>
          <w:rFonts w:ascii="Times New Roman" w:eastAsia="Times New Roman" w:hAnsi="Times New Roman"/>
          <w:color w:val="000000"/>
          <w:sz w:val="24"/>
          <w:szCs w:val="24"/>
        </w:rPr>
        <w:t xml:space="preserve">valstybės tarnautojų ir </w:t>
      </w:r>
      <w:r w:rsidRPr="001802D0">
        <w:rPr>
          <w:rFonts w:ascii="Times New Roman" w:eastAsia="Times New Roman" w:hAnsi="Times New Roman"/>
          <w:color w:val="000000"/>
          <w:sz w:val="24"/>
          <w:szCs w:val="24"/>
        </w:rPr>
        <w:t xml:space="preserve">darbuotojų mokymąsi, gerinant savivaldybės veiklos planavimą ir valdymą, diegiant modernius vadybos metodus, skatinant aktyvesnį bendradarbiavimą su visuomene. Numatyta efektyviai valdyti ir atnaujinti savivaldybės valdomą ir nuomojamą turtą, plėtoti elektroninės valdžios ir elektroninės demokratijos priemones. </w:t>
      </w:r>
    </w:p>
    <w:p w:rsidR="00A81C80" w:rsidRDefault="00A81C80" w:rsidP="00A81C80">
      <w:pPr>
        <w:pStyle w:val="Default"/>
        <w:jc w:val="both"/>
      </w:pPr>
      <w:r>
        <w:rPr>
          <w:iCs/>
          <w:color w:val="auto"/>
        </w:rPr>
        <w:tab/>
      </w:r>
      <w:r w:rsidRPr="009120E7">
        <w:rPr>
          <w:iCs/>
          <w:color w:val="auto"/>
        </w:rPr>
        <w:t>2017–2019 m</w:t>
      </w:r>
      <w:r>
        <w:rPr>
          <w:iCs/>
          <w:color w:val="auto"/>
        </w:rPr>
        <w:t>.</w:t>
      </w:r>
      <w:r w:rsidRPr="009120E7">
        <w:rPr>
          <w:iCs/>
          <w:color w:val="auto"/>
        </w:rPr>
        <w:t xml:space="preserve"> bus siekiama užtikrinti ugdymo kokybę bendrojo ugdymo įstaigose naudojant modernias švietimo technologijas ugdymo turiniui perteikti, modernizuojant ugdymo aplinką. Toliau bus įgyvendinamos neformaliojo vaikų, jaunimo ir suaugusiųjų mokymo</w:t>
      </w:r>
      <w:r>
        <w:rPr>
          <w:iCs/>
          <w:color w:val="auto"/>
        </w:rPr>
        <w:t xml:space="preserve"> </w:t>
      </w:r>
      <w:r w:rsidRPr="009120E7">
        <w:rPr>
          <w:iCs/>
          <w:color w:val="auto"/>
        </w:rPr>
        <w:t>/</w:t>
      </w:r>
      <w:r>
        <w:rPr>
          <w:iCs/>
          <w:color w:val="auto"/>
        </w:rPr>
        <w:t xml:space="preserve"> </w:t>
      </w:r>
      <w:r w:rsidRPr="009120E7">
        <w:rPr>
          <w:iCs/>
          <w:color w:val="auto"/>
        </w:rPr>
        <w:t>švietimo programos. Prioritetas teikiamas švietimo paslaugų kokybei, vaikų socializacij</w:t>
      </w:r>
      <w:r>
        <w:rPr>
          <w:iCs/>
          <w:color w:val="auto"/>
        </w:rPr>
        <w:t>ai</w:t>
      </w:r>
      <w:r w:rsidRPr="009120E7">
        <w:rPr>
          <w:iCs/>
          <w:color w:val="auto"/>
        </w:rPr>
        <w:t>, menin</w:t>
      </w:r>
      <w:r>
        <w:rPr>
          <w:iCs/>
          <w:color w:val="auto"/>
        </w:rPr>
        <w:t>ei</w:t>
      </w:r>
      <w:r w:rsidRPr="009120E7">
        <w:rPr>
          <w:iCs/>
          <w:color w:val="auto"/>
        </w:rPr>
        <w:t>, kūrybin</w:t>
      </w:r>
      <w:r>
        <w:rPr>
          <w:iCs/>
          <w:color w:val="auto"/>
        </w:rPr>
        <w:t>ei</w:t>
      </w:r>
      <w:r w:rsidRPr="009120E7">
        <w:rPr>
          <w:iCs/>
          <w:color w:val="auto"/>
        </w:rPr>
        <w:t xml:space="preserve"> saviraišk</w:t>
      </w:r>
      <w:r>
        <w:rPr>
          <w:iCs/>
          <w:color w:val="auto"/>
        </w:rPr>
        <w:t>ai</w:t>
      </w:r>
      <w:r w:rsidRPr="009120E7">
        <w:rPr>
          <w:iCs/>
          <w:color w:val="auto"/>
        </w:rPr>
        <w:t xml:space="preserve"> skatin</w:t>
      </w:r>
      <w:r>
        <w:rPr>
          <w:iCs/>
          <w:color w:val="auto"/>
        </w:rPr>
        <w:t>t</w:t>
      </w:r>
      <w:r w:rsidRPr="009120E7">
        <w:rPr>
          <w:iCs/>
          <w:color w:val="auto"/>
        </w:rPr>
        <w:t>i ir r</w:t>
      </w:r>
      <w:r>
        <w:rPr>
          <w:iCs/>
          <w:color w:val="auto"/>
        </w:rPr>
        <w:t>emt</w:t>
      </w:r>
      <w:r w:rsidRPr="009120E7">
        <w:rPr>
          <w:iCs/>
          <w:color w:val="auto"/>
        </w:rPr>
        <w:t>i.</w:t>
      </w:r>
      <w:r>
        <w:rPr>
          <w:iCs/>
        </w:rPr>
        <w:t xml:space="preserve"> </w:t>
      </w:r>
      <w:r>
        <w:t>2017</w:t>
      </w:r>
      <w:r w:rsidRPr="000B1BAF">
        <w:t xml:space="preserve"> m. </w:t>
      </w:r>
      <w:r>
        <w:t xml:space="preserve">bus </w:t>
      </w:r>
      <w:r w:rsidRPr="000B1BAF">
        <w:t xml:space="preserve">modernizuojami </w:t>
      </w:r>
      <w:r>
        <w:t xml:space="preserve">švietimo įstaigų </w:t>
      </w:r>
      <w:r w:rsidRPr="000B1BAF">
        <w:t xml:space="preserve">pastatai, gerinama aplinkos infrastruktūra, patalpose įrengiama moderni edukacinė aplinka. Įrengus </w:t>
      </w:r>
      <w:r>
        <w:t xml:space="preserve"> naujus sporto aikštynus</w:t>
      </w:r>
      <w:r w:rsidRPr="000B1BAF">
        <w:t xml:space="preserve"> šalia mokyklų</w:t>
      </w:r>
      <w:r>
        <w:t>,</w:t>
      </w:r>
      <w:r w:rsidRPr="000B1BAF">
        <w:t xml:space="preserve"> pagerės ne tik mokyklų auklėtinių kūno kultūros veikl</w:t>
      </w:r>
      <w:r>
        <w:t>os sąlygos</w:t>
      </w:r>
      <w:r w:rsidRPr="000B1BAF">
        <w:t xml:space="preserve">, bet ir bus sudarytos sąlygos vietos bendruomenei aktyviai praleisti laisvalaikį. </w:t>
      </w:r>
      <w:r>
        <w:t>Alytuje</w:t>
      </w:r>
      <w:r w:rsidRPr="000B1BAF">
        <w:t xml:space="preserve"> </w:t>
      </w:r>
      <w:r>
        <w:t>daugėja</w:t>
      </w:r>
      <w:r w:rsidRPr="000B1BAF">
        <w:t xml:space="preserve"> akademinio</w:t>
      </w:r>
      <w:r>
        <w:t xml:space="preserve"> jaunimo. </w:t>
      </w:r>
      <w:r w:rsidRPr="000B1BAF">
        <w:t xml:space="preserve">Sklandus </w:t>
      </w:r>
      <w:r>
        <w:t>s</w:t>
      </w:r>
      <w:r w:rsidRPr="000B1BAF">
        <w:t xml:space="preserve">avivaldybės, </w:t>
      </w:r>
      <w:r>
        <w:t>kolegijos</w:t>
      </w:r>
      <w:r w:rsidRPr="000B1BAF">
        <w:t xml:space="preserve">, profesinių ir bendrojo ugdymo mokyklų ir verslo organizacijų bendradarbiavimas sudarytų prielaidas </w:t>
      </w:r>
      <w:r>
        <w:t>jaunimui</w:t>
      </w:r>
      <w:r w:rsidRPr="000B1BAF">
        <w:t xml:space="preserve"> neišvykti iš miesto ir kurti savo gyvenimą </w:t>
      </w:r>
      <w:r>
        <w:t>Alytuje</w:t>
      </w:r>
      <w:r w:rsidRPr="000B1BAF">
        <w:t xml:space="preserve">, prisidėtų prie jaunimo pritraukimo į </w:t>
      </w:r>
      <w:r>
        <w:t>Alytų</w:t>
      </w:r>
      <w:r w:rsidRPr="000B1BAF">
        <w:t xml:space="preserve"> skatinimo.</w:t>
      </w:r>
    </w:p>
    <w:p w:rsidR="00A81C80" w:rsidRDefault="00A81C80" w:rsidP="00A81C80">
      <w:pPr>
        <w:pStyle w:val="Default"/>
        <w:jc w:val="both"/>
      </w:pPr>
      <w:r>
        <w:tab/>
      </w:r>
      <w:r>
        <w:rPr>
          <w:iCs/>
          <w:color w:val="auto"/>
        </w:rPr>
        <w:t>2017–2019</w:t>
      </w:r>
      <w:r w:rsidRPr="00F3576B">
        <w:rPr>
          <w:iCs/>
          <w:color w:val="auto"/>
        </w:rPr>
        <w:t xml:space="preserve"> m. prioritetinėmis jaunimo politikos sritimis </w:t>
      </w:r>
      <w:r>
        <w:rPr>
          <w:iCs/>
        </w:rPr>
        <w:t>mieste</w:t>
      </w:r>
      <w:r w:rsidRPr="00F3576B">
        <w:rPr>
          <w:iCs/>
          <w:color w:val="auto"/>
        </w:rPr>
        <w:t xml:space="preserve"> laikomos: jaunimo užimtumo didinimas, savanorystė ir mentorystė, jaunimo iniciatyv</w:t>
      </w:r>
      <w:r>
        <w:rPr>
          <w:iCs/>
          <w:color w:val="auto"/>
        </w:rPr>
        <w:t>os</w:t>
      </w:r>
      <w:r w:rsidRPr="00F3576B">
        <w:rPr>
          <w:iCs/>
          <w:color w:val="auto"/>
        </w:rPr>
        <w:t xml:space="preserve"> ir verslumo skatinimas, jaunimo sveikatos stiprinimas, jaunimo pilietiškumo skatinimas, jaunimui patrauklios infrastruktūros kūrimas.</w:t>
      </w:r>
    </w:p>
    <w:p w:rsidR="00A81C80" w:rsidRPr="00F3576B" w:rsidRDefault="00A81C80" w:rsidP="00A81C80">
      <w:pPr>
        <w:pStyle w:val="Default"/>
        <w:jc w:val="both"/>
      </w:pPr>
      <w:r>
        <w:tab/>
      </w:r>
      <w:r>
        <w:rPr>
          <w:iCs/>
          <w:color w:val="auto"/>
        </w:rPr>
        <w:t>2017–2019</w:t>
      </w:r>
      <w:r w:rsidRPr="00F3576B">
        <w:rPr>
          <w:iCs/>
          <w:color w:val="auto"/>
        </w:rPr>
        <w:t xml:space="preserve"> m</w:t>
      </w:r>
      <w:r>
        <w:rPr>
          <w:iCs/>
          <w:color w:val="auto"/>
        </w:rPr>
        <w:t>.</w:t>
      </w:r>
      <w:r w:rsidRPr="00F3576B">
        <w:rPr>
          <w:iCs/>
          <w:color w:val="auto"/>
        </w:rPr>
        <w:t xml:space="preserve"> dėmesys bus telkiamas į kultūros sektoriaus paslaugų kokybės, atraktyvumo ir prieinamumo įvairioms kultūros vartotojų grupėms didinimą, kultūros infrastruktūros bei kultūros paveldo modernizavimą, aktualizavimą ir pritaikymą bendruomenės poreikiams, e</w:t>
      </w:r>
      <w:r>
        <w:rPr>
          <w:iCs/>
          <w:color w:val="auto"/>
        </w:rPr>
        <w:t xml:space="preserve">. </w:t>
      </w:r>
      <w:r w:rsidRPr="00F3576B">
        <w:rPr>
          <w:iCs/>
          <w:color w:val="auto"/>
        </w:rPr>
        <w:t xml:space="preserve">kultūros paslaugų teikimą, tradicinių amatų, etnokultūros populiarinimą. Toliau bus tęsiamas kultūros ir meno iniciatyvų </w:t>
      </w:r>
      <w:r>
        <w:rPr>
          <w:iCs/>
        </w:rPr>
        <w:t>skatinimas</w:t>
      </w:r>
      <w:r w:rsidRPr="00F3576B">
        <w:rPr>
          <w:iCs/>
          <w:color w:val="auto"/>
        </w:rPr>
        <w:t>.</w:t>
      </w:r>
    </w:p>
    <w:p w:rsidR="00A81C80" w:rsidRDefault="00A81C80" w:rsidP="00A81C80">
      <w:pPr>
        <w:pStyle w:val="Default"/>
        <w:jc w:val="both"/>
        <w:rPr>
          <w:iCs/>
          <w:color w:val="auto"/>
        </w:rPr>
      </w:pPr>
      <w:r>
        <w:rPr>
          <w:iCs/>
          <w:color w:val="auto"/>
        </w:rPr>
        <w:tab/>
        <w:t>2017–2019</w:t>
      </w:r>
      <w:r w:rsidRPr="00F3576B">
        <w:rPr>
          <w:iCs/>
          <w:color w:val="auto"/>
        </w:rPr>
        <w:t xml:space="preserve"> m</w:t>
      </w:r>
      <w:r>
        <w:rPr>
          <w:iCs/>
          <w:color w:val="auto"/>
        </w:rPr>
        <w:t>.</w:t>
      </w:r>
      <w:r w:rsidRPr="00F3576B">
        <w:rPr>
          <w:iCs/>
          <w:color w:val="auto"/>
        </w:rPr>
        <w:t xml:space="preserve"> toliau bus </w:t>
      </w:r>
      <w:r>
        <w:rPr>
          <w:iCs/>
          <w:color w:val="auto"/>
        </w:rPr>
        <w:t xml:space="preserve">skatinama ir remiama </w:t>
      </w:r>
      <w:r w:rsidRPr="00F3576B">
        <w:rPr>
          <w:iCs/>
          <w:color w:val="auto"/>
        </w:rPr>
        <w:t>sportinė veikl</w:t>
      </w:r>
      <w:r>
        <w:rPr>
          <w:iCs/>
          <w:color w:val="auto"/>
        </w:rPr>
        <w:t>a</w:t>
      </w:r>
      <w:r w:rsidRPr="00F3576B">
        <w:rPr>
          <w:iCs/>
          <w:color w:val="auto"/>
        </w:rPr>
        <w:t xml:space="preserve">, gerinama sporto salių, lauko </w:t>
      </w:r>
      <w:r>
        <w:rPr>
          <w:iCs/>
          <w:color w:val="auto"/>
        </w:rPr>
        <w:t xml:space="preserve">sporto </w:t>
      </w:r>
      <w:r w:rsidRPr="00F3576B">
        <w:rPr>
          <w:iCs/>
          <w:color w:val="auto"/>
        </w:rPr>
        <w:t xml:space="preserve">aikštelių būklė, </w:t>
      </w:r>
      <w:r>
        <w:rPr>
          <w:iCs/>
          <w:color w:val="auto"/>
        </w:rPr>
        <w:t>įrengiami lauko treniruokliai</w:t>
      </w:r>
      <w:r w:rsidRPr="00F3576B">
        <w:rPr>
          <w:iCs/>
          <w:color w:val="auto"/>
        </w:rPr>
        <w:t xml:space="preserve">. Siekiama padidinti vaikų ir jaunimo, suaugusiųjų aktyvumą, fizinį pajėgumą, propaguoti sveiką gyvenseną. Bus organizuojami įvairaus </w:t>
      </w:r>
      <w:r w:rsidRPr="00F3576B">
        <w:rPr>
          <w:iCs/>
          <w:color w:val="auto"/>
        </w:rPr>
        <w:lastRenderedPageBreak/>
        <w:t>pobūdžio ir tikslinėms grupėms skirti sporto renginiai, tarptautinės sporto varžybos. Siekiama kelti sporto renginių organizavimo kokybę, didinti masiškumą, prestižą.</w:t>
      </w:r>
    </w:p>
    <w:p w:rsidR="00A81C80" w:rsidRDefault="00A81C80" w:rsidP="00A81C80">
      <w:pPr>
        <w:pStyle w:val="Default"/>
        <w:jc w:val="both"/>
        <w:rPr>
          <w:iCs/>
          <w:color w:val="auto"/>
        </w:rPr>
      </w:pPr>
      <w:r>
        <w:rPr>
          <w:iCs/>
          <w:color w:val="auto"/>
        </w:rPr>
        <w:tab/>
      </w:r>
      <w:r>
        <w:rPr>
          <w:iCs/>
        </w:rPr>
        <w:t>2017–2019</w:t>
      </w:r>
      <w:r w:rsidRPr="00DA73AB">
        <w:rPr>
          <w:iCs/>
          <w:color w:val="auto"/>
        </w:rPr>
        <w:t xml:space="preserve"> m</w:t>
      </w:r>
      <w:r>
        <w:rPr>
          <w:iCs/>
          <w:color w:val="auto"/>
        </w:rPr>
        <w:t>.</w:t>
      </w:r>
      <w:r w:rsidRPr="00DA73AB">
        <w:rPr>
          <w:iCs/>
          <w:color w:val="auto"/>
        </w:rPr>
        <w:t xml:space="preserve"> bus plėtojama šiuolaikinė ir efektyvi bendruomenės poreikius tenkinanti visuomenės sveikatos priežiūros paslaugų sistema. Visuomenės sveikatos ugdymas ir stiprinimas, sveikatos sauga, ligų ir traumų prevencija yra </w:t>
      </w:r>
      <w:r>
        <w:rPr>
          <w:iCs/>
          <w:color w:val="auto"/>
        </w:rPr>
        <w:t>svarbus miesto uždavinys.</w:t>
      </w:r>
      <w:r w:rsidRPr="00DA73AB">
        <w:rPr>
          <w:iCs/>
          <w:color w:val="auto"/>
        </w:rPr>
        <w:t xml:space="preserve"> Bus siekiama, kad sveika gyvensena ir sveika elgsena taptų bendruomenės vertybėmis, mažėtų atskirų bendruomenės grupių atskirtis ir netolygumai, </w:t>
      </w:r>
      <w:r>
        <w:rPr>
          <w:iCs/>
          <w:color w:val="auto"/>
        </w:rPr>
        <w:t xml:space="preserve">būtų užtikrinamas </w:t>
      </w:r>
      <w:r w:rsidRPr="00DA73AB">
        <w:rPr>
          <w:iCs/>
          <w:color w:val="auto"/>
        </w:rPr>
        <w:t>pirminės sveikatos priežiūros, kaip savarankiškos savivaldybės funkcijos, prieinamum</w:t>
      </w:r>
      <w:r>
        <w:rPr>
          <w:iCs/>
          <w:color w:val="auto"/>
        </w:rPr>
        <w:t>as</w:t>
      </w:r>
      <w:r w:rsidRPr="00DA73AB">
        <w:rPr>
          <w:iCs/>
          <w:color w:val="auto"/>
        </w:rPr>
        <w:t xml:space="preserve">. </w:t>
      </w:r>
      <w:r>
        <w:rPr>
          <w:iCs/>
          <w:color w:val="auto"/>
        </w:rPr>
        <w:t>B</w:t>
      </w:r>
      <w:r w:rsidRPr="00DA73AB">
        <w:rPr>
          <w:iCs/>
          <w:color w:val="auto"/>
        </w:rPr>
        <w:t xml:space="preserve">us skatinamas įvairių institucijų ir įstaigų, nevyriausybinių organizacijų, bendruomenės, privataus sektoriaus bendradarbiavimas ir partnerystė, stiprinamas bendruomenės aktyvumas ir atsakomybės už savo sveikatą suvokimas, inovatyvių visuomenės sveikatos sistemos valdymo priemonių diegimas. Toliau bus </w:t>
      </w:r>
      <w:r>
        <w:rPr>
          <w:iCs/>
          <w:color w:val="auto"/>
        </w:rPr>
        <w:t xml:space="preserve">įgyvendinamos </w:t>
      </w:r>
      <w:r w:rsidRPr="00DA73AB">
        <w:rPr>
          <w:iCs/>
          <w:color w:val="auto"/>
        </w:rPr>
        <w:t>prevencin</w:t>
      </w:r>
      <w:r>
        <w:rPr>
          <w:iCs/>
          <w:color w:val="auto"/>
        </w:rPr>
        <w:t>ės</w:t>
      </w:r>
      <w:r w:rsidRPr="00DA73AB">
        <w:rPr>
          <w:iCs/>
          <w:color w:val="auto"/>
        </w:rPr>
        <w:t xml:space="preserve"> program</w:t>
      </w:r>
      <w:r>
        <w:rPr>
          <w:iCs/>
          <w:color w:val="auto"/>
        </w:rPr>
        <w:t>os</w:t>
      </w:r>
      <w:r w:rsidRPr="00DA73AB">
        <w:rPr>
          <w:iCs/>
          <w:color w:val="auto"/>
        </w:rPr>
        <w:t>.</w:t>
      </w:r>
    </w:p>
    <w:p w:rsidR="00A81C80" w:rsidRDefault="00A81C80" w:rsidP="00A81C80">
      <w:pPr>
        <w:pStyle w:val="Default"/>
        <w:jc w:val="both"/>
        <w:rPr>
          <w:iCs/>
          <w:color w:val="auto"/>
        </w:rPr>
      </w:pPr>
      <w:r>
        <w:rPr>
          <w:iCs/>
          <w:color w:val="auto"/>
        </w:rPr>
        <w:tab/>
      </w:r>
      <w:r w:rsidRPr="00DA73AB">
        <w:rPr>
          <w:color w:val="auto"/>
        </w:rPr>
        <w:t>Ilguoju planavimo periodu (iki 2020 m.) bus siekiama socialinių paslaugų teikimo deinsti</w:t>
      </w:r>
      <w:r>
        <w:rPr>
          <w:color w:val="auto"/>
        </w:rPr>
        <w:t>tu</w:t>
      </w:r>
      <w:r w:rsidRPr="00DA73AB">
        <w:rPr>
          <w:color w:val="auto"/>
        </w:rPr>
        <w:t xml:space="preserve">cionalizacijos ir bendruomenėse teikiamų paslaugų (nestacionarių socialinių paslaugų) </w:t>
      </w:r>
      <w:r>
        <w:rPr>
          <w:color w:val="auto"/>
        </w:rPr>
        <w:t>plėtros</w:t>
      </w:r>
      <w:r w:rsidRPr="00DA73AB">
        <w:rPr>
          <w:color w:val="auto"/>
        </w:rPr>
        <w:t xml:space="preserve">. </w:t>
      </w:r>
      <w:r>
        <w:rPr>
          <w:iCs/>
          <w:color w:val="auto"/>
        </w:rPr>
        <w:t>Alytuje</w:t>
      </w:r>
      <w:r w:rsidRPr="00DA73AB">
        <w:rPr>
          <w:iCs/>
          <w:color w:val="auto"/>
        </w:rPr>
        <w:t xml:space="preserve"> išlieka aktualus bendruomeninių socialinių paslaugų teikimo, pagalbos į namus, dienos socialinės globos asmens namuose, integralios pagalbos paslaugų poreikis. Todėl, siekiant užtikrinti socialinių paslaugų prieinamumą įvairioms socialin</w:t>
      </w:r>
      <w:r>
        <w:rPr>
          <w:iCs/>
          <w:color w:val="auto"/>
        </w:rPr>
        <w:t>ių paslaugų gavėjų grupėms, 2017–2019</w:t>
      </w:r>
      <w:r w:rsidRPr="00DA73AB">
        <w:rPr>
          <w:iCs/>
          <w:color w:val="auto"/>
        </w:rPr>
        <w:t xml:space="preserve"> m</w:t>
      </w:r>
      <w:r>
        <w:rPr>
          <w:iCs/>
          <w:color w:val="auto"/>
        </w:rPr>
        <w:t>.</w:t>
      </w:r>
      <w:r w:rsidRPr="00DA73AB">
        <w:rPr>
          <w:iCs/>
          <w:color w:val="auto"/>
        </w:rPr>
        <w:t xml:space="preserve"> bus įgyvendinam</w:t>
      </w:r>
      <w:r>
        <w:rPr>
          <w:iCs/>
          <w:color w:val="auto"/>
        </w:rPr>
        <w:t>a</w:t>
      </w:r>
      <w:r w:rsidRPr="00DA73AB">
        <w:rPr>
          <w:iCs/>
          <w:color w:val="auto"/>
        </w:rPr>
        <w:t xml:space="preserve"> bendruomenės inicijuojam</w:t>
      </w:r>
      <w:r>
        <w:rPr>
          <w:iCs/>
          <w:color w:val="auto"/>
        </w:rPr>
        <w:t>a</w:t>
      </w:r>
      <w:r w:rsidRPr="00DA73AB">
        <w:rPr>
          <w:iCs/>
          <w:color w:val="auto"/>
        </w:rPr>
        <w:t xml:space="preserve"> veikl</w:t>
      </w:r>
      <w:r>
        <w:rPr>
          <w:iCs/>
          <w:color w:val="auto"/>
        </w:rPr>
        <w:t>a</w:t>
      </w:r>
      <w:r w:rsidRPr="00DA73AB">
        <w:rPr>
          <w:iCs/>
          <w:color w:val="auto"/>
        </w:rPr>
        <w:t>, vietinio užimtumo programos, didinamas socialinio būsto fondas, socialinių paslaugų prieinamumas ir kokybė. Investuojama į esamos socialinių paslaugų infrastruktūros ir paslaugų kokybės gerinimą, prevencinio darbo aktyvinimą.</w:t>
      </w:r>
    </w:p>
    <w:p w:rsidR="00A81C80" w:rsidRDefault="00A81C80" w:rsidP="00A81C80">
      <w:pPr>
        <w:pStyle w:val="Default"/>
        <w:jc w:val="both"/>
        <w:rPr>
          <w:iCs/>
          <w:color w:val="auto"/>
        </w:rPr>
      </w:pPr>
      <w:r>
        <w:rPr>
          <w:iCs/>
          <w:color w:val="auto"/>
        </w:rPr>
        <w:tab/>
      </w:r>
      <w:r>
        <w:rPr>
          <w:iCs/>
        </w:rPr>
        <w:t>2017–2019</w:t>
      </w:r>
      <w:r w:rsidRPr="00DA73AB">
        <w:rPr>
          <w:iCs/>
          <w:color w:val="auto"/>
        </w:rPr>
        <w:t xml:space="preserve"> m</w:t>
      </w:r>
      <w:r>
        <w:rPr>
          <w:iCs/>
          <w:color w:val="auto"/>
        </w:rPr>
        <w:t>.</w:t>
      </w:r>
      <w:r w:rsidRPr="00DA73AB">
        <w:rPr>
          <w:iCs/>
          <w:color w:val="auto"/>
        </w:rPr>
        <w:t xml:space="preserve"> siekiant pagerinti </w:t>
      </w:r>
      <w:r>
        <w:rPr>
          <w:iCs/>
          <w:color w:val="auto"/>
        </w:rPr>
        <w:t xml:space="preserve">miesto </w:t>
      </w:r>
      <w:r w:rsidRPr="00DA73AB">
        <w:rPr>
          <w:iCs/>
          <w:color w:val="auto"/>
        </w:rPr>
        <w:t>demografinę situaciją, visų lygių institucijų ir įstaigų, organizacijų veikl</w:t>
      </w:r>
      <w:r>
        <w:rPr>
          <w:iCs/>
          <w:color w:val="auto"/>
        </w:rPr>
        <w:t>a</w:t>
      </w:r>
      <w:r w:rsidRPr="00DA73AB">
        <w:rPr>
          <w:iCs/>
          <w:color w:val="auto"/>
        </w:rPr>
        <w:t xml:space="preserve"> ir pastangos bus telkiamos į sveiko senėjimo, sveikos gyvensenos propagavimą, sveikatos prevencinių programų įgyvendinimą, gyventojų aktyvumo, užimtumo didinimą, patrauklios ir saugios gyvenimo aplinkos kūrimą, gyventojų verslumo skatinimą ir darbo vietų kūrimą.</w:t>
      </w:r>
    </w:p>
    <w:p w:rsidR="00A81C80" w:rsidRDefault="00A81C80" w:rsidP="00A81C80">
      <w:pPr>
        <w:pStyle w:val="Default"/>
        <w:jc w:val="both"/>
        <w:rPr>
          <w:iCs/>
          <w:color w:val="auto"/>
        </w:rPr>
      </w:pPr>
    </w:p>
    <w:tbl>
      <w:tblPr>
        <w:tblW w:w="9923"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57"/>
        <w:gridCol w:w="8166"/>
      </w:tblGrid>
      <w:tr w:rsidR="00A81C80" w:rsidRPr="00C007DC" w:rsidTr="00EC3C1A">
        <w:trPr>
          <w:cantSplit/>
          <w:trHeight w:val="471"/>
        </w:trPr>
        <w:tc>
          <w:tcPr>
            <w:tcW w:w="9923"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81C80" w:rsidRPr="00C007DC" w:rsidRDefault="00A81C80" w:rsidP="00EC3C1A">
            <w:pPr>
              <w:spacing w:before="100" w:beforeAutospacing="1" w:after="100" w:afterAutospacing="1"/>
              <w:jc w:val="both"/>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02</w:t>
            </w:r>
            <w:r w:rsidRPr="00C007DC">
              <w:rPr>
                <w:rFonts w:ascii="Times New Roman" w:eastAsia="Times New Roman" w:hAnsi="Times New Roman"/>
                <w:b/>
                <w:bCs/>
                <w:sz w:val="24"/>
                <w:szCs w:val="24"/>
                <w:lang w:eastAsia="lt-LT"/>
              </w:rPr>
              <w:t xml:space="preserve"> STRATEGINIS TIKSLAS – </w:t>
            </w:r>
            <w:r w:rsidRPr="00CA5E4B">
              <w:rPr>
                <w:rFonts w:ascii="Times New Roman" w:eastAsia="Times New Roman" w:hAnsi="Times New Roman"/>
                <w:b/>
                <w:bCs/>
                <w:sz w:val="24"/>
                <w:szCs w:val="24"/>
                <w:lang w:eastAsia="lt-LT"/>
              </w:rPr>
              <w:t>didinti miesto konkurencingumą, sudarant palankias sąlygas verslui</w:t>
            </w:r>
          </w:p>
        </w:tc>
      </w:tr>
      <w:tr w:rsidR="00A81C80" w:rsidRPr="00C007DC" w:rsidTr="00EC3C1A">
        <w:trPr>
          <w:cantSplit/>
          <w:trHeight w:val="185"/>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jc w:val="center"/>
              <w:rPr>
                <w:rFonts w:ascii="Times New Roman" w:eastAsia="Times New Roman" w:hAnsi="Times New Roman"/>
                <w:sz w:val="24"/>
                <w:szCs w:val="24"/>
                <w:lang w:eastAsia="lt-LT"/>
              </w:rPr>
            </w:pPr>
            <w:r w:rsidRPr="00C007DC">
              <w:rPr>
                <w:rFonts w:ascii="Times New Roman" w:eastAsia="Times New Roman" w:hAnsi="Times New Roman"/>
                <w:sz w:val="24"/>
                <w:szCs w:val="24"/>
                <w:lang w:eastAsia="lt-LT"/>
              </w:rPr>
              <w:t>Kodas</w:t>
            </w:r>
          </w:p>
        </w:tc>
        <w:tc>
          <w:tcPr>
            <w:tcW w:w="8166"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jc w:val="both"/>
              <w:rPr>
                <w:rFonts w:ascii="Times New Roman" w:eastAsia="Times New Roman" w:hAnsi="Times New Roman"/>
                <w:sz w:val="24"/>
                <w:szCs w:val="24"/>
                <w:lang w:eastAsia="lt-LT"/>
              </w:rPr>
            </w:pPr>
            <w:r w:rsidRPr="00C007DC">
              <w:rPr>
                <w:rFonts w:ascii="Times New Roman" w:eastAsia="Times New Roman" w:hAnsi="Times New Roman"/>
                <w:sz w:val="24"/>
                <w:szCs w:val="24"/>
                <w:lang w:eastAsia="lt-LT"/>
              </w:rPr>
              <w:t>Įgyvendinant šį strateginį tikslą, vykdomos programos:</w:t>
            </w:r>
          </w:p>
        </w:tc>
      </w:tr>
      <w:tr w:rsidR="00A81C80" w:rsidRPr="00C007DC" w:rsidTr="00EC3C1A">
        <w:trPr>
          <w:cantSplit/>
          <w:trHeight w:val="185"/>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56" w:lineRule="atLeast"/>
              <w:jc w:val="center"/>
              <w:rPr>
                <w:rFonts w:ascii="Times New Roman" w:eastAsia="Times New Roman" w:hAnsi="Times New Roman"/>
                <w:sz w:val="24"/>
                <w:szCs w:val="24"/>
                <w:lang w:eastAsia="lt-LT"/>
              </w:rPr>
            </w:pPr>
            <w:r>
              <w:rPr>
                <w:rFonts w:ascii="Times New Roman" w:eastAsia="Times New Roman" w:hAnsi="Times New Roman"/>
                <w:b/>
                <w:bCs/>
                <w:sz w:val="24"/>
                <w:szCs w:val="24"/>
                <w:shd w:val="clear" w:color="auto" w:fill="FFFFFF"/>
                <w:lang w:eastAsia="lt-LT"/>
              </w:rPr>
              <w:t>27</w:t>
            </w:r>
          </w:p>
        </w:tc>
        <w:tc>
          <w:tcPr>
            <w:tcW w:w="8166"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56" w:lineRule="atLeast"/>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Ekonominės plėtros programa</w:t>
            </w:r>
          </w:p>
        </w:tc>
      </w:tr>
      <w:tr w:rsidR="00A81C80" w:rsidRPr="00C007DC" w:rsidTr="00EC3C1A">
        <w:trPr>
          <w:cantSplit/>
          <w:trHeight w:val="185"/>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56" w:lineRule="atLeast"/>
              <w:jc w:val="center"/>
              <w:rPr>
                <w:rFonts w:ascii="Times New Roman" w:eastAsia="Times New Roman" w:hAnsi="Times New Roman"/>
                <w:sz w:val="24"/>
                <w:szCs w:val="24"/>
                <w:lang w:eastAsia="lt-LT"/>
              </w:rPr>
            </w:pPr>
            <w:r>
              <w:rPr>
                <w:rFonts w:ascii="Times New Roman" w:eastAsia="Times New Roman" w:hAnsi="Times New Roman"/>
                <w:b/>
                <w:bCs/>
                <w:sz w:val="24"/>
                <w:szCs w:val="24"/>
                <w:shd w:val="clear" w:color="auto" w:fill="FFFFFF"/>
                <w:lang w:eastAsia="lt-LT"/>
              </w:rPr>
              <w:t>30</w:t>
            </w:r>
          </w:p>
        </w:tc>
        <w:tc>
          <w:tcPr>
            <w:tcW w:w="8166"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56" w:lineRule="atLeast"/>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Urbanistinio planavimo programa</w:t>
            </w:r>
          </w:p>
        </w:tc>
      </w:tr>
    </w:tbl>
    <w:p w:rsidR="00A81C80" w:rsidRDefault="00A81C80" w:rsidP="00A81C80">
      <w:pPr>
        <w:pStyle w:val="Default"/>
        <w:jc w:val="both"/>
        <w:rPr>
          <w:iCs/>
          <w:color w:val="auto"/>
        </w:rPr>
      </w:pPr>
    </w:p>
    <w:p w:rsidR="00A81C80" w:rsidRDefault="00A81C80" w:rsidP="00A81C80">
      <w:pPr>
        <w:pStyle w:val="Default"/>
        <w:jc w:val="both"/>
        <w:rPr>
          <w:iCs/>
          <w:color w:val="auto"/>
        </w:rPr>
      </w:pPr>
      <w:r>
        <w:rPr>
          <w:iCs/>
          <w:color w:val="auto"/>
        </w:rPr>
        <w:tab/>
      </w:r>
      <w:r w:rsidRPr="00F96137">
        <w:rPr>
          <w:iCs/>
          <w:color w:val="auto"/>
        </w:rPr>
        <w:t xml:space="preserve">Siekiant didinti </w:t>
      </w:r>
      <w:r>
        <w:rPr>
          <w:iCs/>
          <w:color w:val="auto"/>
        </w:rPr>
        <w:t>miesto</w:t>
      </w:r>
      <w:r w:rsidRPr="00F96137">
        <w:rPr>
          <w:iCs/>
          <w:color w:val="auto"/>
        </w:rPr>
        <w:t xml:space="preserve"> ekonominį ir socialinį konkurencingumą, kurti patrauklią aplinką inves</w:t>
      </w:r>
      <w:r>
        <w:rPr>
          <w:iCs/>
          <w:color w:val="auto"/>
        </w:rPr>
        <w:t>ticijoms ir verslų plėtrai, 2017–2019</w:t>
      </w:r>
      <w:r w:rsidRPr="00F96137">
        <w:rPr>
          <w:iCs/>
          <w:color w:val="auto"/>
        </w:rPr>
        <w:t xml:space="preserve"> m</w:t>
      </w:r>
      <w:r>
        <w:rPr>
          <w:iCs/>
          <w:color w:val="auto"/>
        </w:rPr>
        <w:t>.</w:t>
      </w:r>
      <w:r w:rsidRPr="00F96137">
        <w:rPr>
          <w:iCs/>
          <w:color w:val="auto"/>
        </w:rPr>
        <w:t xml:space="preserve"> bus stiprinamas verslo subjektų, viešojo sektoriaus institucijų ir įstaigų, nevyriausybinių organizacijų, bendruomenių</w:t>
      </w:r>
      <w:r>
        <w:rPr>
          <w:iCs/>
          <w:color w:val="auto"/>
        </w:rPr>
        <w:t xml:space="preserve"> </w:t>
      </w:r>
      <w:r w:rsidRPr="00F96137">
        <w:rPr>
          <w:iCs/>
          <w:color w:val="auto"/>
        </w:rPr>
        <w:t xml:space="preserve">bendradarbiavimas, </w:t>
      </w:r>
      <w:r>
        <w:rPr>
          <w:iCs/>
          <w:color w:val="auto"/>
        </w:rPr>
        <w:t>stebi</w:t>
      </w:r>
      <w:r w:rsidRPr="00F96137">
        <w:rPr>
          <w:iCs/>
          <w:color w:val="auto"/>
        </w:rPr>
        <w:t>ma verslo aplink</w:t>
      </w:r>
      <w:r>
        <w:rPr>
          <w:iCs/>
          <w:color w:val="auto"/>
        </w:rPr>
        <w:t>a</w:t>
      </w:r>
      <w:r w:rsidRPr="00F96137">
        <w:rPr>
          <w:iCs/>
          <w:color w:val="auto"/>
        </w:rPr>
        <w:t xml:space="preserve">, </w:t>
      </w:r>
      <w:r>
        <w:rPr>
          <w:iCs/>
          <w:color w:val="auto"/>
        </w:rPr>
        <w:t xml:space="preserve">skleidžiama </w:t>
      </w:r>
      <w:r w:rsidRPr="00F96137">
        <w:rPr>
          <w:iCs/>
          <w:color w:val="auto"/>
        </w:rPr>
        <w:t>informacij</w:t>
      </w:r>
      <w:r>
        <w:rPr>
          <w:iCs/>
          <w:color w:val="auto"/>
        </w:rPr>
        <w:t>a</w:t>
      </w:r>
      <w:r w:rsidRPr="00F96137">
        <w:rPr>
          <w:iCs/>
          <w:color w:val="auto"/>
        </w:rPr>
        <w:t xml:space="preserve"> apie verslo galimybes ir sąlygas. </w:t>
      </w:r>
      <w:r>
        <w:rPr>
          <w:rFonts w:ascii="Palemonas" w:hAnsi="Palemonas"/>
        </w:rPr>
        <w:t>Planuojama aktyviai dirbti su potencialiais ir esamais investuotojais, efektyviai skleisti informaciją apie investicines miesto galimybes. Aktyviais rinkodaros veiksmais tikslinėse rinkose siekiama gerinti miesto įvaizdį tarp potencialių investuotojų ir pritraukti naujų finansinių išteklių.</w:t>
      </w:r>
      <w:r w:rsidRPr="00F96137">
        <w:rPr>
          <w:iCs/>
          <w:color w:val="auto"/>
        </w:rPr>
        <w:t xml:space="preserve"> Gyventojų ekonominiam aktyvumui didinti bus įgyvendinamos integruotos teritorijos vystymo programos priemonės. Bus siekiama įveiklinti viešąją infrastruktūrą</w:t>
      </w:r>
      <w:r>
        <w:rPr>
          <w:iCs/>
          <w:color w:val="auto"/>
        </w:rPr>
        <w:t xml:space="preserve"> – ją</w:t>
      </w:r>
      <w:r w:rsidRPr="00F96137">
        <w:rPr>
          <w:iCs/>
          <w:color w:val="auto"/>
        </w:rPr>
        <w:t xml:space="preserve"> pritaik</w:t>
      </w:r>
      <w:r>
        <w:rPr>
          <w:iCs/>
          <w:color w:val="auto"/>
        </w:rPr>
        <w:t>yti</w:t>
      </w:r>
      <w:r w:rsidRPr="00F96137">
        <w:rPr>
          <w:iCs/>
          <w:color w:val="auto"/>
        </w:rPr>
        <w:t xml:space="preserve"> bendruomenės, verslo poreikiams.</w:t>
      </w:r>
    </w:p>
    <w:p w:rsidR="00A81C80" w:rsidRDefault="00A058D9" w:rsidP="00A81C80">
      <w:pPr>
        <w:pStyle w:val="Default"/>
        <w:jc w:val="both"/>
        <w:rPr>
          <w:rFonts w:ascii="Palemonas" w:hAnsi="Palemonas"/>
        </w:rPr>
      </w:pPr>
      <w:r>
        <w:rPr>
          <w:rFonts w:ascii="Palemonas" w:hAnsi="Palemonas"/>
        </w:rPr>
        <w:t xml:space="preserve">          </w:t>
      </w:r>
      <w:r>
        <w:rPr>
          <w:rFonts w:ascii="Palemonas" w:hAnsi="Palemonas"/>
        </w:rPr>
        <w:tab/>
      </w:r>
      <w:r w:rsidR="00A81C80">
        <w:rPr>
          <w:rFonts w:ascii="Palemonas" w:hAnsi="Palemonas"/>
        </w:rPr>
        <w:t>Didelis dėmesys bus skiriamas ir harmoningai miesto teritorijų plėtrai. Atsižvelgus į Bendrojo plano sprendinius, planuojama atnaujinti svarbias miesto teritorijas, parengti specialiuosius planus.</w:t>
      </w:r>
    </w:p>
    <w:p w:rsidR="00A81C80" w:rsidRDefault="00A81C80" w:rsidP="00A81C80">
      <w:pPr>
        <w:pStyle w:val="Default"/>
        <w:jc w:val="both"/>
        <w:rPr>
          <w:rFonts w:ascii="Palemonas" w:hAnsi="Palemonas"/>
        </w:rPr>
      </w:pPr>
      <w:r>
        <w:rPr>
          <w:rFonts w:ascii="Palemonas" w:hAnsi="Palemonas"/>
        </w:rPr>
        <w:tab/>
        <w:t>Svarbu yra plėsti ir atnaujinti nuotekų šalinimo, vandens tiekimo, atliekų surinkimo, apdorojimo ir panaudojimo sistemas, kad būtų užtikrinamas geros kokybės vandens tiekimas, lengvai prieinamos, centralizuotai teikiamos nuotekų šalinimo, paslaugos gyventojams.</w:t>
      </w:r>
    </w:p>
    <w:p w:rsidR="00A81C80" w:rsidRDefault="00A81C80" w:rsidP="00A81C80">
      <w:pPr>
        <w:pStyle w:val="Default"/>
        <w:jc w:val="both"/>
        <w:rPr>
          <w:rFonts w:ascii="Palemonas" w:hAnsi="Palemonas"/>
        </w:rPr>
      </w:pPr>
    </w:p>
    <w:p w:rsidR="008C3651" w:rsidRDefault="008C3651" w:rsidP="00A81C80">
      <w:pPr>
        <w:pStyle w:val="Default"/>
        <w:jc w:val="both"/>
        <w:rPr>
          <w:rFonts w:ascii="Palemonas" w:hAnsi="Palemonas"/>
        </w:rPr>
      </w:pPr>
    </w:p>
    <w:p w:rsidR="008C3651" w:rsidRDefault="008C3651" w:rsidP="00A81C80">
      <w:pPr>
        <w:pStyle w:val="Default"/>
        <w:jc w:val="both"/>
        <w:rPr>
          <w:rFonts w:ascii="Palemonas" w:hAnsi="Palemonas"/>
        </w:rPr>
      </w:pPr>
    </w:p>
    <w:tbl>
      <w:tblPr>
        <w:tblW w:w="9923"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20"/>
        <w:gridCol w:w="8103"/>
      </w:tblGrid>
      <w:tr w:rsidR="00A81C80" w:rsidRPr="00C007DC" w:rsidTr="00EC3C1A">
        <w:trPr>
          <w:cantSplit/>
          <w:trHeight w:val="185"/>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A81C80" w:rsidRPr="00C007DC" w:rsidRDefault="00A81C80" w:rsidP="00EC3C1A">
            <w:pPr>
              <w:spacing w:before="100" w:beforeAutospacing="1" w:after="100" w:afterAutospacing="1" w:line="185" w:lineRule="atLeast"/>
              <w:rPr>
                <w:rFonts w:ascii="Times New Roman" w:eastAsia="Times New Roman" w:hAnsi="Times New Roman"/>
                <w:sz w:val="24"/>
                <w:szCs w:val="24"/>
                <w:lang w:eastAsia="lt-LT"/>
              </w:rPr>
            </w:pPr>
            <w:r>
              <w:rPr>
                <w:rFonts w:ascii="Times New Roman" w:eastAsia="Times New Roman" w:hAnsi="Times New Roman"/>
                <w:b/>
                <w:bCs/>
                <w:sz w:val="24"/>
                <w:szCs w:val="24"/>
                <w:shd w:val="clear" w:color="auto" w:fill="E0E0E0"/>
                <w:lang w:eastAsia="lt-LT"/>
              </w:rPr>
              <w:lastRenderedPageBreak/>
              <w:t>03</w:t>
            </w:r>
            <w:r w:rsidRPr="00C007DC">
              <w:rPr>
                <w:rFonts w:ascii="Times New Roman" w:eastAsia="Times New Roman" w:hAnsi="Times New Roman"/>
                <w:b/>
                <w:bCs/>
                <w:sz w:val="24"/>
                <w:szCs w:val="24"/>
                <w:shd w:val="clear" w:color="auto" w:fill="E0E0E0"/>
                <w:lang w:eastAsia="lt-LT"/>
              </w:rPr>
              <w:t xml:space="preserve"> STRATEGINIS TIKSLAS – kurti patrauklią, švarią ir saugią </w:t>
            </w:r>
            <w:r>
              <w:rPr>
                <w:rFonts w:ascii="Times New Roman" w:eastAsia="Times New Roman" w:hAnsi="Times New Roman"/>
                <w:b/>
                <w:bCs/>
                <w:sz w:val="24"/>
                <w:szCs w:val="24"/>
                <w:shd w:val="clear" w:color="auto" w:fill="E0E0E0"/>
                <w:lang w:eastAsia="lt-LT"/>
              </w:rPr>
              <w:t>miesto</w:t>
            </w:r>
            <w:r w:rsidRPr="00C007DC">
              <w:rPr>
                <w:rFonts w:ascii="Times New Roman" w:eastAsia="Times New Roman" w:hAnsi="Times New Roman"/>
                <w:b/>
                <w:bCs/>
                <w:sz w:val="24"/>
                <w:szCs w:val="24"/>
                <w:shd w:val="clear" w:color="auto" w:fill="E0E0E0"/>
                <w:lang w:eastAsia="lt-LT"/>
              </w:rPr>
              <w:t xml:space="preserve"> gyvenamąją aplinką</w:t>
            </w:r>
          </w:p>
        </w:tc>
      </w:tr>
      <w:tr w:rsidR="00A81C80" w:rsidRPr="00C007DC" w:rsidTr="00EC3C1A">
        <w:trPr>
          <w:cantSplit/>
          <w:trHeight w:val="57"/>
        </w:trPr>
        <w:tc>
          <w:tcPr>
            <w:tcW w:w="18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1C80" w:rsidRPr="00C007DC" w:rsidRDefault="00A81C80" w:rsidP="00EC3C1A">
            <w:pPr>
              <w:spacing w:before="100" w:beforeAutospacing="1" w:after="100" w:afterAutospacing="1" w:line="57" w:lineRule="atLeast"/>
              <w:jc w:val="center"/>
              <w:rPr>
                <w:rFonts w:ascii="Times New Roman" w:eastAsia="Times New Roman" w:hAnsi="Times New Roman"/>
                <w:sz w:val="24"/>
                <w:szCs w:val="24"/>
                <w:lang w:eastAsia="lt-LT"/>
              </w:rPr>
            </w:pPr>
            <w:r w:rsidRPr="00C007DC">
              <w:rPr>
                <w:rFonts w:ascii="Times New Roman" w:eastAsia="Times New Roman" w:hAnsi="Times New Roman"/>
                <w:sz w:val="24"/>
                <w:szCs w:val="24"/>
                <w:lang w:eastAsia="lt-LT"/>
              </w:rPr>
              <w:t>Kodas</w:t>
            </w:r>
          </w:p>
        </w:tc>
        <w:tc>
          <w:tcPr>
            <w:tcW w:w="81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57" w:lineRule="atLeast"/>
              <w:rPr>
                <w:rFonts w:ascii="Times New Roman" w:eastAsia="Times New Roman" w:hAnsi="Times New Roman"/>
                <w:sz w:val="24"/>
                <w:szCs w:val="24"/>
                <w:lang w:eastAsia="lt-LT"/>
              </w:rPr>
            </w:pPr>
            <w:r w:rsidRPr="00C007DC">
              <w:rPr>
                <w:rFonts w:ascii="Times New Roman" w:eastAsia="Times New Roman" w:hAnsi="Times New Roman"/>
                <w:sz w:val="24"/>
                <w:szCs w:val="24"/>
                <w:lang w:eastAsia="lt-LT"/>
              </w:rPr>
              <w:t>Įgyvendinant šį strateginį tikslą, vykdomos programos:</w:t>
            </w:r>
          </w:p>
        </w:tc>
      </w:tr>
      <w:tr w:rsidR="00A81C80" w:rsidRPr="00C007DC" w:rsidTr="00EC3C1A">
        <w:trPr>
          <w:cantSplit/>
          <w:trHeight w:val="404"/>
        </w:trPr>
        <w:tc>
          <w:tcPr>
            <w:tcW w:w="1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1C80" w:rsidRPr="00C007DC" w:rsidRDefault="00A81C80" w:rsidP="00EC3C1A">
            <w:pPr>
              <w:spacing w:before="100" w:beforeAutospacing="1" w:after="100" w:afterAutospacing="1" w:line="56" w:lineRule="atLeast"/>
              <w:jc w:val="center"/>
              <w:rPr>
                <w:rFonts w:ascii="Times New Roman" w:eastAsia="Times New Roman" w:hAnsi="Times New Roman"/>
                <w:sz w:val="24"/>
                <w:szCs w:val="24"/>
                <w:lang w:eastAsia="lt-LT"/>
              </w:rPr>
            </w:pPr>
            <w:r>
              <w:rPr>
                <w:rFonts w:ascii="Times New Roman" w:eastAsia="Times New Roman" w:hAnsi="Times New Roman"/>
                <w:b/>
                <w:bCs/>
                <w:sz w:val="24"/>
                <w:szCs w:val="24"/>
                <w:shd w:val="clear" w:color="auto" w:fill="FFFFFF"/>
                <w:lang w:eastAsia="lt-LT"/>
              </w:rPr>
              <w:t>28</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line="56" w:lineRule="atLeast"/>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Infrastruktūros priežiūros ir aplinkos kokybės gerinimo programa</w:t>
            </w:r>
          </w:p>
        </w:tc>
      </w:tr>
      <w:tr w:rsidR="00A81C80" w:rsidRPr="00C007DC" w:rsidTr="00EC3C1A">
        <w:trPr>
          <w:cantSplit/>
          <w:trHeight w:val="404"/>
        </w:trPr>
        <w:tc>
          <w:tcPr>
            <w:tcW w:w="1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1C80" w:rsidRDefault="00A81C80" w:rsidP="00EC3C1A">
            <w:pPr>
              <w:spacing w:before="100" w:beforeAutospacing="1" w:after="100" w:afterAutospacing="1" w:line="56" w:lineRule="atLeast"/>
              <w:jc w:val="center"/>
              <w:rPr>
                <w:rFonts w:ascii="Times New Roman" w:eastAsia="Times New Roman" w:hAnsi="Times New Roman"/>
                <w:b/>
                <w:bCs/>
                <w:sz w:val="24"/>
                <w:szCs w:val="24"/>
                <w:shd w:val="clear" w:color="auto" w:fill="FFFFFF"/>
                <w:lang w:eastAsia="lt-LT"/>
              </w:rPr>
            </w:pPr>
            <w:r>
              <w:rPr>
                <w:rFonts w:ascii="Times New Roman" w:eastAsia="Times New Roman" w:hAnsi="Times New Roman"/>
                <w:b/>
                <w:bCs/>
                <w:sz w:val="24"/>
                <w:szCs w:val="24"/>
                <w:shd w:val="clear" w:color="auto" w:fill="FFFFFF"/>
                <w:lang w:eastAsia="lt-LT"/>
              </w:rPr>
              <w:t>29</w:t>
            </w:r>
          </w:p>
        </w:tc>
        <w:tc>
          <w:tcPr>
            <w:tcW w:w="8103" w:type="dxa"/>
            <w:tcBorders>
              <w:top w:val="nil"/>
              <w:left w:val="nil"/>
              <w:bottom w:val="single" w:sz="8" w:space="0" w:color="auto"/>
              <w:right w:val="single" w:sz="8" w:space="0" w:color="auto"/>
            </w:tcBorders>
            <w:tcMar>
              <w:top w:w="0" w:type="dxa"/>
              <w:left w:w="108" w:type="dxa"/>
              <w:bottom w:w="0" w:type="dxa"/>
              <w:right w:w="108" w:type="dxa"/>
            </w:tcMar>
          </w:tcPr>
          <w:p w:rsidR="00A81C80" w:rsidRDefault="00A81C80" w:rsidP="00EC3C1A">
            <w:pPr>
              <w:spacing w:before="100" w:beforeAutospacing="1" w:after="100" w:afterAutospacing="1" w:line="56"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Turto valdymo ir plėtros programa</w:t>
            </w:r>
          </w:p>
        </w:tc>
      </w:tr>
    </w:tbl>
    <w:p w:rsidR="00A81C80" w:rsidRDefault="00A81C80" w:rsidP="00A81C80">
      <w:pPr>
        <w:pStyle w:val="Default"/>
        <w:jc w:val="both"/>
        <w:rPr>
          <w:iCs/>
          <w:color w:val="auto"/>
        </w:rPr>
      </w:pPr>
    </w:p>
    <w:p w:rsidR="00A81C80" w:rsidRPr="00790BD4" w:rsidRDefault="00A81C80" w:rsidP="00A81C80">
      <w:pPr>
        <w:pStyle w:val="Default"/>
        <w:jc w:val="both"/>
        <w:rPr>
          <w:iCs/>
        </w:rPr>
      </w:pPr>
      <w:r>
        <w:rPr>
          <w:iCs/>
          <w:color w:val="auto"/>
        </w:rPr>
        <w:tab/>
      </w:r>
      <w:r>
        <w:rPr>
          <w:iCs/>
        </w:rPr>
        <w:t>2017–2019</w:t>
      </w:r>
      <w:r w:rsidRPr="00790BD4">
        <w:rPr>
          <w:iCs/>
        </w:rPr>
        <w:t xml:space="preserve"> m</w:t>
      </w:r>
      <w:r>
        <w:rPr>
          <w:iCs/>
        </w:rPr>
        <w:t>.</w:t>
      </w:r>
      <w:r w:rsidRPr="00790BD4">
        <w:rPr>
          <w:iCs/>
        </w:rPr>
        <w:t xml:space="preserve"> numatomos investicijos į susisiekimo sistemos modernizavimą. Prioritetas bus teikiamas miesto gatvių</w:t>
      </w:r>
      <w:r>
        <w:rPr>
          <w:iCs/>
        </w:rPr>
        <w:t xml:space="preserve"> įrengimui, asfaltavimui, šaligatvių ir perėjų</w:t>
      </w:r>
      <w:r w:rsidRPr="00790BD4">
        <w:rPr>
          <w:iCs/>
        </w:rPr>
        <w:t xml:space="preserve"> apšvietimo modernizavimui, pėsčiųjų</w:t>
      </w:r>
      <w:r>
        <w:rPr>
          <w:iCs/>
        </w:rPr>
        <w:t xml:space="preserve"> ir </w:t>
      </w:r>
      <w:r w:rsidRPr="00790BD4">
        <w:rPr>
          <w:iCs/>
        </w:rPr>
        <w:t>dviračių takų tinklo</w:t>
      </w:r>
      <w:r>
        <w:rPr>
          <w:iCs/>
        </w:rPr>
        <w:t xml:space="preserve"> </w:t>
      </w:r>
      <w:r w:rsidRPr="00790BD4">
        <w:rPr>
          <w:iCs/>
        </w:rPr>
        <w:t>plėt</w:t>
      </w:r>
      <w:r>
        <w:rPr>
          <w:iCs/>
        </w:rPr>
        <w:t>rai</w:t>
      </w:r>
      <w:r w:rsidRPr="00790BD4">
        <w:rPr>
          <w:iCs/>
        </w:rPr>
        <w:t xml:space="preserve">. </w:t>
      </w:r>
      <w:r>
        <w:rPr>
          <w:iCs/>
        </w:rPr>
        <w:t>P</w:t>
      </w:r>
      <w:r w:rsidRPr="00790BD4">
        <w:rPr>
          <w:iCs/>
        </w:rPr>
        <w:t xml:space="preserve">lanuojama parengti ir patvirtinti </w:t>
      </w:r>
      <w:r>
        <w:rPr>
          <w:iCs/>
        </w:rPr>
        <w:t>Alytaus miesto darnaus judumo planą, geležinkelio plėtros galimybių studiją.</w:t>
      </w:r>
    </w:p>
    <w:p w:rsidR="00A81C80" w:rsidRPr="00B261EB" w:rsidRDefault="00A81C80" w:rsidP="00A81C80">
      <w:pPr>
        <w:pStyle w:val="Default"/>
        <w:jc w:val="both"/>
      </w:pPr>
      <w:r>
        <w:rPr>
          <w:iCs/>
          <w:color w:val="auto"/>
        </w:rPr>
        <w:tab/>
      </w:r>
      <w:r w:rsidRPr="00B261EB">
        <w:t>Nacionalinėje aplinkos apsaugos strategijoje prioritetinės aplinkos apsaugos sritys yra keturios: darnus gamtos išteklių naudojimas ir atliekų tvarkymas; aplinkos kokybė</w:t>
      </w:r>
      <w:r>
        <w:t xml:space="preserve">s gerinimas; </w:t>
      </w:r>
      <w:r w:rsidRPr="00B261EB">
        <w:t xml:space="preserve">ekosistemų stabilumo išsaugojimas; klimato kaitos švelninimas ir prisitaikymas prie klimato kaitos keliamų aplinkos pokyčių. </w:t>
      </w:r>
    </w:p>
    <w:p w:rsidR="00A81C80" w:rsidRDefault="00A81C80" w:rsidP="00A81C80">
      <w:pPr>
        <w:pStyle w:val="Default"/>
        <w:jc w:val="both"/>
        <w:rPr>
          <w:iCs/>
        </w:rPr>
      </w:pPr>
      <w:r>
        <w:tab/>
      </w:r>
      <w:r w:rsidRPr="00B261EB">
        <w:t xml:space="preserve">Prie Nacionalinės aplinkos apsaugos strategijos tikslų įgyvendinimo prisideda ir </w:t>
      </w:r>
      <w:r>
        <w:t>Alytaus miesto</w:t>
      </w:r>
      <w:r w:rsidRPr="00B261EB">
        <w:t xml:space="preserve"> savivaldybė. </w:t>
      </w:r>
      <w:r>
        <w:rPr>
          <w:iCs/>
        </w:rPr>
        <w:t>2017–2019</w:t>
      </w:r>
      <w:r w:rsidRPr="00B261EB">
        <w:rPr>
          <w:iCs/>
        </w:rPr>
        <w:t xml:space="preserve"> m</w:t>
      </w:r>
      <w:r>
        <w:rPr>
          <w:iCs/>
        </w:rPr>
        <w:t>.</w:t>
      </w:r>
      <w:r w:rsidRPr="00B261EB">
        <w:rPr>
          <w:iCs/>
        </w:rPr>
        <w:t xml:space="preserve"> bus siekiama vystyti efektyvią atliekų tvarkymo sistemą, didinti </w:t>
      </w:r>
      <w:r>
        <w:rPr>
          <w:iCs/>
        </w:rPr>
        <w:t>viešosios paskirties objektų, daugiabučių namų</w:t>
      </w:r>
      <w:r w:rsidRPr="00B261EB">
        <w:rPr>
          <w:iCs/>
        </w:rPr>
        <w:t xml:space="preserve"> atsinaujinančių išteklių energijos naudojimą ir energijos vartojimo efektyvumą, toliau tęsti bei vykdyti aplinkos apsaugos priemonių taikymą, vykdyti visuomenės aplinkosauginį švietimą. </w:t>
      </w:r>
    </w:p>
    <w:p w:rsidR="00A81C80" w:rsidRPr="002B0102" w:rsidRDefault="00A81C80" w:rsidP="00A81C80">
      <w:pPr>
        <w:ind w:firstLine="1247"/>
        <w:jc w:val="both"/>
        <w:rPr>
          <w:rFonts w:ascii="Palemonas" w:eastAsia="Times New Roman" w:hAnsi="Palemonas"/>
          <w:color w:val="000000"/>
          <w:sz w:val="24"/>
          <w:szCs w:val="20"/>
        </w:rPr>
      </w:pPr>
      <w:r>
        <w:rPr>
          <w:rFonts w:ascii="Palemonas" w:eastAsia="Times New Roman" w:hAnsi="Palemonas"/>
          <w:color w:val="000000"/>
          <w:sz w:val="24"/>
          <w:szCs w:val="20"/>
        </w:rPr>
        <w:t xml:space="preserve">Gerinant gyvenamosios aplinkos </w:t>
      </w:r>
      <w:r w:rsidRPr="002B0102">
        <w:rPr>
          <w:rFonts w:ascii="Palemonas" w:eastAsia="Times New Roman" w:hAnsi="Palemonas"/>
          <w:color w:val="000000"/>
          <w:sz w:val="24"/>
          <w:szCs w:val="20"/>
        </w:rPr>
        <w:t xml:space="preserve">kokybę, </w:t>
      </w:r>
      <w:r>
        <w:rPr>
          <w:rFonts w:ascii="Palemonas" w:eastAsia="Times New Roman" w:hAnsi="Palemonas"/>
          <w:color w:val="000000"/>
          <w:sz w:val="24"/>
          <w:szCs w:val="20"/>
        </w:rPr>
        <w:t>numatoma</w:t>
      </w:r>
      <w:r w:rsidRPr="002B0102">
        <w:rPr>
          <w:rFonts w:ascii="Palemonas" w:eastAsia="Times New Roman" w:hAnsi="Palemonas"/>
          <w:color w:val="000000"/>
          <w:sz w:val="24"/>
          <w:szCs w:val="20"/>
        </w:rPr>
        <w:t xml:space="preserve"> įgyvendinti gyvenamųjų teritorijų modernizavimo ir pastatų energetinio modernizavimo </w:t>
      </w:r>
      <w:r>
        <w:rPr>
          <w:rFonts w:ascii="Palemonas" w:eastAsia="Times New Roman" w:hAnsi="Palemonas"/>
          <w:color w:val="000000"/>
          <w:sz w:val="24"/>
          <w:szCs w:val="20"/>
        </w:rPr>
        <w:t>projektus</w:t>
      </w:r>
      <w:r w:rsidRPr="002B0102">
        <w:rPr>
          <w:rFonts w:ascii="Palemonas" w:eastAsia="Times New Roman" w:hAnsi="Palemonas"/>
          <w:color w:val="000000"/>
          <w:sz w:val="24"/>
          <w:szCs w:val="20"/>
        </w:rPr>
        <w:t xml:space="preserve">, atnaujinti </w:t>
      </w:r>
      <w:r>
        <w:rPr>
          <w:rFonts w:ascii="Palemonas" w:eastAsia="Times New Roman" w:hAnsi="Palemonas"/>
          <w:color w:val="000000"/>
          <w:sz w:val="24"/>
          <w:szCs w:val="20"/>
        </w:rPr>
        <w:t>mikrorajonų</w:t>
      </w:r>
      <w:r w:rsidRPr="002B0102">
        <w:rPr>
          <w:rFonts w:ascii="Palemonas" w:eastAsia="Times New Roman" w:hAnsi="Palemonas"/>
          <w:color w:val="000000"/>
          <w:sz w:val="24"/>
          <w:szCs w:val="20"/>
        </w:rPr>
        <w:t xml:space="preserve"> vaikų žaidimų, sporto aikšteles ir kitus įrenginius. Taip pat prie patogios gyvenamosios aplinkos kūrimo prisidės šiam tikslui įgyvendinti numatomi veiksmai pritaikant ne tik viešosios infrastruktūros objektus, bet ir gyvenamąjį būstą žmonėms su specialiaisiais poreikiais. Siekiant patenkinti miestiečių rekreacinių zonų poreikį, numatoma kuo daugiau miesto žaliųjų zonų pritaikyti poilsiui ir laisvalaikiui, </w:t>
      </w:r>
      <w:r>
        <w:rPr>
          <w:rFonts w:ascii="Palemonas" w:eastAsia="Times New Roman" w:hAnsi="Palemonas"/>
          <w:color w:val="000000"/>
          <w:sz w:val="24"/>
          <w:szCs w:val="20"/>
        </w:rPr>
        <w:t xml:space="preserve">prižiūrėti </w:t>
      </w:r>
      <w:r w:rsidRPr="002B0102">
        <w:rPr>
          <w:rFonts w:ascii="Palemonas" w:eastAsia="Times New Roman" w:hAnsi="Palemonas"/>
          <w:color w:val="000000"/>
          <w:sz w:val="24"/>
          <w:szCs w:val="20"/>
        </w:rPr>
        <w:t xml:space="preserve">miesto vandens telkinius ir jų pakrantes. Atsižvelgiant į šiandienos ekologiškos gyvenamosios aplinkos aktualijas, bus siekiama </w:t>
      </w:r>
      <w:r>
        <w:rPr>
          <w:rFonts w:ascii="Palemonas" w:eastAsia="Times New Roman" w:hAnsi="Palemonas"/>
          <w:color w:val="000000"/>
          <w:sz w:val="24"/>
          <w:szCs w:val="20"/>
        </w:rPr>
        <w:t>plėsti</w:t>
      </w:r>
      <w:r w:rsidRPr="002B0102">
        <w:rPr>
          <w:rFonts w:ascii="Palemonas" w:eastAsia="Times New Roman" w:hAnsi="Palemonas"/>
          <w:color w:val="000000"/>
          <w:sz w:val="24"/>
          <w:szCs w:val="20"/>
        </w:rPr>
        <w:t xml:space="preserve"> efektyvią ir saugią atliekų surinkimo, apdorojimo ir panaudojimo sistemą, gerinti atmosferos oro ir geriamojo vandens kokybę, mažinti triukšmą ir užtikrinti ekologišką miesto gamtinę aplinką. Fiziniam gyventojų saugum</w:t>
      </w:r>
      <w:r>
        <w:rPr>
          <w:rFonts w:ascii="Palemonas" w:eastAsia="Times New Roman" w:hAnsi="Palemonas"/>
          <w:color w:val="000000"/>
          <w:sz w:val="24"/>
          <w:szCs w:val="20"/>
        </w:rPr>
        <w:t>ui</w:t>
      </w:r>
      <w:r w:rsidRPr="002B0102">
        <w:rPr>
          <w:rFonts w:ascii="Palemonas" w:eastAsia="Times New Roman" w:hAnsi="Palemonas"/>
          <w:color w:val="000000"/>
          <w:sz w:val="24"/>
          <w:szCs w:val="20"/>
        </w:rPr>
        <w:t xml:space="preserve"> užtikrin</w:t>
      </w:r>
      <w:r>
        <w:rPr>
          <w:rFonts w:ascii="Palemonas" w:eastAsia="Times New Roman" w:hAnsi="Palemonas"/>
          <w:color w:val="000000"/>
          <w:sz w:val="24"/>
          <w:szCs w:val="20"/>
        </w:rPr>
        <w:t>t</w:t>
      </w:r>
      <w:r w:rsidRPr="002B0102">
        <w:rPr>
          <w:rFonts w:ascii="Palemonas" w:eastAsia="Times New Roman" w:hAnsi="Palemonas"/>
          <w:color w:val="000000"/>
          <w:sz w:val="24"/>
          <w:szCs w:val="20"/>
        </w:rPr>
        <w:t>i numatoma</w:t>
      </w:r>
      <w:r>
        <w:rPr>
          <w:rFonts w:ascii="Palemonas" w:eastAsia="Times New Roman" w:hAnsi="Palemonas"/>
          <w:color w:val="000000"/>
          <w:sz w:val="24"/>
          <w:szCs w:val="20"/>
        </w:rPr>
        <w:t xml:space="preserve"> įgyvendinti</w:t>
      </w:r>
      <w:r w:rsidRPr="002B0102">
        <w:rPr>
          <w:rFonts w:ascii="Palemonas" w:eastAsia="Times New Roman" w:hAnsi="Palemonas"/>
          <w:color w:val="000000"/>
          <w:sz w:val="24"/>
          <w:szCs w:val="20"/>
        </w:rPr>
        <w:t xml:space="preserve"> saugaus miesto iniciatyv</w:t>
      </w:r>
      <w:r>
        <w:rPr>
          <w:rFonts w:ascii="Palemonas" w:eastAsia="Times New Roman" w:hAnsi="Palemonas"/>
          <w:color w:val="000000"/>
          <w:sz w:val="24"/>
          <w:szCs w:val="20"/>
        </w:rPr>
        <w:t>ą</w:t>
      </w:r>
      <w:r w:rsidRPr="002B0102">
        <w:rPr>
          <w:rFonts w:ascii="Palemonas" w:eastAsia="Times New Roman" w:hAnsi="Palemonas"/>
          <w:color w:val="000000"/>
          <w:sz w:val="24"/>
          <w:szCs w:val="20"/>
        </w:rPr>
        <w:t>.</w:t>
      </w:r>
    </w:p>
    <w:p w:rsidR="00A81C80" w:rsidRDefault="00A81C80" w:rsidP="00A81C80">
      <w:pPr>
        <w:pStyle w:val="Default"/>
        <w:jc w:val="both"/>
        <w:rPr>
          <w:sz w:val="23"/>
          <w:szCs w:val="23"/>
        </w:rPr>
      </w:pPr>
      <w:r>
        <w:rPr>
          <w:iCs/>
        </w:rPr>
        <w:tab/>
      </w:r>
      <w:r>
        <w:rPr>
          <w:sz w:val="23"/>
          <w:szCs w:val="23"/>
        </w:rPr>
        <w:t>Susisiekimo sistemos plėtra yra susijusi su susisiekimo infrastruktūros techninių parametrų gerinimu, trūkstamų jungčių tiesimu ir pralaidumo didinimu, eismo saugos užtikrinimu, aplinkosaugos, darnaus judumo priemonių diegimu.</w:t>
      </w:r>
    </w:p>
    <w:p w:rsidR="00A81C80" w:rsidRDefault="00A81C80" w:rsidP="00A81C80">
      <w:pPr>
        <w:pStyle w:val="Default"/>
        <w:jc w:val="both"/>
        <w:rPr>
          <w:sz w:val="23"/>
          <w:szCs w:val="23"/>
        </w:rPr>
      </w:pPr>
      <w:r>
        <w:rPr>
          <w:sz w:val="23"/>
          <w:szCs w:val="23"/>
        </w:rPr>
        <w:tab/>
        <w:t xml:space="preserve">Alytaus miesto savivaldybės administracijos Statybos skyriaus duomenimis, </w:t>
      </w:r>
      <w:r w:rsidRPr="00595785">
        <w:rPr>
          <w:color w:val="auto"/>
          <w:sz w:val="23"/>
          <w:szCs w:val="23"/>
        </w:rPr>
        <w:t>2016</w:t>
      </w:r>
      <w:r>
        <w:rPr>
          <w:sz w:val="23"/>
          <w:szCs w:val="23"/>
        </w:rPr>
        <w:t xml:space="preserve"> m. pabaigoje mieste vietinės reikšmės viešųjų kelių, kuriuos prižiūri savivaldybė, ilgis buvo 191,9 km, iš jų su pagerinta danga (asfalto, trinkelių, grindinio) – 148,3 km, su žvyro danga – 33,7 km, grunto keliai – 9,9 km, dviračių takų ilgis – 27,9 km.</w:t>
      </w:r>
    </w:p>
    <w:p w:rsidR="00A81C80" w:rsidRDefault="00A81C80" w:rsidP="00A81C80">
      <w:pPr>
        <w:pStyle w:val="Default"/>
        <w:jc w:val="both"/>
        <w:rPr>
          <w:i/>
          <w:iCs/>
          <w:sz w:val="23"/>
          <w:szCs w:val="23"/>
        </w:rPr>
      </w:pPr>
      <w:r>
        <w:rPr>
          <w:sz w:val="23"/>
          <w:szCs w:val="23"/>
        </w:rPr>
        <w:tab/>
      </w:r>
    </w:p>
    <w:p w:rsidR="00A81C80" w:rsidRDefault="00A81C80" w:rsidP="00A81C80">
      <w:pPr>
        <w:pStyle w:val="Default"/>
        <w:jc w:val="center"/>
        <w:rPr>
          <w:rFonts w:eastAsia="Times New Roman"/>
          <w:b/>
          <w:bCs/>
        </w:rPr>
      </w:pPr>
      <w:r w:rsidRPr="00A5416F">
        <w:rPr>
          <w:rFonts w:eastAsia="Times New Roman"/>
          <w:b/>
          <w:bCs/>
        </w:rPr>
        <w:t>STRATEGINIAI TIKSLAI IR EFEKTO KRITERIJAI</w:t>
      </w:r>
    </w:p>
    <w:p w:rsidR="00A81C80" w:rsidRPr="00A5416F" w:rsidRDefault="00A81C80" w:rsidP="00A81C80">
      <w:pPr>
        <w:pStyle w:val="Default"/>
        <w:jc w:val="both"/>
        <w:rPr>
          <w:rFonts w:eastAsia="Times New Roman"/>
        </w:rPr>
      </w:pPr>
    </w:p>
    <w:tbl>
      <w:tblPr>
        <w:tblW w:w="9923"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23"/>
      </w:tblGrid>
      <w:tr w:rsidR="00A81C80" w:rsidRPr="00C007DC" w:rsidTr="00EC3C1A">
        <w:trPr>
          <w:cantSplit/>
          <w:trHeight w:val="471"/>
        </w:trPr>
        <w:tc>
          <w:tcPr>
            <w:tcW w:w="992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81C80" w:rsidRPr="00C007DC" w:rsidRDefault="00A81C80" w:rsidP="00885CA6">
            <w:pPr>
              <w:spacing w:before="100" w:beforeAutospacing="1" w:after="100" w:afterAutospacing="1"/>
              <w:jc w:val="both"/>
              <w:rPr>
                <w:rFonts w:ascii="Times New Roman" w:eastAsia="Times New Roman" w:hAnsi="Times New Roman"/>
                <w:sz w:val="24"/>
                <w:szCs w:val="24"/>
                <w:lang w:eastAsia="lt-LT"/>
              </w:rPr>
            </w:pPr>
            <w:r w:rsidRPr="00C007DC">
              <w:rPr>
                <w:rFonts w:ascii="Times New Roman" w:eastAsia="Times New Roman" w:hAnsi="Times New Roman"/>
                <w:b/>
                <w:bCs/>
                <w:sz w:val="24"/>
                <w:szCs w:val="24"/>
                <w:lang w:eastAsia="lt-LT"/>
              </w:rPr>
              <w:t xml:space="preserve">01 STRATEGINIS TIKSLAS – užtikrinti gyventojams </w:t>
            </w:r>
            <w:r>
              <w:rPr>
                <w:rFonts w:ascii="Times New Roman" w:eastAsia="Times New Roman" w:hAnsi="Times New Roman"/>
                <w:b/>
                <w:bCs/>
                <w:sz w:val="24"/>
                <w:szCs w:val="24"/>
                <w:lang w:eastAsia="lt-LT"/>
              </w:rPr>
              <w:t>viešųjų paslaugų įvairovę</w:t>
            </w:r>
            <w:r w:rsidR="00885CA6">
              <w:rPr>
                <w:rFonts w:ascii="Times New Roman" w:eastAsia="Times New Roman" w:hAnsi="Times New Roman"/>
                <w:b/>
                <w:bCs/>
                <w:sz w:val="24"/>
                <w:szCs w:val="24"/>
                <w:lang w:eastAsia="lt-LT"/>
              </w:rPr>
              <w:t>,</w:t>
            </w:r>
            <w:r>
              <w:rPr>
                <w:rFonts w:ascii="Times New Roman" w:eastAsia="Times New Roman" w:hAnsi="Times New Roman"/>
                <w:b/>
                <w:bCs/>
                <w:sz w:val="24"/>
                <w:szCs w:val="24"/>
                <w:lang w:eastAsia="lt-LT"/>
              </w:rPr>
              <w:t xml:space="preserve"> </w:t>
            </w:r>
            <w:r w:rsidRPr="00C007DC">
              <w:rPr>
                <w:rFonts w:ascii="Times New Roman" w:eastAsia="Times New Roman" w:hAnsi="Times New Roman"/>
                <w:b/>
                <w:bCs/>
                <w:sz w:val="24"/>
                <w:szCs w:val="24"/>
                <w:lang w:eastAsia="lt-LT"/>
              </w:rPr>
              <w:t>kokybę ir prieinamumą</w:t>
            </w:r>
          </w:p>
        </w:tc>
      </w:tr>
      <w:tr w:rsidR="00A81C80" w:rsidRPr="00C007DC" w:rsidTr="00EC3C1A">
        <w:trPr>
          <w:cantSplit/>
          <w:trHeight w:val="185"/>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rPr>
                <w:rFonts w:ascii="Times New Roman" w:eastAsia="Times New Roman" w:hAnsi="Times New Roman"/>
                <w:sz w:val="24"/>
                <w:szCs w:val="24"/>
                <w:lang w:eastAsia="lt-LT"/>
              </w:rPr>
            </w:pPr>
            <w:r w:rsidRPr="00C007DC">
              <w:rPr>
                <w:rFonts w:ascii="Times New Roman" w:eastAsia="Times New Roman" w:hAnsi="Times New Roman"/>
                <w:b/>
                <w:bCs/>
                <w:sz w:val="24"/>
                <w:szCs w:val="24"/>
                <w:lang w:eastAsia="lt-LT"/>
              </w:rPr>
              <w:t>Efekto kriterijai (n</w:t>
            </w:r>
            <w:r>
              <w:rPr>
                <w:rFonts w:ascii="Times New Roman" w:eastAsia="Times New Roman" w:hAnsi="Times New Roman"/>
                <w:b/>
                <w:bCs/>
                <w:sz w:val="24"/>
                <w:szCs w:val="24"/>
                <w:lang w:eastAsia="lt-LT"/>
              </w:rPr>
              <w:t>urodomos siektinos reikšmės 2019</w:t>
            </w:r>
            <w:r w:rsidRPr="00C007DC">
              <w:rPr>
                <w:rFonts w:ascii="Times New Roman" w:eastAsia="Times New Roman" w:hAnsi="Times New Roman"/>
                <w:b/>
                <w:bCs/>
                <w:sz w:val="24"/>
                <w:szCs w:val="24"/>
                <w:lang w:eastAsia="lt-LT"/>
              </w:rPr>
              <w:t xml:space="preserve"> m.):</w:t>
            </w:r>
          </w:p>
          <w:p w:rsidR="00A81C80" w:rsidRPr="00C007DC" w:rsidRDefault="00A81C80" w:rsidP="00EC3C1A">
            <w:pPr>
              <w:spacing w:before="100" w:beforeAutospacing="1" w:after="100" w:afterAutospacing="1"/>
              <w:rPr>
                <w:rFonts w:ascii="Times New Roman" w:eastAsia="Times New Roman" w:hAnsi="Times New Roman"/>
                <w:sz w:val="24"/>
                <w:szCs w:val="24"/>
                <w:lang w:eastAsia="lt-LT"/>
              </w:rPr>
            </w:pPr>
            <w:r>
              <w:rPr>
                <w:rFonts w:ascii="Times New Roman" w:eastAsia="Times New Roman" w:hAnsi="Times New Roman"/>
                <w:sz w:val="24"/>
                <w:szCs w:val="24"/>
                <w:lang w:eastAsia="lt-LT"/>
              </w:rPr>
              <w:t>E-01</w:t>
            </w:r>
            <w:r w:rsidRPr="00C007DC">
              <w:rPr>
                <w:rFonts w:ascii="Times New Roman" w:eastAsia="Times New Roman" w:hAnsi="Times New Roman"/>
                <w:sz w:val="24"/>
                <w:szCs w:val="24"/>
                <w:lang w:eastAsia="lt-LT"/>
              </w:rPr>
              <w:t>-01 Gyventojų skaičiaus pokytis  &lt; -</w:t>
            </w:r>
            <w:r>
              <w:rPr>
                <w:rFonts w:ascii="Times New Roman" w:eastAsia="Times New Roman" w:hAnsi="Times New Roman"/>
                <w:sz w:val="24"/>
                <w:szCs w:val="24"/>
                <w:lang w:eastAsia="lt-LT"/>
              </w:rPr>
              <w:t>4</w:t>
            </w:r>
            <w:r w:rsidRPr="00C007DC">
              <w:rPr>
                <w:rFonts w:ascii="Times New Roman" w:eastAsia="Times New Roman" w:hAnsi="Times New Roman"/>
                <w:sz w:val="24"/>
                <w:szCs w:val="24"/>
                <w:lang w:eastAsia="lt-LT"/>
              </w:rPr>
              <w:t xml:space="preserve"> %</w:t>
            </w:r>
          </w:p>
          <w:p w:rsidR="00A81C80" w:rsidRDefault="00A81C80" w:rsidP="00EC3C1A">
            <w:pPr>
              <w:spacing w:before="100" w:beforeAutospacing="1" w:after="100" w:afterAutospacing="1" w:line="185" w:lineRule="atLeast"/>
              <w:rPr>
                <w:rFonts w:ascii="Times New Roman" w:eastAsia="Times New Roman" w:hAnsi="Times New Roman"/>
                <w:sz w:val="24"/>
                <w:szCs w:val="24"/>
                <w:lang w:eastAsia="lt-LT"/>
              </w:rPr>
            </w:pPr>
            <w:r>
              <w:rPr>
                <w:rFonts w:ascii="Times New Roman" w:eastAsia="Times New Roman" w:hAnsi="Times New Roman"/>
                <w:sz w:val="24"/>
                <w:szCs w:val="24"/>
                <w:lang w:eastAsia="lt-LT"/>
              </w:rPr>
              <w:t>E-01</w:t>
            </w:r>
            <w:r w:rsidRPr="00C007DC">
              <w:rPr>
                <w:rFonts w:ascii="Times New Roman" w:eastAsia="Times New Roman" w:hAnsi="Times New Roman"/>
                <w:sz w:val="24"/>
                <w:szCs w:val="24"/>
                <w:lang w:eastAsia="lt-LT"/>
              </w:rPr>
              <w:t>-01 Vidutin</w:t>
            </w:r>
            <w:r>
              <w:rPr>
                <w:rFonts w:ascii="Times New Roman" w:eastAsia="Times New Roman" w:hAnsi="Times New Roman"/>
                <w:sz w:val="24"/>
                <w:szCs w:val="24"/>
                <w:lang w:eastAsia="lt-LT"/>
              </w:rPr>
              <w:t>ė tikėtina gyvenimo trukmė  &gt; 76</w:t>
            </w:r>
            <w:r w:rsidRPr="00C007DC">
              <w:rPr>
                <w:rFonts w:ascii="Times New Roman" w:eastAsia="Times New Roman" w:hAnsi="Times New Roman"/>
                <w:sz w:val="24"/>
                <w:szCs w:val="24"/>
                <w:lang w:eastAsia="lt-LT"/>
              </w:rPr>
              <w:t>,3</w:t>
            </w:r>
          </w:p>
          <w:p w:rsidR="00252174" w:rsidRDefault="00252174" w:rsidP="00EC3C1A">
            <w:pPr>
              <w:spacing w:before="100" w:beforeAutospacing="1" w:after="100" w:afterAutospacing="1" w:line="185" w:lineRule="atLeast"/>
              <w:rPr>
                <w:rFonts w:ascii="Times New Roman" w:eastAsia="Times New Roman" w:hAnsi="Times New Roman"/>
                <w:sz w:val="24"/>
                <w:szCs w:val="24"/>
                <w:lang w:eastAsia="lt-LT"/>
              </w:rPr>
            </w:pPr>
          </w:p>
          <w:p w:rsidR="00252174" w:rsidRPr="00C007DC" w:rsidRDefault="00252174" w:rsidP="00EC3C1A">
            <w:pPr>
              <w:spacing w:before="100" w:beforeAutospacing="1" w:after="100" w:afterAutospacing="1" w:line="185" w:lineRule="atLeast"/>
              <w:rPr>
                <w:rFonts w:ascii="Times New Roman" w:eastAsia="Times New Roman" w:hAnsi="Times New Roman"/>
                <w:sz w:val="24"/>
                <w:szCs w:val="24"/>
                <w:lang w:eastAsia="lt-LT"/>
              </w:rPr>
            </w:pPr>
          </w:p>
        </w:tc>
      </w:tr>
      <w:tr w:rsidR="00A81C80" w:rsidRPr="00C007DC" w:rsidTr="00EC3C1A">
        <w:trPr>
          <w:cantSplit/>
          <w:trHeight w:val="471"/>
        </w:trPr>
        <w:tc>
          <w:tcPr>
            <w:tcW w:w="992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52174" w:rsidRPr="00252174" w:rsidRDefault="00A81C80" w:rsidP="00EC3C1A">
            <w:pPr>
              <w:spacing w:before="100" w:beforeAutospacing="1" w:after="100" w:afterAutospacing="1"/>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lastRenderedPageBreak/>
              <w:t>02</w:t>
            </w:r>
            <w:r w:rsidRPr="00C007DC">
              <w:rPr>
                <w:rFonts w:ascii="Times New Roman" w:eastAsia="Times New Roman" w:hAnsi="Times New Roman"/>
                <w:b/>
                <w:bCs/>
                <w:sz w:val="24"/>
                <w:szCs w:val="24"/>
                <w:lang w:eastAsia="lt-LT"/>
              </w:rPr>
              <w:t xml:space="preserve"> STRATEGINIS TIKSLAS – </w:t>
            </w:r>
            <w:r w:rsidRPr="00CA5E4B">
              <w:rPr>
                <w:rFonts w:ascii="Times New Roman" w:eastAsia="Times New Roman" w:hAnsi="Times New Roman"/>
                <w:b/>
                <w:bCs/>
                <w:sz w:val="24"/>
                <w:szCs w:val="24"/>
                <w:lang w:eastAsia="lt-LT"/>
              </w:rPr>
              <w:t>didinti miesto konkurencingumą, sudarant palankias sąlygas verslui</w:t>
            </w:r>
          </w:p>
        </w:tc>
      </w:tr>
      <w:tr w:rsidR="00A81C80" w:rsidRPr="00C007DC" w:rsidTr="00EC3C1A">
        <w:trPr>
          <w:cantSplit/>
          <w:trHeight w:val="185"/>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C007DC" w:rsidRDefault="00A81C80" w:rsidP="00EC3C1A">
            <w:pPr>
              <w:spacing w:before="100" w:beforeAutospacing="1" w:after="100" w:afterAutospacing="1"/>
              <w:rPr>
                <w:rFonts w:ascii="Times New Roman" w:eastAsia="Times New Roman" w:hAnsi="Times New Roman"/>
                <w:sz w:val="24"/>
                <w:szCs w:val="24"/>
                <w:lang w:eastAsia="lt-LT"/>
              </w:rPr>
            </w:pPr>
            <w:r w:rsidRPr="00C007DC">
              <w:rPr>
                <w:rFonts w:ascii="Times New Roman" w:eastAsia="Times New Roman" w:hAnsi="Times New Roman"/>
                <w:b/>
                <w:bCs/>
                <w:sz w:val="24"/>
                <w:szCs w:val="24"/>
                <w:lang w:eastAsia="lt-LT"/>
              </w:rPr>
              <w:t>Efekto kriterijai (n</w:t>
            </w:r>
            <w:r>
              <w:rPr>
                <w:rFonts w:ascii="Times New Roman" w:eastAsia="Times New Roman" w:hAnsi="Times New Roman"/>
                <w:b/>
                <w:bCs/>
                <w:sz w:val="24"/>
                <w:szCs w:val="24"/>
                <w:lang w:eastAsia="lt-LT"/>
              </w:rPr>
              <w:t>urodomos siektinos reikšmės 2019</w:t>
            </w:r>
            <w:r w:rsidRPr="00C007DC">
              <w:rPr>
                <w:rFonts w:ascii="Times New Roman" w:eastAsia="Times New Roman" w:hAnsi="Times New Roman"/>
                <w:b/>
                <w:bCs/>
                <w:sz w:val="24"/>
                <w:szCs w:val="24"/>
                <w:lang w:eastAsia="lt-LT"/>
              </w:rPr>
              <w:t xml:space="preserve"> m.):</w:t>
            </w:r>
          </w:p>
          <w:p w:rsidR="00A81C80" w:rsidRPr="00C007DC" w:rsidRDefault="00A81C80" w:rsidP="00EC3C1A">
            <w:pPr>
              <w:spacing w:before="100" w:beforeAutospacing="1" w:after="100" w:afterAutospacing="1"/>
              <w:rPr>
                <w:rFonts w:ascii="Times New Roman" w:eastAsia="Times New Roman" w:hAnsi="Times New Roman"/>
                <w:sz w:val="24"/>
                <w:szCs w:val="24"/>
                <w:lang w:eastAsia="lt-LT"/>
              </w:rPr>
            </w:pPr>
            <w:r>
              <w:rPr>
                <w:rFonts w:ascii="Times New Roman" w:eastAsia="Times New Roman" w:hAnsi="Times New Roman"/>
                <w:sz w:val="24"/>
                <w:szCs w:val="24"/>
                <w:lang w:eastAsia="lt-LT"/>
              </w:rPr>
              <w:t>E-02</w:t>
            </w:r>
            <w:r w:rsidRPr="00C007DC">
              <w:rPr>
                <w:rFonts w:ascii="Times New Roman" w:eastAsia="Times New Roman" w:hAnsi="Times New Roman"/>
                <w:sz w:val="24"/>
                <w:szCs w:val="24"/>
                <w:lang w:eastAsia="lt-LT"/>
              </w:rPr>
              <w:t>-01 Verslumo lygis (SVV įmonių skaičius,</w:t>
            </w:r>
            <w:r>
              <w:rPr>
                <w:rFonts w:ascii="Times New Roman" w:eastAsia="Times New Roman" w:hAnsi="Times New Roman"/>
                <w:sz w:val="24"/>
                <w:szCs w:val="24"/>
                <w:lang w:eastAsia="lt-LT"/>
              </w:rPr>
              <w:t xml:space="preserve"> tenkantis 1000-iui gyventojų) –</w:t>
            </w:r>
            <w:r w:rsidRPr="00C007DC">
              <w:rPr>
                <w:rFonts w:ascii="Times New Roman" w:eastAsia="Times New Roman" w:hAnsi="Times New Roman"/>
                <w:sz w:val="24"/>
                <w:szCs w:val="24"/>
                <w:lang w:eastAsia="lt-LT"/>
              </w:rPr>
              <w:t xml:space="preserve"> &gt; 35</w:t>
            </w:r>
          </w:p>
          <w:p w:rsidR="00A81C80" w:rsidRPr="00C007DC" w:rsidRDefault="00A81C80" w:rsidP="00EC3C1A">
            <w:pPr>
              <w:spacing w:before="100" w:beforeAutospacing="1" w:after="100" w:afterAutospacing="1"/>
              <w:rPr>
                <w:rFonts w:ascii="Times New Roman" w:eastAsia="Times New Roman" w:hAnsi="Times New Roman"/>
                <w:sz w:val="24"/>
                <w:szCs w:val="24"/>
                <w:lang w:eastAsia="lt-LT"/>
              </w:rPr>
            </w:pPr>
          </w:p>
        </w:tc>
      </w:tr>
      <w:tr w:rsidR="00A81C80" w:rsidRPr="00C007DC" w:rsidTr="00EC3C1A">
        <w:trPr>
          <w:cantSplit/>
          <w:trHeight w:val="185"/>
        </w:trPr>
        <w:tc>
          <w:tcPr>
            <w:tcW w:w="992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5502E" w:rsidRPr="00E5502E" w:rsidRDefault="00A81C80" w:rsidP="00EC3C1A">
            <w:pPr>
              <w:spacing w:before="100" w:beforeAutospacing="1" w:after="100" w:afterAutospacing="1" w:line="185" w:lineRule="atLeast"/>
              <w:rPr>
                <w:rFonts w:ascii="Times New Roman" w:eastAsia="Times New Roman" w:hAnsi="Times New Roman"/>
                <w:b/>
                <w:bCs/>
                <w:sz w:val="24"/>
                <w:szCs w:val="24"/>
                <w:shd w:val="clear" w:color="auto" w:fill="E0E0E0"/>
                <w:lang w:eastAsia="lt-LT"/>
              </w:rPr>
            </w:pPr>
            <w:r>
              <w:rPr>
                <w:rFonts w:ascii="Times New Roman" w:eastAsia="Times New Roman" w:hAnsi="Times New Roman"/>
                <w:b/>
                <w:bCs/>
                <w:sz w:val="24"/>
                <w:szCs w:val="24"/>
                <w:shd w:val="clear" w:color="auto" w:fill="E0E0E0"/>
                <w:lang w:eastAsia="lt-LT"/>
              </w:rPr>
              <w:t>03</w:t>
            </w:r>
            <w:r w:rsidRPr="00C007DC">
              <w:rPr>
                <w:rFonts w:ascii="Times New Roman" w:eastAsia="Times New Roman" w:hAnsi="Times New Roman"/>
                <w:b/>
                <w:bCs/>
                <w:sz w:val="24"/>
                <w:szCs w:val="24"/>
                <w:shd w:val="clear" w:color="auto" w:fill="E0E0E0"/>
                <w:lang w:eastAsia="lt-LT"/>
              </w:rPr>
              <w:t xml:space="preserve"> STRATEGINIS TIKSLAS – kurti patrauklią, švarią ir saugią </w:t>
            </w:r>
            <w:r>
              <w:rPr>
                <w:rFonts w:ascii="Times New Roman" w:eastAsia="Times New Roman" w:hAnsi="Times New Roman"/>
                <w:b/>
                <w:bCs/>
                <w:sz w:val="24"/>
                <w:szCs w:val="24"/>
                <w:shd w:val="clear" w:color="auto" w:fill="E0E0E0"/>
                <w:lang w:eastAsia="lt-LT"/>
              </w:rPr>
              <w:t>miesto</w:t>
            </w:r>
            <w:r w:rsidRPr="00C007DC">
              <w:rPr>
                <w:rFonts w:ascii="Times New Roman" w:eastAsia="Times New Roman" w:hAnsi="Times New Roman"/>
                <w:b/>
                <w:bCs/>
                <w:sz w:val="24"/>
                <w:szCs w:val="24"/>
                <w:shd w:val="clear" w:color="auto" w:fill="E0E0E0"/>
                <w:lang w:eastAsia="lt-LT"/>
              </w:rPr>
              <w:t xml:space="preserve"> gyvenamąją aplinką</w:t>
            </w:r>
          </w:p>
        </w:tc>
      </w:tr>
      <w:tr w:rsidR="00A81C80" w:rsidRPr="00C007DC" w:rsidTr="00E5502E">
        <w:trPr>
          <w:cantSplit/>
          <w:trHeight w:val="56"/>
        </w:trPr>
        <w:tc>
          <w:tcPr>
            <w:tcW w:w="9923"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A81C80" w:rsidRDefault="00A81C80" w:rsidP="00EC3C1A">
            <w:pPr>
              <w:spacing w:before="100" w:beforeAutospacing="1" w:after="100" w:afterAutospacing="1"/>
              <w:rPr>
                <w:rFonts w:ascii="Times New Roman" w:eastAsia="Times New Roman" w:hAnsi="Times New Roman"/>
                <w:sz w:val="24"/>
                <w:szCs w:val="24"/>
                <w:lang w:eastAsia="lt-LT"/>
              </w:rPr>
            </w:pPr>
            <w:r>
              <w:rPr>
                <w:rFonts w:ascii="Times New Roman" w:eastAsia="Times New Roman" w:hAnsi="Times New Roman"/>
                <w:sz w:val="24"/>
                <w:szCs w:val="24"/>
                <w:lang w:eastAsia="lt-LT"/>
              </w:rPr>
              <w:t>E-03</w:t>
            </w:r>
            <w:r w:rsidRPr="00C007DC">
              <w:rPr>
                <w:rFonts w:ascii="Times New Roman" w:eastAsia="Times New Roman" w:hAnsi="Times New Roman"/>
                <w:sz w:val="24"/>
                <w:szCs w:val="24"/>
                <w:lang w:eastAsia="lt-LT"/>
              </w:rPr>
              <w:t>-01 Parų skaičius, kai viršijamos ribinės teršalų vertės per metus (KD10; matavimų oro kokybės stotyse duomenys) – ne daugiau kaip 30 (neviršijami norminiai rodikliai)</w:t>
            </w:r>
          </w:p>
          <w:p w:rsidR="00A81C80" w:rsidRPr="00C007DC" w:rsidRDefault="00A81C80" w:rsidP="0017371C">
            <w:pPr>
              <w:spacing w:before="100" w:beforeAutospacing="1" w:after="100" w:afterAutospacing="1"/>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E-03-02 </w:t>
            </w:r>
            <w:r w:rsidR="0017371C">
              <w:rPr>
                <w:rFonts w:ascii="Times New Roman" w:eastAsia="Times New Roman" w:hAnsi="Times New Roman"/>
                <w:sz w:val="24"/>
                <w:szCs w:val="24"/>
                <w:lang w:eastAsia="lt-LT"/>
              </w:rPr>
              <w:t>Įregistruotų k</w:t>
            </w:r>
            <w:r>
              <w:rPr>
                <w:rFonts w:ascii="Times New Roman" w:eastAsia="Times New Roman" w:hAnsi="Times New Roman"/>
                <w:sz w:val="24"/>
                <w:szCs w:val="24"/>
                <w:lang w:eastAsia="lt-LT"/>
              </w:rPr>
              <w:t>elių eismo įvykių skaičius</w:t>
            </w:r>
            <w:r w:rsidR="008C3651">
              <w:rPr>
                <w:rFonts w:ascii="Times New Roman" w:eastAsia="Times New Roman" w:hAnsi="Times New Roman"/>
                <w:sz w:val="24"/>
                <w:szCs w:val="24"/>
                <w:lang w:eastAsia="lt-LT"/>
              </w:rPr>
              <w:t xml:space="preserve"> (per metus)</w:t>
            </w:r>
            <w:r>
              <w:rPr>
                <w:rFonts w:ascii="Times New Roman" w:eastAsia="Times New Roman" w:hAnsi="Times New Roman"/>
                <w:sz w:val="24"/>
                <w:szCs w:val="24"/>
                <w:lang w:eastAsia="lt-LT"/>
              </w:rPr>
              <w:t xml:space="preserve">, vnt.  &lt; </w:t>
            </w:r>
            <w:r w:rsidR="0017371C" w:rsidRPr="001937CE">
              <w:rPr>
                <w:rFonts w:ascii="Times New Roman" w:eastAsia="Times New Roman" w:hAnsi="Times New Roman"/>
                <w:sz w:val="24"/>
                <w:szCs w:val="24"/>
                <w:lang w:eastAsia="lt-LT"/>
              </w:rPr>
              <w:t>220</w:t>
            </w:r>
          </w:p>
        </w:tc>
      </w:tr>
      <w:tr w:rsidR="00A81C80" w:rsidRPr="00C007DC" w:rsidTr="00EC3C1A">
        <w:trPr>
          <w:cantSplit/>
          <w:trHeight w:val="60"/>
        </w:trPr>
        <w:tc>
          <w:tcPr>
            <w:tcW w:w="99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1C80" w:rsidRDefault="00A81C80" w:rsidP="00EC3C1A">
            <w:pPr>
              <w:spacing w:before="100" w:beforeAutospacing="1" w:after="100" w:afterAutospacing="1" w:line="56" w:lineRule="atLeast"/>
              <w:rPr>
                <w:rFonts w:ascii="Times New Roman" w:eastAsia="Times New Roman" w:hAnsi="Times New Roman"/>
                <w:b/>
                <w:bCs/>
                <w:sz w:val="24"/>
                <w:szCs w:val="24"/>
                <w:lang w:eastAsia="lt-LT"/>
              </w:rPr>
            </w:pPr>
          </w:p>
        </w:tc>
      </w:tr>
    </w:tbl>
    <w:p w:rsidR="00A81C80" w:rsidRDefault="00A81C80" w:rsidP="00A81C80">
      <w:pPr>
        <w:pStyle w:val="Default"/>
        <w:spacing w:after="9"/>
        <w:ind w:left="720"/>
        <w:jc w:val="center"/>
        <w:rPr>
          <w:sz w:val="23"/>
          <w:szCs w:val="23"/>
        </w:rPr>
      </w:pPr>
    </w:p>
    <w:p w:rsidR="00A81C80" w:rsidRDefault="00A81C80" w:rsidP="00A81C80">
      <w:pPr>
        <w:pStyle w:val="Default"/>
        <w:spacing w:after="9"/>
        <w:ind w:left="720"/>
        <w:jc w:val="center"/>
        <w:rPr>
          <w:b/>
          <w:bCs/>
          <w:sz w:val="23"/>
          <w:szCs w:val="23"/>
        </w:rPr>
      </w:pPr>
      <w:r>
        <w:rPr>
          <w:b/>
          <w:bCs/>
          <w:sz w:val="23"/>
          <w:szCs w:val="23"/>
        </w:rPr>
        <w:t>VEIKLOS STRATEGINIŲ POKYČIŲ ĮVERTINIMO KRITERIJAI</w:t>
      </w:r>
    </w:p>
    <w:p w:rsidR="00A81C80" w:rsidRDefault="00A81C80" w:rsidP="00A81C80">
      <w:pPr>
        <w:pStyle w:val="Default"/>
        <w:spacing w:after="9"/>
        <w:ind w:left="720"/>
        <w:jc w:val="center"/>
        <w:rPr>
          <w:b/>
          <w:bCs/>
          <w:sz w:val="23"/>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992"/>
        <w:gridCol w:w="937"/>
        <w:gridCol w:w="2005"/>
      </w:tblGrid>
      <w:tr w:rsidR="00A81C80" w:rsidRPr="002D5D71" w:rsidTr="00EC3C1A">
        <w:tc>
          <w:tcPr>
            <w:tcW w:w="9888" w:type="dxa"/>
            <w:gridSpan w:val="5"/>
            <w:shd w:val="clear" w:color="auto" w:fill="DDD9C3"/>
          </w:tcPr>
          <w:p w:rsidR="00A81C80" w:rsidRPr="002D5D71" w:rsidRDefault="00A81C80" w:rsidP="00885CA6">
            <w:pPr>
              <w:pStyle w:val="Default"/>
              <w:spacing w:after="9"/>
              <w:jc w:val="center"/>
              <w:rPr>
                <w:sz w:val="23"/>
                <w:szCs w:val="23"/>
              </w:rPr>
            </w:pPr>
            <w:r w:rsidRPr="002D5D71">
              <w:rPr>
                <w:rFonts w:eastAsia="Times New Roman"/>
                <w:b/>
                <w:bCs/>
              </w:rPr>
              <w:t>01 STRATEGINIS TIKSLAS – užtikrinti gyventojams viešųjų paslaugų įvairovę</w:t>
            </w:r>
            <w:r w:rsidR="00885CA6">
              <w:rPr>
                <w:rFonts w:eastAsia="Times New Roman"/>
                <w:b/>
                <w:bCs/>
              </w:rPr>
              <w:t>,</w:t>
            </w:r>
            <w:r w:rsidRPr="002D5D71">
              <w:rPr>
                <w:rFonts w:eastAsia="Times New Roman"/>
                <w:b/>
                <w:bCs/>
              </w:rPr>
              <w:t xml:space="preserve"> kokybę ir prieinamumą</w:t>
            </w:r>
          </w:p>
        </w:tc>
      </w:tr>
      <w:tr w:rsidR="00A81C80" w:rsidRPr="002D5D71" w:rsidTr="00EC3C1A">
        <w:tc>
          <w:tcPr>
            <w:tcW w:w="4962" w:type="dxa"/>
            <w:vMerge w:val="restart"/>
            <w:shd w:val="clear" w:color="auto" w:fill="auto"/>
          </w:tcPr>
          <w:p w:rsidR="00A81C80" w:rsidRPr="002D5D71" w:rsidRDefault="00A81C80" w:rsidP="00EC3C1A">
            <w:pPr>
              <w:pStyle w:val="Default"/>
              <w:spacing w:after="9"/>
              <w:jc w:val="center"/>
              <w:rPr>
                <w:sz w:val="23"/>
                <w:szCs w:val="23"/>
              </w:rPr>
            </w:pPr>
            <w:r w:rsidRPr="002D5D71">
              <w:rPr>
                <w:sz w:val="23"/>
                <w:szCs w:val="23"/>
              </w:rPr>
              <w:t>Rezultato kriterijus</w:t>
            </w:r>
          </w:p>
        </w:tc>
        <w:tc>
          <w:tcPr>
            <w:tcW w:w="2921" w:type="dxa"/>
            <w:gridSpan w:val="3"/>
            <w:shd w:val="clear" w:color="auto" w:fill="auto"/>
          </w:tcPr>
          <w:p w:rsidR="00A81C80" w:rsidRPr="002D5D71" w:rsidRDefault="00A81C80" w:rsidP="00EC3C1A">
            <w:pPr>
              <w:pStyle w:val="Default"/>
              <w:spacing w:after="9"/>
              <w:jc w:val="center"/>
              <w:rPr>
                <w:sz w:val="23"/>
                <w:szCs w:val="23"/>
              </w:rPr>
            </w:pPr>
            <w:r w:rsidRPr="002D5D71">
              <w:rPr>
                <w:sz w:val="23"/>
                <w:szCs w:val="23"/>
              </w:rPr>
              <w:t>Rezultatų kriterijų reikšmės</w:t>
            </w:r>
          </w:p>
        </w:tc>
        <w:tc>
          <w:tcPr>
            <w:tcW w:w="2005" w:type="dxa"/>
            <w:vMerge w:val="restart"/>
            <w:shd w:val="clear" w:color="auto" w:fill="auto"/>
          </w:tcPr>
          <w:p w:rsidR="00A81C80" w:rsidRPr="002D5D71" w:rsidRDefault="00A81C80" w:rsidP="00EC3C1A">
            <w:pPr>
              <w:pStyle w:val="Default"/>
              <w:spacing w:after="9"/>
              <w:jc w:val="center"/>
              <w:rPr>
                <w:sz w:val="23"/>
                <w:szCs w:val="23"/>
              </w:rPr>
            </w:pPr>
            <w:r w:rsidRPr="002D5D71">
              <w:rPr>
                <w:sz w:val="23"/>
                <w:szCs w:val="23"/>
              </w:rPr>
              <w:t>Atsakingi vykdytojai</w:t>
            </w:r>
          </w:p>
        </w:tc>
      </w:tr>
      <w:tr w:rsidR="00A81C80" w:rsidRPr="002D5D71" w:rsidTr="00EC3C1A">
        <w:tc>
          <w:tcPr>
            <w:tcW w:w="4962" w:type="dxa"/>
            <w:vMerge/>
            <w:shd w:val="clear" w:color="auto" w:fill="auto"/>
          </w:tcPr>
          <w:p w:rsidR="00A81C80" w:rsidRPr="002D5D71" w:rsidRDefault="00A81C80" w:rsidP="00EC3C1A">
            <w:pPr>
              <w:pStyle w:val="Default"/>
              <w:spacing w:after="9"/>
              <w:jc w:val="center"/>
              <w:rPr>
                <w:sz w:val="23"/>
                <w:szCs w:val="23"/>
              </w:rPr>
            </w:pPr>
          </w:p>
        </w:tc>
        <w:tc>
          <w:tcPr>
            <w:tcW w:w="992" w:type="dxa"/>
            <w:shd w:val="clear" w:color="auto" w:fill="auto"/>
          </w:tcPr>
          <w:p w:rsidR="00A81C80" w:rsidRPr="002D5D71" w:rsidRDefault="00A81C80" w:rsidP="00EC3C1A">
            <w:pPr>
              <w:pStyle w:val="Default"/>
              <w:spacing w:after="9"/>
              <w:jc w:val="center"/>
              <w:rPr>
                <w:sz w:val="23"/>
                <w:szCs w:val="23"/>
              </w:rPr>
            </w:pPr>
            <w:r w:rsidRPr="002D5D71">
              <w:rPr>
                <w:sz w:val="23"/>
                <w:szCs w:val="23"/>
              </w:rPr>
              <w:t>2017</w:t>
            </w:r>
          </w:p>
        </w:tc>
        <w:tc>
          <w:tcPr>
            <w:tcW w:w="992" w:type="dxa"/>
            <w:shd w:val="clear" w:color="auto" w:fill="auto"/>
          </w:tcPr>
          <w:p w:rsidR="00A81C80" w:rsidRPr="002D5D71" w:rsidRDefault="00A81C80" w:rsidP="00EC3C1A">
            <w:pPr>
              <w:pStyle w:val="Default"/>
              <w:spacing w:after="9"/>
              <w:jc w:val="center"/>
              <w:rPr>
                <w:sz w:val="23"/>
                <w:szCs w:val="23"/>
              </w:rPr>
            </w:pPr>
            <w:r w:rsidRPr="002D5D71">
              <w:rPr>
                <w:sz w:val="23"/>
                <w:szCs w:val="23"/>
              </w:rPr>
              <w:t>2018</w:t>
            </w:r>
          </w:p>
        </w:tc>
        <w:tc>
          <w:tcPr>
            <w:tcW w:w="937" w:type="dxa"/>
            <w:shd w:val="clear" w:color="auto" w:fill="auto"/>
          </w:tcPr>
          <w:p w:rsidR="00A81C80" w:rsidRPr="002D5D71" w:rsidRDefault="00A81C80" w:rsidP="00EC3C1A">
            <w:pPr>
              <w:pStyle w:val="Default"/>
              <w:spacing w:after="9"/>
              <w:jc w:val="center"/>
              <w:rPr>
                <w:sz w:val="23"/>
                <w:szCs w:val="23"/>
              </w:rPr>
            </w:pPr>
            <w:r w:rsidRPr="002D5D71">
              <w:rPr>
                <w:sz w:val="23"/>
                <w:szCs w:val="23"/>
              </w:rPr>
              <w:t>2019</w:t>
            </w:r>
          </w:p>
        </w:tc>
        <w:tc>
          <w:tcPr>
            <w:tcW w:w="2005" w:type="dxa"/>
            <w:vMerge/>
            <w:shd w:val="clear" w:color="auto" w:fill="auto"/>
          </w:tcPr>
          <w:p w:rsidR="00A81C80" w:rsidRPr="002D5D71" w:rsidRDefault="00A81C80" w:rsidP="00EC3C1A">
            <w:pPr>
              <w:pStyle w:val="Default"/>
              <w:spacing w:after="9"/>
              <w:jc w:val="center"/>
              <w:rPr>
                <w:sz w:val="23"/>
                <w:szCs w:val="23"/>
              </w:rPr>
            </w:pPr>
          </w:p>
        </w:tc>
      </w:tr>
      <w:tr w:rsidR="00A81C80" w:rsidRPr="002D5D71" w:rsidTr="00EC3C1A">
        <w:tc>
          <w:tcPr>
            <w:tcW w:w="4962" w:type="dxa"/>
            <w:shd w:val="clear" w:color="auto" w:fill="auto"/>
          </w:tcPr>
          <w:p w:rsidR="00A81C80" w:rsidRPr="002D5D71" w:rsidRDefault="00A81C80" w:rsidP="00EC3C1A">
            <w:pPr>
              <w:pStyle w:val="Sraopastraipa"/>
              <w:tabs>
                <w:tab w:val="left" w:pos="851"/>
              </w:tabs>
              <w:ind w:left="34"/>
              <w:jc w:val="both"/>
              <w:rPr>
                <w:sz w:val="23"/>
                <w:szCs w:val="23"/>
              </w:rPr>
            </w:pPr>
            <w:r>
              <w:t>Elektroniniu būdu teikiamų paslaugų dalis nuo visų teikiamų paslaugų, proc.</w:t>
            </w:r>
          </w:p>
        </w:tc>
        <w:tc>
          <w:tcPr>
            <w:tcW w:w="992" w:type="dxa"/>
            <w:shd w:val="clear" w:color="auto" w:fill="auto"/>
          </w:tcPr>
          <w:p w:rsidR="00A81C80" w:rsidRPr="002D5D71" w:rsidRDefault="00A81C80" w:rsidP="00EC3C1A">
            <w:pPr>
              <w:pStyle w:val="Default"/>
              <w:spacing w:after="9"/>
              <w:jc w:val="center"/>
              <w:rPr>
                <w:sz w:val="23"/>
                <w:szCs w:val="23"/>
              </w:rPr>
            </w:pPr>
            <w:r w:rsidRPr="002D5D71">
              <w:rPr>
                <w:sz w:val="23"/>
                <w:szCs w:val="23"/>
              </w:rPr>
              <w:t>15</w:t>
            </w:r>
          </w:p>
        </w:tc>
        <w:tc>
          <w:tcPr>
            <w:tcW w:w="992" w:type="dxa"/>
            <w:shd w:val="clear" w:color="auto" w:fill="auto"/>
          </w:tcPr>
          <w:p w:rsidR="00A81C80" w:rsidRPr="002D5D71" w:rsidRDefault="00A81C80" w:rsidP="00EC3C1A">
            <w:pPr>
              <w:pStyle w:val="Default"/>
              <w:spacing w:after="9"/>
              <w:jc w:val="center"/>
              <w:rPr>
                <w:sz w:val="23"/>
                <w:szCs w:val="23"/>
              </w:rPr>
            </w:pPr>
            <w:r w:rsidRPr="002D5D71">
              <w:rPr>
                <w:sz w:val="23"/>
                <w:szCs w:val="23"/>
              </w:rPr>
              <w:t>25</w:t>
            </w:r>
          </w:p>
        </w:tc>
        <w:tc>
          <w:tcPr>
            <w:tcW w:w="937" w:type="dxa"/>
            <w:shd w:val="clear" w:color="auto" w:fill="auto"/>
          </w:tcPr>
          <w:p w:rsidR="00A81C80" w:rsidRPr="002D5D71" w:rsidRDefault="00A81C80" w:rsidP="00EC3C1A">
            <w:pPr>
              <w:pStyle w:val="Default"/>
              <w:spacing w:after="9"/>
              <w:jc w:val="center"/>
              <w:rPr>
                <w:sz w:val="23"/>
                <w:szCs w:val="23"/>
              </w:rPr>
            </w:pPr>
            <w:r w:rsidRPr="002D5D71">
              <w:rPr>
                <w:sz w:val="23"/>
                <w:szCs w:val="23"/>
              </w:rPr>
              <w:t>35</w:t>
            </w:r>
          </w:p>
        </w:tc>
        <w:tc>
          <w:tcPr>
            <w:tcW w:w="2005" w:type="dxa"/>
            <w:shd w:val="clear" w:color="auto" w:fill="auto"/>
          </w:tcPr>
          <w:p w:rsidR="00A81C80" w:rsidRPr="002D5D71" w:rsidRDefault="00A81C80" w:rsidP="00EC3C1A">
            <w:pPr>
              <w:pStyle w:val="Default"/>
              <w:spacing w:after="9"/>
              <w:jc w:val="center"/>
              <w:rPr>
                <w:sz w:val="23"/>
                <w:szCs w:val="23"/>
              </w:rPr>
            </w:pPr>
            <w:r w:rsidRPr="002D5D71">
              <w:rPr>
                <w:sz w:val="23"/>
                <w:szCs w:val="23"/>
              </w:rPr>
              <w:t>Vidaus administravimo skyrius, Informacinių ir ryšių technologijų skyrius</w:t>
            </w:r>
          </w:p>
        </w:tc>
      </w:tr>
      <w:tr w:rsidR="00A81C80" w:rsidRPr="002D5D71" w:rsidTr="00EC3C1A">
        <w:tc>
          <w:tcPr>
            <w:tcW w:w="4962" w:type="dxa"/>
            <w:shd w:val="clear" w:color="auto" w:fill="auto"/>
          </w:tcPr>
          <w:p w:rsidR="00A81C80" w:rsidRPr="002D5D71" w:rsidRDefault="00A81C80" w:rsidP="00B414B2">
            <w:pPr>
              <w:pStyle w:val="Default"/>
              <w:spacing w:after="9"/>
              <w:rPr>
                <w:sz w:val="23"/>
                <w:szCs w:val="23"/>
              </w:rPr>
            </w:pPr>
            <w:r w:rsidRPr="002D5D71">
              <w:rPr>
                <w:sz w:val="23"/>
                <w:szCs w:val="23"/>
              </w:rPr>
              <w:t>Gyventojų, patenkintų savivaldybės teikiamomis paslaugomis, dalis, proc.</w:t>
            </w:r>
          </w:p>
        </w:tc>
        <w:tc>
          <w:tcPr>
            <w:tcW w:w="992" w:type="dxa"/>
            <w:shd w:val="clear" w:color="auto" w:fill="auto"/>
          </w:tcPr>
          <w:p w:rsidR="00A81C80" w:rsidRPr="002D5D71" w:rsidRDefault="00B414B2" w:rsidP="00EC3C1A">
            <w:pPr>
              <w:pStyle w:val="Default"/>
              <w:spacing w:after="9"/>
              <w:jc w:val="center"/>
              <w:rPr>
                <w:sz w:val="23"/>
                <w:szCs w:val="23"/>
              </w:rPr>
            </w:pPr>
            <w:r>
              <w:rPr>
                <w:sz w:val="23"/>
                <w:szCs w:val="23"/>
              </w:rPr>
              <w:t>70</w:t>
            </w:r>
          </w:p>
        </w:tc>
        <w:tc>
          <w:tcPr>
            <w:tcW w:w="992" w:type="dxa"/>
            <w:shd w:val="clear" w:color="auto" w:fill="auto"/>
          </w:tcPr>
          <w:p w:rsidR="00A81C80" w:rsidRPr="002D5D71" w:rsidRDefault="00B414B2" w:rsidP="00EC3C1A">
            <w:pPr>
              <w:pStyle w:val="Default"/>
              <w:spacing w:after="9"/>
              <w:jc w:val="center"/>
              <w:rPr>
                <w:sz w:val="23"/>
                <w:szCs w:val="23"/>
              </w:rPr>
            </w:pPr>
            <w:r>
              <w:rPr>
                <w:sz w:val="23"/>
                <w:szCs w:val="23"/>
              </w:rPr>
              <w:t>73</w:t>
            </w:r>
          </w:p>
        </w:tc>
        <w:tc>
          <w:tcPr>
            <w:tcW w:w="937" w:type="dxa"/>
            <w:shd w:val="clear" w:color="auto" w:fill="auto"/>
          </w:tcPr>
          <w:p w:rsidR="00A81C80" w:rsidRPr="002D5D71" w:rsidRDefault="00B414B2" w:rsidP="00EC3C1A">
            <w:pPr>
              <w:pStyle w:val="Default"/>
              <w:spacing w:after="9"/>
              <w:jc w:val="center"/>
              <w:rPr>
                <w:sz w:val="23"/>
                <w:szCs w:val="23"/>
              </w:rPr>
            </w:pPr>
            <w:r>
              <w:rPr>
                <w:sz w:val="23"/>
                <w:szCs w:val="23"/>
              </w:rPr>
              <w:t>75</w:t>
            </w:r>
          </w:p>
        </w:tc>
        <w:tc>
          <w:tcPr>
            <w:tcW w:w="2005" w:type="dxa"/>
            <w:shd w:val="clear" w:color="auto" w:fill="auto"/>
          </w:tcPr>
          <w:p w:rsidR="00A81C80" w:rsidRPr="002D5D71" w:rsidRDefault="00A81C80" w:rsidP="00EC3C1A">
            <w:pPr>
              <w:pStyle w:val="Default"/>
              <w:spacing w:after="9"/>
              <w:jc w:val="center"/>
              <w:rPr>
                <w:sz w:val="23"/>
                <w:szCs w:val="23"/>
              </w:rPr>
            </w:pPr>
            <w:r w:rsidRPr="002D5D71">
              <w:rPr>
                <w:sz w:val="23"/>
                <w:szCs w:val="23"/>
              </w:rPr>
              <w:t>Vidaus administravimo skyrius</w:t>
            </w:r>
          </w:p>
        </w:tc>
      </w:tr>
      <w:tr w:rsidR="00EF499A" w:rsidRPr="002D5D71" w:rsidTr="00EC3C1A">
        <w:tc>
          <w:tcPr>
            <w:tcW w:w="4962" w:type="dxa"/>
            <w:shd w:val="clear" w:color="auto" w:fill="auto"/>
          </w:tcPr>
          <w:p w:rsidR="00EF499A" w:rsidRPr="002D5D71" w:rsidRDefault="00EF499A" w:rsidP="00EC3C1A">
            <w:pPr>
              <w:pStyle w:val="Default"/>
              <w:spacing w:after="9"/>
              <w:rPr>
                <w:sz w:val="23"/>
                <w:szCs w:val="23"/>
              </w:rPr>
            </w:pPr>
            <w:r>
              <w:rPr>
                <w:sz w:val="23"/>
                <w:szCs w:val="23"/>
              </w:rPr>
              <w:t>Šilumos kainos sumažėjimas, proc.(lyginant su 2015 m.)</w:t>
            </w:r>
          </w:p>
        </w:tc>
        <w:tc>
          <w:tcPr>
            <w:tcW w:w="992" w:type="dxa"/>
            <w:shd w:val="clear" w:color="auto" w:fill="auto"/>
          </w:tcPr>
          <w:p w:rsidR="00EF499A" w:rsidRDefault="00EF499A" w:rsidP="00EC3C1A">
            <w:pPr>
              <w:pStyle w:val="Default"/>
              <w:spacing w:after="9"/>
              <w:jc w:val="center"/>
              <w:rPr>
                <w:sz w:val="23"/>
                <w:szCs w:val="23"/>
              </w:rPr>
            </w:pPr>
            <w:r>
              <w:rPr>
                <w:sz w:val="23"/>
                <w:szCs w:val="23"/>
              </w:rPr>
              <w:t>15</w:t>
            </w:r>
          </w:p>
        </w:tc>
        <w:tc>
          <w:tcPr>
            <w:tcW w:w="992" w:type="dxa"/>
            <w:shd w:val="clear" w:color="auto" w:fill="auto"/>
          </w:tcPr>
          <w:p w:rsidR="00EF499A" w:rsidRDefault="00EF499A" w:rsidP="00EC3C1A">
            <w:pPr>
              <w:pStyle w:val="Default"/>
              <w:spacing w:after="9"/>
              <w:jc w:val="center"/>
              <w:rPr>
                <w:sz w:val="23"/>
                <w:szCs w:val="23"/>
              </w:rPr>
            </w:pPr>
            <w:r>
              <w:rPr>
                <w:sz w:val="23"/>
                <w:szCs w:val="23"/>
              </w:rPr>
              <w:t>25</w:t>
            </w:r>
          </w:p>
        </w:tc>
        <w:tc>
          <w:tcPr>
            <w:tcW w:w="937" w:type="dxa"/>
            <w:shd w:val="clear" w:color="auto" w:fill="auto"/>
          </w:tcPr>
          <w:p w:rsidR="00EF499A" w:rsidRDefault="00EF499A" w:rsidP="00EC3C1A">
            <w:pPr>
              <w:pStyle w:val="Default"/>
              <w:spacing w:after="9"/>
              <w:jc w:val="center"/>
              <w:rPr>
                <w:sz w:val="23"/>
                <w:szCs w:val="23"/>
              </w:rPr>
            </w:pPr>
            <w:r>
              <w:rPr>
                <w:sz w:val="23"/>
                <w:szCs w:val="23"/>
              </w:rPr>
              <w:t>30</w:t>
            </w:r>
          </w:p>
        </w:tc>
        <w:tc>
          <w:tcPr>
            <w:tcW w:w="2005" w:type="dxa"/>
            <w:shd w:val="clear" w:color="auto" w:fill="auto"/>
          </w:tcPr>
          <w:p w:rsidR="00EF499A" w:rsidRPr="002D5D71" w:rsidRDefault="00EF499A" w:rsidP="00EC3C1A">
            <w:pPr>
              <w:pStyle w:val="Default"/>
              <w:spacing w:after="9"/>
              <w:jc w:val="center"/>
              <w:rPr>
                <w:sz w:val="23"/>
                <w:szCs w:val="23"/>
              </w:rPr>
            </w:pPr>
            <w:r w:rsidRPr="002D5D71">
              <w:rPr>
                <w:sz w:val="23"/>
                <w:szCs w:val="23"/>
              </w:rPr>
              <w:t>Miesto ūkio skyrius</w:t>
            </w:r>
          </w:p>
        </w:tc>
      </w:tr>
      <w:tr w:rsidR="00EF499A" w:rsidRPr="002D5D71" w:rsidTr="00EC3C1A">
        <w:tc>
          <w:tcPr>
            <w:tcW w:w="4962" w:type="dxa"/>
            <w:shd w:val="clear" w:color="auto" w:fill="auto"/>
          </w:tcPr>
          <w:p w:rsidR="00EF499A" w:rsidRDefault="00EF499A" w:rsidP="00EC3C1A">
            <w:pPr>
              <w:pStyle w:val="Default"/>
              <w:spacing w:after="9"/>
              <w:rPr>
                <w:sz w:val="23"/>
                <w:szCs w:val="23"/>
              </w:rPr>
            </w:pPr>
            <w:r>
              <w:rPr>
                <w:sz w:val="23"/>
                <w:szCs w:val="23"/>
              </w:rPr>
              <w:t>Įdiegtas el</w:t>
            </w:r>
            <w:r w:rsidR="00176808">
              <w:rPr>
                <w:sz w:val="23"/>
                <w:szCs w:val="23"/>
              </w:rPr>
              <w:t>.</w:t>
            </w:r>
            <w:r>
              <w:rPr>
                <w:sz w:val="23"/>
                <w:szCs w:val="23"/>
              </w:rPr>
              <w:t xml:space="preserve"> bilietas viešajame transporte</w:t>
            </w:r>
          </w:p>
        </w:tc>
        <w:tc>
          <w:tcPr>
            <w:tcW w:w="992" w:type="dxa"/>
            <w:shd w:val="clear" w:color="auto" w:fill="auto"/>
          </w:tcPr>
          <w:p w:rsidR="00EF499A" w:rsidRDefault="00EF499A" w:rsidP="00EC3C1A">
            <w:pPr>
              <w:pStyle w:val="Default"/>
              <w:spacing w:after="9"/>
              <w:jc w:val="center"/>
              <w:rPr>
                <w:sz w:val="23"/>
                <w:szCs w:val="23"/>
              </w:rPr>
            </w:pPr>
          </w:p>
        </w:tc>
        <w:tc>
          <w:tcPr>
            <w:tcW w:w="992" w:type="dxa"/>
            <w:shd w:val="clear" w:color="auto" w:fill="auto"/>
          </w:tcPr>
          <w:p w:rsidR="00EF499A" w:rsidRDefault="00176808" w:rsidP="00EC3C1A">
            <w:pPr>
              <w:pStyle w:val="Default"/>
              <w:spacing w:after="9"/>
              <w:jc w:val="center"/>
              <w:rPr>
                <w:sz w:val="23"/>
                <w:szCs w:val="23"/>
              </w:rPr>
            </w:pPr>
            <w:r>
              <w:rPr>
                <w:sz w:val="23"/>
                <w:szCs w:val="23"/>
              </w:rPr>
              <w:t>taip</w:t>
            </w:r>
          </w:p>
        </w:tc>
        <w:tc>
          <w:tcPr>
            <w:tcW w:w="937" w:type="dxa"/>
            <w:shd w:val="clear" w:color="auto" w:fill="auto"/>
          </w:tcPr>
          <w:p w:rsidR="00EF499A" w:rsidRDefault="00176808" w:rsidP="00EC3C1A">
            <w:pPr>
              <w:pStyle w:val="Default"/>
              <w:spacing w:after="9"/>
              <w:jc w:val="center"/>
              <w:rPr>
                <w:sz w:val="23"/>
                <w:szCs w:val="23"/>
              </w:rPr>
            </w:pPr>
            <w:r>
              <w:rPr>
                <w:sz w:val="23"/>
                <w:szCs w:val="23"/>
              </w:rPr>
              <w:t>taip</w:t>
            </w:r>
          </w:p>
        </w:tc>
        <w:tc>
          <w:tcPr>
            <w:tcW w:w="2005" w:type="dxa"/>
            <w:shd w:val="clear" w:color="auto" w:fill="auto"/>
          </w:tcPr>
          <w:p w:rsidR="00EF499A" w:rsidRPr="002D5D71" w:rsidRDefault="00176808" w:rsidP="00EC3C1A">
            <w:pPr>
              <w:pStyle w:val="Default"/>
              <w:spacing w:after="9"/>
              <w:jc w:val="center"/>
              <w:rPr>
                <w:sz w:val="23"/>
                <w:szCs w:val="23"/>
              </w:rPr>
            </w:pPr>
            <w:r w:rsidRPr="002D5D71">
              <w:rPr>
                <w:sz w:val="23"/>
                <w:szCs w:val="23"/>
              </w:rPr>
              <w:t>Miesto ūkio skyrius</w:t>
            </w:r>
          </w:p>
        </w:tc>
      </w:tr>
      <w:tr w:rsidR="00A81C80" w:rsidRPr="002D5D71" w:rsidTr="00EC3C1A">
        <w:tc>
          <w:tcPr>
            <w:tcW w:w="9888" w:type="dxa"/>
            <w:gridSpan w:val="5"/>
            <w:shd w:val="clear" w:color="auto" w:fill="DDD9C3"/>
          </w:tcPr>
          <w:p w:rsidR="00A81C80" w:rsidRPr="002D5D71" w:rsidRDefault="00A81C80" w:rsidP="00EC3C1A">
            <w:pPr>
              <w:pStyle w:val="Default"/>
              <w:spacing w:after="9"/>
              <w:jc w:val="center"/>
              <w:rPr>
                <w:b/>
                <w:sz w:val="23"/>
                <w:szCs w:val="23"/>
              </w:rPr>
            </w:pPr>
            <w:r w:rsidRPr="002D5D71">
              <w:rPr>
                <w:b/>
                <w:sz w:val="23"/>
                <w:szCs w:val="23"/>
              </w:rPr>
              <w:t xml:space="preserve">02 STRATEGINIS TIKSLAS – </w:t>
            </w:r>
            <w:r w:rsidRPr="002D5D71">
              <w:rPr>
                <w:b/>
              </w:rPr>
              <w:t>didinti miesto konkurencingumą, sudarant palankias sąlygas verslui</w:t>
            </w:r>
          </w:p>
        </w:tc>
      </w:tr>
      <w:tr w:rsidR="00A81C80" w:rsidRPr="002D5D71" w:rsidTr="00EC3C1A">
        <w:tc>
          <w:tcPr>
            <w:tcW w:w="4962" w:type="dxa"/>
            <w:shd w:val="clear" w:color="auto" w:fill="auto"/>
          </w:tcPr>
          <w:p w:rsidR="00A81C80" w:rsidRPr="006F1BA1" w:rsidRDefault="00A81C80" w:rsidP="00EC3C1A">
            <w:pPr>
              <w:pStyle w:val="Default"/>
              <w:spacing w:after="9"/>
            </w:pPr>
            <w:r w:rsidRPr="002D5D71">
              <w:rPr>
                <w:rFonts w:ascii="Palemonas" w:eastAsia="Times New Roman" w:hAnsi="Palemonas" w:cs="Calibri"/>
              </w:rPr>
              <w:t>Metinis už</w:t>
            </w:r>
            <w:r>
              <w:rPr>
                <w:rFonts w:ascii="Palemonas" w:eastAsia="Times New Roman" w:hAnsi="Palemonas" w:cs="Calibri"/>
              </w:rPr>
              <w:t>siėmusių asmenų</w:t>
            </w:r>
            <w:r w:rsidRPr="002D5D71">
              <w:rPr>
                <w:rFonts w:ascii="Palemonas" w:eastAsia="Times New Roman" w:hAnsi="Palemonas" w:cs="Calibri"/>
              </w:rPr>
              <w:t xml:space="preserve"> skaičius, žm.</w:t>
            </w:r>
          </w:p>
        </w:tc>
        <w:tc>
          <w:tcPr>
            <w:tcW w:w="992" w:type="dxa"/>
            <w:shd w:val="clear" w:color="auto" w:fill="auto"/>
          </w:tcPr>
          <w:p w:rsidR="00A81C80" w:rsidRPr="002D5D71" w:rsidRDefault="00A81C80" w:rsidP="00EC3C1A">
            <w:pPr>
              <w:pStyle w:val="Default"/>
              <w:spacing w:after="9"/>
              <w:jc w:val="center"/>
              <w:rPr>
                <w:sz w:val="23"/>
                <w:szCs w:val="23"/>
              </w:rPr>
            </w:pPr>
            <w:r>
              <w:rPr>
                <w:sz w:val="23"/>
                <w:szCs w:val="23"/>
              </w:rPr>
              <w:t>27 000</w:t>
            </w:r>
          </w:p>
        </w:tc>
        <w:tc>
          <w:tcPr>
            <w:tcW w:w="992" w:type="dxa"/>
            <w:shd w:val="clear" w:color="auto" w:fill="auto"/>
          </w:tcPr>
          <w:p w:rsidR="00A81C80" w:rsidRPr="002D5D71" w:rsidRDefault="00A81C80" w:rsidP="00EC3C1A">
            <w:pPr>
              <w:pStyle w:val="Default"/>
              <w:spacing w:after="9"/>
              <w:jc w:val="center"/>
              <w:rPr>
                <w:sz w:val="23"/>
                <w:szCs w:val="23"/>
              </w:rPr>
            </w:pPr>
            <w:r>
              <w:rPr>
                <w:sz w:val="23"/>
                <w:szCs w:val="23"/>
              </w:rPr>
              <w:t>27 150</w:t>
            </w:r>
          </w:p>
        </w:tc>
        <w:tc>
          <w:tcPr>
            <w:tcW w:w="937" w:type="dxa"/>
            <w:shd w:val="clear" w:color="auto" w:fill="auto"/>
          </w:tcPr>
          <w:p w:rsidR="00A81C80" w:rsidRPr="002D5D71" w:rsidRDefault="00A81C80" w:rsidP="00EC3C1A">
            <w:pPr>
              <w:pStyle w:val="Default"/>
              <w:spacing w:after="9"/>
              <w:jc w:val="center"/>
              <w:rPr>
                <w:sz w:val="23"/>
                <w:szCs w:val="23"/>
              </w:rPr>
            </w:pPr>
            <w:r>
              <w:rPr>
                <w:sz w:val="23"/>
                <w:szCs w:val="23"/>
              </w:rPr>
              <w:t>27 300</w:t>
            </w:r>
          </w:p>
        </w:tc>
        <w:tc>
          <w:tcPr>
            <w:tcW w:w="2005" w:type="dxa"/>
            <w:shd w:val="clear" w:color="auto" w:fill="auto"/>
          </w:tcPr>
          <w:p w:rsidR="00A81C80" w:rsidRPr="002D5D71" w:rsidRDefault="00176808" w:rsidP="00EC3C1A">
            <w:pPr>
              <w:pStyle w:val="Default"/>
              <w:spacing w:after="9"/>
              <w:jc w:val="center"/>
              <w:rPr>
                <w:sz w:val="23"/>
                <w:szCs w:val="23"/>
              </w:rPr>
            </w:pPr>
            <w:r>
              <w:rPr>
                <w:sz w:val="23"/>
                <w:szCs w:val="23"/>
              </w:rPr>
              <w:t>Turto valdymo ir verslo skyrius</w:t>
            </w:r>
          </w:p>
        </w:tc>
      </w:tr>
      <w:tr w:rsidR="00A81C80" w:rsidRPr="002D5D71" w:rsidTr="00EC3C1A">
        <w:tc>
          <w:tcPr>
            <w:tcW w:w="4962" w:type="dxa"/>
            <w:shd w:val="clear" w:color="auto" w:fill="auto"/>
            <w:vAlign w:val="center"/>
          </w:tcPr>
          <w:p w:rsidR="00A81C80" w:rsidRPr="002D5D71" w:rsidRDefault="00A81C80" w:rsidP="00EC3C1A">
            <w:pPr>
              <w:rPr>
                <w:rFonts w:ascii="Palemonas" w:eastAsia="Times New Roman" w:hAnsi="Palemonas" w:cs="Calibri"/>
                <w:color w:val="000000"/>
                <w:lang w:eastAsia="lt-LT"/>
              </w:rPr>
            </w:pPr>
            <w:r w:rsidRPr="002D5D71">
              <w:rPr>
                <w:rFonts w:ascii="Palemonas" w:eastAsia="Times New Roman" w:hAnsi="Palemonas" w:cs="Calibri"/>
                <w:color w:val="000000"/>
                <w:lang w:eastAsia="lt-LT"/>
              </w:rPr>
              <w:t>Tiesioginės užsienio investicijos, tenkančios 1 gyv., Eur</w:t>
            </w:r>
          </w:p>
        </w:tc>
        <w:tc>
          <w:tcPr>
            <w:tcW w:w="992" w:type="dxa"/>
            <w:shd w:val="clear" w:color="auto" w:fill="auto"/>
          </w:tcPr>
          <w:p w:rsidR="00A81C80" w:rsidRPr="002D5D71" w:rsidRDefault="00176808" w:rsidP="00EC3C1A">
            <w:pPr>
              <w:pStyle w:val="Default"/>
              <w:spacing w:after="9"/>
              <w:jc w:val="center"/>
              <w:rPr>
                <w:sz w:val="23"/>
                <w:szCs w:val="23"/>
              </w:rPr>
            </w:pPr>
            <w:r>
              <w:rPr>
                <w:sz w:val="23"/>
                <w:szCs w:val="23"/>
              </w:rPr>
              <w:t>1200</w:t>
            </w:r>
          </w:p>
        </w:tc>
        <w:tc>
          <w:tcPr>
            <w:tcW w:w="992" w:type="dxa"/>
            <w:shd w:val="clear" w:color="auto" w:fill="auto"/>
          </w:tcPr>
          <w:p w:rsidR="00A81C80" w:rsidRPr="002D5D71" w:rsidRDefault="00176808" w:rsidP="00FF5126">
            <w:pPr>
              <w:pStyle w:val="Default"/>
              <w:spacing w:after="9"/>
              <w:jc w:val="center"/>
              <w:rPr>
                <w:sz w:val="23"/>
                <w:szCs w:val="23"/>
              </w:rPr>
            </w:pPr>
            <w:r>
              <w:rPr>
                <w:sz w:val="23"/>
                <w:szCs w:val="23"/>
              </w:rPr>
              <w:t>1</w:t>
            </w:r>
            <w:r w:rsidR="00FF5126">
              <w:rPr>
                <w:sz w:val="23"/>
                <w:szCs w:val="23"/>
              </w:rPr>
              <w:t>500</w:t>
            </w:r>
          </w:p>
        </w:tc>
        <w:tc>
          <w:tcPr>
            <w:tcW w:w="937" w:type="dxa"/>
            <w:shd w:val="clear" w:color="auto" w:fill="auto"/>
          </w:tcPr>
          <w:p w:rsidR="00A81C80" w:rsidRPr="002D5D71" w:rsidRDefault="00FF5126" w:rsidP="00EC3C1A">
            <w:pPr>
              <w:pStyle w:val="Default"/>
              <w:spacing w:after="9"/>
              <w:jc w:val="center"/>
              <w:rPr>
                <w:sz w:val="23"/>
                <w:szCs w:val="23"/>
              </w:rPr>
            </w:pPr>
            <w:r>
              <w:rPr>
                <w:sz w:val="23"/>
                <w:szCs w:val="23"/>
              </w:rPr>
              <w:t>2000</w:t>
            </w:r>
          </w:p>
        </w:tc>
        <w:tc>
          <w:tcPr>
            <w:tcW w:w="2005" w:type="dxa"/>
            <w:shd w:val="clear" w:color="auto" w:fill="auto"/>
          </w:tcPr>
          <w:p w:rsidR="00A81C80" w:rsidRPr="002D5D71" w:rsidRDefault="00176808" w:rsidP="00EC3C1A">
            <w:pPr>
              <w:pStyle w:val="Default"/>
              <w:spacing w:after="9"/>
              <w:jc w:val="center"/>
              <w:rPr>
                <w:sz w:val="23"/>
                <w:szCs w:val="23"/>
              </w:rPr>
            </w:pPr>
            <w:r>
              <w:rPr>
                <w:sz w:val="23"/>
                <w:szCs w:val="23"/>
              </w:rPr>
              <w:t>Turto valdymo ir verslo skyrius</w:t>
            </w:r>
          </w:p>
        </w:tc>
      </w:tr>
      <w:tr w:rsidR="00A81C80" w:rsidRPr="002D5D71" w:rsidTr="00EC3C1A">
        <w:tc>
          <w:tcPr>
            <w:tcW w:w="4962" w:type="dxa"/>
            <w:shd w:val="clear" w:color="auto" w:fill="auto"/>
          </w:tcPr>
          <w:p w:rsidR="00A81C80" w:rsidRPr="002D5D71" w:rsidRDefault="00A81C80" w:rsidP="00EC3C1A">
            <w:pPr>
              <w:pStyle w:val="Default"/>
              <w:spacing w:after="9"/>
              <w:rPr>
                <w:sz w:val="23"/>
                <w:szCs w:val="23"/>
              </w:rPr>
            </w:pPr>
            <w:r w:rsidRPr="002D5D71">
              <w:rPr>
                <w:sz w:val="23"/>
                <w:szCs w:val="23"/>
              </w:rPr>
              <w:t xml:space="preserve">Veikiančių ūkio subjektų </w:t>
            </w:r>
            <w:r>
              <w:rPr>
                <w:sz w:val="23"/>
                <w:szCs w:val="23"/>
              </w:rPr>
              <w:t>padidėjimas</w:t>
            </w:r>
            <w:r w:rsidRPr="002D5D71">
              <w:rPr>
                <w:sz w:val="23"/>
                <w:szCs w:val="23"/>
              </w:rPr>
              <w:t xml:space="preserve">, </w:t>
            </w:r>
            <w:r>
              <w:rPr>
                <w:sz w:val="23"/>
                <w:szCs w:val="23"/>
              </w:rPr>
              <w:t>proc.</w:t>
            </w:r>
          </w:p>
        </w:tc>
        <w:tc>
          <w:tcPr>
            <w:tcW w:w="992" w:type="dxa"/>
            <w:shd w:val="clear" w:color="auto" w:fill="auto"/>
          </w:tcPr>
          <w:p w:rsidR="00A81C80" w:rsidRPr="002D5D71" w:rsidRDefault="00A8766D" w:rsidP="00EC3C1A">
            <w:pPr>
              <w:pStyle w:val="Default"/>
              <w:spacing w:after="9"/>
              <w:jc w:val="center"/>
              <w:rPr>
                <w:sz w:val="23"/>
                <w:szCs w:val="23"/>
              </w:rPr>
            </w:pPr>
            <w:r>
              <w:rPr>
                <w:sz w:val="23"/>
                <w:szCs w:val="23"/>
              </w:rPr>
              <w:t>2</w:t>
            </w:r>
          </w:p>
        </w:tc>
        <w:tc>
          <w:tcPr>
            <w:tcW w:w="992" w:type="dxa"/>
            <w:shd w:val="clear" w:color="auto" w:fill="auto"/>
          </w:tcPr>
          <w:p w:rsidR="00A81C80" w:rsidRPr="002D5D71" w:rsidRDefault="00A8766D" w:rsidP="00EC3C1A">
            <w:pPr>
              <w:pStyle w:val="Default"/>
              <w:spacing w:after="9"/>
              <w:jc w:val="center"/>
              <w:rPr>
                <w:sz w:val="23"/>
                <w:szCs w:val="23"/>
              </w:rPr>
            </w:pPr>
            <w:r>
              <w:rPr>
                <w:sz w:val="23"/>
                <w:szCs w:val="23"/>
              </w:rPr>
              <w:t>2</w:t>
            </w:r>
          </w:p>
        </w:tc>
        <w:tc>
          <w:tcPr>
            <w:tcW w:w="937" w:type="dxa"/>
            <w:shd w:val="clear" w:color="auto" w:fill="auto"/>
          </w:tcPr>
          <w:p w:rsidR="00A81C80" w:rsidRPr="002D5D71" w:rsidRDefault="001937CE" w:rsidP="00EC3C1A">
            <w:pPr>
              <w:pStyle w:val="Default"/>
              <w:spacing w:after="9"/>
              <w:jc w:val="center"/>
              <w:rPr>
                <w:sz w:val="23"/>
                <w:szCs w:val="23"/>
              </w:rPr>
            </w:pPr>
            <w:r>
              <w:rPr>
                <w:sz w:val="23"/>
                <w:szCs w:val="23"/>
              </w:rPr>
              <w:t>3</w:t>
            </w:r>
          </w:p>
        </w:tc>
        <w:tc>
          <w:tcPr>
            <w:tcW w:w="2005" w:type="dxa"/>
            <w:shd w:val="clear" w:color="auto" w:fill="auto"/>
          </w:tcPr>
          <w:p w:rsidR="00A81C80" w:rsidRPr="002D5D71" w:rsidRDefault="00176808" w:rsidP="00EC3C1A">
            <w:pPr>
              <w:pStyle w:val="Default"/>
              <w:spacing w:after="9"/>
              <w:jc w:val="center"/>
              <w:rPr>
                <w:sz w:val="23"/>
                <w:szCs w:val="23"/>
              </w:rPr>
            </w:pPr>
            <w:r>
              <w:rPr>
                <w:sz w:val="23"/>
                <w:szCs w:val="23"/>
              </w:rPr>
              <w:t>Turto valdymo ir verslo skyrius</w:t>
            </w:r>
          </w:p>
        </w:tc>
      </w:tr>
      <w:tr w:rsidR="00A81C80" w:rsidRPr="002D5D71" w:rsidTr="00EC3C1A">
        <w:tc>
          <w:tcPr>
            <w:tcW w:w="4962" w:type="dxa"/>
            <w:shd w:val="clear" w:color="auto" w:fill="auto"/>
          </w:tcPr>
          <w:p w:rsidR="00A81C80" w:rsidRPr="002D5D71" w:rsidRDefault="00A81C80" w:rsidP="00EC3C1A">
            <w:pPr>
              <w:pStyle w:val="Default"/>
              <w:spacing w:after="9"/>
              <w:rPr>
                <w:sz w:val="23"/>
                <w:szCs w:val="23"/>
              </w:rPr>
            </w:pPr>
            <w:r>
              <w:rPr>
                <w:sz w:val="23"/>
                <w:szCs w:val="23"/>
              </w:rPr>
              <w:t>Investuotojų pramonės parke padidėjimas, proc.</w:t>
            </w:r>
          </w:p>
        </w:tc>
        <w:tc>
          <w:tcPr>
            <w:tcW w:w="992" w:type="dxa"/>
            <w:shd w:val="clear" w:color="auto" w:fill="auto"/>
          </w:tcPr>
          <w:p w:rsidR="00A81C80" w:rsidRPr="002D5D71" w:rsidRDefault="001937CE" w:rsidP="00EC3C1A">
            <w:pPr>
              <w:pStyle w:val="Default"/>
              <w:spacing w:after="9"/>
              <w:jc w:val="center"/>
              <w:rPr>
                <w:sz w:val="23"/>
                <w:szCs w:val="23"/>
              </w:rPr>
            </w:pPr>
            <w:r>
              <w:rPr>
                <w:sz w:val="23"/>
                <w:szCs w:val="23"/>
              </w:rPr>
              <w:t>2</w:t>
            </w:r>
            <w:r w:rsidR="00A81C80">
              <w:rPr>
                <w:sz w:val="23"/>
                <w:szCs w:val="23"/>
              </w:rPr>
              <w:t>0</w:t>
            </w:r>
          </w:p>
        </w:tc>
        <w:tc>
          <w:tcPr>
            <w:tcW w:w="992" w:type="dxa"/>
            <w:shd w:val="clear" w:color="auto" w:fill="auto"/>
          </w:tcPr>
          <w:p w:rsidR="00A81C80" w:rsidRPr="002D5D71" w:rsidRDefault="001937CE" w:rsidP="00EC3C1A">
            <w:pPr>
              <w:pStyle w:val="Default"/>
              <w:spacing w:after="9"/>
              <w:jc w:val="center"/>
              <w:rPr>
                <w:sz w:val="23"/>
                <w:szCs w:val="23"/>
              </w:rPr>
            </w:pPr>
            <w:r>
              <w:rPr>
                <w:sz w:val="23"/>
                <w:szCs w:val="23"/>
              </w:rPr>
              <w:t>2</w:t>
            </w:r>
            <w:r w:rsidR="00A81C80">
              <w:rPr>
                <w:sz w:val="23"/>
                <w:szCs w:val="23"/>
              </w:rPr>
              <w:t>0</w:t>
            </w:r>
          </w:p>
        </w:tc>
        <w:tc>
          <w:tcPr>
            <w:tcW w:w="937" w:type="dxa"/>
            <w:shd w:val="clear" w:color="auto" w:fill="auto"/>
          </w:tcPr>
          <w:p w:rsidR="00A81C80" w:rsidRPr="002D5D71" w:rsidRDefault="001937CE" w:rsidP="00EC3C1A">
            <w:pPr>
              <w:pStyle w:val="Default"/>
              <w:spacing w:after="9"/>
              <w:jc w:val="center"/>
              <w:rPr>
                <w:sz w:val="23"/>
                <w:szCs w:val="23"/>
              </w:rPr>
            </w:pPr>
            <w:r>
              <w:rPr>
                <w:sz w:val="23"/>
                <w:szCs w:val="23"/>
              </w:rPr>
              <w:t>2</w:t>
            </w:r>
            <w:r w:rsidR="00A81C80">
              <w:rPr>
                <w:sz w:val="23"/>
                <w:szCs w:val="23"/>
              </w:rPr>
              <w:t>0</w:t>
            </w:r>
          </w:p>
        </w:tc>
        <w:tc>
          <w:tcPr>
            <w:tcW w:w="2005" w:type="dxa"/>
            <w:shd w:val="clear" w:color="auto" w:fill="auto"/>
          </w:tcPr>
          <w:p w:rsidR="00A81C80" w:rsidRPr="002D5D71" w:rsidRDefault="00176808" w:rsidP="00EC3C1A">
            <w:pPr>
              <w:pStyle w:val="Default"/>
              <w:spacing w:after="9"/>
              <w:jc w:val="center"/>
              <w:rPr>
                <w:sz w:val="23"/>
                <w:szCs w:val="23"/>
              </w:rPr>
            </w:pPr>
            <w:r>
              <w:rPr>
                <w:sz w:val="23"/>
                <w:szCs w:val="23"/>
              </w:rPr>
              <w:t>Turto valdymo ir verslo skyrius</w:t>
            </w:r>
          </w:p>
        </w:tc>
      </w:tr>
      <w:tr w:rsidR="00A81C80" w:rsidRPr="002D5D71" w:rsidTr="00EC3C1A">
        <w:tc>
          <w:tcPr>
            <w:tcW w:w="9888" w:type="dxa"/>
            <w:gridSpan w:val="5"/>
            <w:shd w:val="clear" w:color="auto" w:fill="DDD9C3"/>
          </w:tcPr>
          <w:p w:rsidR="00A81C80" w:rsidRPr="002D5D71" w:rsidRDefault="00A81C80" w:rsidP="00EC3C1A">
            <w:pPr>
              <w:pStyle w:val="Default"/>
              <w:tabs>
                <w:tab w:val="center" w:pos="4836"/>
              </w:tabs>
              <w:spacing w:after="9"/>
              <w:rPr>
                <w:sz w:val="23"/>
                <w:szCs w:val="23"/>
              </w:rPr>
            </w:pPr>
            <w:r w:rsidRPr="002D5D71">
              <w:rPr>
                <w:sz w:val="23"/>
                <w:szCs w:val="23"/>
              </w:rPr>
              <w:t xml:space="preserve">03 STRATEGINIS TIKSLAS – </w:t>
            </w:r>
            <w:r w:rsidRPr="002D5D71">
              <w:rPr>
                <w:b/>
                <w:bCs/>
                <w:sz w:val="23"/>
                <w:szCs w:val="23"/>
              </w:rPr>
              <w:t xml:space="preserve">kurti patrauklią, švarią ir saugią </w:t>
            </w:r>
            <w:r>
              <w:rPr>
                <w:b/>
                <w:bCs/>
                <w:sz w:val="23"/>
                <w:szCs w:val="23"/>
              </w:rPr>
              <w:t>miesto</w:t>
            </w:r>
            <w:r w:rsidRPr="002D5D71">
              <w:rPr>
                <w:b/>
                <w:bCs/>
                <w:sz w:val="23"/>
                <w:szCs w:val="23"/>
              </w:rPr>
              <w:t xml:space="preserve"> gyvenamąją aplinką</w:t>
            </w:r>
          </w:p>
        </w:tc>
      </w:tr>
      <w:tr w:rsidR="00A81C80" w:rsidRPr="002D5D71" w:rsidTr="00EC3C1A">
        <w:tc>
          <w:tcPr>
            <w:tcW w:w="4962" w:type="dxa"/>
            <w:shd w:val="clear" w:color="auto" w:fill="auto"/>
          </w:tcPr>
          <w:p w:rsidR="00A81C80" w:rsidRPr="002D5D71" w:rsidRDefault="00A81C80" w:rsidP="00EC3C1A">
            <w:pPr>
              <w:pStyle w:val="Default"/>
              <w:spacing w:after="9"/>
              <w:rPr>
                <w:sz w:val="23"/>
                <w:szCs w:val="23"/>
              </w:rPr>
            </w:pPr>
            <w:r w:rsidRPr="002D5D71">
              <w:rPr>
                <w:sz w:val="23"/>
                <w:szCs w:val="23"/>
              </w:rPr>
              <w:t>Atnaujintų, modernizuotų daugiabučių ar visuomeninės paskirties pastatų skaičius, vnt.</w:t>
            </w:r>
          </w:p>
        </w:tc>
        <w:tc>
          <w:tcPr>
            <w:tcW w:w="992" w:type="dxa"/>
            <w:shd w:val="clear" w:color="auto" w:fill="auto"/>
          </w:tcPr>
          <w:p w:rsidR="00A81C80" w:rsidRPr="002D5D71" w:rsidRDefault="00176808" w:rsidP="00EC3C1A">
            <w:pPr>
              <w:pStyle w:val="Default"/>
              <w:spacing w:after="9"/>
              <w:jc w:val="center"/>
              <w:rPr>
                <w:sz w:val="23"/>
                <w:szCs w:val="23"/>
              </w:rPr>
            </w:pPr>
            <w:r>
              <w:rPr>
                <w:sz w:val="23"/>
                <w:szCs w:val="23"/>
              </w:rPr>
              <w:t>9</w:t>
            </w:r>
          </w:p>
        </w:tc>
        <w:tc>
          <w:tcPr>
            <w:tcW w:w="992" w:type="dxa"/>
            <w:shd w:val="clear" w:color="auto" w:fill="auto"/>
          </w:tcPr>
          <w:p w:rsidR="00A81C80" w:rsidRPr="002D5D71" w:rsidRDefault="00176808" w:rsidP="00EC3C1A">
            <w:pPr>
              <w:pStyle w:val="Default"/>
              <w:spacing w:after="9"/>
              <w:jc w:val="center"/>
              <w:rPr>
                <w:sz w:val="23"/>
                <w:szCs w:val="23"/>
              </w:rPr>
            </w:pPr>
            <w:r>
              <w:rPr>
                <w:sz w:val="23"/>
                <w:szCs w:val="23"/>
              </w:rPr>
              <w:t>25</w:t>
            </w:r>
          </w:p>
        </w:tc>
        <w:tc>
          <w:tcPr>
            <w:tcW w:w="937" w:type="dxa"/>
            <w:shd w:val="clear" w:color="auto" w:fill="auto"/>
          </w:tcPr>
          <w:p w:rsidR="00A81C80" w:rsidRPr="002D5D71" w:rsidRDefault="00176808" w:rsidP="00EC3C1A">
            <w:pPr>
              <w:pStyle w:val="Default"/>
              <w:spacing w:after="9"/>
              <w:jc w:val="center"/>
              <w:rPr>
                <w:sz w:val="23"/>
                <w:szCs w:val="23"/>
              </w:rPr>
            </w:pPr>
            <w:r>
              <w:rPr>
                <w:sz w:val="23"/>
                <w:szCs w:val="23"/>
              </w:rPr>
              <w:t>30</w:t>
            </w:r>
          </w:p>
        </w:tc>
        <w:tc>
          <w:tcPr>
            <w:tcW w:w="2005" w:type="dxa"/>
            <w:shd w:val="clear" w:color="auto" w:fill="auto"/>
          </w:tcPr>
          <w:p w:rsidR="00A81C80" w:rsidRPr="002D5D71" w:rsidRDefault="00A81C80" w:rsidP="00EC3C1A">
            <w:pPr>
              <w:pStyle w:val="Default"/>
              <w:spacing w:after="9"/>
              <w:jc w:val="center"/>
              <w:rPr>
                <w:sz w:val="23"/>
                <w:szCs w:val="23"/>
              </w:rPr>
            </w:pPr>
            <w:r w:rsidRPr="002D5D71">
              <w:rPr>
                <w:sz w:val="23"/>
                <w:szCs w:val="23"/>
              </w:rPr>
              <w:t>Miesto ūkio skyrius</w:t>
            </w:r>
          </w:p>
        </w:tc>
      </w:tr>
      <w:tr w:rsidR="00A81C80" w:rsidRPr="002D5D71" w:rsidTr="00EC3C1A">
        <w:tc>
          <w:tcPr>
            <w:tcW w:w="4962" w:type="dxa"/>
            <w:shd w:val="clear" w:color="auto" w:fill="auto"/>
          </w:tcPr>
          <w:p w:rsidR="00A81C80" w:rsidRPr="002D5D71" w:rsidRDefault="00A81C80" w:rsidP="00EC3C1A">
            <w:pPr>
              <w:pStyle w:val="Default"/>
              <w:spacing w:after="9"/>
              <w:rPr>
                <w:sz w:val="23"/>
                <w:szCs w:val="23"/>
              </w:rPr>
            </w:pPr>
            <w:r w:rsidRPr="002D5D71">
              <w:rPr>
                <w:sz w:val="23"/>
                <w:szCs w:val="23"/>
              </w:rPr>
              <w:t xml:space="preserve">Dviračių </w:t>
            </w:r>
            <w:r>
              <w:rPr>
                <w:sz w:val="23"/>
                <w:szCs w:val="23"/>
              </w:rPr>
              <w:t xml:space="preserve">ir pėsčiųjų </w:t>
            </w:r>
            <w:r w:rsidRPr="002D5D71">
              <w:rPr>
                <w:sz w:val="23"/>
                <w:szCs w:val="23"/>
              </w:rPr>
              <w:t>takų ilgis, km</w:t>
            </w:r>
          </w:p>
        </w:tc>
        <w:tc>
          <w:tcPr>
            <w:tcW w:w="992" w:type="dxa"/>
            <w:shd w:val="clear" w:color="auto" w:fill="auto"/>
          </w:tcPr>
          <w:p w:rsidR="00A81C80" w:rsidRPr="002D5D71" w:rsidRDefault="00A81C80" w:rsidP="00EC3C1A">
            <w:pPr>
              <w:pStyle w:val="Default"/>
              <w:spacing w:after="9"/>
              <w:jc w:val="center"/>
              <w:rPr>
                <w:sz w:val="23"/>
                <w:szCs w:val="23"/>
              </w:rPr>
            </w:pPr>
            <w:r>
              <w:rPr>
                <w:sz w:val="23"/>
                <w:szCs w:val="23"/>
              </w:rPr>
              <w:t>28,4</w:t>
            </w:r>
          </w:p>
        </w:tc>
        <w:tc>
          <w:tcPr>
            <w:tcW w:w="992" w:type="dxa"/>
            <w:shd w:val="clear" w:color="auto" w:fill="auto"/>
          </w:tcPr>
          <w:p w:rsidR="00A81C80" w:rsidRPr="002D5D71" w:rsidRDefault="00A81C80" w:rsidP="00EC3C1A">
            <w:pPr>
              <w:pStyle w:val="Default"/>
              <w:spacing w:after="9"/>
              <w:jc w:val="center"/>
              <w:rPr>
                <w:sz w:val="23"/>
                <w:szCs w:val="23"/>
              </w:rPr>
            </w:pPr>
            <w:r>
              <w:rPr>
                <w:sz w:val="23"/>
                <w:szCs w:val="23"/>
              </w:rPr>
              <w:t>30,7</w:t>
            </w:r>
          </w:p>
        </w:tc>
        <w:tc>
          <w:tcPr>
            <w:tcW w:w="937" w:type="dxa"/>
            <w:shd w:val="clear" w:color="auto" w:fill="auto"/>
          </w:tcPr>
          <w:p w:rsidR="00A81C80" w:rsidRPr="002D5D71" w:rsidRDefault="00A81C80" w:rsidP="00EC3C1A">
            <w:pPr>
              <w:pStyle w:val="Default"/>
              <w:spacing w:after="9"/>
              <w:jc w:val="center"/>
              <w:rPr>
                <w:sz w:val="23"/>
                <w:szCs w:val="23"/>
              </w:rPr>
            </w:pPr>
            <w:r>
              <w:rPr>
                <w:sz w:val="23"/>
                <w:szCs w:val="23"/>
              </w:rPr>
              <w:t>33,4</w:t>
            </w:r>
          </w:p>
        </w:tc>
        <w:tc>
          <w:tcPr>
            <w:tcW w:w="2005" w:type="dxa"/>
            <w:shd w:val="clear" w:color="auto" w:fill="auto"/>
          </w:tcPr>
          <w:p w:rsidR="00A81C80" w:rsidRPr="002D5D71" w:rsidRDefault="00A81C80" w:rsidP="00EC3C1A">
            <w:pPr>
              <w:pStyle w:val="Default"/>
              <w:spacing w:after="9"/>
              <w:jc w:val="center"/>
              <w:rPr>
                <w:sz w:val="23"/>
                <w:szCs w:val="23"/>
              </w:rPr>
            </w:pPr>
            <w:r w:rsidRPr="002D5D71">
              <w:rPr>
                <w:sz w:val="23"/>
                <w:szCs w:val="23"/>
              </w:rPr>
              <w:t>Statybos skyrius</w:t>
            </w:r>
          </w:p>
        </w:tc>
      </w:tr>
      <w:tr w:rsidR="00A81C80" w:rsidRPr="002D5D71" w:rsidTr="00EC3C1A">
        <w:tc>
          <w:tcPr>
            <w:tcW w:w="4962" w:type="dxa"/>
            <w:shd w:val="clear" w:color="auto" w:fill="auto"/>
          </w:tcPr>
          <w:p w:rsidR="00A81C80" w:rsidRPr="002D5D71" w:rsidRDefault="00A81C80" w:rsidP="00EC3C1A">
            <w:pPr>
              <w:pStyle w:val="Default"/>
              <w:spacing w:after="9"/>
              <w:rPr>
                <w:sz w:val="23"/>
                <w:szCs w:val="23"/>
              </w:rPr>
            </w:pPr>
            <w:r w:rsidRPr="00C15769">
              <w:rPr>
                <w:bCs/>
              </w:rPr>
              <w:t>Kelių su asfalto danga dalis nuo viso vietinės reikšmės kelių ilgio mieste, proc.</w:t>
            </w:r>
          </w:p>
        </w:tc>
        <w:tc>
          <w:tcPr>
            <w:tcW w:w="992" w:type="dxa"/>
            <w:shd w:val="clear" w:color="auto" w:fill="auto"/>
          </w:tcPr>
          <w:p w:rsidR="00A81C80" w:rsidRPr="002D5D71" w:rsidRDefault="00A81C80" w:rsidP="00EC3C1A">
            <w:pPr>
              <w:pStyle w:val="Default"/>
              <w:spacing w:after="9"/>
              <w:jc w:val="center"/>
              <w:rPr>
                <w:sz w:val="23"/>
                <w:szCs w:val="23"/>
              </w:rPr>
            </w:pPr>
            <w:r>
              <w:rPr>
                <w:sz w:val="23"/>
                <w:szCs w:val="23"/>
              </w:rPr>
              <w:t>77,0</w:t>
            </w:r>
          </w:p>
        </w:tc>
        <w:tc>
          <w:tcPr>
            <w:tcW w:w="992" w:type="dxa"/>
            <w:shd w:val="clear" w:color="auto" w:fill="auto"/>
          </w:tcPr>
          <w:p w:rsidR="00A81C80" w:rsidRPr="002D5D71" w:rsidRDefault="00A81C80" w:rsidP="00EC3C1A">
            <w:pPr>
              <w:pStyle w:val="Default"/>
              <w:spacing w:after="9"/>
              <w:jc w:val="center"/>
              <w:rPr>
                <w:sz w:val="23"/>
                <w:szCs w:val="23"/>
              </w:rPr>
            </w:pPr>
            <w:r>
              <w:rPr>
                <w:sz w:val="23"/>
                <w:szCs w:val="23"/>
              </w:rPr>
              <w:t>77,8</w:t>
            </w:r>
          </w:p>
        </w:tc>
        <w:tc>
          <w:tcPr>
            <w:tcW w:w="937" w:type="dxa"/>
            <w:shd w:val="clear" w:color="auto" w:fill="auto"/>
          </w:tcPr>
          <w:p w:rsidR="00A81C80" w:rsidRPr="002D5D71" w:rsidRDefault="00A81C80" w:rsidP="00EC3C1A">
            <w:pPr>
              <w:pStyle w:val="Default"/>
              <w:spacing w:after="9"/>
              <w:jc w:val="center"/>
              <w:rPr>
                <w:sz w:val="23"/>
                <w:szCs w:val="23"/>
              </w:rPr>
            </w:pPr>
            <w:r>
              <w:rPr>
                <w:sz w:val="23"/>
                <w:szCs w:val="23"/>
              </w:rPr>
              <w:t>78,6</w:t>
            </w:r>
          </w:p>
        </w:tc>
        <w:tc>
          <w:tcPr>
            <w:tcW w:w="2005" w:type="dxa"/>
            <w:shd w:val="clear" w:color="auto" w:fill="auto"/>
          </w:tcPr>
          <w:p w:rsidR="00A81C80" w:rsidRPr="002D5D71" w:rsidRDefault="00A81C80" w:rsidP="00EC3C1A">
            <w:pPr>
              <w:pStyle w:val="Default"/>
              <w:spacing w:after="9"/>
              <w:jc w:val="center"/>
              <w:rPr>
                <w:sz w:val="23"/>
                <w:szCs w:val="23"/>
              </w:rPr>
            </w:pPr>
            <w:r w:rsidRPr="002D5D71">
              <w:rPr>
                <w:sz w:val="23"/>
                <w:szCs w:val="23"/>
              </w:rPr>
              <w:t>Statybos skyrius</w:t>
            </w:r>
          </w:p>
        </w:tc>
      </w:tr>
      <w:tr w:rsidR="00A81C80" w:rsidRPr="002D5D71" w:rsidTr="00EC3C1A">
        <w:tc>
          <w:tcPr>
            <w:tcW w:w="4962" w:type="dxa"/>
            <w:shd w:val="clear" w:color="auto" w:fill="auto"/>
          </w:tcPr>
          <w:p w:rsidR="00A81C80" w:rsidRPr="002D5D71" w:rsidRDefault="00EF499A" w:rsidP="00EC3C1A">
            <w:pPr>
              <w:pStyle w:val="Default"/>
              <w:spacing w:after="9"/>
              <w:rPr>
                <w:sz w:val="23"/>
                <w:szCs w:val="23"/>
              </w:rPr>
            </w:pPr>
            <w:r>
              <w:t>Atnaujintų perėjų skaičius, proc.</w:t>
            </w:r>
          </w:p>
        </w:tc>
        <w:tc>
          <w:tcPr>
            <w:tcW w:w="992" w:type="dxa"/>
            <w:shd w:val="clear" w:color="auto" w:fill="auto"/>
          </w:tcPr>
          <w:p w:rsidR="00A81C80" w:rsidRPr="002D5D71" w:rsidRDefault="00EF499A" w:rsidP="00EC3C1A">
            <w:pPr>
              <w:pStyle w:val="Default"/>
              <w:spacing w:after="9"/>
              <w:jc w:val="center"/>
              <w:rPr>
                <w:sz w:val="23"/>
                <w:szCs w:val="23"/>
              </w:rPr>
            </w:pPr>
            <w:r>
              <w:rPr>
                <w:sz w:val="23"/>
                <w:szCs w:val="23"/>
              </w:rPr>
              <w:t>90</w:t>
            </w:r>
          </w:p>
        </w:tc>
        <w:tc>
          <w:tcPr>
            <w:tcW w:w="992" w:type="dxa"/>
            <w:shd w:val="clear" w:color="auto" w:fill="auto"/>
          </w:tcPr>
          <w:p w:rsidR="00A81C80" w:rsidRPr="002D5D71" w:rsidRDefault="00EF499A" w:rsidP="00EC3C1A">
            <w:pPr>
              <w:pStyle w:val="Default"/>
              <w:spacing w:after="9"/>
              <w:jc w:val="center"/>
              <w:rPr>
                <w:sz w:val="23"/>
                <w:szCs w:val="23"/>
              </w:rPr>
            </w:pPr>
            <w:r>
              <w:rPr>
                <w:sz w:val="23"/>
                <w:szCs w:val="23"/>
              </w:rPr>
              <w:t>100</w:t>
            </w:r>
          </w:p>
        </w:tc>
        <w:tc>
          <w:tcPr>
            <w:tcW w:w="937" w:type="dxa"/>
            <w:shd w:val="clear" w:color="auto" w:fill="auto"/>
          </w:tcPr>
          <w:p w:rsidR="00A81C80" w:rsidRPr="002D5D71" w:rsidRDefault="00EF499A" w:rsidP="00EC3C1A">
            <w:pPr>
              <w:pStyle w:val="Default"/>
              <w:spacing w:after="9"/>
              <w:jc w:val="center"/>
              <w:rPr>
                <w:sz w:val="23"/>
                <w:szCs w:val="23"/>
              </w:rPr>
            </w:pPr>
            <w:r>
              <w:rPr>
                <w:sz w:val="23"/>
                <w:szCs w:val="23"/>
              </w:rPr>
              <w:t>100</w:t>
            </w:r>
          </w:p>
        </w:tc>
        <w:tc>
          <w:tcPr>
            <w:tcW w:w="2005" w:type="dxa"/>
            <w:shd w:val="clear" w:color="auto" w:fill="auto"/>
          </w:tcPr>
          <w:p w:rsidR="00A81C80" w:rsidRPr="002D5D71" w:rsidRDefault="00A81C80" w:rsidP="00EC3C1A">
            <w:pPr>
              <w:pStyle w:val="Default"/>
              <w:spacing w:after="9"/>
              <w:jc w:val="center"/>
              <w:rPr>
                <w:sz w:val="23"/>
                <w:szCs w:val="23"/>
              </w:rPr>
            </w:pPr>
            <w:r w:rsidRPr="002D5D71">
              <w:rPr>
                <w:sz w:val="23"/>
                <w:szCs w:val="23"/>
              </w:rPr>
              <w:t>Miesto ūkio skyrius</w:t>
            </w:r>
          </w:p>
        </w:tc>
      </w:tr>
    </w:tbl>
    <w:p w:rsidR="00E7572F" w:rsidRDefault="00E7572F"/>
    <w:sectPr w:rsidR="00E7572F" w:rsidSect="00EC3C1A">
      <w:footerReference w:type="default" r:id="rId1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C5" w:rsidRDefault="003315C5" w:rsidP="00BB4AC4">
      <w:r>
        <w:separator/>
      </w:r>
    </w:p>
  </w:endnote>
  <w:endnote w:type="continuationSeparator" w:id="0">
    <w:p w:rsidR="003315C5" w:rsidRDefault="003315C5" w:rsidP="00BB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1000000E" w:usb2="0000002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01839"/>
      <w:docPartObj>
        <w:docPartGallery w:val="Page Numbers (Bottom of Page)"/>
        <w:docPartUnique/>
      </w:docPartObj>
    </w:sdtPr>
    <w:sdtEndPr/>
    <w:sdtContent>
      <w:p w:rsidR="00BB4AC4" w:rsidRDefault="00BB4AC4">
        <w:pPr>
          <w:pStyle w:val="Porat"/>
          <w:jc w:val="right"/>
        </w:pPr>
        <w:r>
          <w:fldChar w:fldCharType="begin"/>
        </w:r>
        <w:r>
          <w:instrText>PAGE   \* MERGEFORMAT</w:instrText>
        </w:r>
        <w:r>
          <w:fldChar w:fldCharType="separate"/>
        </w:r>
        <w:r w:rsidR="00211624">
          <w:rPr>
            <w:noProof/>
          </w:rPr>
          <w:t>11</w:t>
        </w:r>
        <w:r>
          <w:fldChar w:fldCharType="end"/>
        </w:r>
      </w:p>
    </w:sdtContent>
  </w:sdt>
  <w:p w:rsidR="00BB4AC4" w:rsidRDefault="00BB4AC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C5" w:rsidRDefault="003315C5" w:rsidP="00BB4AC4">
      <w:r>
        <w:separator/>
      </w:r>
    </w:p>
  </w:footnote>
  <w:footnote w:type="continuationSeparator" w:id="0">
    <w:p w:rsidR="003315C5" w:rsidRDefault="003315C5" w:rsidP="00BB4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C44"/>
    <w:multiLevelType w:val="hybridMultilevel"/>
    <w:tmpl w:val="25CE96B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5FF168C"/>
    <w:multiLevelType w:val="hybridMultilevel"/>
    <w:tmpl w:val="933E15A2"/>
    <w:lvl w:ilvl="0" w:tplc="20C0AB1A">
      <w:start w:val="1"/>
      <w:numFmt w:val="decimal"/>
      <w:lvlText w:val="%1."/>
      <w:lvlJc w:val="left"/>
      <w:pPr>
        <w:ind w:left="720" w:hanging="360"/>
      </w:pPr>
      <w:rPr>
        <w:rFonts w:eastAsia="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700657B"/>
    <w:multiLevelType w:val="hybridMultilevel"/>
    <w:tmpl w:val="EEEEE8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D227611"/>
    <w:multiLevelType w:val="hybridMultilevel"/>
    <w:tmpl w:val="5508AB80"/>
    <w:lvl w:ilvl="0" w:tplc="3EA6D3CE">
      <w:start w:val="1"/>
      <w:numFmt w:val="bullet"/>
      <w:lvlText w:val=""/>
      <w:lvlJc w:val="left"/>
      <w:pPr>
        <w:tabs>
          <w:tab w:val="num" w:pos="3498"/>
        </w:tabs>
        <w:ind w:left="3498" w:hanging="360"/>
      </w:pPr>
      <w:rPr>
        <w:rFonts w:ascii="Wingdings" w:hAnsi="Wingdings" w:hint="default"/>
        <w:color w:val="333399"/>
        <w:sz w:val="16"/>
        <w:szCs w:val="16"/>
      </w:rPr>
    </w:lvl>
    <w:lvl w:ilvl="1" w:tplc="04090003">
      <w:start w:val="1"/>
      <w:numFmt w:val="bullet"/>
      <w:lvlText w:val="o"/>
      <w:lvlJc w:val="left"/>
      <w:pPr>
        <w:tabs>
          <w:tab w:val="num" w:pos="3498"/>
        </w:tabs>
        <w:ind w:left="3498" w:hanging="360"/>
      </w:pPr>
      <w:rPr>
        <w:rFonts w:ascii="Courier New" w:hAnsi="Courier New" w:cs="Times New Roman" w:hint="default"/>
      </w:rPr>
    </w:lvl>
    <w:lvl w:ilvl="2" w:tplc="04090005">
      <w:start w:val="1"/>
      <w:numFmt w:val="bullet"/>
      <w:lvlText w:val=""/>
      <w:lvlJc w:val="left"/>
      <w:pPr>
        <w:tabs>
          <w:tab w:val="num" w:pos="4218"/>
        </w:tabs>
        <w:ind w:left="4218" w:hanging="360"/>
      </w:pPr>
      <w:rPr>
        <w:rFonts w:ascii="Wingdings" w:hAnsi="Wingdings" w:hint="default"/>
      </w:rPr>
    </w:lvl>
    <w:lvl w:ilvl="3" w:tplc="04090001">
      <w:start w:val="1"/>
      <w:numFmt w:val="bullet"/>
      <w:lvlText w:val=""/>
      <w:lvlJc w:val="left"/>
      <w:pPr>
        <w:tabs>
          <w:tab w:val="num" w:pos="4938"/>
        </w:tabs>
        <w:ind w:left="4938" w:hanging="360"/>
      </w:pPr>
      <w:rPr>
        <w:rFonts w:ascii="Symbol" w:hAnsi="Symbol" w:hint="default"/>
      </w:rPr>
    </w:lvl>
    <w:lvl w:ilvl="4" w:tplc="04090003">
      <w:start w:val="1"/>
      <w:numFmt w:val="bullet"/>
      <w:lvlText w:val="o"/>
      <w:lvlJc w:val="left"/>
      <w:pPr>
        <w:tabs>
          <w:tab w:val="num" w:pos="5658"/>
        </w:tabs>
        <w:ind w:left="5658" w:hanging="360"/>
      </w:pPr>
      <w:rPr>
        <w:rFonts w:ascii="Courier New" w:hAnsi="Courier New" w:cs="Times New Roman" w:hint="default"/>
      </w:rPr>
    </w:lvl>
    <w:lvl w:ilvl="5" w:tplc="04090005">
      <w:start w:val="1"/>
      <w:numFmt w:val="bullet"/>
      <w:lvlText w:val=""/>
      <w:lvlJc w:val="left"/>
      <w:pPr>
        <w:tabs>
          <w:tab w:val="num" w:pos="6378"/>
        </w:tabs>
        <w:ind w:left="6378" w:hanging="360"/>
      </w:pPr>
      <w:rPr>
        <w:rFonts w:ascii="Wingdings" w:hAnsi="Wingdings" w:hint="default"/>
      </w:rPr>
    </w:lvl>
    <w:lvl w:ilvl="6" w:tplc="04090001">
      <w:start w:val="1"/>
      <w:numFmt w:val="bullet"/>
      <w:lvlText w:val=""/>
      <w:lvlJc w:val="left"/>
      <w:pPr>
        <w:tabs>
          <w:tab w:val="num" w:pos="7098"/>
        </w:tabs>
        <w:ind w:left="7098" w:hanging="360"/>
      </w:pPr>
      <w:rPr>
        <w:rFonts w:ascii="Symbol" w:hAnsi="Symbol" w:hint="default"/>
      </w:rPr>
    </w:lvl>
    <w:lvl w:ilvl="7" w:tplc="04090003">
      <w:start w:val="1"/>
      <w:numFmt w:val="bullet"/>
      <w:lvlText w:val="o"/>
      <w:lvlJc w:val="left"/>
      <w:pPr>
        <w:tabs>
          <w:tab w:val="num" w:pos="7818"/>
        </w:tabs>
        <w:ind w:left="7818" w:hanging="360"/>
      </w:pPr>
      <w:rPr>
        <w:rFonts w:ascii="Courier New" w:hAnsi="Courier New" w:cs="Times New Roman" w:hint="default"/>
      </w:rPr>
    </w:lvl>
    <w:lvl w:ilvl="8" w:tplc="04090005">
      <w:start w:val="1"/>
      <w:numFmt w:val="bullet"/>
      <w:lvlText w:val=""/>
      <w:lvlJc w:val="left"/>
      <w:pPr>
        <w:tabs>
          <w:tab w:val="num" w:pos="8538"/>
        </w:tabs>
        <w:ind w:left="8538" w:hanging="360"/>
      </w:pPr>
      <w:rPr>
        <w:rFonts w:ascii="Wingdings" w:hAnsi="Wingdings" w:hint="default"/>
      </w:rPr>
    </w:lvl>
  </w:abstractNum>
  <w:abstractNum w:abstractNumId="4">
    <w:nsid w:val="401A62E8"/>
    <w:multiLevelType w:val="hybridMultilevel"/>
    <w:tmpl w:val="CAD4D276"/>
    <w:lvl w:ilvl="0" w:tplc="C204A094">
      <w:start w:val="1"/>
      <w:numFmt w:val="decimal"/>
      <w:lvlText w:val="%1."/>
      <w:lvlJc w:val="left"/>
      <w:pPr>
        <w:ind w:left="477" w:hanging="360"/>
      </w:pPr>
      <w:rPr>
        <w:rFonts w:hint="default"/>
        <w:sz w:val="24"/>
      </w:rPr>
    </w:lvl>
    <w:lvl w:ilvl="1" w:tplc="04270019" w:tentative="1">
      <w:start w:val="1"/>
      <w:numFmt w:val="lowerLetter"/>
      <w:lvlText w:val="%2."/>
      <w:lvlJc w:val="left"/>
      <w:pPr>
        <w:ind w:left="1197" w:hanging="360"/>
      </w:pPr>
    </w:lvl>
    <w:lvl w:ilvl="2" w:tplc="0427001B" w:tentative="1">
      <w:start w:val="1"/>
      <w:numFmt w:val="lowerRoman"/>
      <w:lvlText w:val="%3."/>
      <w:lvlJc w:val="right"/>
      <w:pPr>
        <w:ind w:left="1917" w:hanging="180"/>
      </w:pPr>
    </w:lvl>
    <w:lvl w:ilvl="3" w:tplc="0427000F" w:tentative="1">
      <w:start w:val="1"/>
      <w:numFmt w:val="decimal"/>
      <w:lvlText w:val="%4."/>
      <w:lvlJc w:val="left"/>
      <w:pPr>
        <w:ind w:left="2637" w:hanging="360"/>
      </w:pPr>
    </w:lvl>
    <w:lvl w:ilvl="4" w:tplc="04270019" w:tentative="1">
      <w:start w:val="1"/>
      <w:numFmt w:val="lowerLetter"/>
      <w:lvlText w:val="%5."/>
      <w:lvlJc w:val="left"/>
      <w:pPr>
        <w:ind w:left="3357" w:hanging="360"/>
      </w:pPr>
    </w:lvl>
    <w:lvl w:ilvl="5" w:tplc="0427001B" w:tentative="1">
      <w:start w:val="1"/>
      <w:numFmt w:val="lowerRoman"/>
      <w:lvlText w:val="%6."/>
      <w:lvlJc w:val="right"/>
      <w:pPr>
        <w:ind w:left="4077" w:hanging="180"/>
      </w:pPr>
    </w:lvl>
    <w:lvl w:ilvl="6" w:tplc="0427000F" w:tentative="1">
      <w:start w:val="1"/>
      <w:numFmt w:val="decimal"/>
      <w:lvlText w:val="%7."/>
      <w:lvlJc w:val="left"/>
      <w:pPr>
        <w:ind w:left="4797" w:hanging="360"/>
      </w:pPr>
    </w:lvl>
    <w:lvl w:ilvl="7" w:tplc="04270019" w:tentative="1">
      <w:start w:val="1"/>
      <w:numFmt w:val="lowerLetter"/>
      <w:lvlText w:val="%8."/>
      <w:lvlJc w:val="left"/>
      <w:pPr>
        <w:ind w:left="5517" w:hanging="360"/>
      </w:pPr>
    </w:lvl>
    <w:lvl w:ilvl="8" w:tplc="0427001B" w:tentative="1">
      <w:start w:val="1"/>
      <w:numFmt w:val="lowerRoman"/>
      <w:lvlText w:val="%9."/>
      <w:lvlJc w:val="right"/>
      <w:pPr>
        <w:ind w:left="6237" w:hanging="180"/>
      </w:pPr>
    </w:lvl>
  </w:abstractNum>
  <w:abstractNum w:abstractNumId="5">
    <w:nsid w:val="56D31925"/>
    <w:multiLevelType w:val="hybridMultilevel"/>
    <w:tmpl w:val="C2C0B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E187835"/>
    <w:multiLevelType w:val="hybridMultilevel"/>
    <w:tmpl w:val="D890C27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663836D9"/>
    <w:multiLevelType w:val="hybridMultilevel"/>
    <w:tmpl w:val="D1FC5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9954095"/>
    <w:multiLevelType w:val="hybridMultilevel"/>
    <w:tmpl w:val="3C644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DA46914"/>
    <w:multiLevelType w:val="hybridMultilevel"/>
    <w:tmpl w:val="C5F0332A"/>
    <w:lvl w:ilvl="0" w:tplc="4F84E062">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B2043B8"/>
    <w:multiLevelType w:val="hybridMultilevel"/>
    <w:tmpl w:val="EBD84AA6"/>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1">
    <w:nsid w:val="7ED207AD"/>
    <w:multiLevelType w:val="hybridMultilevel"/>
    <w:tmpl w:val="448AF1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9"/>
  </w:num>
  <w:num w:numId="6">
    <w:abstractNumId w:val="4"/>
  </w:num>
  <w:num w:numId="7">
    <w:abstractNumId w:val="0"/>
  </w:num>
  <w:num w:numId="8">
    <w:abstractNumId w:val="10"/>
  </w:num>
  <w:num w:numId="9">
    <w:abstractNumId w:val="11"/>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80"/>
    <w:rsid w:val="000029FA"/>
    <w:rsid w:val="00062807"/>
    <w:rsid w:val="000F108F"/>
    <w:rsid w:val="00144EAF"/>
    <w:rsid w:val="00172FC7"/>
    <w:rsid w:val="0017371C"/>
    <w:rsid w:val="00176808"/>
    <w:rsid w:val="001937CE"/>
    <w:rsid w:val="001E5883"/>
    <w:rsid w:val="00211624"/>
    <w:rsid w:val="00252174"/>
    <w:rsid w:val="002526E5"/>
    <w:rsid w:val="002961F9"/>
    <w:rsid w:val="00297BDE"/>
    <w:rsid w:val="002C069D"/>
    <w:rsid w:val="002F2D91"/>
    <w:rsid w:val="002F692F"/>
    <w:rsid w:val="003015FB"/>
    <w:rsid w:val="003315C5"/>
    <w:rsid w:val="00332C26"/>
    <w:rsid w:val="00335365"/>
    <w:rsid w:val="00360CCB"/>
    <w:rsid w:val="003B568B"/>
    <w:rsid w:val="003E6A49"/>
    <w:rsid w:val="00427B89"/>
    <w:rsid w:val="00427BBC"/>
    <w:rsid w:val="00430721"/>
    <w:rsid w:val="00464EF7"/>
    <w:rsid w:val="004C3899"/>
    <w:rsid w:val="004E546A"/>
    <w:rsid w:val="004F161A"/>
    <w:rsid w:val="00527B69"/>
    <w:rsid w:val="00593422"/>
    <w:rsid w:val="005F3533"/>
    <w:rsid w:val="00642D6E"/>
    <w:rsid w:val="00653A48"/>
    <w:rsid w:val="00672C4C"/>
    <w:rsid w:val="006B6506"/>
    <w:rsid w:val="006D41C5"/>
    <w:rsid w:val="006F57D3"/>
    <w:rsid w:val="00705AE5"/>
    <w:rsid w:val="007C288E"/>
    <w:rsid w:val="00863E50"/>
    <w:rsid w:val="00882EDE"/>
    <w:rsid w:val="00885CA6"/>
    <w:rsid w:val="008C3651"/>
    <w:rsid w:val="008D4387"/>
    <w:rsid w:val="00941FF5"/>
    <w:rsid w:val="009746AC"/>
    <w:rsid w:val="009C1085"/>
    <w:rsid w:val="00A058D9"/>
    <w:rsid w:val="00A81C80"/>
    <w:rsid w:val="00A8766D"/>
    <w:rsid w:val="00AE2D09"/>
    <w:rsid w:val="00AF530A"/>
    <w:rsid w:val="00B414B2"/>
    <w:rsid w:val="00B83537"/>
    <w:rsid w:val="00BB4AC4"/>
    <w:rsid w:val="00BD1FD1"/>
    <w:rsid w:val="00BD53FB"/>
    <w:rsid w:val="00BE7F68"/>
    <w:rsid w:val="00C04B48"/>
    <w:rsid w:val="00C8088D"/>
    <w:rsid w:val="00CB39A5"/>
    <w:rsid w:val="00D07971"/>
    <w:rsid w:val="00D13630"/>
    <w:rsid w:val="00D668D5"/>
    <w:rsid w:val="00DE65B2"/>
    <w:rsid w:val="00E033E7"/>
    <w:rsid w:val="00E25263"/>
    <w:rsid w:val="00E5502E"/>
    <w:rsid w:val="00E62718"/>
    <w:rsid w:val="00E676CB"/>
    <w:rsid w:val="00E7572F"/>
    <w:rsid w:val="00EF342C"/>
    <w:rsid w:val="00EF499A"/>
    <w:rsid w:val="00EF69C1"/>
    <w:rsid w:val="00F22D49"/>
    <w:rsid w:val="00F4527F"/>
    <w:rsid w:val="00F579F2"/>
    <w:rsid w:val="00F9369E"/>
    <w:rsid w:val="00FB5E74"/>
    <w:rsid w:val="00FC029B"/>
    <w:rsid w:val="00FF51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ind w:firstLine="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1C80"/>
    <w:pPr>
      <w:ind w:firstLine="0"/>
      <w:jc w:val="left"/>
    </w:pPr>
    <w:rPr>
      <w:rFonts w:ascii="Calibri" w:eastAsia="Calibri" w:hAnsi="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81C80"/>
    <w:pPr>
      <w:autoSpaceDE w:val="0"/>
      <w:autoSpaceDN w:val="0"/>
      <w:adjustRightInd w:val="0"/>
      <w:ind w:firstLine="0"/>
      <w:jc w:val="left"/>
    </w:pPr>
    <w:rPr>
      <w:rFonts w:eastAsia="Calibri"/>
      <w:color w:val="000000"/>
      <w:lang w:eastAsia="lt-LT"/>
    </w:rPr>
  </w:style>
  <w:style w:type="table" w:styleId="Lentelstinklelis">
    <w:name w:val="Table Grid"/>
    <w:basedOn w:val="prastojilentel"/>
    <w:uiPriority w:val="59"/>
    <w:rsid w:val="00A81C80"/>
    <w:pPr>
      <w:ind w:firstLine="0"/>
      <w:jc w:val="left"/>
    </w:pPr>
    <w:rPr>
      <w:rFonts w:ascii="Calibri" w:eastAsia="Calibri" w:hAnsi="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1C8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1C80"/>
    <w:rPr>
      <w:rFonts w:ascii="Tahoma" w:eastAsia="Calibri" w:hAnsi="Tahoma" w:cs="Tahoma"/>
      <w:sz w:val="16"/>
      <w:szCs w:val="16"/>
    </w:rPr>
  </w:style>
  <w:style w:type="paragraph" w:styleId="Sraopastraipa">
    <w:name w:val="List Paragraph"/>
    <w:basedOn w:val="prastasis"/>
    <w:uiPriority w:val="34"/>
    <w:qFormat/>
    <w:rsid w:val="00A81C80"/>
    <w:pPr>
      <w:ind w:left="720"/>
      <w:contextualSpacing/>
    </w:pPr>
    <w:rPr>
      <w:rFonts w:ascii="Times New Roman" w:eastAsia="Times New Roman" w:hAnsi="Times New Roman"/>
      <w:sz w:val="24"/>
      <w:szCs w:val="24"/>
      <w:lang w:eastAsia="lt-LT"/>
    </w:rPr>
  </w:style>
  <w:style w:type="character" w:styleId="Komentaronuoroda">
    <w:name w:val="annotation reference"/>
    <w:uiPriority w:val="99"/>
    <w:semiHidden/>
    <w:unhideWhenUsed/>
    <w:rsid w:val="00A81C80"/>
    <w:rPr>
      <w:sz w:val="16"/>
      <w:szCs w:val="16"/>
    </w:rPr>
  </w:style>
  <w:style w:type="paragraph" w:styleId="Komentarotekstas">
    <w:name w:val="annotation text"/>
    <w:basedOn w:val="prastasis"/>
    <w:link w:val="KomentarotekstasDiagrama"/>
    <w:uiPriority w:val="99"/>
    <w:semiHidden/>
    <w:unhideWhenUsed/>
    <w:rsid w:val="00A81C80"/>
    <w:rPr>
      <w:sz w:val="20"/>
      <w:szCs w:val="20"/>
    </w:rPr>
  </w:style>
  <w:style w:type="character" w:customStyle="1" w:styleId="KomentarotekstasDiagrama">
    <w:name w:val="Komentaro tekstas Diagrama"/>
    <w:basedOn w:val="Numatytasispastraiposriftas"/>
    <w:link w:val="Komentarotekstas"/>
    <w:uiPriority w:val="99"/>
    <w:semiHidden/>
    <w:rsid w:val="00A81C80"/>
    <w:rPr>
      <w:rFonts w:ascii="Calibri" w:eastAsia="Calibri" w:hAnsi="Calibri"/>
      <w:sz w:val="20"/>
      <w:szCs w:val="20"/>
    </w:rPr>
  </w:style>
  <w:style w:type="paragraph" w:styleId="Komentarotema">
    <w:name w:val="annotation subject"/>
    <w:basedOn w:val="Komentarotekstas"/>
    <w:next w:val="Komentarotekstas"/>
    <w:link w:val="KomentarotemaDiagrama"/>
    <w:uiPriority w:val="99"/>
    <w:semiHidden/>
    <w:unhideWhenUsed/>
    <w:rsid w:val="00A81C80"/>
    <w:rPr>
      <w:b/>
      <w:bCs/>
    </w:rPr>
  </w:style>
  <w:style w:type="character" w:customStyle="1" w:styleId="KomentarotemaDiagrama">
    <w:name w:val="Komentaro tema Diagrama"/>
    <w:basedOn w:val="KomentarotekstasDiagrama"/>
    <w:link w:val="Komentarotema"/>
    <w:uiPriority w:val="99"/>
    <w:semiHidden/>
    <w:rsid w:val="00A81C80"/>
    <w:rPr>
      <w:rFonts w:ascii="Calibri" w:eastAsia="Calibri" w:hAnsi="Calibri"/>
      <w:b/>
      <w:bCs/>
      <w:sz w:val="20"/>
      <w:szCs w:val="20"/>
    </w:rPr>
  </w:style>
  <w:style w:type="paragraph" w:styleId="Pataisymai">
    <w:name w:val="Revision"/>
    <w:hidden/>
    <w:uiPriority w:val="99"/>
    <w:semiHidden/>
    <w:rsid w:val="00705AE5"/>
    <w:pPr>
      <w:ind w:firstLine="0"/>
      <w:jc w:val="left"/>
    </w:pPr>
    <w:rPr>
      <w:rFonts w:ascii="Calibri" w:eastAsia="Calibri" w:hAnsi="Calibri"/>
      <w:sz w:val="22"/>
      <w:szCs w:val="22"/>
    </w:rPr>
  </w:style>
  <w:style w:type="paragraph" w:styleId="Antrats">
    <w:name w:val="header"/>
    <w:basedOn w:val="prastasis"/>
    <w:link w:val="AntratsDiagrama"/>
    <w:uiPriority w:val="99"/>
    <w:unhideWhenUsed/>
    <w:rsid w:val="00BB4AC4"/>
    <w:pPr>
      <w:tabs>
        <w:tab w:val="center" w:pos="4819"/>
        <w:tab w:val="right" w:pos="9638"/>
      </w:tabs>
    </w:pPr>
  </w:style>
  <w:style w:type="character" w:customStyle="1" w:styleId="AntratsDiagrama">
    <w:name w:val="Antraštės Diagrama"/>
    <w:basedOn w:val="Numatytasispastraiposriftas"/>
    <w:link w:val="Antrats"/>
    <w:uiPriority w:val="99"/>
    <w:rsid w:val="00BB4AC4"/>
    <w:rPr>
      <w:rFonts w:ascii="Calibri" w:eastAsia="Calibri" w:hAnsi="Calibri"/>
      <w:sz w:val="22"/>
      <w:szCs w:val="22"/>
    </w:rPr>
  </w:style>
  <w:style w:type="paragraph" w:styleId="Porat">
    <w:name w:val="footer"/>
    <w:basedOn w:val="prastasis"/>
    <w:link w:val="PoratDiagrama"/>
    <w:uiPriority w:val="99"/>
    <w:unhideWhenUsed/>
    <w:rsid w:val="00BB4AC4"/>
    <w:pPr>
      <w:tabs>
        <w:tab w:val="center" w:pos="4819"/>
        <w:tab w:val="right" w:pos="9638"/>
      </w:tabs>
    </w:pPr>
  </w:style>
  <w:style w:type="character" w:customStyle="1" w:styleId="PoratDiagrama">
    <w:name w:val="Poraštė Diagrama"/>
    <w:basedOn w:val="Numatytasispastraiposriftas"/>
    <w:link w:val="Porat"/>
    <w:uiPriority w:val="99"/>
    <w:rsid w:val="00BB4AC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ind w:firstLine="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1C80"/>
    <w:pPr>
      <w:ind w:firstLine="0"/>
      <w:jc w:val="left"/>
    </w:pPr>
    <w:rPr>
      <w:rFonts w:ascii="Calibri" w:eastAsia="Calibri" w:hAnsi="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81C80"/>
    <w:pPr>
      <w:autoSpaceDE w:val="0"/>
      <w:autoSpaceDN w:val="0"/>
      <w:adjustRightInd w:val="0"/>
      <w:ind w:firstLine="0"/>
      <w:jc w:val="left"/>
    </w:pPr>
    <w:rPr>
      <w:rFonts w:eastAsia="Calibri"/>
      <w:color w:val="000000"/>
      <w:lang w:eastAsia="lt-LT"/>
    </w:rPr>
  </w:style>
  <w:style w:type="table" w:styleId="Lentelstinklelis">
    <w:name w:val="Table Grid"/>
    <w:basedOn w:val="prastojilentel"/>
    <w:uiPriority w:val="59"/>
    <w:rsid w:val="00A81C80"/>
    <w:pPr>
      <w:ind w:firstLine="0"/>
      <w:jc w:val="left"/>
    </w:pPr>
    <w:rPr>
      <w:rFonts w:ascii="Calibri" w:eastAsia="Calibri" w:hAnsi="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1C8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1C80"/>
    <w:rPr>
      <w:rFonts w:ascii="Tahoma" w:eastAsia="Calibri" w:hAnsi="Tahoma" w:cs="Tahoma"/>
      <w:sz w:val="16"/>
      <w:szCs w:val="16"/>
    </w:rPr>
  </w:style>
  <w:style w:type="paragraph" w:styleId="Sraopastraipa">
    <w:name w:val="List Paragraph"/>
    <w:basedOn w:val="prastasis"/>
    <w:uiPriority w:val="34"/>
    <w:qFormat/>
    <w:rsid w:val="00A81C80"/>
    <w:pPr>
      <w:ind w:left="720"/>
      <w:contextualSpacing/>
    </w:pPr>
    <w:rPr>
      <w:rFonts w:ascii="Times New Roman" w:eastAsia="Times New Roman" w:hAnsi="Times New Roman"/>
      <w:sz w:val="24"/>
      <w:szCs w:val="24"/>
      <w:lang w:eastAsia="lt-LT"/>
    </w:rPr>
  </w:style>
  <w:style w:type="character" w:styleId="Komentaronuoroda">
    <w:name w:val="annotation reference"/>
    <w:uiPriority w:val="99"/>
    <w:semiHidden/>
    <w:unhideWhenUsed/>
    <w:rsid w:val="00A81C80"/>
    <w:rPr>
      <w:sz w:val="16"/>
      <w:szCs w:val="16"/>
    </w:rPr>
  </w:style>
  <w:style w:type="paragraph" w:styleId="Komentarotekstas">
    <w:name w:val="annotation text"/>
    <w:basedOn w:val="prastasis"/>
    <w:link w:val="KomentarotekstasDiagrama"/>
    <w:uiPriority w:val="99"/>
    <w:semiHidden/>
    <w:unhideWhenUsed/>
    <w:rsid w:val="00A81C80"/>
    <w:rPr>
      <w:sz w:val="20"/>
      <w:szCs w:val="20"/>
    </w:rPr>
  </w:style>
  <w:style w:type="character" w:customStyle="1" w:styleId="KomentarotekstasDiagrama">
    <w:name w:val="Komentaro tekstas Diagrama"/>
    <w:basedOn w:val="Numatytasispastraiposriftas"/>
    <w:link w:val="Komentarotekstas"/>
    <w:uiPriority w:val="99"/>
    <w:semiHidden/>
    <w:rsid w:val="00A81C80"/>
    <w:rPr>
      <w:rFonts w:ascii="Calibri" w:eastAsia="Calibri" w:hAnsi="Calibri"/>
      <w:sz w:val="20"/>
      <w:szCs w:val="20"/>
    </w:rPr>
  </w:style>
  <w:style w:type="paragraph" w:styleId="Komentarotema">
    <w:name w:val="annotation subject"/>
    <w:basedOn w:val="Komentarotekstas"/>
    <w:next w:val="Komentarotekstas"/>
    <w:link w:val="KomentarotemaDiagrama"/>
    <w:uiPriority w:val="99"/>
    <w:semiHidden/>
    <w:unhideWhenUsed/>
    <w:rsid w:val="00A81C80"/>
    <w:rPr>
      <w:b/>
      <w:bCs/>
    </w:rPr>
  </w:style>
  <w:style w:type="character" w:customStyle="1" w:styleId="KomentarotemaDiagrama">
    <w:name w:val="Komentaro tema Diagrama"/>
    <w:basedOn w:val="KomentarotekstasDiagrama"/>
    <w:link w:val="Komentarotema"/>
    <w:uiPriority w:val="99"/>
    <w:semiHidden/>
    <w:rsid w:val="00A81C80"/>
    <w:rPr>
      <w:rFonts w:ascii="Calibri" w:eastAsia="Calibri" w:hAnsi="Calibri"/>
      <w:b/>
      <w:bCs/>
      <w:sz w:val="20"/>
      <w:szCs w:val="20"/>
    </w:rPr>
  </w:style>
  <w:style w:type="paragraph" w:styleId="Pataisymai">
    <w:name w:val="Revision"/>
    <w:hidden/>
    <w:uiPriority w:val="99"/>
    <w:semiHidden/>
    <w:rsid w:val="00705AE5"/>
    <w:pPr>
      <w:ind w:firstLine="0"/>
      <w:jc w:val="left"/>
    </w:pPr>
    <w:rPr>
      <w:rFonts w:ascii="Calibri" w:eastAsia="Calibri" w:hAnsi="Calibri"/>
      <w:sz w:val="22"/>
      <w:szCs w:val="22"/>
    </w:rPr>
  </w:style>
  <w:style w:type="paragraph" w:styleId="Antrats">
    <w:name w:val="header"/>
    <w:basedOn w:val="prastasis"/>
    <w:link w:val="AntratsDiagrama"/>
    <w:uiPriority w:val="99"/>
    <w:unhideWhenUsed/>
    <w:rsid w:val="00BB4AC4"/>
    <w:pPr>
      <w:tabs>
        <w:tab w:val="center" w:pos="4819"/>
        <w:tab w:val="right" w:pos="9638"/>
      </w:tabs>
    </w:pPr>
  </w:style>
  <w:style w:type="character" w:customStyle="1" w:styleId="AntratsDiagrama">
    <w:name w:val="Antraštės Diagrama"/>
    <w:basedOn w:val="Numatytasispastraiposriftas"/>
    <w:link w:val="Antrats"/>
    <w:uiPriority w:val="99"/>
    <w:rsid w:val="00BB4AC4"/>
    <w:rPr>
      <w:rFonts w:ascii="Calibri" w:eastAsia="Calibri" w:hAnsi="Calibri"/>
      <w:sz w:val="22"/>
      <w:szCs w:val="22"/>
    </w:rPr>
  </w:style>
  <w:style w:type="paragraph" w:styleId="Porat">
    <w:name w:val="footer"/>
    <w:basedOn w:val="prastasis"/>
    <w:link w:val="PoratDiagrama"/>
    <w:uiPriority w:val="99"/>
    <w:unhideWhenUsed/>
    <w:rsid w:val="00BB4AC4"/>
    <w:pPr>
      <w:tabs>
        <w:tab w:val="center" w:pos="4819"/>
        <w:tab w:val="right" w:pos="9638"/>
      </w:tabs>
    </w:pPr>
  </w:style>
  <w:style w:type="character" w:customStyle="1" w:styleId="PoratDiagrama">
    <w:name w:val="Poraštė Diagrama"/>
    <w:basedOn w:val="Numatytasispastraiposriftas"/>
    <w:link w:val="Porat"/>
    <w:uiPriority w:val="99"/>
    <w:rsid w:val="00BB4AC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Lapas1!$B$149</c:f>
              <c:strCache>
                <c:ptCount val="1"/>
                <c:pt idx="0">
                  <c:v>Gyventojų skaičius Alytaus mieste</c:v>
                </c:pt>
              </c:strCache>
            </c:strRef>
          </c:tx>
          <c:spPr>
            <a:solidFill>
              <a:schemeClr val="accent3">
                <a:lumMod val="75000"/>
              </a:schemeClr>
            </a:solidFill>
          </c:spPr>
          <c:invertIfNegative val="0"/>
          <c:dLbls>
            <c:showLegendKey val="0"/>
            <c:showVal val="1"/>
            <c:showCatName val="0"/>
            <c:showSerName val="0"/>
            <c:showPercent val="0"/>
            <c:showBubbleSize val="0"/>
            <c:showLeaderLines val="0"/>
          </c:dLbls>
          <c:cat>
            <c:strRef>
              <c:f>Lapas1!$C$148:$I$148</c:f>
              <c:strCache>
                <c:ptCount val="7"/>
                <c:pt idx="0">
                  <c:v>2011</c:v>
                </c:pt>
                <c:pt idx="1">
                  <c:v>2012</c:v>
                </c:pt>
                <c:pt idx="2">
                  <c:v>2013</c:v>
                </c:pt>
                <c:pt idx="3">
                  <c:v>2014</c:v>
                </c:pt>
                <c:pt idx="4">
                  <c:v>2015</c:v>
                </c:pt>
                <c:pt idx="5">
                  <c:v>2016</c:v>
                </c:pt>
                <c:pt idx="6">
                  <c:v>2017*01-01</c:v>
                </c:pt>
              </c:strCache>
            </c:strRef>
          </c:cat>
          <c:val>
            <c:numRef>
              <c:f>Lapas1!$C$149:$I$149</c:f>
              <c:numCache>
                <c:formatCode>General</c:formatCode>
                <c:ptCount val="7"/>
                <c:pt idx="0">
                  <c:v>60302</c:v>
                </c:pt>
                <c:pt idx="1">
                  <c:v>58515</c:v>
                </c:pt>
                <c:pt idx="2">
                  <c:v>57281</c:v>
                </c:pt>
                <c:pt idx="3">
                  <c:v>56357</c:v>
                </c:pt>
                <c:pt idx="4">
                  <c:v>55614</c:v>
                </c:pt>
                <c:pt idx="5">
                  <c:v>54431</c:v>
                </c:pt>
                <c:pt idx="6">
                  <c:v>52933</c:v>
                </c:pt>
              </c:numCache>
            </c:numRef>
          </c:val>
        </c:ser>
        <c:ser>
          <c:idx val="1"/>
          <c:order val="1"/>
          <c:tx>
            <c:strRef>
              <c:f>Lapas1!$B$150</c:f>
              <c:strCache>
                <c:ptCount val="1"/>
                <c:pt idx="0">
                  <c:v>Gyventojų skaičius Alytaus rajone</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strRef>
              <c:f>Lapas1!$C$148:$I$148</c:f>
              <c:strCache>
                <c:ptCount val="7"/>
                <c:pt idx="0">
                  <c:v>2011</c:v>
                </c:pt>
                <c:pt idx="1">
                  <c:v>2012</c:v>
                </c:pt>
                <c:pt idx="2">
                  <c:v>2013</c:v>
                </c:pt>
                <c:pt idx="3">
                  <c:v>2014</c:v>
                </c:pt>
                <c:pt idx="4">
                  <c:v>2015</c:v>
                </c:pt>
                <c:pt idx="5">
                  <c:v>2016</c:v>
                </c:pt>
                <c:pt idx="6">
                  <c:v>2017*01-01</c:v>
                </c:pt>
              </c:strCache>
            </c:strRef>
          </c:cat>
          <c:val>
            <c:numRef>
              <c:f>Lapas1!$C$150:$I$150</c:f>
              <c:numCache>
                <c:formatCode>General</c:formatCode>
                <c:ptCount val="7"/>
                <c:pt idx="0">
                  <c:v>28210</c:v>
                </c:pt>
                <c:pt idx="1">
                  <c:v>27960</c:v>
                </c:pt>
                <c:pt idx="2">
                  <c:v>27618</c:v>
                </c:pt>
                <c:pt idx="3">
                  <c:v>27347</c:v>
                </c:pt>
                <c:pt idx="4">
                  <c:v>27126</c:v>
                </c:pt>
                <c:pt idx="5">
                  <c:v>26840</c:v>
                </c:pt>
                <c:pt idx="6">
                  <c:v>26570</c:v>
                </c:pt>
              </c:numCache>
            </c:numRef>
          </c:val>
        </c:ser>
        <c:dLbls>
          <c:showLegendKey val="0"/>
          <c:showVal val="0"/>
          <c:showCatName val="0"/>
          <c:showSerName val="0"/>
          <c:showPercent val="0"/>
          <c:showBubbleSize val="0"/>
        </c:dLbls>
        <c:gapWidth val="150"/>
        <c:axId val="77512064"/>
        <c:axId val="77513856"/>
      </c:barChart>
      <c:catAx>
        <c:axId val="77512064"/>
        <c:scaling>
          <c:orientation val="minMax"/>
        </c:scaling>
        <c:delete val="0"/>
        <c:axPos val="b"/>
        <c:majorTickMark val="out"/>
        <c:minorTickMark val="none"/>
        <c:tickLblPos val="nextTo"/>
        <c:crossAx val="77513856"/>
        <c:crosses val="autoZero"/>
        <c:auto val="1"/>
        <c:lblAlgn val="ctr"/>
        <c:lblOffset val="100"/>
        <c:noMultiLvlLbl val="0"/>
      </c:catAx>
      <c:valAx>
        <c:axId val="77513856"/>
        <c:scaling>
          <c:orientation val="minMax"/>
        </c:scaling>
        <c:delete val="0"/>
        <c:axPos val="l"/>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t-LT"/>
          </a:p>
        </c:txPr>
        <c:crossAx val="77512064"/>
        <c:crosses val="autoZero"/>
        <c:crossBetween val="between"/>
      </c:valAx>
      <c:spPr>
        <a:solidFill>
          <a:schemeClr val="bg2">
            <a:lumMod val="90000"/>
          </a:schemeClr>
        </a:solidFill>
      </c:spPr>
    </c:plotArea>
    <c:legend>
      <c:legendPos val="b"/>
      <c:layout/>
      <c:overlay val="0"/>
    </c:legend>
    <c:plotVisOnly val="1"/>
    <c:dispBlanksAs val="gap"/>
    <c:showDLblsOverMax val="0"/>
  </c:chart>
  <c:spPr>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lin ang="18900000" scaled="1"/>
      <a:tileRect/>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Lapas1!$B$46</c:f>
              <c:strCache>
                <c:ptCount val="1"/>
                <c:pt idx="0">
                  <c:v>Demografinės senatvės koeficientas</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numRef>
              <c:f>Lapas1!$C$45:$H$45</c:f>
              <c:numCache>
                <c:formatCode>General</c:formatCode>
                <c:ptCount val="6"/>
                <c:pt idx="0">
                  <c:v>2011</c:v>
                </c:pt>
                <c:pt idx="1">
                  <c:v>2012</c:v>
                </c:pt>
                <c:pt idx="2">
                  <c:v>2013</c:v>
                </c:pt>
                <c:pt idx="3">
                  <c:v>2014</c:v>
                </c:pt>
                <c:pt idx="4">
                  <c:v>2015</c:v>
                </c:pt>
                <c:pt idx="5">
                  <c:v>2016</c:v>
                </c:pt>
              </c:numCache>
            </c:numRef>
          </c:cat>
          <c:val>
            <c:numRef>
              <c:f>Lapas1!$C$46:$H$46</c:f>
              <c:numCache>
                <c:formatCode>General</c:formatCode>
                <c:ptCount val="6"/>
                <c:pt idx="0">
                  <c:v>101</c:v>
                </c:pt>
                <c:pt idx="1">
                  <c:v>108</c:v>
                </c:pt>
                <c:pt idx="2">
                  <c:v>115</c:v>
                </c:pt>
                <c:pt idx="3">
                  <c:v>125</c:v>
                </c:pt>
                <c:pt idx="4">
                  <c:v>134</c:v>
                </c:pt>
                <c:pt idx="5">
                  <c:v>143</c:v>
                </c:pt>
              </c:numCache>
            </c:numRef>
          </c:val>
        </c:ser>
        <c:dLbls>
          <c:showLegendKey val="0"/>
          <c:showVal val="0"/>
          <c:showCatName val="0"/>
          <c:showSerName val="0"/>
          <c:showPercent val="0"/>
          <c:showBubbleSize val="0"/>
        </c:dLbls>
        <c:gapWidth val="150"/>
        <c:axId val="77944320"/>
        <c:axId val="77945856"/>
      </c:barChart>
      <c:catAx>
        <c:axId val="77944320"/>
        <c:scaling>
          <c:orientation val="minMax"/>
        </c:scaling>
        <c:delete val="0"/>
        <c:axPos val="b"/>
        <c:numFmt formatCode="General" sourceLinked="1"/>
        <c:majorTickMark val="out"/>
        <c:minorTickMark val="none"/>
        <c:tickLblPos val="nextTo"/>
        <c:crossAx val="77945856"/>
        <c:crosses val="autoZero"/>
        <c:auto val="1"/>
        <c:lblAlgn val="ctr"/>
        <c:lblOffset val="100"/>
        <c:noMultiLvlLbl val="0"/>
      </c:catAx>
      <c:valAx>
        <c:axId val="77945856"/>
        <c:scaling>
          <c:orientation val="minMax"/>
        </c:scaling>
        <c:delete val="0"/>
        <c:axPos val="l"/>
        <c:numFmt formatCode="General" sourceLinked="1"/>
        <c:majorTickMark val="out"/>
        <c:minorTickMark val="none"/>
        <c:tickLblPos val="nextTo"/>
        <c:crossAx val="77944320"/>
        <c:crosses val="autoZero"/>
        <c:crossBetween val="between"/>
      </c:valAx>
      <c:spPr>
        <a:solidFill>
          <a:schemeClr val="bg2">
            <a:lumMod val="90000"/>
          </a:schemeClr>
        </a:solidFill>
      </c:spPr>
    </c:plotArea>
    <c:legend>
      <c:legendPos val="r"/>
      <c:overlay val="0"/>
    </c:legend>
    <c:plotVisOnly val="1"/>
    <c:dispBlanksAs val="gap"/>
    <c:showDLblsOverMax val="0"/>
  </c:chart>
  <c:spPr>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lin ang="18900000" scaled="1"/>
      <a:tileRect/>
    </a:gra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Lapas1!$B$131</c:f>
              <c:strCache>
                <c:ptCount val="1"/>
                <c:pt idx="0">
                  <c:v>Mokinių skaičius</c:v>
                </c:pt>
              </c:strCache>
            </c:strRef>
          </c:tx>
          <c:spPr>
            <a:solidFill>
              <a:schemeClr val="accent6">
                <a:lumMod val="75000"/>
              </a:schemeClr>
            </a:solidFill>
            <a:ln>
              <a:solidFill>
                <a:srgbClr val="FF6600"/>
              </a:solidFill>
            </a:ln>
          </c:spPr>
          <c:invertIfNegative val="0"/>
          <c:dLbls>
            <c:showLegendKey val="0"/>
            <c:showVal val="1"/>
            <c:showCatName val="0"/>
            <c:showSerName val="0"/>
            <c:showPercent val="0"/>
            <c:showBubbleSize val="0"/>
            <c:showLeaderLines val="0"/>
          </c:dLbls>
          <c:cat>
            <c:strRef>
              <c:f>Lapas1!$C$130:$G$130</c:f>
              <c:strCache>
                <c:ptCount val="5"/>
                <c:pt idx="0">
                  <c:v>2012–2013</c:v>
                </c:pt>
                <c:pt idx="1">
                  <c:v>2013–2014</c:v>
                </c:pt>
                <c:pt idx="2">
                  <c:v>2014–2015</c:v>
                </c:pt>
                <c:pt idx="3">
                  <c:v>2015–2016</c:v>
                </c:pt>
                <c:pt idx="4">
                  <c:v>2016–2017</c:v>
                </c:pt>
              </c:strCache>
            </c:strRef>
          </c:cat>
          <c:val>
            <c:numRef>
              <c:f>Lapas1!$C$131:$G$131</c:f>
              <c:numCache>
                <c:formatCode>General</c:formatCode>
                <c:ptCount val="5"/>
                <c:pt idx="0">
                  <c:v>8361</c:v>
                </c:pt>
                <c:pt idx="1">
                  <c:v>8024</c:v>
                </c:pt>
                <c:pt idx="2">
                  <c:v>7632</c:v>
                </c:pt>
                <c:pt idx="3">
                  <c:v>7332</c:v>
                </c:pt>
                <c:pt idx="4">
                  <c:v>7199</c:v>
                </c:pt>
              </c:numCache>
            </c:numRef>
          </c:val>
        </c:ser>
        <c:ser>
          <c:idx val="1"/>
          <c:order val="1"/>
          <c:tx>
            <c:strRef>
              <c:f>Lapas1!$B$132</c:f>
              <c:strCache>
                <c:ptCount val="1"/>
                <c:pt idx="0">
                  <c:v>Mokinių skaičius iš kitų savivaldybių</c:v>
                </c:pt>
              </c:strCache>
            </c:strRef>
          </c:tx>
          <c:spPr>
            <a:solidFill>
              <a:schemeClr val="accent3">
                <a:lumMod val="75000"/>
              </a:schemeClr>
            </a:solidFill>
          </c:spPr>
          <c:invertIfNegative val="0"/>
          <c:dLbls>
            <c:showLegendKey val="0"/>
            <c:showVal val="1"/>
            <c:showCatName val="0"/>
            <c:showSerName val="0"/>
            <c:showPercent val="0"/>
            <c:showBubbleSize val="0"/>
            <c:showLeaderLines val="0"/>
          </c:dLbls>
          <c:cat>
            <c:strRef>
              <c:f>Lapas1!$C$130:$G$130</c:f>
              <c:strCache>
                <c:ptCount val="5"/>
                <c:pt idx="0">
                  <c:v>2012–2013</c:v>
                </c:pt>
                <c:pt idx="1">
                  <c:v>2013–2014</c:v>
                </c:pt>
                <c:pt idx="2">
                  <c:v>2014–2015</c:v>
                </c:pt>
                <c:pt idx="3">
                  <c:v>2015–2016</c:v>
                </c:pt>
                <c:pt idx="4">
                  <c:v>2016–2017</c:v>
                </c:pt>
              </c:strCache>
            </c:strRef>
          </c:cat>
          <c:val>
            <c:numRef>
              <c:f>Lapas1!$C$132:$G$132</c:f>
              <c:numCache>
                <c:formatCode>General</c:formatCode>
                <c:ptCount val="5"/>
                <c:pt idx="0">
                  <c:v>1134</c:v>
                </c:pt>
                <c:pt idx="1">
                  <c:v>1156</c:v>
                </c:pt>
                <c:pt idx="2">
                  <c:v>1080</c:v>
                </c:pt>
                <c:pt idx="3">
                  <c:v>1090</c:v>
                </c:pt>
                <c:pt idx="4">
                  <c:v>1130</c:v>
                </c:pt>
              </c:numCache>
            </c:numRef>
          </c:val>
        </c:ser>
        <c:dLbls>
          <c:showLegendKey val="0"/>
          <c:showVal val="0"/>
          <c:showCatName val="0"/>
          <c:showSerName val="0"/>
          <c:showPercent val="0"/>
          <c:showBubbleSize val="0"/>
        </c:dLbls>
        <c:gapWidth val="150"/>
        <c:axId val="78344576"/>
        <c:axId val="78346112"/>
      </c:barChart>
      <c:catAx>
        <c:axId val="78344576"/>
        <c:scaling>
          <c:orientation val="minMax"/>
        </c:scaling>
        <c:delete val="0"/>
        <c:axPos val="b"/>
        <c:numFmt formatCode="General" sourceLinked="1"/>
        <c:majorTickMark val="out"/>
        <c:minorTickMark val="none"/>
        <c:tickLblPos val="nextTo"/>
        <c:crossAx val="78346112"/>
        <c:crossesAt val="0"/>
        <c:auto val="1"/>
        <c:lblAlgn val="ctr"/>
        <c:lblOffset val="100"/>
        <c:noMultiLvlLbl val="0"/>
      </c:catAx>
      <c:valAx>
        <c:axId val="78346112"/>
        <c:scaling>
          <c:orientation val="minMax"/>
        </c:scaling>
        <c:delete val="0"/>
        <c:axPos val="l"/>
        <c:numFmt formatCode="General" sourceLinked="1"/>
        <c:majorTickMark val="out"/>
        <c:minorTickMark val="none"/>
        <c:tickLblPos val="nextTo"/>
        <c:crossAx val="78344576"/>
        <c:crosses val="autoZero"/>
        <c:crossBetween val="between"/>
      </c:valAx>
      <c:spPr>
        <a:solidFill>
          <a:schemeClr val="bg2">
            <a:lumMod val="90000"/>
          </a:schemeClr>
        </a:solidFill>
      </c:spPr>
    </c:plotArea>
    <c:legend>
      <c:legendPos val="r"/>
      <c:overlay val="0"/>
    </c:legend>
    <c:plotVisOnly val="1"/>
    <c:dispBlanksAs val="gap"/>
    <c:showDLblsOverMax val="0"/>
  </c:chart>
  <c:spPr>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lin ang="18900000" scaled="1"/>
      <a:tileRect/>
    </a:gradFill>
  </c:spPr>
  <c:txPr>
    <a:bodyPr/>
    <a:lstStyle/>
    <a:p>
      <a:pPr algn="ctr">
        <a:defRPr lang="lt-LT"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Lapas1!$B$95</c:f>
              <c:strCache>
                <c:ptCount val="1"/>
                <c:pt idx="0">
                  <c:v>Tiesioginės užsienio investicijos, tenkančios 1 gyventojui, Eur</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numRef>
              <c:f>Lapas1!$C$94:$G$94</c:f>
              <c:numCache>
                <c:formatCode>General</c:formatCode>
                <c:ptCount val="5"/>
                <c:pt idx="0">
                  <c:v>2011</c:v>
                </c:pt>
                <c:pt idx="1">
                  <c:v>2012</c:v>
                </c:pt>
                <c:pt idx="2">
                  <c:v>2013</c:v>
                </c:pt>
                <c:pt idx="3">
                  <c:v>2014</c:v>
                </c:pt>
                <c:pt idx="4">
                  <c:v>2015</c:v>
                </c:pt>
              </c:numCache>
            </c:numRef>
          </c:cat>
          <c:val>
            <c:numRef>
              <c:f>Lapas1!$C$95:$G$95</c:f>
              <c:numCache>
                <c:formatCode>General</c:formatCode>
                <c:ptCount val="5"/>
                <c:pt idx="0">
                  <c:v>1007</c:v>
                </c:pt>
                <c:pt idx="1">
                  <c:v>1156</c:v>
                </c:pt>
                <c:pt idx="2">
                  <c:v>1116</c:v>
                </c:pt>
                <c:pt idx="3">
                  <c:v>1219</c:v>
                </c:pt>
                <c:pt idx="4">
                  <c:v>1379</c:v>
                </c:pt>
              </c:numCache>
            </c:numRef>
          </c:val>
        </c:ser>
        <c:dLbls>
          <c:showLegendKey val="0"/>
          <c:showVal val="0"/>
          <c:showCatName val="0"/>
          <c:showSerName val="0"/>
          <c:showPercent val="0"/>
          <c:showBubbleSize val="0"/>
        </c:dLbls>
        <c:gapWidth val="150"/>
        <c:axId val="77748096"/>
        <c:axId val="77749632"/>
      </c:barChart>
      <c:catAx>
        <c:axId val="77748096"/>
        <c:scaling>
          <c:orientation val="minMax"/>
        </c:scaling>
        <c:delete val="0"/>
        <c:axPos val="b"/>
        <c:numFmt formatCode="General" sourceLinked="1"/>
        <c:majorTickMark val="out"/>
        <c:minorTickMark val="none"/>
        <c:tickLblPos val="nextTo"/>
        <c:crossAx val="77749632"/>
        <c:crosses val="autoZero"/>
        <c:auto val="1"/>
        <c:lblAlgn val="ctr"/>
        <c:lblOffset val="100"/>
        <c:noMultiLvlLbl val="0"/>
      </c:catAx>
      <c:valAx>
        <c:axId val="77749632"/>
        <c:scaling>
          <c:orientation val="minMax"/>
        </c:scaling>
        <c:delete val="0"/>
        <c:axPos val="l"/>
        <c:numFmt formatCode="General" sourceLinked="1"/>
        <c:majorTickMark val="out"/>
        <c:minorTickMark val="none"/>
        <c:tickLblPos val="nextTo"/>
        <c:crossAx val="77748096"/>
        <c:crosses val="autoZero"/>
        <c:crossBetween val="between"/>
      </c:valAx>
      <c:spPr>
        <a:solidFill>
          <a:schemeClr val="bg2">
            <a:lumMod val="90000"/>
          </a:schemeClr>
        </a:solidFill>
      </c:spPr>
    </c:plotArea>
    <c:legend>
      <c:legendPos val="r"/>
      <c:overlay val="0"/>
    </c:legend>
    <c:plotVisOnly val="1"/>
    <c:dispBlanksAs val="gap"/>
    <c:showDLblsOverMax val="0"/>
  </c:chart>
  <c:spPr>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lin ang="18900000" scaled="1"/>
      <a:tileRect/>
    </a:gra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Lapas1!$B$99</c:f>
              <c:strCache>
                <c:ptCount val="1"/>
                <c:pt idx="0">
                  <c:v>Materialinės investicijos, tūkst. Eur.</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numRef>
              <c:f>Lapas1!$C$98:$H$98</c:f>
              <c:numCache>
                <c:formatCode>General</c:formatCode>
                <c:ptCount val="6"/>
                <c:pt idx="0">
                  <c:v>2011</c:v>
                </c:pt>
                <c:pt idx="1">
                  <c:v>2012</c:v>
                </c:pt>
                <c:pt idx="2">
                  <c:v>2013</c:v>
                </c:pt>
                <c:pt idx="3">
                  <c:v>2014</c:v>
                </c:pt>
                <c:pt idx="4">
                  <c:v>2015</c:v>
                </c:pt>
              </c:numCache>
            </c:numRef>
          </c:cat>
          <c:val>
            <c:numRef>
              <c:f>Lapas1!$C$99:$H$99</c:f>
              <c:numCache>
                <c:formatCode>General</c:formatCode>
                <c:ptCount val="6"/>
                <c:pt idx="0">
                  <c:v>64.2</c:v>
                </c:pt>
                <c:pt idx="1">
                  <c:v>66.099999999999994</c:v>
                </c:pt>
                <c:pt idx="2">
                  <c:v>62.1</c:v>
                </c:pt>
                <c:pt idx="3">
                  <c:v>62</c:v>
                </c:pt>
                <c:pt idx="4">
                  <c:v>60.7</c:v>
                </c:pt>
              </c:numCache>
            </c:numRef>
          </c:val>
        </c:ser>
        <c:dLbls>
          <c:showLegendKey val="0"/>
          <c:showVal val="0"/>
          <c:showCatName val="0"/>
          <c:showSerName val="0"/>
          <c:showPercent val="0"/>
          <c:showBubbleSize val="0"/>
        </c:dLbls>
        <c:gapWidth val="150"/>
        <c:axId val="77660160"/>
        <c:axId val="77661696"/>
      </c:barChart>
      <c:catAx>
        <c:axId val="77660160"/>
        <c:scaling>
          <c:orientation val="minMax"/>
        </c:scaling>
        <c:delete val="0"/>
        <c:axPos val="b"/>
        <c:numFmt formatCode="General" sourceLinked="1"/>
        <c:majorTickMark val="out"/>
        <c:minorTickMark val="none"/>
        <c:tickLblPos val="nextTo"/>
        <c:crossAx val="77661696"/>
        <c:crosses val="autoZero"/>
        <c:auto val="1"/>
        <c:lblAlgn val="ctr"/>
        <c:lblOffset val="100"/>
        <c:noMultiLvlLbl val="0"/>
      </c:catAx>
      <c:valAx>
        <c:axId val="77661696"/>
        <c:scaling>
          <c:orientation val="minMax"/>
        </c:scaling>
        <c:delete val="0"/>
        <c:axPos val="l"/>
        <c:numFmt formatCode="General" sourceLinked="1"/>
        <c:majorTickMark val="out"/>
        <c:minorTickMark val="none"/>
        <c:tickLblPos val="nextTo"/>
        <c:crossAx val="77660160"/>
        <c:crosses val="autoZero"/>
        <c:crossBetween val="between"/>
      </c:valAx>
      <c:spPr>
        <a:solidFill>
          <a:schemeClr val="bg2">
            <a:lumMod val="90000"/>
          </a:schemeClr>
        </a:solidFill>
      </c:spPr>
    </c:plotArea>
    <c:legend>
      <c:legendPos val="r"/>
      <c:overlay val="0"/>
    </c:legend>
    <c:plotVisOnly val="1"/>
    <c:dispBlanksAs val="gap"/>
    <c:showDLblsOverMax val="0"/>
  </c:chart>
  <c:spPr>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lin ang="18900000" scaled="1"/>
      <a:tileRect/>
    </a:gra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Lapas1!$B$31</c:f>
              <c:strCache>
                <c:ptCount val="1"/>
                <c:pt idx="0">
                  <c:v>Užsiėmę gyventojai</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numRef>
              <c:f>Lapas1!$C$30:$G$30</c:f>
              <c:numCache>
                <c:formatCode>General</c:formatCode>
                <c:ptCount val="5"/>
                <c:pt idx="0">
                  <c:v>2011</c:v>
                </c:pt>
                <c:pt idx="1">
                  <c:v>2012</c:v>
                </c:pt>
                <c:pt idx="2">
                  <c:v>2013</c:v>
                </c:pt>
                <c:pt idx="3">
                  <c:v>2014</c:v>
                </c:pt>
                <c:pt idx="4">
                  <c:v>2015</c:v>
                </c:pt>
              </c:numCache>
            </c:numRef>
          </c:cat>
          <c:val>
            <c:numRef>
              <c:f>Lapas1!$C$31:$G$31</c:f>
              <c:numCache>
                <c:formatCode>General</c:formatCode>
                <c:ptCount val="5"/>
                <c:pt idx="0">
                  <c:v>24.7</c:v>
                </c:pt>
                <c:pt idx="1">
                  <c:v>25</c:v>
                </c:pt>
                <c:pt idx="2">
                  <c:v>23.7</c:v>
                </c:pt>
                <c:pt idx="3">
                  <c:v>23.9</c:v>
                </c:pt>
                <c:pt idx="4">
                  <c:v>26.8</c:v>
                </c:pt>
              </c:numCache>
            </c:numRef>
          </c:val>
        </c:ser>
        <c:dLbls>
          <c:showLegendKey val="0"/>
          <c:showVal val="0"/>
          <c:showCatName val="0"/>
          <c:showSerName val="0"/>
          <c:showPercent val="0"/>
          <c:showBubbleSize val="0"/>
        </c:dLbls>
        <c:gapWidth val="150"/>
        <c:axId val="77715328"/>
        <c:axId val="77716864"/>
      </c:barChart>
      <c:catAx>
        <c:axId val="77715328"/>
        <c:scaling>
          <c:orientation val="minMax"/>
        </c:scaling>
        <c:delete val="0"/>
        <c:axPos val="b"/>
        <c:numFmt formatCode="General" sourceLinked="1"/>
        <c:majorTickMark val="out"/>
        <c:minorTickMark val="none"/>
        <c:tickLblPos val="nextTo"/>
        <c:crossAx val="77716864"/>
        <c:crosses val="autoZero"/>
        <c:auto val="1"/>
        <c:lblAlgn val="ctr"/>
        <c:lblOffset val="100"/>
        <c:noMultiLvlLbl val="0"/>
      </c:catAx>
      <c:valAx>
        <c:axId val="77716864"/>
        <c:scaling>
          <c:orientation val="minMax"/>
        </c:scaling>
        <c:delete val="0"/>
        <c:axPos val="l"/>
        <c:numFmt formatCode="General" sourceLinked="1"/>
        <c:majorTickMark val="out"/>
        <c:minorTickMark val="none"/>
        <c:tickLblPos val="nextTo"/>
        <c:crossAx val="77715328"/>
        <c:crosses val="autoZero"/>
        <c:crossBetween val="between"/>
      </c:valAx>
      <c:spPr>
        <a:solidFill>
          <a:schemeClr val="bg2">
            <a:lumMod val="90000"/>
          </a:schemeClr>
        </a:solidFill>
      </c:spPr>
    </c:plotArea>
    <c:legend>
      <c:legendPos val="r"/>
      <c:overlay val="0"/>
    </c:legend>
    <c:plotVisOnly val="1"/>
    <c:dispBlanksAs val="gap"/>
    <c:showDLblsOverMax val="0"/>
  </c:chart>
  <c:spPr>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lin ang="18900000" scaled="1"/>
      <a:tileRect/>
    </a:gra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85401459854014E-2"/>
          <c:y val="7.6864946337153406E-2"/>
          <c:w val="0.55478954729198993"/>
          <c:h val="0.65303604376185653"/>
        </c:manualLayout>
      </c:layout>
      <c:barChart>
        <c:barDir val="col"/>
        <c:grouping val="clustered"/>
        <c:varyColors val="0"/>
        <c:ser>
          <c:idx val="0"/>
          <c:order val="0"/>
          <c:tx>
            <c:strRef>
              <c:f>Lapas1!$B$5</c:f>
              <c:strCache>
                <c:ptCount val="1"/>
                <c:pt idx="0">
                  <c:v>Registruoti bedarbiai (tūkst.)</c:v>
                </c:pt>
              </c:strCache>
            </c:strRef>
          </c:tx>
          <c:spPr>
            <a:solidFill>
              <a:schemeClr val="accent3">
                <a:lumMod val="75000"/>
              </a:schemeClr>
            </a:solidFill>
          </c:spPr>
          <c:invertIfNegative val="0"/>
          <c:dLbls>
            <c:showLegendKey val="0"/>
            <c:showVal val="1"/>
            <c:showCatName val="0"/>
            <c:showSerName val="0"/>
            <c:showPercent val="0"/>
            <c:showBubbleSize val="0"/>
            <c:showLeaderLines val="0"/>
          </c:dLbls>
          <c:cat>
            <c:numRef>
              <c:f>Lapas1!$C$4:$H$4</c:f>
              <c:numCache>
                <c:formatCode>General</c:formatCode>
                <c:ptCount val="6"/>
                <c:pt idx="0">
                  <c:v>2011</c:v>
                </c:pt>
                <c:pt idx="1">
                  <c:v>2012</c:v>
                </c:pt>
                <c:pt idx="2">
                  <c:v>2013</c:v>
                </c:pt>
                <c:pt idx="3">
                  <c:v>2014</c:v>
                </c:pt>
                <c:pt idx="4">
                  <c:v>2015</c:v>
                </c:pt>
                <c:pt idx="5">
                  <c:v>2016</c:v>
                </c:pt>
              </c:numCache>
            </c:numRef>
          </c:cat>
          <c:val>
            <c:numRef>
              <c:f>Lapas1!$C$5:$H$5</c:f>
              <c:numCache>
                <c:formatCode>General</c:formatCode>
                <c:ptCount val="6"/>
                <c:pt idx="0">
                  <c:v>5.9</c:v>
                </c:pt>
                <c:pt idx="1">
                  <c:v>5.4</c:v>
                </c:pt>
                <c:pt idx="2">
                  <c:v>5.2</c:v>
                </c:pt>
                <c:pt idx="3">
                  <c:v>4.5999999999999996</c:v>
                </c:pt>
                <c:pt idx="4">
                  <c:v>4</c:v>
                </c:pt>
                <c:pt idx="5">
                  <c:v>5.6</c:v>
                </c:pt>
              </c:numCache>
            </c:numRef>
          </c:val>
        </c:ser>
        <c:ser>
          <c:idx val="1"/>
          <c:order val="1"/>
          <c:tx>
            <c:strRef>
              <c:f>Lapas1!$B$6</c:f>
              <c:strCache>
                <c:ptCount val="1"/>
                <c:pt idx="0">
                  <c:v>Registruotų bedarbių ir darbingo amžiaus gyventojų santykis ( proc.)</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numRef>
              <c:f>Lapas1!$C$4:$H$4</c:f>
              <c:numCache>
                <c:formatCode>General</c:formatCode>
                <c:ptCount val="6"/>
                <c:pt idx="0">
                  <c:v>2011</c:v>
                </c:pt>
                <c:pt idx="1">
                  <c:v>2012</c:v>
                </c:pt>
                <c:pt idx="2">
                  <c:v>2013</c:v>
                </c:pt>
                <c:pt idx="3">
                  <c:v>2014</c:v>
                </c:pt>
                <c:pt idx="4">
                  <c:v>2015</c:v>
                </c:pt>
                <c:pt idx="5">
                  <c:v>2016</c:v>
                </c:pt>
              </c:numCache>
            </c:numRef>
          </c:cat>
          <c:val>
            <c:numRef>
              <c:f>Lapas1!$C$6:$H$6</c:f>
              <c:numCache>
                <c:formatCode>General</c:formatCode>
                <c:ptCount val="6"/>
                <c:pt idx="0">
                  <c:v>15.3</c:v>
                </c:pt>
                <c:pt idx="1">
                  <c:v>14.4</c:v>
                </c:pt>
                <c:pt idx="2">
                  <c:v>14.2</c:v>
                </c:pt>
                <c:pt idx="3">
                  <c:v>12.9</c:v>
                </c:pt>
                <c:pt idx="4">
                  <c:v>11.4</c:v>
                </c:pt>
                <c:pt idx="5">
                  <c:v>10.5</c:v>
                </c:pt>
              </c:numCache>
            </c:numRef>
          </c:val>
        </c:ser>
        <c:dLbls>
          <c:showLegendKey val="0"/>
          <c:showVal val="0"/>
          <c:showCatName val="0"/>
          <c:showSerName val="0"/>
          <c:showPercent val="0"/>
          <c:showBubbleSize val="0"/>
        </c:dLbls>
        <c:gapWidth val="150"/>
        <c:axId val="78643968"/>
        <c:axId val="78645504"/>
      </c:barChart>
      <c:catAx>
        <c:axId val="78643968"/>
        <c:scaling>
          <c:orientation val="minMax"/>
        </c:scaling>
        <c:delete val="0"/>
        <c:axPos val="b"/>
        <c:numFmt formatCode="General" sourceLinked="1"/>
        <c:majorTickMark val="out"/>
        <c:minorTickMark val="none"/>
        <c:tickLblPos val="nextTo"/>
        <c:crossAx val="78645504"/>
        <c:crosses val="autoZero"/>
        <c:auto val="1"/>
        <c:lblAlgn val="ctr"/>
        <c:lblOffset val="100"/>
        <c:noMultiLvlLbl val="0"/>
      </c:catAx>
      <c:valAx>
        <c:axId val="78645504"/>
        <c:scaling>
          <c:orientation val="minMax"/>
        </c:scaling>
        <c:delete val="0"/>
        <c:axPos val="l"/>
        <c:numFmt formatCode="General" sourceLinked="1"/>
        <c:majorTickMark val="out"/>
        <c:minorTickMark val="none"/>
        <c:tickLblPos val="nextTo"/>
        <c:crossAx val="78643968"/>
        <c:crosses val="autoZero"/>
        <c:crossBetween val="between"/>
      </c:valAx>
      <c:spPr>
        <a:solidFill>
          <a:schemeClr val="bg2">
            <a:lumMod val="90000"/>
          </a:schemeClr>
        </a:solidFill>
        <a:ln w="25400">
          <a:noFill/>
        </a:ln>
      </c:spPr>
    </c:plotArea>
    <c:legend>
      <c:legendPos val="r"/>
      <c:overlay val="0"/>
    </c:legend>
    <c:plotVisOnly val="1"/>
    <c:dispBlanksAs val="gap"/>
    <c:showDLblsOverMax val="0"/>
  </c:chart>
  <c:spPr>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lin ang="18900000" scaled="1"/>
      <a:tileRect/>
    </a:gra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Lapas1!$B$78</c:f>
              <c:strCache>
                <c:ptCount val="1"/>
                <c:pt idx="0">
                  <c:v>Vidutinis mėnesinis darbo užmokestis Eur</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numRef>
              <c:f>Lapas1!$C$77:$G$77</c:f>
              <c:numCache>
                <c:formatCode>General</c:formatCode>
                <c:ptCount val="5"/>
                <c:pt idx="0">
                  <c:v>2012</c:v>
                </c:pt>
                <c:pt idx="1">
                  <c:v>2013</c:v>
                </c:pt>
                <c:pt idx="2">
                  <c:v>2014</c:v>
                </c:pt>
                <c:pt idx="3">
                  <c:v>2015</c:v>
                </c:pt>
                <c:pt idx="4">
                  <c:v>2016</c:v>
                </c:pt>
              </c:numCache>
            </c:numRef>
          </c:cat>
          <c:val>
            <c:numRef>
              <c:f>Lapas1!$C$78:$G$78</c:f>
              <c:numCache>
                <c:formatCode>General</c:formatCode>
                <c:ptCount val="5"/>
                <c:pt idx="0">
                  <c:v>581.5</c:v>
                </c:pt>
                <c:pt idx="1">
                  <c:v>621</c:v>
                </c:pt>
                <c:pt idx="2">
                  <c:v>637.79999999999995</c:v>
                </c:pt>
                <c:pt idx="3">
                  <c:v>677.1</c:v>
                </c:pt>
                <c:pt idx="4">
                  <c:v>691.4</c:v>
                </c:pt>
              </c:numCache>
            </c:numRef>
          </c:val>
        </c:ser>
        <c:dLbls>
          <c:showLegendKey val="0"/>
          <c:showVal val="0"/>
          <c:showCatName val="0"/>
          <c:showSerName val="0"/>
          <c:showPercent val="0"/>
          <c:showBubbleSize val="0"/>
        </c:dLbls>
        <c:gapWidth val="150"/>
        <c:axId val="78980992"/>
        <c:axId val="78982528"/>
      </c:barChart>
      <c:catAx>
        <c:axId val="78980992"/>
        <c:scaling>
          <c:orientation val="minMax"/>
        </c:scaling>
        <c:delete val="0"/>
        <c:axPos val="b"/>
        <c:numFmt formatCode="General" sourceLinked="1"/>
        <c:majorTickMark val="out"/>
        <c:minorTickMark val="none"/>
        <c:tickLblPos val="nextTo"/>
        <c:crossAx val="78982528"/>
        <c:crosses val="autoZero"/>
        <c:auto val="1"/>
        <c:lblAlgn val="ctr"/>
        <c:lblOffset val="100"/>
        <c:noMultiLvlLbl val="0"/>
      </c:catAx>
      <c:valAx>
        <c:axId val="78982528"/>
        <c:scaling>
          <c:orientation val="minMax"/>
        </c:scaling>
        <c:delete val="0"/>
        <c:axPos val="l"/>
        <c:numFmt formatCode="General" sourceLinked="1"/>
        <c:majorTickMark val="out"/>
        <c:minorTickMark val="none"/>
        <c:tickLblPos val="nextTo"/>
        <c:crossAx val="78980992"/>
        <c:crosses val="autoZero"/>
        <c:crossBetween val="between"/>
      </c:valAx>
      <c:spPr>
        <a:solidFill>
          <a:schemeClr val="bg2">
            <a:lumMod val="90000"/>
          </a:schemeClr>
        </a:solidFill>
      </c:spPr>
    </c:plotArea>
    <c:legend>
      <c:legendPos val="r"/>
      <c:overlay val="0"/>
      <c:txPr>
        <a:bodyPr/>
        <a:lstStyle/>
        <a:p>
          <a:pPr>
            <a:defRPr sz="1100"/>
          </a:pPr>
          <a:endParaRPr lang="lt-LT"/>
        </a:p>
      </c:txPr>
    </c:legend>
    <c:plotVisOnly val="1"/>
    <c:dispBlanksAs val="gap"/>
    <c:showDLblsOverMax val="0"/>
  </c:chart>
  <c:spPr>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lin ang="18900000" scaled="1"/>
      <a:tileRect/>
    </a:gradFill>
  </c:spPr>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Lapas1!$B$62</c:f>
              <c:strCache>
                <c:ptCount val="1"/>
                <c:pt idx="0">
                  <c:v>Veikiantys ūkio subjektai</c:v>
                </c:pt>
              </c:strCache>
            </c:strRef>
          </c:tx>
          <c:spPr>
            <a:solidFill>
              <a:schemeClr val="accent3">
                <a:lumMod val="75000"/>
              </a:schemeClr>
            </a:solidFill>
          </c:spPr>
          <c:invertIfNegative val="0"/>
          <c:dLbls>
            <c:spPr>
              <a:solidFill>
                <a:schemeClr val="bg2">
                  <a:lumMod val="90000"/>
                </a:schemeClr>
              </a:solidFill>
            </c:spPr>
            <c:showLegendKey val="0"/>
            <c:showVal val="1"/>
            <c:showCatName val="0"/>
            <c:showSerName val="0"/>
            <c:showPercent val="0"/>
            <c:showBubbleSize val="0"/>
            <c:showLeaderLines val="0"/>
          </c:dLbls>
          <c:cat>
            <c:numRef>
              <c:f>Lapas1!$C$61:$H$61</c:f>
              <c:numCache>
                <c:formatCode>General</c:formatCode>
                <c:ptCount val="6"/>
                <c:pt idx="0">
                  <c:v>2011</c:v>
                </c:pt>
                <c:pt idx="1">
                  <c:v>2012</c:v>
                </c:pt>
                <c:pt idx="2">
                  <c:v>2013</c:v>
                </c:pt>
                <c:pt idx="3">
                  <c:v>2014</c:v>
                </c:pt>
                <c:pt idx="4">
                  <c:v>2015</c:v>
                </c:pt>
                <c:pt idx="5">
                  <c:v>2016</c:v>
                </c:pt>
              </c:numCache>
            </c:numRef>
          </c:cat>
          <c:val>
            <c:numRef>
              <c:f>Lapas1!$C$62:$H$62</c:f>
              <c:numCache>
                <c:formatCode>General</c:formatCode>
                <c:ptCount val="6"/>
                <c:pt idx="0">
                  <c:v>1705</c:v>
                </c:pt>
                <c:pt idx="1">
                  <c:v>1591</c:v>
                </c:pt>
                <c:pt idx="2">
                  <c:v>1619</c:v>
                </c:pt>
                <c:pt idx="3">
                  <c:v>1680</c:v>
                </c:pt>
                <c:pt idx="4">
                  <c:v>1708</c:v>
                </c:pt>
                <c:pt idx="5">
                  <c:v>1749</c:v>
                </c:pt>
              </c:numCache>
            </c:numRef>
          </c:val>
        </c:ser>
        <c:ser>
          <c:idx val="1"/>
          <c:order val="1"/>
          <c:tx>
            <c:strRef>
              <c:f>Lapas1!$B$63</c:f>
              <c:strCache>
                <c:ptCount val="1"/>
                <c:pt idx="0">
                  <c:v>Mažų ir vidutinių įmonių skaičius</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numRef>
              <c:f>Lapas1!$C$61:$H$61</c:f>
              <c:numCache>
                <c:formatCode>General</c:formatCode>
                <c:ptCount val="6"/>
                <c:pt idx="0">
                  <c:v>2011</c:v>
                </c:pt>
                <c:pt idx="1">
                  <c:v>2012</c:v>
                </c:pt>
                <c:pt idx="2">
                  <c:v>2013</c:v>
                </c:pt>
                <c:pt idx="3">
                  <c:v>2014</c:v>
                </c:pt>
                <c:pt idx="4">
                  <c:v>2015</c:v>
                </c:pt>
                <c:pt idx="5">
                  <c:v>2016</c:v>
                </c:pt>
              </c:numCache>
            </c:numRef>
          </c:cat>
          <c:val>
            <c:numRef>
              <c:f>Lapas1!$C$63:$H$63</c:f>
              <c:numCache>
                <c:formatCode>General</c:formatCode>
                <c:ptCount val="6"/>
                <c:pt idx="0">
                  <c:v>1180</c:v>
                </c:pt>
                <c:pt idx="1">
                  <c:v>1051</c:v>
                </c:pt>
                <c:pt idx="2">
                  <c:v>1079</c:v>
                </c:pt>
                <c:pt idx="3">
                  <c:v>1104</c:v>
                </c:pt>
                <c:pt idx="4">
                  <c:v>1158</c:v>
                </c:pt>
                <c:pt idx="5">
                  <c:v>1230</c:v>
                </c:pt>
              </c:numCache>
            </c:numRef>
          </c:val>
        </c:ser>
        <c:dLbls>
          <c:showLegendKey val="0"/>
          <c:showVal val="0"/>
          <c:showCatName val="0"/>
          <c:showSerName val="0"/>
          <c:showPercent val="0"/>
          <c:showBubbleSize val="0"/>
        </c:dLbls>
        <c:gapWidth val="150"/>
        <c:axId val="79315712"/>
        <c:axId val="79317248"/>
      </c:barChart>
      <c:catAx>
        <c:axId val="79315712"/>
        <c:scaling>
          <c:orientation val="minMax"/>
        </c:scaling>
        <c:delete val="0"/>
        <c:axPos val="b"/>
        <c:numFmt formatCode="General" sourceLinked="1"/>
        <c:majorTickMark val="out"/>
        <c:minorTickMark val="none"/>
        <c:tickLblPos val="nextTo"/>
        <c:crossAx val="79317248"/>
        <c:crosses val="autoZero"/>
        <c:auto val="1"/>
        <c:lblAlgn val="ctr"/>
        <c:lblOffset val="100"/>
        <c:noMultiLvlLbl val="0"/>
      </c:catAx>
      <c:valAx>
        <c:axId val="79317248"/>
        <c:scaling>
          <c:orientation val="minMax"/>
        </c:scaling>
        <c:delete val="0"/>
        <c:axPos val="l"/>
        <c:numFmt formatCode="General" sourceLinked="1"/>
        <c:majorTickMark val="out"/>
        <c:minorTickMark val="none"/>
        <c:tickLblPos val="nextTo"/>
        <c:crossAx val="79315712"/>
        <c:crosses val="autoZero"/>
        <c:crossBetween val="between"/>
      </c:valAx>
      <c:spPr>
        <a:solidFill>
          <a:schemeClr val="bg2">
            <a:lumMod val="90000"/>
          </a:schemeClr>
        </a:solidFill>
      </c:spPr>
    </c:plotArea>
    <c:legend>
      <c:legendPos val="r"/>
      <c:overlay val="0"/>
    </c:legend>
    <c:plotVisOnly val="1"/>
    <c:dispBlanksAs val="gap"/>
    <c:showDLblsOverMax val="0"/>
  </c:chart>
  <c:spPr>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lin ang="18900000" scaled="1"/>
      <a:tileRect/>
    </a:gra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1E42-7388-40A7-B67A-56CCFB1A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11</Pages>
  <Words>18121</Words>
  <Characters>10329</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Dalytė Žukaitienė</dc:creator>
  <cp:lastModifiedBy>Romualda Poškevičienė</cp:lastModifiedBy>
  <cp:revision>42</cp:revision>
  <cp:lastPrinted>2016-11-30T07:12:00Z</cp:lastPrinted>
  <dcterms:created xsi:type="dcterms:W3CDTF">2016-11-24T13:25:00Z</dcterms:created>
  <dcterms:modified xsi:type="dcterms:W3CDTF">2017-02-14T09:28:00Z</dcterms:modified>
</cp:coreProperties>
</file>